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60E21" w14:textId="77777777" w:rsidR="001C3902" w:rsidRPr="00C6712A" w:rsidRDefault="001C3902" w:rsidP="00AE4AC7">
      <w:pPr>
        <w:pStyle w:val="Title"/>
        <w:spacing w:after="0"/>
        <w:contextualSpacing/>
        <w:rPr>
          <w:szCs w:val="24"/>
        </w:rPr>
      </w:pPr>
    </w:p>
    <w:p w14:paraId="74BE6B93" w14:textId="4A78F060" w:rsidR="00155C1E" w:rsidRPr="00C6712A" w:rsidRDefault="00AA3214" w:rsidP="00AE4AC7">
      <w:pPr>
        <w:pStyle w:val="Title"/>
        <w:spacing w:after="0"/>
        <w:contextualSpacing/>
        <w:rPr>
          <w:szCs w:val="24"/>
        </w:rPr>
      </w:pPr>
      <w:r w:rsidRPr="00C6712A">
        <w:rPr>
          <w:szCs w:val="24"/>
        </w:rPr>
        <w:t xml:space="preserve">Modeling </w:t>
      </w:r>
      <w:r w:rsidR="003E3947" w:rsidRPr="00C6712A">
        <w:rPr>
          <w:szCs w:val="24"/>
        </w:rPr>
        <w:t xml:space="preserve">the </w:t>
      </w:r>
      <w:r w:rsidR="00A77ED5" w:rsidRPr="00C6712A">
        <w:rPr>
          <w:szCs w:val="24"/>
        </w:rPr>
        <w:t xml:space="preserve">Evolution of Ride-Hailing </w:t>
      </w:r>
      <w:r w:rsidRPr="00C6712A">
        <w:rPr>
          <w:szCs w:val="24"/>
        </w:rPr>
        <w:t xml:space="preserve">Adoption and Usage: A Case Study of </w:t>
      </w:r>
      <w:r w:rsidR="00A77ED5" w:rsidRPr="00C6712A">
        <w:rPr>
          <w:szCs w:val="24"/>
        </w:rPr>
        <w:t>the Puget Sound Region</w:t>
      </w:r>
    </w:p>
    <w:p w14:paraId="2D927DC1" w14:textId="0BF3AD24" w:rsidR="00537583" w:rsidRPr="00C6712A" w:rsidRDefault="00537583" w:rsidP="00537583">
      <w:pPr>
        <w:spacing w:after="0"/>
        <w:ind w:firstLine="0"/>
        <w:contextualSpacing/>
        <w:rPr>
          <w:szCs w:val="24"/>
        </w:rPr>
      </w:pPr>
    </w:p>
    <w:p w14:paraId="0820B332" w14:textId="77777777" w:rsidR="001C3902" w:rsidRPr="00C6712A" w:rsidRDefault="001C3902" w:rsidP="00537583">
      <w:pPr>
        <w:spacing w:after="0"/>
        <w:ind w:firstLine="0"/>
        <w:contextualSpacing/>
        <w:rPr>
          <w:szCs w:val="24"/>
        </w:rPr>
      </w:pPr>
    </w:p>
    <w:p w14:paraId="64E79AE7" w14:textId="77777777" w:rsidR="00537583" w:rsidRPr="00C6712A" w:rsidRDefault="00537583" w:rsidP="00537583">
      <w:pPr>
        <w:spacing w:after="0"/>
        <w:ind w:firstLine="0"/>
        <w:contextualSpacing/>
        <w:rPr>
          <w:szCs w:val="24"/>
        </w:rPr>
      </w:pPr>
    </w:p>
    <w:p w14:paraId="67EF1360" w14:textId="77777777" w:rsidR="00537583" w:rsidRPr="00C6712A" w:rsidRDefault="00537583" w:rsidP="00537583">
      <w:pPr>
        <w:pStyle w:val="Names"/>
        <w:spacing w:after="0"/>
        <w:contextualSpacing/>
        <w:rPr>
          <w:b/>
        </w:rPr>
      </w:pPr>
      <w:r w:rsidRPr="00C6712A">
        <w:rPr>
          <w:b/>
        </w:rPr>
        <w:t>Felipe F. Dias</w:t>
      </w:r>
    </w:p>
    <w:p w14:paraId="59C747E7" w14:textId="77777777" w:rsidR="00537583" w:rsidRPr="00C6712A" w:rsidRDefault="00537583" w:rsidP="00537583">
      <w:pPr>
        <w:pStyle w:val="Names"/>
        <w:spacing w:after="0"/>
        <w:contextualSpacing/>
      </w:pPr>
      <w:r w:rsidRPr="00C6712A">
        <w:t>The University of Texas at Austin</w:t>
      </w:r>
    </w:p>
    <w:p w14:paraId="4D1E56B0" w14:textId="77777777" w:rsidR="00537583" w:rsidRPr="00C6712A" w:rsidRDefault="00537583" w:rsidP="00537583">
      <w:pPr>
        <w:pStyle w:val="Names"/>
        <w:spacing w:after="0"/>
        <w:contextualSpacing/>
      </w:pPr>
      <w:r w:rsidRPr="00C6712A">
        <w:t>Department of Civil, Architectural and Environmental Engineering</w:t>
      </w:r>
    </w:p>
    <w:p w14:paraId="1FF07BC0" w14:textId="77777777" w:rsidR="00537583" w:rsidRPr="00C6712A" w:rsidRDefault="00537583" w:rsidP="00537583">
      <w:pPr>
        <w:pStyle w:val="Names"/>
        <w:spacing w:after="0"/>
        <w:contextualSpacing/>
      </w:pPr>
      <w:r w:rsidRPr="00C6712A">
        <w:t>301 E. Dean Keeton St. Stop C1761, Austin, TX 78712, USA</w:t>
      </w:r>
    </w:p>
    <w:p w14:paraId="67C8381C" w14:textId="77777777" w:rsidR="00537583" w:rsidRPr="00C6712A" w:rsidRDefault="00537583" w:rsidP="00537583">
      <w:pPr>
        <w:pStyle w:val="Names"/>
        <w:spacing w:after="0"/>
        <w:contextualSpacing/>
      </w:pPr>
      <w:r w:rsidRPr="00C6712A">
        <w:t>Tel: +1-512-471-4535</w:t>
      </w:r>
    </w:p>
    <w:p w14:paraId="071D6F54" w14:textId="02D8655E" w:rsidR="00537583" w:rsidRPr="00C6712A" w:rsidRDefault="00537583" w:rsidP="00537583">
      <w:pPr>
        <w:spacing w:after="0"/>
        <w:ind w:firstLine="0"/>
        <w:contextualSpacing/>
      </w:pPr>
      <w:r w:rsidRPr="00C6712A">
        <w:t xml:space="preserve">Email: </w:t>
      </w:r>
      <w:hyperlink r:id="rId8" w:history="1">
        <w:r w:rsidRPr="00C6712A">
          <w:rPr>
            <w:rStyle w:val="Hyperlink"/>
          </w:rPr>
          <w:t>fdias@utexas.edu</w:t>
        </w:r>
      </w:hyperlink>
    </w:p>
    <w:p w14:paraId="0F44A53D" w14:textId="77777777" w:rsidR="00537583" w:rsidRPr="00C6712A" w:rsidRDefault="00537583" w:rsidP="00537583">
      <w:pPr>
        <w:spacing w:after="0"/>
        <w:ind w:firstLine="0"/>
        <w:contextualSpacing/>
      </w:pPr>
    </w:p>
    <w:p w14:paraId="754F32DD" w14:textId="77777777" w:rsidR="00537583" w:rsidRPr="00C6712A" w:rsidRDefault="00537583" w:rsidP="00537583">
      <w:pPr>
        <w:spacing w:after="0"/>
        <w:ind w:firstLine="0"/>
        <w:contextualSpacing/>
        <w:rPr>
          <w:b/>
          <w:bCs/>
        </w:rPr>
      </w:pPr>
      <w:proofErr w:type="spellStart"/>
      <w:r w:rsidRPr="00C6712A">
        <w:rPr>
          <w:b/>
          <w:bCs/>
        </w:rPr>
        <w:t>Taehooie</w:t>
      </w:r>
      <w:proofErr w:type="spellEnd"/>
      <w:r w:rsidRPr="00C6712A">
        <w:rPr>
          <w:b/>
          <w:bCs/>
        </w:rPr>
        <w:t xml:space="preserve"> Kim</w:t>
      </w:r>
    </w:p>
    <w:p w14:paraId="7A5F36CD" w14:textId="77777777" w:rsidR="00537583" w:rsidRPr="00C6712A" w:rsidRDefault="00537583" w:rsidP="00537583">
      <w:pPr>
        <w:spacing w:after="0"/>
        <w:ind w:firstLine="0"/>
        <w:contextualSpacing/>
      </w:pPr>
      <w:r w:rsidRPr="00C6712A">
        <w:t>Arizona State University</w:t>
      </w:r>
    </w:p>
    <w:p w14:paraId="31C653AE" w14:textId="77777777" w:rsidR="00537583" w:rsidRPr="00C6712A" w:rsidRDefault="00537583" w:rsidP="00537583">
      <w:pPr>
        <w:spacing w:after="0"/>
        <w:ind w:firstLine="0"/>
        <w:contextualSpacing/>
      </w:pPr>
      <w:r w:rsidRPr="00C6712A">
        <w:t>School of Sustainable Engineering and the Built Environment</w:t>
      </w:r>
    </w:p>
    <w:p w14:paraId="208501C5" w14:textId="77777777" w:rsidR="00537583" w:rsidRPr="00C6712A" w:rsidRDefault="00537583" w:rsidP="00537583">
      <w:pPr>
        <w:spacing w:after="0"/>
        <w:ind w:firstLine="0"/>
        <w:contextualSpacing/>
      </w:pPr>
      <w:r w:rsidRPr="00C6712A">
        <w:t>660 S. College Avenue, Tempe, AZ 85287-3005, USA</w:t>
      </w:r>
    </w:p>
    <w:p w14:paraId="29A1A7F4" w14:textId="77777777" w:rsidR="00537583" w:rsidRPr="00C6712A" w:rsidRDefault="00537583" w:rsidP="00537583">
      <w:pPr>
        <w:spacing w:after="0"/>
        <w:ind w:firstLine="0"/>
        <w:contextualSpacing/>
      </w:pPr>
      <w:r w:rsidRPr="00C6712A">
        <w:t xml:space="preserve">Tel: +1-480-727-3613; </w:t>
      </w:r>
    </w:p>
    <w:p w14:paraId="39B4F6C2" w14:textId="42B569B1" w:rsidR="00537583" w:rsidRPr="00C6712A" w:rsidRDefault="00537583" w:rsidP="00537583">
      <w:pPr>
        <w:pStyle w:val="Names"/>
        <w:spacing w:after="0"/>
        <w:contextualSpacing/>
        <w:rPr>
          <w:b/>
        </w:rPr>
      </w:pPr>
      <w:r w:rsidRPr="00C6712A">
        <w:t xml:space="preserve">Email: </w:t>
      </w:r>
      <w:hyperlink r:id="rId9" w:history="1">
        <w:r w:rsidRPr="00C6712A">
          <w:rPr>
            <w:rStyle w:val="Hyperlink"/>
          </w:rPr>
          <w:t>taehooie.kim@asu.edu</w:t>
        </w:r>
      </w:hyperlink>
    </w:p>
    <w:p w14:paraId="6E6B5660" w14:textId="77777777" w:rsidR="00537583" w:rsidRPr="00C6712A" w:rsidRDefault="00537583" w:rsidP="00537583">
      <w:pPr>
        <w:pStyle w:val="Names"/>
        <w:spacing w:after="0"/>
        <w:contextualSpacing/>
        <w:rPr>
          <w:b/>
        </w:rPr>
      </w:pPr>
    </w:p>
    <w:p w14:paraId="701947B2" w14:textId="77777777" w:rsidR="00537583" w:rsidRPr="00C6712A" w:rsidRDefault="00537583" w:rsidP="00537583">
      <w:pPr>
        <w:pStyle w:val="Names"/>
        <w:spacing w:after="0"/>
        <w:contextualSpacing/>
      </w:pPr>
      <w:r w:rsidRPr="00C6712A">
        <w:rPr>
          <w:b/>
        </w:rPr>
        <w:t>Chandra R. Bhat</w:t>
      </w:r>
      <w:r w:rsidRPr="00C6712A">
        <w:t xml:space="preserve"> (corresponding author)</w:t>
      </w:r>
    </w:p>
    <w:p w14:paraId="14E06E21" w14:textId="77777777" w:rsidR="00537583" w:rsidRPr="00C6712A" w:rsidRDefault="00537583" w:rsidP="00537583">
      <w:pPr>
        <w:pStyle w:val="Names"/>
        <w:spacing w:after="0"/>
        <w:contextualSpacing/>
      </w:pPr>
      <w:r w:rsidRPr="00C6712A">
        <w:t>The University of Texas at Austin</w:t>
      </w:r>
    </w:p>
    <w:p w14:paraId="00EDA236" w14:textId="77777777" w:rsidR="00537583" w:rsidRPr="00C6712A" w:rsidRDefault="00537583" w:rsidP="00537583">
      <w:pPr>
        <w:pStyle w:val="Names"/>
        <w:spacing w:after="0"/>
        <w:contextualSpacing/>
      </w:pPr>
      <w:r w:rsidRPr="00C6712A">
        <w:t>Department of Civil, Architectural and Environmental Engineering</w:t>
      </w:r>
    </w:p>
    <w:p w14:paraId="3774AA44" w14:textId="77777777" w:rsidR="00537583" w:rsidRPr="00C6712A" w:rsidRDefault="00537583" w:rsidP="00537583">
      <w:pPr>
        <w:pStyle w:val="Names"/>
        <w:spacing w:after="0"/>
        <w:contextualSpacing/>
      </w:pPr>
      <w:r w:rsidRPr="00C6712A">
        <w:t>301 E. Dean Keeton St. Stop C1761, Austin, TX 78712, USA</w:t>
      </w:r>
    </w:p>
    <w:p w14:paraId="11B4B279" w14:textId="77777777" w:rsidR="00537583" w:rsidRPr="00C6712A" w:rsidRDefault="00537583" w:rsidP="00537583">
      <w:pPr>
        <w:pStyle w:val="Names"/>
        <w:spacing w:after="0"/>
        <w:contextualSpacing/>
      </w:pPr>
      <w:r w:rsidRPr="00C6712A">
        <w:t>Tel: +1-512-471-4535</w:t>
      </w:r>
    </w:p>
    <w:p w14:paraId="5C2F7AA3" w14:textId="44A47B07" w:rsidR="00537583" w:rsidRPr="00C6712A" w:rsidRDefault="00537583" w:rsidP="00537583">
      <w:pPr>
        <w:pStyle w:val="Names"/>
        <w:spacing w:after="0"/>
        <w:contextualSpacing/>
      </w:pPr>
      <w:r w:rsidRPr="00C6712A">
        <w:t xml:space="preserve">Email: </w:t>
      </w:r>
      <w:hyperlink r:id="rId10" w:history="1">
        <w:r w:rsidRPr="00C6712A">
          <w:rPr>
            <w:rStyle w:val="Hyperlink"/>
          </w:rPr>
          <w:t>bhat@mail.utexas.edu</w:t>
        </w:r>
      </w:hyperlink>
      <w:r w:rsidRPr="00C6712A">
        <w:t xml:space="preserve"> </w:t>
      </w:r>
    </w:p>
    <w:p w14:paraId="24809F46" w14:textId="77777777" w:rsidR="00537583" w:rsidRPr="00C6712A" w:rsidRDefault="00537583" w:rsidP="00537583">
      <w:pPr>
        <w:pStyle w:val="Names"/>
        <w:spacing w:after="0"/>
        <w:contextualSpacing/>
      </w:pPr>
      <w:r w:rsidRPr="00C6712A">
        <w:t>and</w:t>
      </w:r>
    </w:p>
    <w:p w14:paraId="756B1505" w14:textId="77777777" w:rsidR="00537583" w:rsidRPr="00C6712A" w:rsidRDefault="00537583" w:rsidP="00537583">
      <w:pPr>
        <w:pStyle w:val="Names"/>
        <w:spacing w:after="0"/>
        <w:contextualSpacing/>
        <w:rPr>
          <w:b/>
          <w:bCs/>
        </w:rPr>
      </w:pPr>
      <w:r w:rsidRPr="00C6712A">
        <w:t xml:space="preserve">The Hong Kong Polytechnic University, Hung </w:t>
      </w:r>
      <w:proofErr w:type="spellStart"/>
      <w:r w:rsidRPr="00C6712A">
        <w:t>Hom</w:t>
      </w:r>
      <w:proofErr w:type="spellEnd"/>
      <w:r w:rsidRPr="00C6712A">
        <w:t>, Kowloon, Hong Kong</w:t>
      </w:r>
    </w:p>
    <w:p w14:paraId="281263CB" w14:textId="77777777" w:rsidR="00537583" w:rsidRPr="00C6712A" w:rsidRDefault="00537583" w:rsidP="00537583">
      <w:pPr>
        <w:pStyle w:val="Names"/>
        <w:spacing w:after="0"/>
        <w:contextualSpacing/>
        <w:rPr>
          <w:b/>
          <w:bCs/>
        </w:rPr>
      </w:pPr>
    </w:p>
    <w:p w14:paraId="277BA034" w14:textId="77777777" w:rsidR="00537583" w:rsidRPr="00C6712A" w:rsidRDefault="00537583" w:rsidP="00537583">
      <w:pPr>
        <w:pStyle w:val="Names"/>
        <w:spacing w:after="0"/>
        <w:contextualSpacing/>
        <w:rPr>
          <w:b/>
          <w:bCs/>
        </w:rPr>
      </w:pPr>
      <w:r w:rsidRPr="00C6712A">
        <w:rPr>
          <w:b/>
          <w:bCs/>
        </w:rPr>
        <w:t>Ram M. Pendyala</w:t>
      </w:r>
    </w:p>
    <w:p w14:paraId="4CBDA76F" w14:textId="77777777" w:rsidR="00537583" w:rsidRPr="00C6712A" w:rsidRDefault="00537583" w:rsidP="00537583">
      <w:pPr>
        <w:pStyle w:val="Names"/>
        <w:spacing w:after="0"/>
        <w:contextualSpacing/>
      </w:pPr>
      <w:r w:rsidRPr="00C6712A">
        <w:t>Arizona State University</w:t>
      </w:r>
    </w:p>
    <w:p w14:paraId="22CD1E2D" w14:textId="77777777" w:rsidR="00537583" w:rsidRPr="00C6712A" w:rsidRDefault="00537583" w:rsidP="00537583">
      <w:pPr>
        <w:pStyle w:val="Names"/>
        <w:spacing w:after="0"/>
        <w:contextualSpacing/>
      </w:pPr>
      <w:r w:rsidRPr="00C6712A">
        <w:t>School of Sustainable Engineering and the Built Environment</w:t>
      </w:r>
    </w:p>
    <w:p w14:paraId="320B5773" w14:textId="77777777" w:rsidR="00537583" w:rsidRPr="00C6712A" w:rsidRDefault="00537583" w:rsidP="00537583">
      <w:pPr>
        <w:pStyle w:val="Names"/>
        <w:spacing w:after="0"/>
        <w:contextualSpacing/>
      </w:pPr>
      <w:r w:rsidRPr="00C6712A">
        <w:t>660 S. College Avenue, Tempe, AZ 85287-3005, USA</w:t>
      </w:r>
    </w:p>
    <w:p w14:paraId="7826ABF8" w14:textId="77777777" w:rsidR="00537583" w:rsidRPr="00C6712A" w:rsidRDefault="00537583" w:rsidP="00537583">
      <w:pPr>
        <w:pStyle w:val="Names"/>
        <w:spacing w:after="0"/>
        <w:contextualSpacing/>
      </w:pPr>
      <w:r w:rsidRPr="00C6712A">
        <w:t>Tel: +1-480-727-4587</w:t>
      </w:r>
    </w:p>
    <w:p w14:paraId="7EA03716" w14:textId="75109036" w:rsidR="00537583" w:rsidRPr="00C6712A" w:rsidRDefault="00537583" w:rsidP="00537583">
      <w:pPr>
        <w:pStyle w:val="Names"/>
        <w:spacing w:after="0"/>
        <w:contextualSpacing/>
        <w:rPr>
          <w:rStyle w:val="Hyperlink"/>
        </w:rPr>
      </w:pPr>
      <w:r w:rsidRPr="00C6712A">
        <w:t xml:space="preserve">Email: </w:t>
      </w:r>
      <w:hyperlink r:id="rId11" w:history="1">
        <w:r w:rsidRPr="00C6712A">
          <w:rPr>
            <w:rStyle w:val="Hyperlink"/>
          </w:rPr>
          <w:t>ram.pendyala@asu.edu</w:t>
        </w:r>
      </w:hyperlink>
    </w:p>
    <w:p w14:paraId="636E39B5" w14:textId="77777777" w:rsidR="00537583" w:rsidRPr="00C6712A" w:rsidRDefault="00537583" w:rsidP="00537583">
      <w:pPr>
        <w:pStyle w:val="Names"/>
        <w:spacing w:after="0"/>
        <w:contextualSpacing/>
      </w:pPr>
    </w:p>
    <w:p w14:paraId="540B1AFD" w14:textId="77777777" w:rsidR="001C3902" w:rsidRPr="00C6712A" w:rsidRDefault="001C3902" w:rsidP="001C3902">
      <w:pPr>
        <w:pStyle w:val="Names"/>
        <w:spacing w:after="0"/>
        <w:contextualSpacing/>
        <w:rPr>
          <w:b/>
        </w:rPr>
      </w:pPr>
      <w:r w:rsidRPr="00C6712A">
        <w:rPr>
          <w:b/>
        </w:rPr>
        <w:t>William H.K. Lam</w:t>
      </w:r>
    </w:p>
    <w:p w14:paraId="49174F13" w14:textId="77777777" w:rsidR="001C3902" w:rsidRPr="00C6712A" w:rsidRDefault="001C3902" w:rsidP="001C3902">
      <w:pPr>
        <w:pStyle w:val="Names"/>
        <w:spacing w:after="0"/>
        <w:contextualSpacing/>
      </w:pPr>
      <w:r w:rsidRPr="00C6712A">
        <w:t>The Hong Kong Polytechnic University</w:t>
      </w:r>
    </w:p>
    <w:p w14:paraId="1E416CB6" w14:textId="77777777" w:rsidR="001C3902" w:rsidRPr="00C6712A" w:rsidRDefault="001C3902" w:rsidP="001C3902">
      <w:pPr>
        <w:pStyle w:val="Names"/>
        <w:spacing w:after="0"/>
        <w:contextualSpacing/>
      </w:pPr>
      <w:r w:rsidRPr="00C6712A">
        <w:t>Department of Civil and Environmental Engineering</w:t>
      </w:r>
    </w:p>
    <w:p w14:paraId="4EF44FAB" w14:textId="77777777" w:rsidR="001C3902" w:rsidRPr="00C6712A" w:rsidRDefault="001C3902" w:rsidP="001C3902">
      <w:pPr>
        <w:pStyle w:val="Names"/>
        <w:spacing w:after="0"/>
        <w:contextualSpacing/>
      </w:pPr>
      <w:r w:rsidRPr="00C6712A">
        <w:t xml:space="preserve">9/F, Block Z, 181 Chatham Road South, Hung </w:t>
      </w:r>
      <w:proofErr w:type="spellStart"/>
      <w:r w:rsidRPr="00C6712A">
        <w:t>Hom</w:t>
      </w:r>
      <w:proofErr w:type="spellEnd"/>
      <w:r w:rsidRPr="00C6712A">
        <w:t>, Kowloon, Hong Kong</w:t>
      </w:r>
    </w:p>
    <w:p w14:paraId="0DA12CE3" w14:textId="77777777" w:rsidR="001C3902" w:rsidRPr="00C6712A" w:rsidRDefault="001C3902" w:rsidP="001C3902">
      <w:pPr>
        <w:pStyle w:val="Names"/>
        <w:spacing w:after="0"/>
        <w:contextualSpacing/>
      </w:pPr>
      <w:r w:rsidRPr="00C6712A">
        <w:t>Tel: +852-2766-6045</w:t>
      </w:r>
    </w:p>
    <w:p w14:paraId="7B43CB2A" w14:textId="17794B33" w:rsidR="001C3902" w:rsidRPr="00C6712A" w:rsidRDefault="001C3902" w:rsidP="001C3902">
      <w:pPr>
        <w:pStyle w:val="Names"/>
        <w:spacing w:after="0"/>
        <w:contextualSpacing/>
        <w:rPr>
          <w:rStyle w:val="Hyperlink"/>
        </w:rPr>
      </w:pPr>
      <w:r w:rsidRPr="00C6712A">
        <w:t xml:space="preserve">Email: </w:t>
      </w:r>
      <w:hyperlink r:id="rId12" w:history="1">
        <w:r w:rsidRPr="00C6712A">
          <w:rPr>
            <w:rStyle w:val="Hyperlink"/>
          </w:rPr>
          <w:t>william.lam@polyu.edu.hk</w:t>
        </w:r>
      </w:hyperlink>
    </w:p>
    <w:p w14:paraId="60C8C8AE" w14:textId="77777777" w:rsidR="00537583" w:rsidRPr="00C6712A" w:rsidRDefault="00537583" w:rsidP="00537583">
      <w:pPr>
        <w:pStyle w:val="Names"/>
        <w:spacing w:after="0"/>
        <w:contextualSpacing/>
      </w:pPr>
    </w:p>
    <w:p w14:paraId="11C7B4F9" w14:textId="77777777" w:rsidR="00537583" w:rsidRPr="00C6712A" w:rsidRDefault="00537583" w:rsidP="00537583">
      <w:pPr>
        <w:pStyle w:val="Names"/>
        <w:spacing w:after="0"/>
        <w:contextualSpacing/>
      </w:pPr>
    </w:p>
    <w:p w14:paraId="35766E4D" w14:textId="77777777" w:rsidR="00537583" w:rsidRPr="00C6712A" w:rsidRDefault="00537583" w:rsidP="00537583">
      <w:pPr>
        <w:pStyle w:val="Names"/>
        <w:spacing w:after="0"/>
        <w:contextualSpacing/>
        <w:jc w:val="center"/>
      </w:pPr>
      <w:r w:rsidRPr="00C6712A">
        <w:t>(the list of authors continues on next page)</w:t>
      </w:r>
    </w:p>
    <w:p w14:paraId="522AF408" w14:textId="77777777" w:rsidR="0030729E" w:rsidRPr="00C6712A" w:rsidRDefault="0030729E" w:rsidP="0030729E">
      <w:pPr>
        <w:pStyle w:val="Names"/>
        <w:spacing w:after="0"/>
        <w:contextualSpacing/>
      </w:pPr>
    </w:p>
    <w:p w14:paraId="54E0A67B" w14:textId="77777777" w:rsidR="0030729E" w:rsidRPr="00C6712A" w:rsidRDefault="0030729E" w:rsidP="0030729E">
      <w:pPr>
        <w:pStyle w:val="Names"/>
        <w:spacing w:after="0"/>
        <w:contextualSpacing/>
        <w:rPr>
          <w:b/>
        </w:rPr>
      </w:pPr>
      <w:r w:rsidRPr="00C6712A">
        <w:rPr>
          <w:b/>
        </w:rPr>
        <w:lastRenderedPageBreak/>
        <w:t>Abdul R. Pinjari</w:t>
      </w:r>
    </w:p>
    <w:p w14:paraId="495F92C7" w14:textId="77777777" w:rsidR="0030729E" w:rsidRPr="00C6712A" w:rsidRDefault="0030729E" w:rsidP="0030729E">
      <w:pPr>
        <w:pStyle w:val="Names"/>
        <w:spacing w:after="0"/>
        <w:contextualSpacing/>
      </w:pPr>
      <w:r w:rsidRPr="00C6712A">
        <w:t xml:space="preserve">Indian Institute of Science </w:t>
      </w:r>
    </w:p>
    <w:p w14:paraId="728EAAD1" w14:textId="77777777" w:rsidR="0030729E" w:rsidRPr="00C6712A" w:rsidRDefault="0030729E" w:rsidP="0030729E">
      <w:pPr>
        <w:pStyle w:val="Names"/>
        <w:spacing w:after="0"/>
        <w:contextualSpacing/>
      </w:pPr>
      <w:r w:rsidRPr="00C6712A">
        <w:t>Department of Civil Engineering</w:t>
      </w:r>
    </w:p>
    <w:p w14:paraId="663BFB8D" w14:textId="77777777" w:rsidR="0030729E" w:rsidRPr="00C6712A" w:rsidRDefault="0030729E" w:rsidP="0030729E">
      <w:pPr>
        <w:pStyle w:val="Names"/>
        <w:spacing w:after="0"/>
        <w:contextualSpacing/>
      </w:pPr>
      <w:r w:rsidRPr="00C6712A">
        <w:t>Centre for infrastructure, Sustainable Transportation and Urban Planning (</w:t>
      </w:r>
      <w:proofErr w:type="spellStart"/>
      <w:r w:rsidRPr="00C6712A">
        <w:t>CiSTUP</w:t>
      </w:r>
      <w:proofErr w:type="spellEnd"/>
      <w:r w:rsidRPr="00C6712A">
        <w:t>)</w:t>
      </w:r>
    </w:p>
    <w:p w14:paraId="262E3228" w14:textId="3FE4DEE1" w:rsidR="0030729E" w:rsidRPr="00C6712A" w:rsidRDefault="0030729E" w:rsidP="0030729E">
      <w:pPr>
        <w:pStyle w:val="Names"/>
        <w:spacing w:after="0"/>
        <w:contextualSpacing/>
      </w:pPr>
      <w:r w:rsidRPr="00C6712A">
        <w:t>SID Complex, IISc Campus, Bengaluru 560012, Karnataka, India</w:t>
      </w:r>
    </w:p>
    <w:p w14:paraId="5546EB84" w14:textId="77777777" w:rsidR="0030729E" w:rsidRPr="00C6712A" w:rsidRDefault="0030729E" w:rsidP="0030729E">
      <w:pPr>
        <w:pStyle w:val="Names"/>
        <w:spacing w:after="0"/>
        <w:contextualSpacing/>
      </w:pPr>
      <w:r w:rsidRPr="00C6712A">
        <w:t>Tel: +91-80-2293-2043</w:t>
      </w:r>
    </w:p>
    <w:p w14:paraId="1CC60FA1" w14:textId="2346A671" w:rsidR="0030729E" w:rsidRPr="00C6712A" w:rsidRDefault="0030729E" w:rsidP="0030729E">
      <w:pPr>
        <w:pStyle w:val="Names"/>
        <w:spacing w:after="0"/>
        <w:contextualSpacing/>
      </w:pPr>
      <w:r w:rsidRPr="00C6712A">
        <w:t xml:space="preserve">Email: </w:t>
      </w:r>
      <w:hyperlink r:id="rId13" w:history="1">
        <w:r w:rsidR="00C4722F" w:rsidRPr="00C6712A">
          <w:rPr>
            <w:rStyle w:val="Hyperlink"/>
          </w:rPr>
          <w:t>abdul@iisc.ac.in</w:t>
        </w:r>
      </w:hyperlink>
      <w:r w:rsidR="00C4722F" w:rsidRPr="00C6712A">
        <w:t xml:space="preserve"> </w:t>
      </w:r>
    </w:p>
    <w:p w14:paraId="5EB4C3D5" w14:textId="77777777" w:rsidR="00537583" w:rsidRPr="00C6712A" w:rsidRDefault="00537583" w:rsidP="00537583">
      <w:pPr>
        <w:pStyle w:val="Names"/>
        <w:spacing w:after="0"/>
        <w:contextualSpacing/>
        <w:rPr>
          <w:b/>
        </w:rPr>
      </w:pPr>
    </w:p>
    <w:p w14:paraId="798568AE" w14:textId="77777777" w:rsidR="007D763D" w:rsidRPr="00C6712A" w:rsidRDefault="007D763D" w:rsidP="007D763D">
      <w:pPr>
        <w:pStyle w:val="Names"/>
        <w:spacing w:after="0"/>
        <w:contextualSpacing/>
      </w:pPr>
      <w:r w:rsidRPr="00C6712A">
        <w:rPr>
          <w:b/>
        </w:rPr>
        <w:t>Karthik K. Srinivasan</w:t>
      </w:r>
    </w:p>
    <w:p w14:paraId="0E0DE17C" w14:textId="77777777" w:rsidR="007D763D" w:rsidRPr="00C6712A" w:rsidRDefault="007D763D" w:rsidP="007D763D">
      <w:pPr>
        <w:pStyle w:val="Names"/>
        <w:spacing w:after="0"/>
        <w:contextualSpacing/>
      </w:pPr>
      <w:r w:rsidRPr="00C6712A">
        <w:t>Indian Institute of Technology Madras</w:t>
      </w:r>
    </w:p>
    <w:p w14:paraId="459018B4" w14:textId="77777777" w:rsidR="007D763D" w:rsidRPr="00C6712A" w:rsidRDefault="007D763D" w:rsidP="007D763D">
      <w:pPr>
        <w:pStyle w:val="Names"/>
        <w:spacing w:after="0"/>
        <w:contextualSpacing/>
      </w:pPr>
      <w:r w:rsidRPr="00C6712A">
        <w:t>Department of Civil Engineering</w:t>
      </w:r>
    </w:p>
    <w:p w14:paraId="4410963F" w14:textId="31BCBD5C" w:rsidR="007D763D" w:rsidRPr="00C6712A" w:rsidRDefault="007D763D" w:rsidP="007D763D">
      <w:pPr>
        <w:pStyle w:val="Names"/>
        <w:spacing w:after="0"/>
        <w:contextualSpacing/>
      </w:pPr>
      <w:r w:rsidRPr="00C6712A">
        <w:t>BSB 235, IIT Madras, Chennai 600036</w:t>
      </w:r>
      <w:r w:rsidR="00E07806" w:rsidRPr="00C6712A">
        <w:t xml:space="preserve">, </w:t>
      </w:r>
      <w:r w:rsidR="003E63BF" w:rsidRPr="00C6712A">
        <w:t xml:space="preserve">Tamil Nadu, </w:t>
      </w:r>
      <w:r w:rsidR="00E07806" w:rsidRPr="00C6712A">
        <w:t>India</w:t>
      </w:r>
    </w:p>
    <w:p w14:paraId="4B60B518" w14:textId="77777777" w:rsidR="007D763D" w:rsidRPr="00C6712A" w:rsidRDefault="007D763D" w:rsidP="007D763D">
      <w:pPr>
        <w:pStyle w:val="Names"/>
        <w:spacing w:after="0"/>
        <w:contextualSpacing/>
      </w:pPr>
      <w:r w:rsidRPr="00C6712A">
        <w:t>Tel: +91-44-2257-4282</w:t>
      </w:r>
    </w:p>
    <w:p w14:paraId="58103B20" w14:textId="686BF864" w:rsidR="007D763D" w:rsidRPr="00C6712A" w:rsidRDefault="007D763D" w:rsidP="007D763D">
      <w:pPr>
        <w:pStyle w:val="Names"/>
        <w:spacing w:after="0"/>
        <w:contextualSpacing/>
        <w:rPr>
          <w:b/>
        </w:rPr>
      </w:pPr>
      <w:r w:rsidRPr="00C6712A">
        <w:t xml:space="preserve">Email: </w:t>
      </w:r>
      <w:hyperlink r:id="rId14" w:history="1">
        <w:r w:rsidRPr="00C6712A">
          <w:rPr>
            <w:rStyle w:val="Hyperlink"/>
          </w:rPr>
          <w:t>karthikks@iitm.ac.in</w:t>
        </w:r>
      </w:hyperlink>
      <w:r w:rsidRPr="00C6712A">
        <w:t xml:space="preserve"> </w:t>
      </w:r>
    </w:p>
    <w:p w14:paraId="36BE99E0" w14:textId="77777777" w:rsidR="007D763D" w:rsidRPr="00C6712A" w:rsidRDefault="007D763D" w:rsidP="007D763D">
      <w:pPr>
        <w:pStyle w:val="Names"/>
        <w:spacing w:after="0"/>
        <w:contextualSpacing/>
        <w:rPr>
          <w:b/>
        </w:rPr>
      </w:pPr>
    </w:p>
    <w:p w14:paraId="4921FEB7" w14:textId="77777777" w:rsidR="007D763D" w:rsidRPr="00C6712A" w:rsidRDefault="007D763D" w:rsidP="007D763D">
      <w:pPr>
        <w:pStyle w:val="Names"/>
        <w:spacing w:after="0"/>
        <w:contextualSpacing/>
        <w:rPr>
          <w:b/>
        </w:rPr>
      </w:pPr>
      <w:r w:rsidRPr="00C6712A">
        <w:rPr>
          <w:b/>
        </w:rPr>
        <w:t>Gitakrishnan Ramadurai</w:t>
      </w:r>
    </w:p>
    <w:p w14:paraId="3835923D" w14:textId="77777777" w:rsidR="007D763D" w:rsidRPr="00C6712A" w:rsidRDefault="007D763D" w:rsidP="007D763D">
      <w:pPr>
        <w:pStyle w:val="Names"/>
        <w:spacing w:after="0"/>
        <w:contextualSpacing/>
      </w:pPr>
      <w:r w:rsidRPr="00C6712A">
        <w:t>Indian Institute of Technology Madras</w:t>
      </w:r>
    </w:p>
    <w:p w14:paraId="7A380D3E" w14:textId="77777777" w:rsidR="007D763D" w:rsidRPr="00C6712A" w:rsidRDefault="007D763D" w:rsidP="007D763D">
      <w:pPr>
        <w:pStyle w:val="Names"/>
        <w:spacing w:after="0"/>
        <w:contextualSpacing/>
      </w:pPr>
      <w:r w:rsidRPr="00C6712A">
        <w:t>Department of Civil Engineering</w:t>
      </w:r>
    </w:p>
    <w:p w14:paraId="5360F09E" w14:textId="67B166C5" w:rsidR="007D763D" w:rsidRPr="00C6712A" w:rsidRDefault="007D763D" w:rsidP="007D763D">
      <w:pPr>
        <w:pStyle w:val="Names"/>
        <w:spacing w:after="0"/>
        <w:contextualSpacing/>
      </w:pPr>
      <w:r w:rsidRPr="00C6712A">
        <w:t xml:space="preserve">BSB </w:t>
      </w:r>
      <w:r w:rsidR="00E07806" w:rsidRPr="00C6712A">
        <w:t xml:space="preserve">229, IIT Madras, Chennai 600036, </w:t>
      </w:r>
      <w:r w:rsidR="003E63BF" w:rsidRPr="00C6712A">
        <w:t xml:space="preserve">Tamil Nadu, </w:t>
      </w:r>
      <w:r w:rsidR="00E07806" w:rsidRPr="00C6712A">
        <w:t>India</w:t>
      </w:r>
    </w:p>
    <w:p w14:paraId="48FBC938" w14:textId="77777777" w:rsidR="007D763D" w:rsidRPr="00C6712A" w:rsidRDefault="007D763D" w:rsidP="007D763D">
      <w:pPr>
        <w:pStyle w:val="Names"/>
        <w:spacing w:after="0"/>
        <w:contextualSpacing/>
      </w:pPr>
      <w:r w:rsidRPr="00C6712A">
        <w:t>Tel: +91-44-2257-4298</w:t>
      </w:r>
    </w:p>
    <w:p w14:paraId="7E6351CA" w14:textId="11250F24" w:rsidR="007D763D" w:rsidRPr="00C6712A" w:rsidRDefault="007D763D" w:rsidP="007D763D">
      <w:pPr>
        <w:pStyle w:val="Names"/>
        <w:spacing w:after="0"/>
        <w:contextualSpacing/>
      </w:pPr>
      <w:r w:rsidRPr="00C6712A">
        <w:t xml:space="preserve">Email: </w:t>
      </w:r>
      <w:hyperlink r:id="rId15" w:history="1">
        <w:r w:rsidRPr="00C6712A">
          <w:rPr>
            <w:rStyle w:val="Hyperlink"/>
          </w:rPr>
          <w:t>gitakrishnan@iitm.ac.in</w:t>
        </w:r>
      </w:hyperlink>
      <w:r w:rsidRPr="00C6712A">
        <w:t xml:space="preserve"> </w:t>
      </w:r>
    </w:p>
    <w:p w14:paraId="013450C9" w14:textId="77777777" w:rsidR="00537583" w:rsidRPr="00C6712A" w:rsidRDefault="00537583" w:rsidP="00537583">
      <w:pPr>
        <w:pStyle w:val="Names"/>
        <w:spacing w:after="0"/>
        <w:contextualSpacing/>
      </w:pPr>
    </w:p>
    <w:p w14:paraId="4F0BDB4D" w14:textId="77777777" w:rsidR="00537583" w:rsidRPr="00C6712A" w:rsidRDefault="00537583" w:rsidP="00537583">
      <w:pPr>
        <w:pStyle w:val="Heading1"/>
        <w:numPr>
          <w:ilvl w:val="0"/>
          <w:numId w:val="0"/>
        </w:numPr>
        <w:spacing w:before="0" w:after="0"/>
        <w:rPr>
          <w:b w:val="0"/>
          <w:smallCaps/>
          <w:szCs w:val="22"/>
        </w:rPr>
      </w:pPr>
    </w:p>
    <w:p w14:paraId="3CCB5055" w14:textId="77777777" w:rsidR="001C3902" w:rsidRPr="00C6712A" w:rsidRDefault="001C3902" w:rsidP="001C3902">
      <w:pPr>
        <w:pStyle w:val="Heading1"/>
        <w:numPr>
          <w:ilvl w:val="0"/>
          <w:numId w:val="0"/>
        </w:numPr>
        <w:spacing w:before="0" w:after="0"/>
        <w:sectPr w:rsidR="001C3902" w:rsidRPr="00C6712A" w:rsidSect="001C3902">
          <w:headerReference w:type="default" r:id="rId16"/>
          <w:pgSz w:w="12240" w:h="15840" w:code="1"/>
          <w:pgMar w:top="1440" w:right="1440" w:bottom="1440" w:left="1440" w:header="720" w:footer="720" w:gutter="0"/>
          <w:cols w:space="720"/>
          <w:docGrid w:linePitch="360"/>
        </w:sectPr>
      </w:pPr>
    </w:p>
    <w:p w14:paraId="2B814756" w14:textId="56956833" w:rsidR="007F3D7D" w:rsidRPr="00C6712A" w:rsidRDefault="007F3D7D" w:rsidP="001C3902">
      <w:pPr>
        <w:pStyle w:val="Heading1"/>
        <w:numPr>
          <w:ilvl w:val="0"/>
          <w:numId w:val="0"/>
        </w:numPr>
        <w:spacing w:before="0" w:after="0"/>
      </w:pPr>
      <w:r w:rsidRPr="00C6712A">
        <w:lastRenderedPageBreak/>
        <w:t>Abstract</w:t>
      </w:r>
    </w:p>
    <w:p w14:paraId="199A74AD" w14:textId="6CA9C872" w:rsidR="007F3D7D" w:rsidRPr="00C6712A" w:rsidRDefault="007F3D7D" w:rsidP="001C3902">
      <w:pPr>
        <w:spacing w:after="0"/>
        <w:ind w:firstLine="0"/>
      </w:pPr>
      <w:r w:rsidRPr="00C6712A">
        <w:t>Ride-hailing service</w:t>
      </w:r>
      <w:r w:rsidR="009B19E1" w:rsidRPr="00C6712A">
        <w:t>s have</w:t>
      </w:r>
      <w:r w:rsidR="00CB3AB0" w:rsidRPr="00C6712A">
        <w:t xml:space="preserve"> experienced growth in cities around the world</w:t>
      </w:r>
      <w:r w:rsidRPr="00C6712A">
        <w:t xml:space="preserve">. </w:t>
      </w:r>
      <w:r w:rsidR="009B19E1" w:rsidRPr="00C6712A">
        <w:t>Th</w:t>
      </w:r>
      <w:r w:rsidRPr="00C6712A">
        <w:t>e</w:t>
      </w:r>
      <w:r w:rsidR="009B19E1" w:rsidRPr="00C6712A">
        <w:t>re are, however,</w:t>
      </w:r>
      <w:r w:rsidRPr="00C6712A">
        <w:t xml:space="preserve"> few studies and even fewer publicly available data sources that </w:t>
      </w:r>
      <w:r w:rsidR="00CB3AB0" w:rsidRPr="00C6712A">
        <w:t>provide a basis to understand and quantify changes in ride-hailing usage over time. Ride-hailing use may change over time due to socio-demographic shifts, economic and technological changes,</w:t>
      </w:r>
      <w:r w:rsidR="009B19E1" w:rsidRPr="00C6712A">
        <w:t xml:space="preserve"> and </w:t>
      </w:r>
      <w:r w:rsidR="00CB3AB0" w:rsidRPr="00C6712A">
        <w:t>service attribute enhancements</w:t>
      </w:r>
      <w:r w:rsidR="009B19E1" w:rsidRPr="00C6712A">
        <w:t>, as well as changes in unobserved attributes such as</w:t>
      </w:r>
      <w:r w:rsidR="00CB3AB0" w:rsidRPr="00C6712A">
        <w:t xml:space="preserve"> attitudes and perceptions, lifestyle preferences, technology</w:t>
      </w:r>
      <w:r w:rsidR="009B19E1" w:rsidRPr="00C6712A">
        <w:t xml:space="preserve"> savviness</w:t>
      </w:r>
      <w:r w:rsidR="00CB3AB0" w:rsidRPr="00C6712A">
        <w:t>, and social influences.</w:t>
      </w:r>
      <w:r w:rsidR="00DF754E" w:rsidRPr="00C6712A">
        <w:t xml:space="preserve"> </w:t>
      </w:r>
      <w:r w:rsidR="00CB3AB0" w:rsidRPr="00C6712A">
        <w:t>It is critical to quantify the effects of these different forces on ride-hailing frequency so that robust forecasts of ride-hailing use can be developed.</w:t>
      </w:r>
      <w:r w:rsidR="00DF754E" w:rsidRPr="00C6712A">
        <w:t xml:space="preserve"> </w:t>
      </w:r>
      <w:r w:rsidR="00CB3AB0" w:rsidRPr="00C6712A">
        <w:t>This paper utilizes repeated cross-sectional data collected in 2015 and 2017</w:t>
      </w:r>
      <w:r w:rsidRPr="00C6712A">
        <w:t xml:space="preserve"> </w:t>
      </w:r>
      <w:r w:rsidR="00CB3AB0" w:rsidRPr="00C6712A">
        <w:t xml:space="preserve">in the Puget Sound region to analyze the differential impacts of socio-demographic variables on </w:t>
      </w:r>
      <w:r w:rsidR="00451987" w:rsidRPr="00C6712A">
        <w:t>the evolution of ride-hailing adoption and usage.</w:t>
      </w:r>
      <w:r w:rsidR="00DF754E" w:rsidRPr="00C6712A">
        <w:t xml:space="preserve"> </w:t>
      </w:r>
      <w:r w:rsidR="00451987" w:rsidRPr="00C6712A">
        <w:t>By doing so, the study is able to isolate and quantify the pure effect of the passage of time on adoption of ride-hailing services. A</w:t>
      </w:r>
      <w:r w:rsidR="00F95AE9" w:rsidRPr="00C6712A">
        <w:t xml:space="preserve"> joint </w:t>
      </w:r>
      <w:r w:rsidR="00201D31" w:rsidRPr="00C6712A">
        <w:t xml:space="preserve">binary </w:t>
      </w:r>
      <w:proofErr w:type="spellStart"/>
      <w:r w:rsidR="00201D31" w:rsidRPr="00C6712A">
        <w:t>probit</w:t>
      </w:r>
      <w:proofErr w:type="spellEnd"/>
      <w:r w:rsidR="00F95AE9" w:rsidRPr="00C6712A">
        <w:t xml:space="preserve">-ordered </w:t>
      </w:r>
      <w:proofErr w:type="spellStart"/>
      <w:r w:rsidR="00F95AE9" w:rsidRPr="00C6712A">
        <w:t>probit</w:t>
      </w:r>
      <w:proofErr w:type="spellEnd"/>
      <w:r w:rsidR="00F95AE9" w:rsidRPr="00C6712A">
        <w:t xml:space="preserve"> model</w:t>
      </w:r>
      <w:r w:rsidR="00451987" w:rsidRPr="00C6712A">
        <w:t xml:space="preserve"> is estimated on the pooled data set to explicitly account for sample selection differences between the 2015 and 2017 surveys that may affect estimates of ride-hailing adoption in the two years</w:t>
      </w:r>
      <w:r w:rsidRPr="00C6712A">
        <w:t>.</w:t>
      </w:r>
      <w:r w:rsidR="00DF754E" w:rsidRPr="00C6712A">
        <w:t xml:space="preserve"> </w:t>
      </w:r>
      <w:r w:rsidR="00451987" w:rsidRPr="00C6712A">
        <w:t>Model estimation results are used to compute average treatment effects of different variables on ride-hailing usage</w:t>
      </w:r>
      <w:r w:rsidR="009B19E1" w:rsidRPr="00C6712A">
        <w:t xml:space="preserve"> over time</w:t>
      </w:r>
      <w:r w:rsidR="00451987" w:rsidRPr="00C6712A">
        <w:t>.</w:t>
      </w:r>
      <w:r w:rsidR="00DF754E" w:rsidRPr="00C6712A">
        <w:t xml:space="preserve"> </w:t>
      </w:r>
      <w:r w:rsidR="00451987" w:rsidRPr="00C6712A">
        <w:t xml:space="preserve">It is found that </w:t>
      </w:r>
      <w:r w:rsidR="00666C11" w:rsidRPr="00C6712A">
        <w:t>the effects of most demographic</w:t>
      </w:r>
      <w:r w:rsidR="00451987" w:rsidRPr="00C6712A">
        <w:t xml:space="preserve"> variables</w:t>
      </w:r>
      <w:r w:rsidR="00666C11" w:rsidRPr="00C6712A">
        <w:t xml:space="preserve"> on individuals’ propensity to </w:t>
      </w:r>
      <w:r w:rsidR="00451987" w:rsidRPr="00C6712A">
        <w:t xml:space="preserve">use </w:t>
      </w:r>
      <w:r w:rsidR="00666C11" w:rsidRPr="00C6712A">
        <w:t xml:space="preserve">ride-hailing </w:t>
      </w:r>
      <w:r w:rsidR="00936C86" w:rsidRPr="00C6712A">
        <w:t>are</w:t>
      </w:r>
      <w:r w:rsidR="00666C11" w:rsidRPr="00C6712A">
        <w:t xml:space="preserve"> </w:t>
      </w:r>
      <w:r w:rsidR="00451987" w:rsidRPr="00C6712A">
        <w:t>softening</w:t>
      </w:r>
      <w:r w:rsidR="00666C11" w:rsidRPr="00C6712A">
        <w:t xml:space="preserve"> over time</w:t>
      </w:r>
      <w:r w:rsidR="00194E71" w:rsidRPr="00C6712A">
        <w:t xml:space="preserve">, leading to reduced </w:t>
      </w:r>
      <w:r w:rsidR="00666C11" w:rsidRPr="00C6712A">
        <w:t xml:space="preserve">differences </w:t>
      </w:r>
      <w:r w:rsidR="00F54924" w:rsidRPr="00C6712A">
        <w:t>in ride-hailing</w:t>
      </w:r>
      <w:r w:rsidR="00451987" w:rsidRPr="00C6712A">
        <w:t xml:space="preserve"> us</w:t>
      </w:r>
      <w:r w:rsidR="00194E71" w:rsidRPr="00C6712A">
        <w:t>e</w:t>
      </w:r>
      <w:r w:rsidR="00F54924" w:rsidRPr="00C6712A">
        <w:t xml:space="preserve"> </w:t>
      </w:r>
      <w:r w:rsidR="00194E71" w:rsidRPr="00C6712A">
        <w:t>among</w:t>
      </w:r>
      <w:r w:rsidR="00666C11" w:rsidRPr="00C6712A">
        <w:t xml:space="preserve"> </w:t>
      </w:r>
      <w:r w:rsidR="00451987" w:rsidRPr="00C6712A">
        <w:t>market segments</w:t>
      </w:r>
      <w:r w:rsidR="00194E71" w:rsidRPr="00C6712A">
        <w:t>.</w:t>
      </w:r>
      <w:r w:rsidR="00DF754E" w:rsidRPr="00C6712A">
        <w:t xml:space="preserve"> </w:t>
      </w:r>
      <w:r w:rsidR="00194E71" w:rsidRPr="00C6712A">
        <w:t>This suggests that there is a</w:t>
      </w:r>
      <w:r w:rsidR="002277A8" w:rsidRPr="00C6712A">
        <w:t xml:space="preserve"> “democratization” of </w:t>
      </w:r>
      <w:r w:rsidR="00194E71" w:rsidRPr="00C6712A">
        <w:t>ride-hailing</w:t>
      </w:r>
      <w:r w:rsidR="002277A8" w:rsidRPr="00C6712A">
        <w:t xml:space="preserve"> services over time</w:t>
      </w:r>
      <w:r w:rsidR="00666C11" w:rsidRPr="00C6712A">
        <w:t>.</w:t>
      </w:r>
    </w:p>
    <w:p w14:paraId="47428916" w14:textId="77777777" w:rsidR="00FD49D3" w:rsidRPr="00C6712A" w:rsidRDefault="00FD49D3" w:rsidP="00047C64">
      <w:pPr>
        <w:spacing w:after="0"/>
        <w:ind w:firstLine="0"/>
      </w:pPr>
    </w:p>
    <w:p w14:paraId="08A89EF7" w14:textId="2BD94D58" w:rsidR="00FD49D3" w:rsidRPr="00564669" w:rsidRDefault="007356FF" w:rsidP="00047C64">
      <w:pPr>
        <w:pStyle w:val="Names"/>
        <w:spacing w:after="0"/>
        <w:contextualSpacing/>
      </w:pPr>
      <w:r w:rsidRPr="00FA67AA">
        <w:rPr>
          <w:b/>
          <w:szCs w:val="24"/>
        </w:rPr>
        <w:t>Keywords:</w:t>
      </w:r>
      <w:r w:rsidRPr="00FA67AA">
        <w:rPr>
          <w:szCs w:val="24"/>
        </w:rPr>
        <w:t xml:space="preserve"> </w:t>
      </w:r>
      <w:r w:rsidR="00FD49D3" w:rsidRPr="00C6712A">
        <w:t xml:space="preserve">Ride-hailing, e-hailing, mobility as a service, </w:t>
      </w:r>
      <w:r w:rsidR="00E554DF" w:rsidRPr="00564669">
        <w:t xml:space="preserve">bivariate ordered </w:t>
      </w:r>
      <w:proofErr w:type="spellStart"/>
      <w:r w:rsidR="00E554DF" w:rsidRPr="00564669">
        <w:t>probit</w:t>
      </w:r>
      <w:proofErr w:type="spellEnd"/>
      <w:r w:rsidR="00FD49D3" w:rsidRPr="00564669">
        <w:t xml:space="preserve"> model</w:t>
      </w:r>
      <w:r w:rsidR="00E554DF" w:rsidRPr="00564669">
        <w:t>, travel forecasting, evolutionary dynamics in behavior, market adoption</w:t>
      </w:r>
      <w:r w:rsidR="00180D75" w:rsidRPr="00564669">
        <w:t xml:space="preserve">, </w:t>
      </w:r>
      <w:r w:rsidR="00F2767F" w:rsidRPr="00A34FC7">
        <w:t>Mobility on Demand (MoD)</w:t>
      </w:r>
    </w:p>
    <w:p w14:paraId="146E6A43" w14:textId="0740115D" w:rsidR="007F3D7D" w:rsidRPr="00C6712A" w:rsidRDefault="007F3D7D" w:rsidP="00047C64">
      <w:pPr>
        <w:spacing w:after="0"/>
        <w:ind w:firstLine="0"/>
        <w:jc w:val="left"/>
      </w:pPr>
    </w:p>
    <w:p w14:paraId="3AC00A73" w14:textId="77777777" w:rsidR="001C3902" w:rsidRPr="00C6712A" w:rsidRDefault="001C3902" w:rsidP="006E6706">
      <w:pPr>
        <w:pStyle w:val="Heading1"/>
        <w:sectPr w:rsidR="001C3902" w:rsidRPr="00C6712A" w:rsidSect="00947E85">
          <w:headerReference w:type="default" r:id="rId17"/>
          <w:pgSz w:w="12240" w:h="15840" w:code="1"/>
          <w:pgMar w:top="1440" w:right="1440" w:bottom="1440" w:left="1440" w:header="720" w:footer="720" w:gutter="0"/>
          <w:cols w:space="720"/>
          <w:docGrid w:linePitch="360"/>
        </w:sectPr>
      </w:pPr>
    </w:p>
    <w:p w14:paraId="02FEDA8E" w14:textId="5A2AE5D5" w:rsidR="00AB47D5" w:rsidRPr="00C6712A" w:rsidRDefault="00D36E59" w:rsidP="00723558">
      <w:pPr>
        <w:pStyle w:val="Heading1"/>
        <w:spacing w:before="0" w:after="0"/>
      </w:pPr>
      <w:r w:rsidRPr="00C6712A">
        <w:lastRenderedPageBreak/>
        <w:t>Introduction</w:t>
      </w:r>
    </w:p>
    <w:p w14:paraId="73706796" w14:textId="5BB2813A" w:rsidR="00203D86" w:rsidRPr="00A34FC7" w:rsidRDefault="00203D86" w:rsidP="00723558">
      <w:pPr>
        <w:spacing w:after="0"/>
        <w:ind w:firstLine="0"/>
      </w:pPr>
      <w:r w:rsidRPr="00A34FC7">
        <w:t>Ride-hailing services, also referred to as Transportation Network Companies (TNC), have experienced a surge in usage over the past several years. Although they have been around for less than a decade, their usage has posted impressive gains over time.</w:t>
      </w:r>
      <w:r w:rsidR="00D66E44" w:rsidRPr="00A34FC7">
        <w:t xml:space="preserve"> </w:t>
      </w:r>
      <w:r w:rsidRPr="00A34FC7">
        <w:t xml:space="preserve">Ride-hailing services provide on-demand mobility, and are often viewed in the realm of </w:t>
      </w:r>
      <w:r w:rsidR="00CE3456" w:rsidRPr="00A34FC7">
        <w:t xml:space="preserve">Mobility on Demand (MoD) </w:t>
      </w:r>
      <w:r w:rsidRPr="00A34FC7">
        <w:t>where individuals purchase mobility by the trip on-demand as opposed to owning and using their own private vehicle.</w:t>
      </w:r>
      <w:r w:rsidR="00D66E44" w:rsidRPr="00A34FC7">
        <w:t xml:space="preserve"> </w:t>
      </w:r>
      <w:r w:rsidRPr="00A34FC7">
        <w:t>The two largest providers of on-demand mobility in the United States, namely, Uber and Lyft, have both experienced growth in usage and recently went public with stock offerings that have essentially valued the companies in the tens of billions of dollars.</w:t>
      </w:r>
      <w:r w:rsidR="00D66E44" w:rsidRPr="00A34FC7">
        <w:t xml:space="preserve"> </w:t>
      </w:r>
      <w:r w:rsidRPr="00A34FC7">
        <w:t>The growth in usage is not surprising; these services offer reliable, lower cost (than traditional taxi), on-demand, and door-to-door transportation that can be requested (hailed), tracked, and paid by users through the convenience of a smartphone app (</w:t>
      </w:r>
      <w:r w:rsidR="00487231" w:rsidRPr="00A34FC7">
        <w:rPr>
          <w:i/>
        </w:rPr>
        <w:t>1</w:t>
      </w:r>
      <w:r w:rsidRPr="00A34FC7">
        <w:t>).</w:t>
      </w:r>
      <w:r w:rsidR="00D66E44" w:rsidRPr="00A34FC7">
        <w:t xml:space="preserve"> </w:t>
      </w:r>
    </w:p>
    <w:p w14:paraId="31E7452A" w14:textId="7BD186EF" w:rsidR="00203D86" w:rsidRPr="00A34FC7" w:rsidRDefault="00203D86" w:rsidP="00723558">
      <w:pPr>
        <w:spacing w:after="0"/>
      </w:pPr>
      <w:r w:rsidRPr="00A34FC7">
        <w:t xml:space="preserve">Despite the dramatic growth in </w:t>
      </w:r>
      <w:r w:rsidR="005B5C6D" w:rsidRPr="00A34FC7">
        <w:t>the demand for and usage of ride-hailing services, the fact remains that these services command only a very modest mode share.</w:t>
      </w:r>
      <w:r w:rsidR="00D66E44" w:rsidRPr="00A34FC7">
        <w:t xml:space="preserve"> </w:t>
      </w:r>
      <w:r w:rsidR="005B5C6D" w:rsidRPr="00A34FC7">
        <w:t>Most recent travel surveys, including the 2017 National Household Travel Survey and a number of metropolitan area travel surveys (</w:t>
      </w:r>
      <w:r w:rsidR="00DC6D52" w:rsidRPr="00A34FC7">
        <w:rPr>
          <w:i/>
        </w:rPr>
        <w:t>e.g.</w:t>
      </w:r>
      <w:r w:rsidR="005B5C6D" w:rsidRPr="00A34FC7">
        <w:t>, San Diego, Sacramento, Phoenix) in the United States, indicate mode shares of under one percent for ride-hailing services (</w:t>
      </w:r>
      <w:r w:rsidR="00487231" w:rsidRPr="00A34FC7">
        <w:rPr>
          <w:i/>
        </w:rPr>
        <w:t>2</w:t>
      </w:r>
      <w:r w:rsidR="005B5C6D" w:rsidRPr="00A34FC7">
        <w:t>).</w:t>
      </w:r>
      <w:r w:rsidR="00D66E44" w:rsidRPr="00A34FC7">
        <w:t xml:space="preserve"> </w:t>
      </w:r>
      <w:r w:rsidR="005B5C6D" w:rsidRPr="00A34FC7">
        <w:t>While ride-hailing services may have shifted some travel away from the personal automobile, particularly in a few dense urban markets, they have generally served as a substitute to transit and traditional taxi services (</w:t>
      </w:r>
      <w:r w:rsidR="00487231" w:rsidRPr="00A34FC7">
        <w:rPr>
          <w:i/>
        </w:rPr>
        <w:t>3</w:t>
      </w:r>
      <w:r w:rsidR="005B5C6D" w:rsidRPr="00A34FC7">
        <w:t xml:space="preserve">), both of which are traditional means of transportation with very low mode shares to begin with. </w:t>
      </w:r>
      <w:r w:rsidR="008135DB" w:rsidRPr="00A34FC7">
        <w:t>As such, until the ride-hailing mode truly begins making inroads into the personal vehicle share of daily travel, the ride-hailing mode share is likely to remain modest.</w:t>
      </w:r>
      <w:r w:rsidR="00D66E44" w:rsidRPr="00A34FC7">
        <w:t xml:space="preserve"> </w:t>
      </w:r>
      <w:r w:rsidR="008135DB" w:rsidRPr="00A34FC7">
        <w:t>Nevertheless, the growth in ride-hailing usage in absolute numbers has been substantial (</w:t>
      </w:r>
      <w:r w:rsidR="00487231" w:rsidRPr="00A34FC7">
        <w:rPr>
          <w:i/>
        </w:rPr>
        <w:t>3</w:t>
      </w:r>
      <w:r w:rsidR="008135DB" w:rsidRPr="00A34FC7">
        <w:t xml:space="preserve">) and </w:t>
      </w:r>
      <w:r w:rsidR="006564EF" w:rsidRPr="00A34FC7">
        <w:t xml:space="preserve">is </w:t>
      </w:r>
      <w:r w:rsidR="008135DB" w:rsidRPr="00A34FC7">
        <w:t>likely to continue in the near future as the services evolve and make their offerings more appealing.</w:t>
      </w:r>
      <w:r w:rsidR="00D66E44" w:rsidRPr="00A34FC7">
        <w:t xml:space="preserve"> </w:t>
      </w:r>
    </w:p>
    <w:p w14:paraId="5FA5B113" w14:textId="330B100B" w:rsidR="00AB1010" w:rsidRPr="00C6712A" w:rsidRDefault="00047C64" w:rsidP="00723558">
      <w:pPr>
        <w:spacing w:after="0"/>
      </w:pPr>
      <w:r w:rsidRPr="00A34FC7">
        <w:t xml:space="preserve">Planning efforts in metropolitan areas around the world need to account for the (likely) continued growth in ride-hailing service usage; growth in the use of these services has important implications for future transit investments, parking capacity needs, curbside management, safety, and vehicle miles of travel. </w:t>
      </w:r>
      <w:r w:rsidR="00AB1010" w:rsidRPr="00A34FC7">
        <w:t>Metropolitan Planning</w:t>
      </w:r>
      <w:r w:rsidR="00AB1010" w:rsidRPr="00C6712A">
        <w:t xml:space="preserve"> Organizations (MPOs) would be able to plan future transportation investments in a way that accounts for the potential growth in ride-hailing service usage.</w:t>
      </w:r>
      <w:r w:rsidR="00D66E44" w:rsidRPr="00C6712A">
        <w:t xml:space="preserve"> </w:t>
      </w:r>
      <w:r w:rsidR="00AB1010" w:rsidRPr="00C6712A">
        <w:t xml:space="preserve">However, forecasts of ride-hailing usage are </w:t>
      </w:r>
      <w:r w:rsidR="00C72218" w:rsidRPr="00C6712A">
        <w:t xml:space="preserve">neither </w:t>
      </w:r>
      <w:r w:rsidR="00AB1010" w:rsidRPr="00C6712A">
        <w:t xml:space="preserve">readily available </w:t>
      </w:r>
      <w:r w:rsidR="00C72218" w:rsidRPr="00C6712A">
        <w:t>nor</w:t>
      </w:r>
      <w:r w:rsidR="00AB1010" w:rsidRPr="00C6712A">
        <w:t xml:space="preserve"> easy to develop.</w:t>
      </w:r>
      <w:r w:rsidR="00D66E44" w:rsidRPr="00C6712A">
        <w:t xml:space="preserve"> </w:t>
      </w:r>
      <w:r w:rsidRPr="00C6712A">
        <w:t>Unfortunately, there is a dearth of data on usage of ride-hailing services over time (except for some very aggregate statistics)</w:t>
      </w:r>
      <w:r w:rsidR="00AB1010" w:rsidRPr="00C6712A">
        <w:t xml:space="preserve"> that could have possibly helped in the development of robust forecasts of ride-hailing mode usage</w:t>
      </w:r>
      <w:r w:rsidRPr="00C6712A">
        <w:t>. Ride-hailing service companies are understandably reluctant to share ridership data</w:t>
      </w:r>
      <w:r w:rsidR="00AB1010" w:rsidRPr="00C6712A">
        <w:t xml:space="preserve"> (due to privacy and business competitiveness reasons).</w:t>
      </w:r>
      <w:r w:rsidR="00D66E44" w:rsidRPr="00C6712A">
        <w:t xml:space="preserve"> </w:t>
      </w:r>
      <w:r w:rsidR="00AB1010" w:rsidRPr="00C6712A">
        <w:t>As a result, transportation professionals and researchers have generally relied on secondary data sources and conducted their own surveys to quantify and model ride-hailing mode use/choice.</w:t>
      </w:r>
      <w:r w:rsidR="00D66E44" w:rsidRPr="00C6712A">
        <w:t xml:space="preserve"> </w:t>
      </w:r>
      <w:r w:rsidR="00AB1010" w:rsidRPr="00C6712A">
        <w:t xml:space="preserve">These </w:t>
      </w:r>
      <w:r w:rsidR="006564EF" w:rsidRPr="00C6712A">
        <w:t xml:space="preserve">research </w:t>
      </w:r>
      <w:r w:rsidR="00AB1010" w:rsidRPr="00C6712A">
        <w:t xml:space="preserve">efforts (reviewed in the next section) have provided valuable insights into ride-hailing service usage patterns and market penetration, but have not provided much information on the </w:t>
      </w:r>
      <w:r w:rsidR="00AB1010" w:rsidRPr="00C6712A">
        <w:rPr>
          <w:i/>
          <w:iCs/>
        </w:rPr>
        <w:t xml:space="preserve">evolution </w:t>
      </w:r>
      <w:r w:rsidR="00AB1010" w:rsidRPr="00C6712A">
        <w:t xml:space="preserve">of ride-hailing mode use </w:t>
      </w:r>
      <w:r w:rsidR="00AB1010" w:rsidRPr="00C6712A">
        <w:rPr>
          <w:i/>
          <w:iCs/>
        </w:rPr>
        <w:t>over time</w:t>
      </w:r>
      <w:r w:rsidR="00AB1010" w:rsidRPr="00C6712A">
        <w:t>.</w:t>
      </w:r>
      <w:r w:rsidR="00D66E44" w:rsidRPr="00C6712A">
        <w:t xml:space="preserve"> </w:t>
      </w:r>
      <w:r w:rsidR="00AB1010" w:rsidRPr="00C6712A">
        <w:t xml:space="preserve">Surveys are largely cross-sectional in nature and </w:t>
      </w:r>
      <w:r w:rsidR="008E41B6" w:rsidRPr="00C6712A">
        <w:t xml:space="preserve">only </w:t>
      </w:r>
      <w:r w:rsidR="00AB1010" w:rsidRPr="00C6712A">
        <w:t>provide information about traveler behavior and values at one point in time.</w:t>
      </w:r>
      <w:r w:rsidR="00D66E44" w:rsidRPr="00C6712A">
        <w:t xml:space="preserve"> </w:t>
      </w:r>
    </w:p>
    <w:p w14:paraId="15214E0A" w14:textId="18C4E962" w:rsidR="00A1703E" w:rsidRPr="00C6712A" w:rsidRDefault="00AB1010" w:rsidP="00723558">
      <w:pPr>
        <w:spacing w:after="0"/>
      </w:pPr>
      <w:r w:rsidRPr="00C6712A">
        <w:t xml:space="preserve">The gap in </w:t>
      </w:r>
      <w:r w:rsidR="00A1703E" w:rsidRPr="00C6712A">
        <w:t>knowledge about</w:t>
      </w:r>
      <w:r w:rsidRPr="00C6712A">
        <w:t xml:space="preserve"> the </w:t>
      </w:r>
      <w:r w:rsidRPr="00C6712A">
        <w:rPr>
          <w:i/>
          <w:iCs/>
        </w:rPr>
        <w:t xml:space="preserve">evolutionary dynamics </w:t>
      </w:r>
      <w:r w:rsidRPr="00C6712A">
        <w:t xml:space="preserve">of ride-hailing mode use </w:t>
      </w:r>
      <w:r w:rsidR="00A1703E" w:rsidRPr="00C6712A">
        <w:t>is precisely what this paper attempts to address. The objective of this paper is to use repeated cross-sectional data collected in the same region to develop a model of the change in ride-hailing mode use over time. The model is developed and specified such that the effects of different contributing factors can be isolated and quantified, thus providing deep insights on the “true” change in the adoption and use of ride-hailing services over time.</w:t>
      </w:r>
      <w:r w:rsidR="00D66E44" w:rsidRPr="00C6712A">
        <w:t xml:space="preserve"> </w:t>
      </w:r>
      <w:r w:rsidR="00A1703E" w:rsidRPr="00C6712A">
        <w:t xml:space="preserve">There are a variety of forces that may </w:t>
      </w:r>
      <w:r w:rsidR="00A1703E" w:rsidRPr="00C6712A">
        <w:lastRenderedPageBreak/>
        <w:t>contribute to changes</w:t>
      </w:r>
      <w:r w:rsidR="00A42B88" w:rsidRPr="00C6712A">
        <w:t xml:space="preserve"> in</w:t>
      </w:r>
      <w:r w:rsidR="00A1703E" w:rsidRPr="00C6712A">
        <w:t xml:space="preserve"> ride-hailing use over time.</w:t>
      </w:r>
      <w:r w:rsidR="00D66E44" w:rsidRPr="00C6712A">
        <w:t xml:space="preserve"> </w:t>
      </w:r>
      <w:r w:rsidR="00A1703E" w:rsidRPr="00C6712A">
        <w:t>Prior research has shown that younger individuals are more likely to adopt and use these services.</w:t>
      </w:r>
      <w:r w:rsidR="00D66E44" w:rsidRPr="00C6712A">
        <w:t xml:space="preserve"> </w:t>
      </w:r>
      <w:r w:rsidR="00A1703E" w:rsidRPr="00C6712A">
        <w:t>As millennials and Generation Z individuals comprise the largest segments of the U</w:t>
      </w:r>
      <w:r w:rsidR="00487231">
        <w:t>.</w:t>
      </w:r>
      <w:r w:rsidR="00A1703E" w:rsidRPr="00C6712A">
        <w:t>S</w:t>
      </w:r>
      <w:r w:rsidR="00487231">
        <w:t>.</w:t>
      </w:r>
      <w:r w:rsidR="00A1703E" w:rsidRPr="00C6712A">
        <w:t xml:space="preserve"> population, it is plausible to expect higher levels of ride-hailing mode use as they come of age and favor the use of shared modes as opposed to private (vehicle) ownership. At the same time, the population of the United States is aging; as older individuals find it increasingly difficult to drive on their own, their adoption of ride-hailing services may grow over time (especially as they become increasingly comfortable with technology).</w:t>
      </w:r>
      <w:r w:rsidR="00D66E44" w:rsidRPr="00C6712A">
        <w:t xml:space="preserve"> </w:t>
      </w:r>
      <w:r w:rsidR="00A1703E" w:rsidRPr="00C6712A">
        <w:t>In other words, there are socio-demographic forces that may contribute to changes in ride-hailing mode use.</w:t>
      </w:r>
      <w:r w:rsidR="00D66E44" w:rsidRPr="00C6712A">
        <w:t xml:space="preserve"> </w:t>
      </w:r>
      <w:r w:rsidR="00A1703E" w:rsidRPr="00C6712A">
        <w:t>Second, changes in economic conditions may bring about changes in ride-hailing mode use.</w:t>
      </w:r>
      <w:r w:rsidR="00D66E44" w:rsidRPr="00C6712A">
        <w:t xml:space="preserve"> </w:t>
      </w:r>
      <w:r w:rsidR="00A1703E" w:rsidRPr="00C6712A">
        <w:t>As real incomes rise, purchasing power grows, and ride costs remain the same (or even decrease), the adoption of ride-hailing services may change (grow).</w:t>
      </w:r>
      <w:r w:rsidR="00D66E44" w:rsidRPr="00C6712A">
        <w:t xml:space="preserve"> </w:t>
      </w:r>
      <w:r w:rsidR="00A1703E" w:rsidRPr="00C6712A">
        <w:t>The affordability of the services is likely to be a key factor in the adoption and level of use of ride-hailing modes, and hence economic considerations are critical in developing any forecast of ride-hailing demand.</w:t>
      </w:r>
      <w:r w:rsidR="00D66E44" w:rsidRPr="00C6712A">
        <w:t xml:space="preserve"> </w:t>
      </w:r>
      <w:r w:rsidR="00A1703E" w:rsidRPr="00C6712A">
        <w:t xml:space="preserve">Finally, </w:t>
      </w:r>
      <w:r w:rsidR="008236D7" w:rsidRPr="00C6712A">
        <w:t>there may be a “true” change in the willingness to adopt and use ride-hailing services over time as they become increasingly commonplace and well-established.</w:t>
      </w:r>
      <w:r w:rsidR="00D66E44" w:rsidRPr="00C6712A">
        <w:t xml:space="preserve"> </w:t>
      </w:r>
      <w:r w:rsidR="008236D7" w:rsidRPr="00C6712A">
        <w:t>In other words, even after controlling for all built environment, socio-economic and demographic forces at play, there may be a change in ride-hailing usage that is attributable to shifts in attitudes towards ride-hailing modes and willingness to adopt transportation innovations. This study presents a model that distinguishes and quantifies the effects of these three main sources of change in people’s adoption and use of ride-hailing modes.</w:t>
      </w:r>
      <w:r w:rsidR="00D66E44" w:rsidRPr="00C6712A">
        <w:t xml:space="preserve"> </w:t>
      </w:r>
    </w:p>
    <w:p w14:paraId="72FC21EB" w14:textId="7B07FC3D" w:rsidR="008135DB" w:rsidRPr="00A34FC7" w:rsidRDefault="008236D7" w:rsidP="00723558">
      <w:pPr>
        <w:spacing w:after="0"/>
      </w:pPr>
      <w:r w:rsidRPr="00A34FC7">
        <w:t>Being able to forecast change in ride-hailing adoption and use over time is also critical to policy development so that interventions can be put in place to avoid unintended consequences.</w:t>
      </w:r>
      <w:r w:rsidR="00D66E44" w:rsidRPr="00A34FC7">
        <w:t xml:space="preserve"> </w:t>
      </w:r>
      <w:r w:rsidRPr="00A34FC7">
        <w:t xml:space="preserve">Indeed, the </w:t>
      </w:r>
      <w:r w:rsidR="009F79DC" w:rsidRPr="00A34FC7">
        <w:t xml:space="preserve">impact on </w:t>
      </w:r>
      <w:r w:rsidRPr="00A34FC7">
        <w:t xml:space="preserve">the traditional taxi industry, particularly in places such as New York City, has had very significant economic and personal effects </w:t>
      </w:r>
      <w:r w:rsidR="00326296" w:rsidRPr="00A34FC7">
        <w:t>(</w:t>
      </w:r>
      <w:r w:rsidR="00487231" w:rsidRPr="00A34FC7">
        <w:rPr>
          <w:i/>
        </w:rPr>
        <w:t>4</w:t>
      </w:r>
      <w:r w:rsidR="00487231" w:rsidRPr="00A34FC7">
        <w:t xml:space="preserve">, </w:t>
      </w:r>
      <w:r w:rsidR="00487231" w:rsidRPr="00A34FC7">
        <w:rPr>
          <w:i/>
        </w:rPr>
        <w:t>5</w:t>
      </w:r>
      <w:r w:rsidRPr="00A34FC7">
        <w:t>); if the growth in ride-hailing usage had been foreseen sufficiently in advance, perhaps policies and interventions could have been put in place to proactively manage the transition and reduce harm to those who relied on the traditional taxi industry for their livelihood. The same can be said about traditional transit services; as metropolitan areas grapple with the future of transit, an ability to forecast changes in ride-hailing use over time would enable agencies to plan future transit investments and service adjustments more strategically (and in ways that would have ride-hailing services complement, rather than substitute, the use of transit).</w:t>
      </w:r>
      <w:r w:rsidR="00D66E44" w:rsidRPr="00A34FC7">
        <w:t xml:space="preserve"> </w:t>
      </w:r>
    </w:p>
    <w:p w14:paraId="64107179" w14:textId="409A66A7" w:rsidR="001A6A1D" w:rsidRPr="00C6712A" w:rsidRDefault="008236D7" w:rsidP="00723558">
      <w:pPr>
        <w:spacing w:after="0"/>
      </w:pPr>
      <w:r w:rsidRPr="00A34FC7">
        <w:t>To conduct the analysis of evolutionary behavioral</w:t>
      </w:r>
      <w:r w:rsidRPr="00C6712A">
        <w:t xml:space="preserve"> dynamics in ride-hailing use, data from the Puget Sound region is used in this study.</w:t>
      </w:r>
      <w:r w:rsidR="00D66E44" w:rsidRPr="00C6712A">
        <w:t xml:space="preserve"> </w:t>
      </w:r>
      <w:r w:rsidRPr="00C6712A">
        <w:t>The Puget Sound Regional Council (PSRC) conducted regional household travel surveys in both 2015 and 2017</w:t>
      </w:r>
      <w:r w:rsidR="001A6A1D" w:rsidRPr="00C6712A">
        <w:t>, thus providing valuable travel behavior and mode use information at two points in time.</w:t>
      </w:r>
      <w:r w:rsidR="00D66E44" w:rsidRPr="00C6712A">
        <w:t xml:space="preserve"> </w:t>
      </w:r>
      <w:r w:rsidR="001A6A1D" w:rsidRPr="00C6712A">
        <w:t>There was no attempt to obtain responses from the same set of households across the two years; thus the PSRC surveys constitute a</w:t>
      </w:r>
      <w:r w:rsidR="001C2887" w:rsidRPr="00C6712A">
        <w:t xml:space="preserve"> repeated cross-sectional approach to data collection, not a</w:t>
      </w:r>
      <w:r w:rsidR="001A6A1D" w:rsidRPr="00C6712A">
        <w:t xml:space="preserve"> panel-based approach. Because this is a repeated cross-sectional survey, the changes in ride-hailing use observed over time (between the two surveys) may also be due to different sample selection mechanisms at play</w:t>
      </w:r>
      <w:r w:rsidR="00663A8B" w:rsidRPr="00C6712A">
        <w:t xml:space="preserve"> (more on this later)</w:t>
      </w:r>
      <w:r w:rsidR="001A6A1D" w:rsidRPr="00C6712A">
        <w:t>.</w:t>
      </w:r>
      <w:r w:rsidR="00D66E44" w:rsidRPr="00C6712A">
        <w:t xml:space="preserve"> </w:t>
      </w:r>
      <w:r w:rsidR="00663A8B" w:rsidRPr="00C6712A">
        <w:t xml:space="preserve">We control for such sample selection </w:t>
      </w:r>
      <w:r w:rsidR="001A6A1D" w:rsidRPr="00C6712A">
        <w:t xml:space="preserve">in the current paper by applying the traditional econometric sample-selection framework in a rather unique way to </w:t>
      </w:r>
      <w:r w:rsidR="005C7A75" w:rsidRPr="00C6712A">
        <w:t xml:space="preserve">simultaneously </w:t>
      </w:r>
      <w:r w:rsidR="001A6A1D" w:rsidRPr="00C6712A">
        <w:t xml:space="preserve">control for variations in respondent characteristics across different surveys </w:t>
      </w:r>
      <w:r w:rsidR="005C7A75" w:rsidRPr="00C6712A">
        <w:t>when examining</w:t>
      </w:r>
      <w:r w:rsidR="001A6A1D" w:rsidRPr="00C6712A">
        <w:t xml:space="preserve"> changes in behavior over time. </w:t>
      </w:r>
    </w:p>
    <w:p w14:paraId="7860BAF2" w14:textId="1E5B78FB" w:rsidR="001173B4" w:rsidRDefault="001A6A1D" w:rsidP="00723558">
      <w:pPr>
        <w:spacing w:after="0"/>
      </w:pPr>
      <w:r w:rsidRPr="00C6712A">
        <w:t>The rest of the paper is organized as follows</w:t>
      </w:r>
      <w:r w:rsidR="005C7A75" w:rsidRPr="00C6712A">
        <w:t>. S</w:t>
      </w:r>
      <w:r w:rsidRPr="00C6712A">
        <w:t xml:space="preserve">ection </w:t>
      </w:r>
      <w:r w:rsidRPr="0027118B">
        <w:fldChar w:fldCharType="begin"/>
      </w:r>
      <w:r w:rsidRPr="00C6712A">
        <w:instrText xml:space="preserve"> REF _Ref1571783 \r \h  \* MERGEFORMAT </w:instrText>
      </w:r>
      <w:r w:rsidRPr="0027118B">
        <w:fldChar w:fldCharType="separate"/>
      </w:r>
      <w:r w:rsidR="00453931">
        <w:t>2</w:t>
      </w:r>
      <w:r w:rsidRPr="0027118B">
        <w:fldChar w:fldCharType="end"/>
      </w:r>
      <w:r w:rsidRPr="00C6712A">
        <w:t xml:space="preserve"> </w:t>
      </w:r>
      <w:r w:rsidR="005C7A75" w:rsidRPr="00C6712A">
        <w:t>offers a brief</w:t>
      </w:r>
      <w:r w:rsidRPr="00C6712A">
        <w:t xml:space="preserve"> literature review, </w:t>
      </w:r>
      <w:r w:rsidR="005C7A75" w:rsidRPr="00C6712A">
        <w:t>focusing</w:t>
      </w:r>
      <w:r w:rsidRPr="00C6712A">
        <w:t xml:space="preserve"> on </w:t>
      </w:r>
      <w:r w:rsidR="005C7A75" w:rsidRPr="00C6712A">
        <w:t>demand for</w:t>
      </w:r>
      <w:r w:rsidRPr="00C6712A">
        <w:t xml:space="preserve"> ride-hailing services and the general evolution of new technologies</w:t>
      </w:r>
      <w:r w:rsidR="005C7A75" w:rsidRPr="00C6712A">
        <w:t xml:space="preserve"> in the market. Section 3 presents the data description, while Section 4 offers a detailed presentation of the modeling framework, behavioral considerations, and econometric methodology. Model </w:t>
      </w:r>
      <w:r w:rsidR="005C7A75" w:rsidRPr="00C6712A">
        <w:lastRenderedPageBreak/>
        <w:t>estimation results are described in Section 5 and concluding remarks and directions for future research are furnished in Section 6.</w:t>
      </w:r>
    </w:p>
    <w:p w14:paraId="363D0489" w14:textId="77777777" w:rsidR="00723558" w:rsidRPr="00C6712A" w:rsidRDefault="00723558" w:rsidP="00723558">
      <w:pPr>
        <w:spacing w:after="0"/>
      </w:pPr>
    </w:p>
    <w:p w14:paraId="08FABD8B" w14:textId="4A70718B" w:rsidR="00E633AF" w:rsidRPr="00C6712A" w:rsidRDefault="00D36E59" w:rsidP="00723558">
      <w:pPr>
        <w:pStyle w:val="Heading1"/>
        <w:spacing w:before="0" w:after="0"/>
      </w:pPr>
      <w:bookmarkStart w:id="0" w:name="_Ref1571783"/>
      <w:r w:rsidRPr="00C6712A">
        <w:t>Literature review</w:t>
      </w:r>
      <w:bookmarkEnd w:id="0"/>
    </w:p>
    <w:p w14:paraId="7535E8D2" w14:textId="39970011" w:rsidR="00AA3214" w:rsidRPr="00C6712A" w:rsidRDefault="00AA3214" w:rsidP="00723558">
      <w:pPr>
        <w:spacing w:after="0"/>
        <w:ind w:firstLine="0"/>
      </w:pPr>
      <w:r w:rsidRPr="00C6712A">
        <w:t>Due to the ever-growing presence and usage of ride-hailing services in metropolitan areas around the country, many studies have been devoted to understanding and characterizing this phenomenon.</w:t>
      </w:r>
      <w:r w:rsidR="00F60A37" w:rsidRPr="00C6712A">
        <w:t xml:space="preserve"> </w:t>
      </w:r>
      <w:r w:rsidRPr="00C6712A">
        <w:t>Much of th</w:t>
      </w:r>
      <w:r w:rsidR="00A42B88" w:rsidRPr="00C6712A">
        <w:t>is</w:t>
      </w:r>
      <w:r w:rsidRPr="00C6712A">
        <w:t xml:space="preserve"> prior research has aimed to understand the characteristics of ride-hailing users (who uses the service), the characteristics of ride-hailing trips (how, why, when, and where is ride-hailing used), and the potential vehicle miles of travel (VMT) implications of ride-hailing modes (</w:t>
      </w:r>
      <w:r w:rsidR="00DC6D52" w:rsidRPr="00C6712A">
        <w:rPr>
          <w:i/>
        </w:rPr>
        <w:t>e.g.</w:t>
      </w:r>
      <w:r w:rsidRPr="00C6712A">
        <w:t>, due to empty or deadheading trips).</w:t>
      </w:r>
      <w:r w:rsidR="00F60A37" w:rsidRPr="00C6712A">
        <w:t xml:space="preserve"> </w:t>
      </w:r>
      <w:r w:rsidRPr="00C6712A">
        <w:t xml:space="preserve">These studies have shed considerable light on the nature of ride-hailing mode usage; however, </w:t>
      </w:r>
      <w:r w:rsidR="00A42B88" w:rsidRPr="00C6712A">
        <w:t xml:space="preserve">the studies are </w:t>
      </w:r>
      <w:r w:rsidRPr="00C6712A">
        <w:t>based on cross-sectional data and hence provide little behavioral insights on the evolution or growth of ride-hailing usage over time. There are aggregate studies of overall growth in ride-hailing usage (numbers of rides over time), but such time series analyses provide little in the way of behavioral insights in terms of the true uptake in ride-hailing services.</w:t>
      </w:r>
      <w:r w:rsidR="00F60A37" w:rsidRPr="00C6712A">
        <w:t xml:space="preserve"> </w:t>
      </w:r>
    </w:p>
    <w:p w14:paraId="26832EC3" w14:textId="5C499EDD" w:rsidR="000A432F" w:rsidRPr="00A34FC7" w:rsidRDefault="00AA3214" w:rsidP="00723558">
      <w:pPr>
        <w:spacing w:after="0"/>
      </w:pPr>
      <w:r w:rsidRPr="00A34FC7">
        <w:t>In terms of behavioral survey</w:t>
      </w:r>
      <w:r w:rsidR="00213392" w:rsidRPr="00A34FC7">
        <w:t>-</w:t>
      </w:r>
      <w:r w:rsidRPr="00A34FC7">
        <w:t>based studies, initial work has reported that ride-hailing users are generally younger</w:t>
      </w:r>
      <w:r w:rsidR="00B4011A" w:rsidRPr="00A34FC7">
        <w:t xml:space="preserve">, </w:t>
      </w:r>
      <w:r w:rsidRPr="00A34FC7">
        <w:t>more educated</w:t>
      </w:r>
      <w:r w:rsidR="00B4011A" w:rsidRPr="00A34FC7">
        <w:t>, live in urban areas, earn higher incomes, and own fewer cars</w:t>
      </w:r>
      <w:r w:rsidRPr="00A34FC7">
        <w:t xml:space="preserve"> than the general population</w:t>
      </w:r>
      <w:r w:rsidR="00213392" w:rsidRPr="00A34FC7">
        <w:t xml:space="preserve"> (</w:t>
      </w:r>
      <w:r w:rsidR="00617BE5" w:rsidRPr="00A34FC7">
        <w:rPr>
          <w:i/>
        </w:rPr>
        <w:t>1</w:t>
      </w:r>
      <w:r w:rsidR="00617BE5" w:rsidRPr="00A34FC7">
        <w:t xml:space="preserve">, </w:t>
      </w:r>
      <w:r w:rsidR="00617BE5" w:rsidRPr="00A34FC7">
        <w:rPr>
          <w:i/>
        </w:rPr>
        <w:t>6-9</w:t>
      </w:r>
      <w:r w:rsidR="00213392" w:rsidRPr="00A34FC7">
        <w:t xml:space="preserve">). </w:t>
      </w:r>
      <w:r w:rsidR="00B4011A" w:rsidRPr="00A34FC7">
        <w:t xml:space="preserve">These studies also reveal that </w:t>
      </w:r>
      <w:r w:rsidR="00213392" w:rsidRPr="00A34FC7">
        <w:t>the main reasons users choose to use ride-hailing services are to avoid driving while intoxicated and to avoid parking-related issues. Furthermore, about 9% of respondents claimed to have disposed one or more of their household vehicles due to the availability of ride-hailing services.</w:t>
      </w:r>
      <w:r w:rsidR="00F60A37" w:rsidRPr="00A34FC7">
        <w:t xml:space="preserve"> </w:t>
      </w:r>
      <w:r w:rsidR="00B4011A" w:rsidRPr="00A34FC7">
        <w:t>More r</w:t>
      </w:r>
      <w:r w:rsidR="002A47EC" w:rsidRPr="00A34FC7">
        <w:t>ecently</w:t>
      </w:r>
      <w:r w:rsidR="00B4011A" w:rsidRPr="00A34FC7">
        <w:t>,</w:t>
      </w:r>
      <w:r w:rsidR="002A47EC" w:rsidRPr="00A34FC7">
        <w:t xml:space="preserve"> a number of studies have been conducted</w:t>
      </w:r>
      <w:r w:rsidR="006578FD" w:rsidRPr="00A34FC7">
        <w:t xml:space="preserve"> using survey data collected in the State of California, with a particular focus on millennials (</w:t>
      </w:r>
      <w:r w:rsidR="00617BE5" w:rsidRPr="00A34FC7">
        <w:rPr>
          <w:i/>
        </w:rPr>
        <w:t>10-12</w:t>
      </w:r>
      <w:r w:rsidR="00916338" w:rsidRPr="00A34FC7">
        <w:t>)</w:t>
      </w:r>
      <w:r w:rsidR="006578FD" w:rsidRPr="00A34FC7">
        <w:t>.</w:t>
      </w:r>
      <w:r w:rsidR="00F60A37" w:rsidRPr="00A34FC7">
        <w:t xml:space="preserve"> </w:t>
      </w:r>
      <w:r w:rsidR="006578FD" w:rsidRPr="00A34FC7">
        <w:t xml:space="preserve">The California survey incorporates a panel component </w:t>
      </w:r>
      <w:r w:rsidR="004C55A2" w:rsidRPr="00A34FC7">
        <w:t>aimed at</w:t>
      </w:r>
      <w:r w:rsidR="006578FD" w:rsidRPr="00A34FC7">
        <w:t xml:space="preserve"> </w:t>
      </w:r>
      <w:r w:rsidR="004C55A2" w:rsidRPr="00A34FC7">
        <w:t xml:space="preserve">capturing </w:t>
      </w:r>
      <w:r w:rsidR="006578FD" w:rsidRPr="00A34FC7">
        <w:t>behavioral dynamics over time.</w:t>
      </w:r>
      <w:r w:rsidR="00F60A37" w:rsidRPr="00A34FC7">
        <w:t xml:space="preserve"> </w:t>
      </w:r>
      <w:r w:rsidR="006578FD" w:rsidRPr="00A34FC7">
        <w:t xml:space="preserve">While the panel nature of the survey has not been fully exploited yet, studies conducted to date using the California Millennials Survey data set </w:t>
      </w:r>
      <w:r w:rsidR="00F0066B" w:rsidRPr="00A34FC7">
        <w:t xml:space="preserve">have </w:t>
      </w:r>
      <w:r w:rsidR="006578FD" w:rsidRPr="00A34FC7">
        <w:t>show</w:t>
      </w:r>
      <w:r w:rsidR="00F0066B" w:rsidRPr="00A34FC7">
        <w:t>n</w:t>
      </w:r>
      <w:r w:rsidR="006578FD" w:rsidRPr="00A34FC7">
        <w:t xml:space="preserve"> that older millennials who are employed and have higher levels of education are more frequent users of ride-hailing services than other categories of millennials.</w:t>
      </w:r>
      <w:r w:rsidR="00F60A37" w:rsidRPr="00A34FC7">
        <w:t xml:space="preserve"> </w:t>
      </w:r>
      <w:r w:rsidR="00B4011A" w:rsidRPr="00A34FC7">
        <w:t xml:space="preserve">In yet another recent survey-based study, </w:t>
      </w:r>
      <w:r w:rsidR="006578FD" w:rsidRPr="00A34FC7">
        <w:t>Lavieri and Bhat (</w:t>
      </w:r>
      <w:r w:rsidR="00617BE5" w:rsidRPr="00A34FC7">
        <w:rPr>
          <w:i/>
        </w:rPr>
        <w:t>13</w:t>
      </w:r>
      <w:r w:rsidR="006578FD" w:rsidRPr="00A34FC7">
        <w:t xml:space="preserve">) </w:t>
      </w:r>
      <w:r w:rsidR="000A432F" w:rsidRPr="00A34FC7">
        <w:t>analyze</w:t>
      </w:r>
      <w:r w:rsidR="00B4011A" w:rsidRPr="00A34FC7">
        <w:t>d</w:t>
      </w:r>
      <w:r w:rsidR="000A432F" w:rsidRPr="00A34FC7">
        <w:t xml:space="preserve"> data collected from a sample of commuters in the Dallas-Fort Worth area to identify the psycho-social inf</w:t>
      </w:r>
      <w:r w:rsidR="00B4011A" w:rsidRPr="00A34FC7">
        <w:t>l</w:t>
      </w:r>
      <w:r w:rsidR="008A6B2E" w:rsidRPr="00A34FC7">
        <w:t>ue</w:t>
      </w:r>
      <w:r w:rsidR="000A432F" w:rsidRPr="00A34FC7">
        <w:t>nce</w:t>
      </w:r>
      <w:r w:rsidR="00B4011A" w:rsidRPr="00A34FC7">
        <w:t>r</w:t>
      </w:r>
      <w:r w:rsidR="000A432F" w:rsidRPr="00A34FC7">
        <w:t>s that motivate use of ride-hailing services.</w:t>
      </w:r>
      <w:r w:rsidR="00F60A37" w:rsidRPr="00A34FC7">
        <w:t xml:space="preserve"> </w:t>
      </w:r>
      <w:r w:rsidR="000A432F" w:rsidRPr="00A34FC7">
        <w:t>They f</w:t>
      </w:r>
      <w:r w:rsidR="00F0066B" w:rsidRPr="00A34FC7">
        <w:t>ound</w:t>
      </w:r>
      <w:r w:rsidR="000A432F" w:rsidRPr="00A34FC7">
        <w:t xml:space="preserve"> that individuals with stronger pro-environmental, technology-embracing, and variety-seeking attitudes are more likely to use ride-hailing services.</w:t>
      </w:r>
      <w:r w:rsidR="00F60A37" w:rsidRPr="00A34FC7">
        <w:t xml:space="preserve"> </w:t>
      </w:r>
      <w:r w:rsidR="00B4011A" w:rsidRPr="00A34FC7">
        <w:t>In particular, they observe</w:t>
      </w:r>
      <w:r w:rsidR="00F0066B" w:rsidRPr="00A34FC7">
        <w:t>d</w:t>
      </w:r>
      <w:r w:rsidR="00B4011A" w:rsidRPr="00A34FC7">
        <w:t xml:space="preserve"> that </w:t>
      </w:r>
      <w:r w:rsidR="000A432F" w:rsidRPr="00A34FC7">
        <w:t xml:space="preserve">attitudinal factors are </w:t>
      </w:r>
      <w:r w:rsidR="00B4011A" w:rsidRPr="00A34FC7">
        <w:t>important to consider, in addition to individual socio-demographics</w:t>
      </w:r>
      <w:r w:rsidR="000A432F" w:rsidRPr="00A34FC7">
        <w:t>.</w:t>
      </w:r>
      <w:r w:rsidR="00F60A37" w:rsidRPr="00A34FC7">
        <w:t xml:space="preserve"> </w:t>
      </w:r>
    </w:p>
    <w:p w14:paraId="167562A0" w14:textId="5AB293F1" w:rsidR="00AA3214" w:rsidRPr="00C6712A" w:rsidRDefault="000A432F" w:rsidP="00723558">
      <w:pPr>
        <w:spacing w:after="0"/>
      </w:pPr>
      <w:r w:rsidRPr="00A34FC7">
        <w:t>Although survey-based research has shed light on ride-hailing users and their characteristics, it is naturally limited by the nature of the survey, sample selection issues, response biases, and other usual concerns associated with sample surveys (especially when seeking to study rare behaviors).</w:t>
      </w:r>
      <w:r w:rsidR="00F60A37" w:rsidRPr="00A34FC7">
        <w:t xml:space="preserve"> </w:t>
      </w:r>
      <w:r w:rsidRPr="00A34FC7">
        <w:t xml:space="preserve">Hence, a few studies have explored alternative data sources to better understand ride-hailing usage patterns. For example, </w:t>
      </w:r>
      <w:proofErr w:type="spellStart"/>
      <w:r w:rsidRPr="00A34FC7">
        <w:t>Kooti</w:t>
      </w:r>
      <w:proofErr w:type="spellEnd"/>
      <w:r w:rsidRPr="00A34FC7">
        <w:t xml:space="preserve"> </w:t>
      </w:r>
      <w:r w:rsidRPr="00A34FC7">
        <w:rPr>
          <w:i/>
        </w:rPr>
        <w:t>et al</w:t>
      </w:r>
      <w:r w:rsidRPr="00A34FC7">
        <w:t>. (</w:t>
      </w:r>
      <w:r w:rsidR="00617BE5" w:rsidRPr="00A34FC7">
        <w:rPr>
          <w:i/>
        </w:rPr>
        <w:t>14</w:t>
      </w:r>
      <w:r w:rsidRPr="00A34FC7">
        <w:t>) partnered with Yahoo to</w:t>
      </w:r>
      <w:r w:rsidRPr="00C6712A">
        <w:t xml:space="preserve"> </w:t>
      </w:r>
      <w:r w:rsidR="00D04056" w:rsidRPr="00C6712A">
        <w:t xml:space="preserve">gather </w:t>
      </w:r>
      <w:r w:rsidRPr="00C6712A">
        <w:t xml:space="preserve">the receipts sent by Uber to riders’ email addresses after a trip was completed. This gave the researchers access to trip-level information </w:t>
      </w:r>
      <w:r w:rsidR="00D04056" w:rsidRPr="00C6712A">
        <w:t>for</w:t>
      </w:r>
      <w:r w:rsidRPr="00C6712A">
        <w:t xml:space="preserve"> approximately 59 million rides. The authors then coupled the data mined from the receipts with Yahoo’s own data</w:t>
      </w:r>
      <w:r w:rsidR="00D04056" w:rsidRPr="00C6712A">
        <w:t>base on</w:t>
      </w:r>
      <w:r w:rsidRPr="00C6712A">
        <w:t xml:space="preserve"> users’ demographics. </w:t>
      </w:r>
      <w:r w:rsidR="00D04056" w:rsidRPr="00C6712A">
        <w:t xml:space="preserve">They showed that the average active Uber rider is a female individual in her mid-20s with an above-average income. They were also able to </w:t>
      </w:r>
      <w:r w:rsidR="00F0066B" w:rsidRPr="00C6712A">
        <w:t>draw</w:t>
      </w:r>
      <w:r w:rsidR="00D04056" w:rsidRPr="00C6712A">
        <w:t xml:space="preserve"> insights into ride-hailing usage by Uber’s different tiers of service, finding that the more affluent riders are more likely to use the more expensive tiers, such as Uber Black.</w:t>
      </w:r>
      <w:r w:rsidR="006578FD" w:rsidRPr="00C6712A">
        <w:t xml:space="preserve"> </w:t>
      </w:r>
    </w:p>
    <w:p w14:paraId="50A0F019" w14:textId="2A2347CE" w:rsidR="00D84B37" w:rsidRPr="00A34FC7" w:rsidRDefault="00376EF8" w:rsidP="00723558">
      <w:pPr>
        <w:spacing w:after="0"/>
      </w:pPr>
      <w:r w:rsidRPr="00C6712A">
        <w:lastRenderedPageBreak/>
        <w:t>Another stream of research has attempted to mine actual trip data that is becoming increasingly available as ride-hailing companies begin to share and publish anonymized trip-level data.</w:t>
      </w:r>
      <w:r w:rsidR="00F60A37" w:rsidRPr="00C6712A">
        <w:t xml:space="preserve"> </w:t>
      </w:r>
      <w:r w:rsidRPr="00C6712A">
        <w:t xml:space="preserve">In 2017, </w:t>
      </w:r>
      <w:proofErr w:type="spellStart"/>
      <w:r w:rsidRPr="00C6712A">
        <w:t>RideAustin</w:t>
      </w:r>
      <w:proofErr w:type="spellEnd"/>
      <w:r w:rsidRPr="00C6712A">
        <w:t xml:space="preserve">, a ride-hailing company in Austin, Texas, shared about a year’s worth of </w:t>
      </w:r>
      <w:r w:rsidRPr="00564669">
        <w:t>trip-level ride data, encompassing 1.5 million trips between June 2016 and April 2017.</w:t>
      </w:r>
      <w:r w:rsidR="00F60A37" w:rsidRPr="00564669">
        <w:t xml:space="preserve"> </w:t>
      </w:r>
      <w:r w:rsidRPr="00564669">
        <w:t xml:space="preserve">Using this data, </w:t>
      </w:r>
      <w:r w:rsidRPr="00A34FC7">
        <w:t xml:space="preserve">Lavieri </w:t>
      </w:r>
      <w:r w:rsidRPr="00A34FC7">
        <w:rPr>
          <w:i/>
        </w:rPr>
        <w:t>et al</w:t>
      </w:r>
      <w:r w:rsidRPr="00A34FC7">
        <w:t>. (</w:t>
      </w:r>
      <w:r w:rsidR="00617BE5" w:rsidRPr="00A34FC7">
        <w:rPr>
          <w:i/>
        </w:rPr>
        <w:t>15</w:t>
      </w:r>
      <w:r w:rsidRPr="00A34FC7">
        <w:t>) found that there was a positive spatial correlation component to ride-hailing trip generation, suggesting the existence of a spill-over effect (</w:t>
      </w:r>
      <w:r w:rsidRPr="00A34FC7">
        <w:rPr>
          <w:i/>
        </w:rPr>
        <w:t>i.e.</w:t>
      </w:r>
      <w:r w:rsidRPr="00A34FC7">
        <w:rPr>
          <w:iCs/>
        </w:rPr>
        <w:t>,</w:t>
      </w:r>
      <w:r w:rsidRPr="00A34FC7">
        <w:t xml:space="preserve"> areas with high ride-hailing trip generation levels increased their neighbors’ trip generation rates). Studies using this data also suggested that in some cases, ride-hailing might act as a substitute to public transit and that deadheading (</w:t>
      </w:r>
      <w:r w:rsidRPr="00A34FC7">
        <w:rPr>
          <w:i/>
        </w:rPr>
        <w:t>i.e.</w:t>
      </w:r>
      <w:r w:rsidRPr="00A34FC7">
        <w:rPr>
          <w:iCs/>
        </w:rPr>
        <w:t>,</w:t>
      </w:r>
      <w:r w:rsidRPr="00A34FC7">
        <w:t xml:space="preserve"> driving without a passenger) constitutes approximately 37% and 50% of ride-hailing drivers’ miles driven and travel time, respectively (</w:t>
      </w:r>
      <w:r w:rsidR="00617BE5" w:rsidRPr="00A34FC7">
        <w:rPr>
          <w:i/>
        </w:rPr>
        <w:t>15-17</w:t>
      </w:r>
      <w:r w:rsidRPr="00A34FC7">
        <w:t xml:space="preserve">). </w:t>
      </w:r>
      <w:r w:rsidR="00843B61" w:rsidRPr="00A34FC7">
        <w:t xml:space="preserve">Dias </w:t>
      </w:r>
      <w:r w:rsidR="00843B61" w:rsidRPr="00A34FC7">
        <w:rPr>
          <w:i/>
          <w:iCs/>
        </w:rPr>
        <w:t>et al.</w:t>
      </w:r>
      <w:r w:rsidR="00843B61" w:rsidRPr="00A34FC7">
        <w:t xml:space="preserve"> (</w:t>
      </w:r>
      <w:r w:rsidR="00617BE5" w:rsidRPr="00A34FC7">
        <w:rPr>
          <w:i/>
        </w:rPr>
        <w:t>16</w:t>
      </w:r>
      <w:r w:rsidR="00843B61" w:rsidRPr="00A34FC7">
        <w:t xml:space="preserve">) fused secondary land use and census data to the </w:t>
      </w:r>
      <w:proofErr w:type="spellStart"/>
      <w:r w:rsidR="00843B61" w:rsidRPr="00A34FC7">
        <w:t>RideAustin</w:t>
      </w:r>
      <w:proofErr w:type="spellEnd"/>
      <w:r w:rsidR="00843B61" w:rsidRPr="00A34FC7">
        <w:t xml:space="preserve"> data to draw inferences about the characteristics of frequent ride-hailing users and ride-hailing trip purposes. Wenzel </w:t>
      </w:r>
      <w:r w:rsidR="00843B61" w:rsidRPr="00A34FC7">
        <w:rPr>
          <w:i/>
          <w:iCs/>
        </w:rPr>
        <w:t>et al</w:t>
      </w:r>
      <w:r w:rsidR="00843B61" w:rsidRPr="00A34FC7">
        <w:t>. (</w:t>
      </w:r>
      <w:r w:rsidR="00617BE5" w:rsidRPr="00A34FC7">
        <w:rPr>
          <w:i/>
        </w:rPr>
        <w:t>18</w:t>
      </w:r>
      <w:r w:rsidR="00843B61" w:rsidRPr="00A34FC7">
        <w:t xml:space="preserve">) explored the </w:t>
      </w:r>
      <w:proofErr w:type="spellStart"/>
      <w:r w:rsidR="00843B61" w:rsidRPr="00A34FC7">
        <w:t>RideAustin</w:t>
      </w:r>
      <w:proofErr w:type="spellEnd"/>
      <w:r w:rsidR="00843B61" w:rsidRPr="00A34FC7">
        <w:t xml:space="preserve"> trip data to analyze energy implications of ride-hailing; they estimate</w:t>
      </w:r>
      <w:r w:rsidR="00F0066B" w:rsidRPr="00A34FC7">
        <w:t>d</w:t>
      </w:r>
      <w:r w:rsidR="00843B61" w:rsidRPr="00A34FC7">
        <w:t xml:space="preserve"> that empty trips between servicing rides accounts for 26% of total ride-hailing VMT and the net eﬀect of ride-hailing on energy use is a 41–90% increase compared to baseline, pre-TNC, personal travel</w:t>
      </w:r>
      <w:r w:rsidR="00830EC6" w:rsidRPr="00A34FC7">
        <w:t xml:space="preserve">. </w:t>
      </w:r>
    </w:p>
    <w:p w14:paraId="396D7FDF" w14:textId="45C2263C" w:rsidR="00453931" w:rsidRPr="00A34FC7" w:rsidRDefault="00453931" w:rsidP="00723558">
      <w:pPr>
        <w:spacing w:after="0"/>
        <w:rPr>
          <w:iCs/>
          <w:szCs w:val="24"/>
        </w:rPr>
      </w:pPr>
      <w:r w:rsidRPr="00A34FC7">
        <w:rPr>
          <w:iCs/>
          <w:szCs w:val="24"/>
        </w:rPr>
        <w:t xml:space="preserve">The studies mentioned above provide rich insights on the nature of ride-hailing trips and empty VMT. </w:t>
      </w:r>
      <w:r w:rsidR="00CE3456" w:rsidRPr="00A34FC7">
        <w:rPr>
          <w:iCs/>
          <w:szCs w:val="24"/>
        </w:rPr>
        <w:t xml:space="preserve">The reader is also referred to </w:t>
      </w:r>
      <w:proofErr w:type="spellStart"/>
      <w:r w:rsidR="00CE3456" w:rsidRPr="00A34FC7">
        <w:rPr>
          <w:iCs/>
          <w:szCs w:val="24"/>
        </w:rPr>
        <w:t>Tirachini</w:t>
      </w:r>
      <w:proofErr w:type="spellEnd"/>
      <w:r w:rsidR="00CE3456" w:rsidRPr="00A34FC7">
        <w:rPr>
          <w:iCs/>
          <w:szCs w:val="24"/>
        </w:rPr>
        <w:t xml:space="preserve"> (</w:t>
      </w:r>
      <w:r w:rsidR="00617BE5" w:rsidRPr="00A34FC7">
        <w:rPr>
          <w:i/>
          <w:iCs/>
          <w:szCs w:val="24"/>
        </w:rPr>
        <w:t>19</w:t>
      </w:r>
      <w:r w:rsidR="00CE3456" w:rsidRPr="00A34FC7">
        <w:rPr>
          <w:iCs/>
          <w:szCs w:val="24"/>
        </w:rPr>
        <w:t xml:space="preserve">) for a more exhaustive review of ride-hailing studies, both in the U.S. and internationally. </w:t>
      </w:r>
      <w:r w:rsidRPr="00A34FC7">
        <w:rPr>
          <w:iCs/>
          <w:szCs w:val="24"/>
        </w:rPr>
        <w:t>However, t</w:t>
      </w:r>
      <w:r w:rsidR="005A024F" w:rsidRPr="00A34FC7">
        <w:rPr>
          <w:iCs/>
          <w:szCs w:val="24"/>
        </w:rPr>
        <w:t xml:space="preserve">o our knowledge, </w:t>
      </w:r>
      <w:r w:rsidRPr="00A34FC7">
        <w:rPr>
          <w:iCs/>
          <w:szCs w:val="24"/>
        </w:rPr>
        <w:t xml:space="preserve">no study </w:t>
      </w:r>
      <w:r w:rsidR="005A024F" w:rsidRPr="00A34FC7">
        <w:rPr>
          <w:iCs/>
          <w:szCs w:val="24"/>
        </w:rPr>
        <w:t xml:space="preserve">has </w:t>
      </w:r>
      <w:r w:rsidRPr="00A34FC7">
        <w:rPr>
          <w:iCs/>
          <w:szCs w:val="24"/>
        </w:rPr>
        <w:t>explore</w:t>
      </w:r>
      <w:r w:rsidR="005A024F" w:rsidRPr="00A34FC7">
        <w:rPr>
          <w:iCs/>
          <w:szCs w:val="24"/>
        </w:rPr>
        <w:t>d</w:t>
      </w:r>
      <w:r w:rsidRPr="00A34FC7">
        <w:rPr>
          <w:iCs/>
          <w:szCs w:val="24"/>
        </w:rPr>
        <w:t xml:space="preserve"> the temporal behavioral dynamics of ride-hailing use.  Of course, the study of changes in traveler behavior over time relates to considerations of temporal stability (or not) of behaviors, which has been examined extensively within the broad context of temporal transferability of travel demand models (see </w:t>
      </w:r>
      <w:r w:rsidR="00374974" w:rsidRPr="00A34FC7">
        <w:rPr>
          <w:iCs/>
          <w:szCs w:val="24"/>
        </w:rPr>
        <w:t>(</w:t>
      </w:r>
      <w:r w:rsidR="00374974" w:rsidRPr="00A34FC7">
        <w:rPr>
          <w:i/>
          <w:iCs/>
          <w:szCs w:val="24"/>
        </w:rPr>
        <w:t>20</w:t>
      </w:r>
      <w:r w:rsidR="00374974" w:rsidRPr="00A34FC7">
        <w:rPr>
          <w:iCs/>
          <w:szCs w:val="24"/>
        </w:rPr>
        <w:t>)</w:t>
      </w:r>
      <w:r w:rsidRPr="00A34FC7">
        <w:rPr>
          <w:iCs/>
          <w:szCs w:val="24"/>
        </w:rPr>
        <w:t xml:space="preserve"> for an exhaustive review of such temporal transferability studies). Some other studies examine travel behavior variability without necessarily tying to transferability, including Marchet</w:t>
      </w:r>
      <w:r w:rsidR="00C9362D" w:rsidRPr="00A34FC7">
        <w:rPr>
          <w:iCs/>
          <w:szCs w:val="24"/>
        </w:rPr>
        <w:t>t</w:t>
      </w:r>
      <w:r w:rsidRPr="00A34FC7">
        <w:rPr>
          <w:iCs/>
          <w:szCs w:val="24"/>
        </w:rPr>
        <w:t>i (</w:t>
      </w:r>
      <w:r w:rsidR="00374974" w:rsidRPr="00A34FC7">
        <w:rPr>
          <w:i/>
          <w:iCs/>
          <w:szCs w:val="24"/>
        </w:rPr>
        <w:t>21</w:t>
      </w:r>
      <w:r w:rsidRPr="00A34FC7">
        <w:rPr>
          <w:iCs/>
          <w:szCs w:val="24"/>
        </w:rPr>
        <w:t>), Meyer (</w:t>
      </w:r>
      <w:r w:rsidR="00374974" w:rsidRPr="00A34FC7">
        <w:rPr>
          <w:i/>
          <w:iCs/>
          <w:szCs w:val="24"/>
        </w:rPr>
        <w:t>22</w:t>
      </w:r>
      <w:r w:rsidRPr="00A34FC7">
        <w:rPr>
          <w:iCs/>
          <w:szCs w:val="24"/>
        </w:rPr>
        <w:t>), Wu et al. (</w:t>
      </w:r>
      <w:r w:rsidR="00374974" w:rsidRPr="00A34FC7">
        <w:rPr>
          <w:i/>
          <w:iCs/>
          <w:szCs w:val="24"/>
        </w:rPr>
        <w:t>23</w:t>
      </w:r>
      <w:r w:rsidRPr="00A34FC7">
        <w:rPr>
          <w:iCs/>
          <w:szCs w:val="24"/>
        </w:rPr>
        <w:t xml:space="preserve">), Miller and </w:t>
      </w:r>
      <w:proofErr w:type="spellStart"/>
      <w:r w:rsidRPr="00A34FC7">
        <w:rPr>
          <w:iCs/>
          <w:szCs w:val="24"/>
        </w:rPr>
        <w:t>Shalaby</w:t>
      </w:r>
      <w:proofErr w:type="spellEnd"/>
      <w:r w:rsidRPr="00A34FC7">
        <w:rPr>
          <w:iCs/>
          <w:szCs w:val="24"/>
        </w:rPr>
        <w:t xml:space="preserve"> (</w:t>
      </w:r>
      <w:r w:rsidR="00374974" w:rsidRPr="00A34FC7">
        <w:rPr>
          <w:i/>
          <w:iCs/>
          <w:szCs w:val="24"/>
        </w:rPr>
        <w:t>24</w:t>
      </w:r>
      <w:r w:rsidRPr="00A34FC7">
        <w:rPr>
          <w:iCs/>
          <w:szCs w:val="24"/>
        </w:rPr>
        <w:t xml:space="preserve">), </w:t>
      </w:r>
      <w:proofErr w:type="spellStart"/>
      <w:r w:rsidRPr="00A34FC7">
        <w:rPr>
          <w:iCs/>
          <w:szCs w:val="24"/>
        </w:rPr>
        <w:t>Sharaby</w:t>
      </w:r>
      <w:proofErr w:type="spellEnd"/>
      <w:r w:rsidRPr="00A34FC7">
        <w:rPr>
          <w:iCs/>
          <w:szCs w:val="24"/>
        </w:rPr>
        <w:t xml:space="preserve"> and Shiftan (</w:t>
      </w:r>
      <w:r w:rsidR="00374974" w:rsidRPr="00A34FC7">
        <w:rPr>
          <w:i/>
          <w:iCs/>
          <w:szCs w:val="24"/>
        </w:rPr>
        <w:t>25</w:t>
      </w:r>
      <w:r w:rsidRPr="00A34FC7">
        <w:rPr>
          <w:iCs/>
          <w:szCs w:val="24"/>
        </w:rPr>
        <w:t>), Zhao et al. (</w:t>
      </w:r>
      <w:r w:rsidR="00374974" w:rsidRPr="00A34FC7">
        <w:rPr>
          <w:i/>
          <w:iCs/>
          <w:szCs w:val="24"/>
        </w:rPr>
        <w:t>26</w:t>
      </w:r>
      <w:r w:rsidRPr="00A34FC7">
        <w:rPr>
          <w:iCs/>
          <w:szCs w:val="24"/>
        </w:rPr>
        <w:t xml:space="preserve">), and </w:t>
      </w:r>
      <w:proofErr w:type="spellStart"/>
      <w:r w:rsidRPr="00A34FC7">
        <w:rPr>
          <w:iCs/>
          <w:szCs w:val="24"/>
        </w:rPr>
        <w:t>Abenoza</w:t>
      </w:r>
      <w:proofErr w:type="spellEnd"/>
      <w:r w:rsidRPr="00A34FC7">
        <w:rPr>
          <w:iCs/>
          <w:szCs w:val="24"/>
        </w:rPr>
        <w:t xml:space="preserve"> et al. (</w:t>
      </w:r>
      <w:r w:rsidRPr="00A34FC7">
        <w:rPr>
          <w:i/>
          <w:iCs/>
          <w:szCs w:val="24"/>
        </w:rPr>
        <w:t>27</w:t>
      </w:r>
      <w:r w:rsidRPr="00A34FC7">
        <w:rPr>
          <w:iCs/>
          <w:szCs w:val="24"/>
        </w:rPr>
        <w:t>). But none of these studies examine</w:t>
      </w:r>
      <w:r w:rsidR="00347824" w:rsidRPr="00A34FC7">
        <w:rPr>
          <w:iCs/>
          <w:szCs w:val="24"/>
        </w:rPr>
        <w:t>s</w:t>
      </w:r>
      <w:r w:rsidRPr="00A34FC7">
        <w:rPr>
          <w:iCs/>
          <w:szCs w:val="24"/>
        </w:rPr>
        <w:t xml:space="preserve"> the relatively new phenomenon of travel behavior changes over time regarding ride-hailing use. In an attempt to address the issue of how ride-hailing impacts user behavior, Young et al. (</w:t>
      </w:r>
      <w:r w:rsidRPr="00A34FC7">
        <w:rPr>
          <w:i/>
          <w:iCs/>
          <w:szCs w:val="24"/>
        </w:rPr>
        <w:t>28</w:t>
      </w:r>
      <w:r w:rsidRPr="00A34FC7">
        <w:rPr>
          <w:iCs/>
          <w:szCs w:val="24"/>
        </w:rPr>
        <w:t>) focused on the twenty business trips made to Columbus, Ohio by one single individual, splitting the trips into two groups according to what the individual used as the primary mode of transportation: rental cars or ride-hailing services. In their study, the authors analyze the individual’s business expense reports, which contain data on the individual’s vehicle miles traveled, their cost of transportation, and their daily work routines. While the analysis presented by Young et al. (</w:t>
      </w:r>
      <w:r w:rsidRPr="00A34FC7">
        <w:rPr>
          <w:i/>
          <w:iCs/>
          <w:szCs w:val="24"/>
        </w:rPr>
        <w:t>28</w:t>
      </w:r>
      <w:r w:rsidRPr="00A34FC7">
        <w:rPr>
          <w:iCs/>
          <w:szCs w:val="24"/>
        </w:rPr>
        <w:t xml:space="preserve">) focuses on how </w:t>
      </w:r>
      <w:proofErr w:type="gramStart"/>
      <w:r w:rsidRPr="00A34FC7">
        <w:rPr>
          <w:iCs/>
          <w:szCs w:val="24"/>
        </w:rPr>
        <w:t>this one single individual changes</w:t>
      </w:r>
      <w:proofErr w:type="gramEnd"/>
      <w:r w:rsidRPr="00A34FC7">
        <w:rPr>
          <w:iCs/>
          <w:szCs w:val="24"/>
        </w:rPr>
        <w:t xml:space="preserve"> travel behaviors when using ride-hailing services (compared to when the individual uses car rental services), it does not provide any information regarding the temporal change in ride-hailing use. Furthermore, as noted by the authors, the study’s focus on one single individual’s business trips limits how generalizable the results may be. In comparison, the study we present in this paper uses multi-year cross-sectional data with a significantly larger sample size, and focuses explicitly on the temporal change in ride-hailing use.</w:t>
      </w:r>
    </w:p>
    <w:p w14:paraId="76F1469B" w14:textId="74FFA63A" w:rsidR="005C577C" w:rsidRPr="00A34FC7" w:rsidRDefault="004C2406" w:rsidP="00723558">
      <w:pPr>
        <w:spacing w:after="0"/>
      </w:pPr>
      <w:r w:rsidRPr="00A34FC7">
        <w:t xml:space="preserve">While studies on the </w:t>
      </w:r>
      <w:r w:rsidR="00D246FB" w:rsidRPr="00A34FC7">
        <w:t xml:space="preserve">temporal </w:t>
      </w:r>
      <w:r w:rsidRPr="00A34FC7">
        <w:t xml:space="preserve">evolution of ride-hailing behavior </w:t>
      </w:r>
      <w:r w:rsidR="0067426E" w:rsidRPr="00A34FC7">
        <w:t xml:space="preserve">at the individual level </w:t>
      </w:r>
      <w:r w:rsidR="00D246FB" w:rsidRPr="00A34FC7">
        <w:t>have</w:t>
      </w:r>
      <w:r w:rsidR="0067426E" w:rsidRPr="00A34FC7">
        <w:t xml:space="preserve"> not</w:t>
      </w:r>
      <w:r w:rsidR="007D3414" w:rsidRPr="00A34FC7">
        <w:t xml:space="preserve"> </w:t>
      </w:r>
      <w:r w:rsidR="00D246FB" w:rsidRPr="00A34FC7">
        <w:t>been undertaken thus far</w:t>
      </w:r>
      <w:r w:rsidRPr="00A34FC7">
        <w:t>, t</w:t>
      </w:r>
      <w:r w:rsidR="00376EF8" w:rsidRPr="00A34FC7">
        <w:t xml:space="preserve">he growth in ride-hailing usage is well documented in terms of aggregate </w:t>
      </w:r>
      <w:r w:rsidR="002E4B6E" w:rsidRPr="00A34FC7">
        <w:t>trends (</w:t>
      </w:r>
      <w:r w:rsidR="00C9362D" w:rsidRPr="00A34FC7">
        <w:rPr>
          <w:i/>
        </w:rPr>
        <w:t>3</w:t>
      </w:r>
      <w:r w:rsidR="002E4B6E" w:rsidRPr="00A34FC7">
        <w:t>).</w:t>
      </w:r>
      <w:r w:rsidR="00F60A37" w:rsidRPr="00A34FC7">
        <w:t xml:space="preserve"> </w:t>
      </w:r>
      <w:r w:rsidR="002E4B6E" w:rsidRPr="00A34FC7">
        <w:t xml:space="preserve">Ride-hailing services have experienced dramatic growth in the past several years, with </w:t>
      </w:r>
      <w:r w:rsidR="00F0066B" w:rsidRPr="00A34FC7">
        <w:t xml:space="preserve">the </w:t>
      </w:r>
      <w:r w:rsidR="002E4B6E" w:rsidRPr="00A34FC7">
        <w:t>total number of rides now exceeding total local bus ridership across the country (</w:t>
      </w:r>
      <w:r w:rsidR="00C9362D" w:rsidRPr="00A34FC7">
        <w:rPr>
          <w:i/>
        </w:rPr>
        <w:t>3</w:t>
      </w:r>
      <w:r w:rsidR="002E4B6E" w:rsidRPr="00A34FC7">
        <w:t>).</w:t>
      </w:r>
      <w:r w:rsidR="00F60A37" w:rsidRPr="00A34FC7">
        <w:t xml:space="preserve"> </w:t>
      </w:r>
      <w:r w:rsidR="002E4B6E" w:rsidRPr="00A34FC7">
        <w:t>Other anecdotal information also points to the dramatic growth in ride-hailing services</w:t>
      </w:r>
      <w:r w:rsidR="00A90DBC" w:rsidRPr="00A34FC7">
        <w:t>:</w:t>
      </w:r>
      <w:r w:rsidR="002E4B6E" w:rsidRPr="00A34FC7">
        <w:t xml:space="preserve"> </w:t>
      </w:r>
      <w:r w:rsidR="00A90DBC" w:rsidRPr="00A34FC7">
        <w:t>it</w:t>
      </w:r>
      <w:r w:rsidR="002E4B6E" w:rsidRPr="00A34FC7">
        <w:t xml:space="preserve"> took Uber six years to </w:t>
      </w:r>
      <w:r w:rsidR="00A90DBC" w:rsidRPr="00A34FC7">
        <w:t xml:space="preserve">serve </w:t>
      </w:r>
      <w:r w:rsidR="002E4B6E" w:rsidRPr="00A34FC7">
        <w:t>its first billion</w:t>
      </w:r>
      <w:r w:rsidR="00A90DBC" w:rsidRPr="00A34FC7">
        <w:t>th</w:t>
      </w:r>
      <w:r w:rsidR="002E4B6E" w:rsidRPr="00A34FC7">
        <w:t xml:space="preserve"> ride </w:t>
      </w:r>
      <w:r w:rsidR="00A90DBC" w:rsidRPr="00A34FC7">
        <w:t xml:space="preserve">and just </w:t>
      </w:r>
      <w:r w:rsidR="002E4B6E" w:rsidRPr="00A34FC7">
        <w:t xml:space="preserve">six </w:t>
      </w:r>
      <w:r w:rsidR="00A90DBC" w:rsidRPr="00A34FC7">
        <w:t xml:space="preserve">more </w:t>
      </w:r>
      <w:r w:rsidR="002E4B6E" w:rsidRPr="00A34FC7">
        <w:t xml:space="preserve">months to serve </w:t>
      </w:r>
      <w:r w:rsidR="00A90DBC" w:rsidRPr="00A34FC7">
        <w:t xml:space="preserve">its second </w:t>
      </w:r>
      <w:r w:rsidR="002E4B6E" w:rsidRPr="00A34FC7">
        <w:t>billion</w:t>
      </w:r>
      <w:r w:rsidR="00A90DBC" w:rsidRPr="00A34FC7">
        <w:t>th</w:t>
      </w:r>
      <w:r w:rsidR="002E4B6E" w:rsidRPr="00A34FC7">
        <w:t xml:space="preserve"> (</w:t>
      </w:r>
      <w:r w:rsidR="00374974" w:rsidRPr="00A34FC7">
        <w:rPr>
          <w:i/>
        </w:rPr>
        <w:t>29</w:t>
      </w:r>
      <w:r w:rsidR="00374974" w:rsidRPr="00A34FC7">
        <w:t xml:space="preserve">, </w:t>
      </w:r>
      <w:r w:rsidR="00374974" w:rsidRPr="00A34FC7">
        <w:rPr>
          <w:i/>
        </w:rPr>
        <w:t>30</w:t>
      </w:r>
      <w:r w:rsidR="002E4B6E" w:rsidRPr="00A34FC7">
        <w:t>).</w:t>
      </w:r>
      <w:r w:rsidR="00F60A37" w:rsidRPr="00A34FC7">
        <w:t xml:space="preserve"> </w:t>
      </w:r>
    </w:p>
    <w:p w14:paraId="621BE00F" w14:textId="7DD8D58B" w:rsidR="009437A7" w:rsidRPr="00A34FC7" w:rsidRDefault="008415E4" w:rsidP="00723558">
      <w:pPr>
        <w:spacing w:after="0"/>
      </w:pPr>
      <w:r w:rsidRPr="00A34FC7">
        <w:lastRenderedPageBreak/>
        <w:t xml:space="preserve">The dramatic growth in ride-hailing ridership suggests that there are critical evolutionary dynamics at play that need to be better understood and quantified so that planning agencies can forecast growth in usage of this mode over time and develop long-range transportation plans and investments accounting for such growth. There are a number of theoretical paradigms and models that intend to explain adoption and use of (new) technologies over time. </w:t>
      </w:r>
      <w:r w:rsidR="00C93844" w:rsidRPr="00A34FC7">
        <w:t xml:space="preserve">Ride-hailing companies have been expending considerable resources to enhance adoption and use of the technology by implementing strategies, partnerships, service amenities, and incentives. </w:t>
      </w:r>
      <w:r w:rsidR="00CE2948" w:rsidRPr="00A34FC7">
        <w:t>Both Uber and Lyft have introduced monthly subscription services that avoid the need to pay-per-trip; the companies are partnering with transit agencies to complement transit services; and the companies are partnering with employers to provide special pricing and rider programs for employees (</w:t>
      </w:r>
      <w:r w:rsidR="00374974" w:rsidRPr="00A34FC7">
        <w:rPr>
          <w:i/>
        </w:rPr>
        <w:t>31</w:t>
      </w:r>
      <w:r w:rsidR="00374974" w:rsidRPr="00A34FC7">
        <w:t xml:space="preserve">, </w:t>
      </w:r>
      <w:r w:rsidR="00374974" w:rsidRPr="00A34FC7">
        <w:rPr>
          <w:i/>
        </w:rPr>
        <w:t>32</w:t>
      </w:r>
      <w:r w:rsidR="00CE2948" w:rsidRPr="00A34FC7">
        <w:t>).</w:t>
      </w:r>
      <w:r w:rsidR="00F60A37" w:rsidRPr="00A34FC7">
        <w:t xml:space="preserve"> </w:t>
      </w:r>
      <w:r w:rsidR="00990E7F" w:rsidRPr="00A34FC7">
        <w:t>As the ride-hailing product is continuously enhanced, population socio-demographics evolve, and attitudes towards ride-hailing services change, the adoption and usage of these services is likely to progress over time.</w:t>
      </w:r>
      <w:r w:rsidR="00F60A37" w:rsidRPr="00A34FC7">
        <w:t xml:space="preserve"> </w:t>
      </w:r>
      <w:r w:rsidR="00990E7F" w:rsidRPr="00A34FC7">
        <w:t>However, there is virtually no research to date that provides insights on the contribution of different factors to the evolution of ride-hailing usage, and this study aims to fill this critical gap with a view to inform forecasts of future ride-hailing use.</w:t>
      </w:r>
      <w:r w:rsidR="00F60A37" w:rsidRPr="00A34FC7">
        <w:t xml:space="preserve"> </w:t>
      </w:r>
      <w:r w:rsidR="00990E7F" w:rsidRPr="00A34FC7">
        <w:t xml:space="preserve">This study utilizes data from the Puget Sound region that is available at two time points, 2015 and 2017, to model </w:t>
      </w:r>
      <w:r w:rsidR="0086279C" w:rsidRPr="00A34FC7">
        <w:t>behavioral dynamics</w:t>
      </w:r>
      <w:r w:rsidR="00990E7F" w:rsidRPr="00A34FC7">
        <w:t xml:space="preserve"> and quantify the </w:t>
      </w:r>
      <w:r w:rsidR="00F958A1" w:rsidRPr="00A34FC7">
        <w:t>“</w:t>
      </w:r>
      <w:r w:rsidR="00990E7F" w:rsidRPr="00A34FC7">
        <w:rPr>
          <w:i/>
          <w:iCs/>
        </w:rPr>
        <w:t>true</w:t>
      </w:r>
      <w:r w:rsidR="00F958A1" w:rsidRPr="00A34FC7">
        <w:rPr>
          <w:iCs/>
        </w:rPr>
        <w:t>”</w:t>
      </w:r>
      <w:r w:rsidR="00990E7F" w:rsidRPr="00A34FC7">
        <w:t xml:space="preserve"> evolution (over time) </w:t>
      </w:r>
      <w:r w:rsidR="0086279C" w:rsidRPr="00A34FC7">
        <w:t>in</w:t>
      </w:r>
      <w:r w:rsidR="00990E7F" w:rsidRPr="00A34FC7">
        <w:t xml:space="preserve"> the adoption and use of ride-hailing services </w:t>
      </w:r>
      <w:r w:rsidR="0086279C" w:rsidRPr="00A34FC7">
        <w:t>while explicitly</w:t>
      </w:r>
      <w:r w:rsidR="00990E7F" w:rsidRPr="00A34FC7">
        <w:t xml:space="preserve"> controlling for changes in other factors.</w:t>
      </w:r>
    </w:p>
    <w:p w14:paraId="4D0334F0" w14:textId="77777777" w:rsidR="00723558" w:rsidRPr="00A34FC7" w:rsidRDefault="00723558" w:rsidP="00723558">
      <w:pPr>
        <w:spacing w:after="0"/>
        <w:ind w:firstLine="0"/>
      </w:pPr>
    </w:p>
    <w:p w14:paraId="005EB100" w14:textId="1A699384" w:rsidR="00646FCE" w:rsidRPr="00A34FC7" w:rsidRDefault="00D36E59" w:rsidP="00723558">
      <w:pPr>
        <w:pStyle w:val="Heading1"/>
        <w:spacing w:before="0" w:after="0"/>
      </w:pPr>
      <w:bookmarkStart w:id="1" w:name="_Ref1571897"/>
      <w:r w:rsidRPr="00A34FC7">
        <w:t>Data</w:t>
      </w:r>
      <w:bookmarkEnd w:id="1"/>
    </w:p>
    <w:p w14:paraId="32B2EBB5" w14:textId="56B2BA9E" w:rsidR="00723558" w:rsidRDefault="0086279C" w:rsidP="00723558">
      <w:pPr>
        <w:spacing w:after="0"/>
        <w:ind w:firstLine="0"/>
      </w:pPr>
      <w:r w:rsidRPr="00A34FC7">
        <w:t>Ride-hailing services were introduced in the Puget Sound region in 2011</w:t>
      </w:r>
      <w:r w:rsidR="003E70C9" w:rsidRPr="00A34FC7">
        <w:t xml:space="preserve"> (</w:t>
      </w:r>
      <w:r w:rsidR="00374974" w:rsidRPr="00A34FC7">
        <w:rPr>
          <w:i/>
        </w:rPr>
        <w:t>33</w:t>
      </w:r>
      <w:r w:rsidR="003E70C9" w:rsidRPr="00A34FC7">
        <w:t>)</w:t>
      </w:r>
      <w:r w:rsidRPr="00A34FC7">
        <w:t>.</w:t>
      </w:r>
      <w:r w:rsidR="009437A7" w:rsidRPr="00A34FC7">
        <w:t xml:space="preserve"> </w:t>
      </w:r>
      <w:r w:rsidRPr="00A34FC7">
        <w:t xml:space="preserve">In this study, </w:t>
      </w:r>
      <w:r w:rsidR="00650F8A" w:rsidRPr="00A34FC7">
        <w:t xml:space="preserve">ride-hailing </w:t>
      </w:r>
      <w:r w:rsidR="001460F2" w:rsidRPr="00A34FC7">
        <w:t xml:space="preserve">usage </w:t>
      </w:r>
      <w:r w:rsidRPr="00A34FC7">
        <w:t xml:space="preserve">is analyzed by </w:t>
      </w:r>
      <w:r w:rsidR="005D3497" w:rsidRPr="00A34FC7">
        <w:t>pool</w:t>
      </w:r>
      <w:r w:rsidRPr="00A34FC7">
        <w:t>ing</w:t>
      </w:r>
      <w:r w:rsidR="005D3497" w:rsidRPr="00A34FC7">
        <w:t xml:space="preserve"> </w:t>
      </w:r>
      <w:r w:rsidR="00CE3677" w:rsidRPr="00A34FC7">
        <w:t xml:space="preserve">data from the 2015 and 2017 </w:t>
      </w:r>
      <w:r w:rsidRPr="00A34FC7">
        <w:t>Puget Sound Regional Household Travel Surveys conducted by the Puget Sound Regional Council (</w:t>
      </w:r>
      <w:r w:rsidR="00374974" w:rsidRPr="00A34FC7">
        <w:rPr>
          <w:i/>
        </w:rPr>
        <w:t>34</w:t>
      </w:r>
      <w:r w:rsidR="00374974" w:rsidRPr="00A34FC7">
        <w:t xml:space="preserve">, </w:t>
      </w:r>
      <w:r w:rsidR="00374974" w:rsidRPr="00A34FC7">
        <w:rPr>
          <w:i/>
        </w:rPr>
        <w:t>35</w:t>
      </w:r>
      <w:r w:rsidRPr="00A34FC7">
        <w:t>). The data collection process, the assembly of the pooled data, and the data sample characteristics are described in this section of the paper.</w:t>
      </w:r>
    </w:p>
    <w:p w14:paraId="1A7D28BD" w14:textId="7F491B8D" w:rsidR="008A3F33" w:rsidRPr="00C6712A" w:rsidRDefault="0086279C" w:rsidP="00723558">
      <w:pPr>
        <w:spacing w:after="0"/>
        <w:ind w:firstLine="0"/>
      </w:pPr>
      <w:r w:rsidRPr="00C6712A">
        <w:t xml:space="preserve"> </w:t>
      </w:r>
    </w:p>
    <w:p w14:paraId="76F8B5BB" w14:textId="7108CC4D" w:rsidR="00D9578C" w:rsidRPr="00C6712A" w:rsidRDefault="0023004D" w:rsidP="00723558">
      <w:pPr>
        <w:pStyle w:val="Heading2"/>
        <w:spacing w:before="0" w:after="0"/>
      </w:pPr>
      <w:bookmarkStart w:id="2" w:name="_Ref11769015"/>
      <w:r w:rsidRPr="00C6712A">
        <w:t xml:space="preserve">Survey </w:t>
      </w:r>
      <w:r w:rsidR="007356FF">
        <w:t>D</w:t>
      </w:r>
      <w:r w:rsidR="00E00E6B" w:rsidRPr="00C6712A">
        <w:t xml:space="preserve">ata </w:t>
      </w:r>
      <w:bookmarkEnd w:id="2"/>
      <w:r w:rsidR="007356FF">
        <w:t>C</w:t>
      </w:r>
      <w:r w:rsidR="00850AF8">
        <w:t>o</w:t>
      </w:r>
      <w:r w:rsidR="00E00E6B" w:rsidRPr="00C6712A">
        <w:t xml:space="preserve">llection </w:t>
      </w:r>
      <w:r w:rsidR="007356FF">
        <w:t>P</w:t>
      </w:r>
      <w:r w:rsidR="00E00E6B" w:rsidRPr="00C6712A">
        <w:t>rocess</w:t>
      </w:r>
    </w:p>
    <w:p w14:paraId="6AEEA6D9" w14:textId="2020EFD1" w:rsidR="00791586" w:rsidRPr="00C6712A" w:rsidRDefault="0023004D" w:rsidP="00040E60">
      <w:pPr>
        <w:ind w:firstLine="0"/>
      </w:pPr>
      <w:r w:rsidRPr="00C6712A">
        <w:t xml:space="preserve">In both 2015 and 2017, </w:t>
      </w:r>
      <w:r w:rsidR="0034124B" w:rsidRPr="00C6712A">
        <w:t>t</w:t>
      </w:r>
      <w:r w:rsidRPr="00C6712A">
        <w:t xml:space="preserve">he </w:t>
      </w:r>
      <w:r w:rsidR="0034124B" w:rsidRPr="00C6712A">
        <w:t xml:space="preserve">Puget Sound Regional Household Travel Survey (hereafter, the </w:t>
      </w:r>
      <w:r w:rsidRPr="00C6712A">
        <w:t>survey</w:t>
      </w:r>
      <w:r w:rsidR="0034124B" w:rsidRPr="00C6712A">
        <w:t xml:space="preserve">) </w:t>
      </w:r>
      <w:r w:rsidRPr="00C6712A">
        <w:t xml:space="preserve">was comprised of three main sections. </w:t>
      </w:r>
    </w:p>
    <w:p w14:paraId="6083CC70" w14:textId="2A9CEB83" w:rsidR="00791586" w:rsidRPr="00C6712A" w:rsidRDefault="003E70C9" w:rsidP="00723558">
      <w:pPr>
        <w:pStyle w:val="ListParagraph"/>
        <w:numPr>
          <w:ilvl w:val="0"/>
          <w:numId w:val="22"/>
        </w:numPr>
        <w:contextualSpacing w:val="0"/>
      </w:pPr>
      <w:r w:rsidRPr="00C6712A">
        <w:t xml:space="preserve">Section </w:t>
      </w:r>
      <w:r w:rsidR="00791586" w:rsidRPr="00C6712A">
        <w:t>I: Pre-travel diary information: designed to collect general household</w:t>
      </w:r>
      <w:r w:rsidR="00FD52ED" w:rsidRPr="00C6712A">
        <w:t>-</w:t>
      </w:r>
      <w:r w:rsidR="00791586" w:rsidRPr="00C6712A">
        <w:t xml:space="preserve"> and individual</w:t>
      </w:r>
      <w:r w:rsidR="00FD52ED" w:rsidRPr="00C6712A">
        <w:t>-</w:t>
      </w:r>
      <w:r w:rsidR="0023004D" w:rsidRPr="00C6712A">
        <w:t xml:space="preserve">socio-economic, demographic, and related </w:t>
      </w:r>
      <w:r w:rsidR="00062EE9" w:rsidRPr="00C6712A">
        <w:t>information</w:t>
      </w:r>
    </w:p>
    <w:p w14:paraId="3B46DD66" w14:textId="6103B81C" w:rsidR="00791586" w:rsidRPr="00C6712A" w:rsidRDefault="003E70C9" w:rsidP="00723558">
      <w:pPr>
        <w:pStyle w:val="ListParagraph"/>
        <w:numPr>
          <w:ilvl w:val="0"/>
          <w:numId w:val="22"/>
        </w:numPr>
        <w:contextualSpacing w:val="0"/>
      </w:pPr>
      <w:r w:rsidRPr="00C6712A">
        <w:t xml:space="preserve">Section </w:t>
      </w:r>
      <w:r w:rsidR="00791586" w:rsidRPr="00C6712A">
        <w:t>II: Travel diary: designed to collect information on individuals’ actual trip making</w:t>
      </w:r>
      <w:r w:rsidR="00F15EC4" w:rsidRPr="00C6712A">
        <w:t xml:space="preserve"> patterns by re</w:t>
      </w:r>
      <w:r w:rsidR="0023004D" w:rsidRPr="00C6712A">
        <w:t>cording</w:t>
      </w:r>
      <w:r w:rsidR="00791586" w:rsidRPr="00C6712A">
        <w:t xml:space="preserve"> </w:t>
      </w:r>
      <w:r w:rsidR="00F15EC4" w:rsidRPr="00C6712A">
        <w:t>all trips undertaken by each individual in the household</w:t>
      </w:r>
    </w:p>
    <w:p w14:paraId="2692C80F" w14:textId="2AEB25C1" w:rsidR="00791586" w:rsidRPr="00C6712A" w:rsidRDefault="003E70C9" w:rsidP="006E6706">
      <w:pPr>
        <w:pStyle w:val="ListParagraph"/>
        <w:numPr>
          <w:ilvl w:val="0"/>
          <w:numId w:val="22"/>
        </w:numPr>
      </w:pPr>
      <w:r w:rsidRPr="00C6712A">
        <w:t xml:space="preserve">Section </w:t>
      </w:r>
      <w:r w:rsidR="00791586" w:rsidRPr="00C6712A">
        <w:t xml:space="preserve">III: Post-travel diary information: designed to collect additional </w:t>
      </w:r>
      <w:r w:rsidR="00E93658" w:rsidRPr="00C6712A">
        <w:t>individual-specific</w:t>
      </w:r>
      <w:r w:rsidR="0034124B" w:rsidRPr="00C6712A">
        <w:t xml:space="preserve"> </w:t>
      </w:r>
      <w:r w:rsidR="0023004D" w:rsidRPr="00C6712A">
        <w:t xml:space="preserve">attitudinal and </w:t>
      </w:r>
      <w:r w:rsidR="0034124B" w:rsidRPr="00C6712A">
        <w:t xml:space="preserve">mode usage and </w:t>
      </w:r>
      <w:r w:rsidR="0023004D" w:rsidRPr="00C6712A">
        <w:t>preference</w:t>
      </w:r>
      <w:r w:rsidR="00E93658" w:rsidRPr="00C6712A">
        <w:t xml:space="preserve"> </w:t>
      </w:r>
      <w:r w:rsidR="00791586" w:rsidRPr="00C6712A">
        <w:t>information</w:t>
      </w:r>
      <w:r w:rsidR="00EB5160" w:rsidRPr="00C6712A">
        <w:t xml:space="preserve"> (</w:t>
      </w:r>
      <w:r w:rsidR="00DC6D52" w:rsidRPr="00C6712A">
        <w:rPr>
          <w:i/>
        </w:rPr>
        <w:t>e.g.</w:t>
      </w:r>
      <w:r w:rsidR="0034124B" w:rsidRPr="00C6712A">
        <w:t xml:space="preserve">, </w:t>
      </w:r>
      <w:r w:rsidR="0023004D" w:rsidRPr="00C6712A">
        <w:t>frequency of use of alternative travel modes,</w:t>
      </w:r>
      <w:r w:rsidR="00EB5160" w:rsidRPr="00C6712A">
        <w:t xml:space="preserve"> </w:t>
      </w:r>
      <w:r w:rsidR="00791586" w:rsidRPr="00C6712A">
        <w:t>including ride-hailing services</w:t>
      </w:r>
      <w:r w:rsidR="0023004D" w:rsidRPr="00C6712A">
        <w:t xml:space="preserve">; attitudes towards autonomous vehicles; </w:t>
      </w:r>
      <w:r w:rsidR="0034124B" w:rsidRPr="00C6712A">
        <w:t xml:space="preserve">and </w:t>
      </w:r>
      <w:r w:rsidR="0023004D" w:rsidRPr="00C6712A">
        <w:t xml:space="preserve">preferences regarding </w:t>
      </w:r>
      <w:r w:rsidR="00522EE7" w:rsidRPr="00C6712A">
        <w:t>ridesharing</w:t>
      </w:r>
      <w:r w:rsidR="009B20E0" w:rsidRPr="00C6712A">
        <w:t xml:space="preserve">) </w:t>
      </w:r>
    </w:p>
    <w:p w14:paraId="76FBD39F" w14:textId="2E36D152" w:rsidR="0044285B" w:rsidRPr="00C6712A" w:rsidRDefault="000D3818" w:rsidP="00723558">
      <w:pPr>
        <w:spacing w:after="0"/>
      </w:pPr>
      <w:r w:rsidRPr="00C6712A">
        <w:t xml:space="preserve">As </w:t>
      </w:r>
      <w:r w:rsidR="0034124B" w:rsidRPr="00C6712A">
        <w:t>noted earlier</w:t>
      </w:r>
      <w:r w:rsidRPr="00C6712A">
        <w:t>,</w:t>
      </w:r>
      <w:r w:rsidR="00007E84" w:rsidRPr="00C6712A">
        <w:t xml:space="preserve"> </w:t>
      </w:r>
      <w:r w:rsidRPr="00C6712A">
        <w:t xml:space="preserve">the </w:t>
      </w:r>
      <w:r w:rsidR="00D9578C" w:rsidRPr="00C6712A">
        <w:t>survey did</w:t>
      </w:r>
      <w:r w:rsidRPr="00C6712A">
        <w:t xml:space="preserve"> not constitute a panel-based approach, and therefore there was no effort to track the same households across survey years. The PSRC used a household address-based sampling frame with a geographically stratified sampling approach. Using this approach, invitations </w:t>
      </w:r>
      <w:r w:rsidR="00D9578C" w:rsidRPr="00C6712A">
        <w:t xml:space="preserve">requesting participation in the study </w:t>
      </w:r>
      <w:r w:rsidRPr="00C6712A">
        <w:t>were sent out to numerous households</w:t>
      </w:r>
      <w:r w:rsidR="00B618AA" w:rsidRPr="00C6712A">
        <w:t xml:space="preserve"> </w:t>
      </w:r>
      <w:r w:rsidRPr="00C6712A">
        <w:t>through postcards (</w:t>
      </w:r>
      <w:r w:rsidRPr="00C6712A">
        <w:rPr>
          <w:i/>
        </w:rPr>
        <w:t>i.e.</w:t>
      </w:r>
      <w:r w:rsidR="0034124B" w:rsidRPr="00C6712A">
        <w:t xml:space="preserve">, </w:t>
      </w:r>
      <w:r w:rsidRPr="00C6712A">
        <w:t xml:space="preserve">physical mail), e-mail, </w:t>
      </w:r>
      <w:r w:rsidR="00A73FFC" w:rsidRPr="00C6712A">
        <w:t>tele</w:t>
      </w:r>
      <w:r w:rsidRPr="00C6712A">
        <w:t>phone calls</w:t>
      </w:r>
      <w:r w:rsidR="00796A55" w:rsidRPr="00C6712A">
        <w:t xml:space="preserve"> and Facebook ads (the Facebook ads were exclusive to the 2017 effort)</w:t>
      </w:r>
      <w:r w:rsidRPr="00C6712A">
        <w:t xml:space="preserve">. Those who agreed </w:t>
      </w:r>
      <w:r w:rsidR="0044285B" w:rsidRPr="00C6712A">
        <w:t xml:space="preserve">could choose to fill out </w:t>
      </w:r>
      <w:r w:rsidR="003E70C9" w:rsidRPr="00C6712A">
        <w:t xml:space="preserve">Section </w:t>
      </w:r>
      <w:r w:rsidR="001B069A" w:rsidRPr="00C6712A">
        <w:t>I of</w:t>
      </w:r>
      <w:r w:rsidR="00730D9B" w:rsidRPr="00C6712A">
        <w:t xml:space="preserve"> </w:t>
      </w:r>
      <w:r w:rsidR="0044285B" w:rsidRPr="00C6712A">
        <w:t xml:space="preserve">the survey either through an online platform named </w:t>
      </w:r>
      <w:proofErr w:type="spellStart"/>
      <w:r w:rsidR="0044285B" w:rsidRPr="00C6712A">
        <w:t>rSurvey</w:t>
      </w:r>
      <w:proofErr w:type="spellEnd"/>
      <w:r w:rsidR="0044285B" w:rsidRPr="00C6712A">
        <w:t>, or by telephone</w:t>
      </w:r>
      <w:r w:rsidR="0034124B" w:rsidRPr="00C6712A">
        <w:t xml:space="preserve"> –</w:t>
      </w:r>
      <w:r w:rsidR="0044285B" w:rsidRPr="00C6712A">
        <w:t xml:space="preserve"> where</w:t>
      </w:r>
      <w:r w:rsidR="0034124B" w:rsidRPr="00C6712A">
        <w:t xml:space="preserve"> </w:t>
      </w:r>
      <w:r w:rsidR="0044285B" w:rsidRPr="00C6712A">
        <w:t xml:space="preserve">a </w:t>
      </w:r>
      <w:r w:rsidR="00A73FFC" w:rsidRPr="00C6712A">
        <w:t>tele</w:t>
      </w:r>
      <w:r w:rsidR="0044285B" w:rsidRPr="00C6712A">
        <w:t xml:space="preserve">phone attendant solicited information from the respondent and actually used the </w:t>
      </w:r>
      <w:proofErr w:type="spellStart"/>
      <w:r w:rsidR="0044285B" w:rsidRPr="00C6712A">
        <w:t>rSurvey</w:t>
      </w:r>
      <w:proofErr w:type="spellEnd"/>
      <w:r w:rsidR="0044285B" w:rsidRPr="00C6712A">
        <w:t xml:space="preserve"> platform to </w:t>
      </w:r>
      <w:r w:rsidR="0034124B" w:rsidRPr="00C6712A">
        <w:t>enter</w:t>
      </w:r>
      <w:r w:rsidR="0044285B" w:rsidRPr="00C6712A">
        <w:t xml:space="preserve"> </w:t>
      </w:r>
      <w:r w:rsidR="0044285B" w:rsidRPr="00C6712A">
        <w:lastRenderedPageBreak/>
        <w:t>the respondent’s information.</w:t>
      </w:r>
      <w:r w:rsidR="006348CC" w:rsidRPr="00C6712A">
        <w:t xml:space="preserve"> </w:t>
      </w:r>
      <w:r w:rsidR="00137262" w:rsidRPr="00C6712A">
        <w:t>T</w:t>
      </w:r>
      <w:r w:rsidR="006348CC" w:rsidRPr="00C6712A">
        <w:t xml:space="preserve">he distinction between these two </w:t>
      </w:r>
      <w:r w:rsidR="0034124B" w:rsidRPr="00C6712A">
        <w:t xml:space="preserve">modes of responses </w:t>
      </w:r>
      <w:r w:rsidR="00137262" w:rsidRPr="00C6712A">
        <w:t>was</w:t>
      </w:r>
      <w:r w:rsidR="006348CC" w:rsidRPr="00C6712A">
        <w:t xml:space="preserve"> not available in the publicly available datasets, making this an unobserved preference.</w:t>
      </w:r>
    </w:p>
    <w:p w14:paraId="61AF2AE8" w14:textId="71FB2EFB" w:rsidR="00E93658" w:rsidRPr="00A34FC7" w:rsidRDefault="00266EA9" w:rsidP="00723558">
      <w:pPr>
        <w:spacing w:after="0"/>
      </w:pPr>
      <w:r w:rsidRPr="00A34FC7">
        <w:t xml:space="preserve">In 2015, </w:t>
      </w:r>
      <w:r w:rsidR="00665E79" w:rsidRPr="00A34FC7">
        <w:t xml:space="preserve">Section </w:t>
      </w:r>
      <w:r w:rsidR="001C13F8" w:rsidRPr="00A34FC7">
        <w:t xml:space="preserve">II of the survey (the </w:t>
      </w:r>
      <w:r w:rsidR="00F01526" w:rsidRPr="00A34FC7">
        <w:t>t</w:t>
      </w:r>
      <w:r w:rsidR="001C13F8" w:rsidRPr="00A34FC7">
        <w:t xml:space="preserve">ravel </w:t>
      </w:r>
      <w:r w:rsidR="00F01526" w:rsidRPr="00A34FC7">
        <w:t>d</w:t>
      </w:r>
      <w:r w:rsidR="001C13F8" w:rsidRPr="00A34FC7">
        <w:t>iary section)</w:t>
      </w:r>
      <w:r w:rsidR="001B069A" w:rsidRPr="00A34FC7">
        <w:t xml:space="preserve"> </w:t>
      </w:r>
      <w:r w:rsidR="0034124B" w:rsidRPr="00A34FC7">
        <w:t>had to be completed</w:t>
      </w:r>
      <w:r w:rsidR="001B069A" w:rsidRPr="00A34FC7">
        <w:t xml:space="preserve"> using the same survey instrument as chosen by the respondent in </w:t>
      </w:r>
      <w:r w:rsidR="00665E79" w:rsidRPr="00A34FC7">
        <w:t xml:space="preserve">Section </w:t>
      </w:r>
      <w:r w:rsidR="001B069A" w:rsidRPr="00A34FC7">
        <w:t xml:space="preserve">I. </w:t>
      </w:r>
      <w:r w:rsidR="00AD3C95" w:rsidRPr="00A34FC7">
        <w:t>I</w:t>
      </w:r>
      <w:r w:rsidRPr="00A34FC7">
        <w:t>n 2017,</w:t>
      </w:r>
      <w:r w:rsidR="000D3818" w:rsidRPr="00A34FC7">
        <w:t xml:space="preserve"> </w:t>
      </w:r>
      <w:r w:rsidR="00AD3C95" w:rsidRPr="00A34FC7">
        <w:t xml:space="preserve">however, </w:t>
      </w:r>
      <w:r w:rsidR="004916DD" w:rsidRPr="00A34FC7">
        <w:t xml:space="preserve">some of the </w:t>
      </w:r>
      <w:r w:rsidR="001E561B" w:rsidRPr="00A34FC7">
        <w:t xml:space="preserve">users were allowed to </w:t>
      </w:r>
      <w:r w:rsidR="0034124B" w:rsidRPr="00A34FC7">
        <w:t>complete</w:t>
      </w:r>
      <w:r w:rsidR="001E561B" w:rsidRPr="00A34FC7">
        <w:t xml:space="preserve"> </w:t>
      </w:r>
      <w:r w:rsidRPr="00A34FC7">
        <w:t>th</w:t>
      </w:r>
      <w:r w:rsidR="00435A97" w:rsidRPr="00A34FC7">
        <w:t>is</w:t>
      </w:r>
      <w:r w:rsidRPr="00A34FC7">
        <w:t xml:space="preserve"> section of the survey</w:t>
      </w:r>
      <w:r w:rsidR="000D3818" w:rsidRPr="00A34FC7">
        <w:t xml:space="preserve"> </w:t>
      </w:r>
      <w:r w:rsidR="001E561B" w:rsidRPr="00A34FC7">
        <w:t xml:space="preserve">using </w:t>
      </w:r>
      <w:r w:rsidR="00AD3C95" w:rsidRPr="00A34FC7">
        <w:t>a smart</w:t>
      </w:r>
      <w:r w:rsidR="000D3818" w:rsidRPr="00A34FC7">
        <w:t>phone</w:t>
      </w:r>
      <w:r w:rsidR="001B069A" w:rsidRPr="00A34FC7">
        <w:t xml:space="preserve"> app</w:t>
      </w:r>
      <w:r w:rsidR="00AD3C95" w:rsidRPr="00A34FC7">
        <w:t xml:space="preserve"> </w:t>
      </w:r>
      <w:r w:rsidR="00522B6C" w:rsidRPr="00A34FC7">
        <w:t xml:space="preserve">named </w:t>
      </w:r>
      <w:proofErr w:type="spellStart"/>
      <w:r w:rsidR="00522B6C" w:rsidRPr="00A34FC7">
        <w:t>rMove</w:t>
      </w:r>
      <w:proofErr w:type="spellEnd"/>
      <w:r w:rsidR="00E91B47" w:rsidRPr="00A34FC7">
        <w:t xml:space="preserve"> (a small pilot smartphone app retrieval was also trialed in 2015, but these households are not included in the publicly available 2015 data)</w:t>
      </w:r>
      <w:r w:rsidR="00FB1F50" w:rsidRPr="00A34FC7">
        <w:t>.</w:t>
      </w:r>
      <w:r w:rsidR="001B069A" w:rsidRPr="00A34FC7">
        <w:t xml:space="preserve"> </w:t>
      </w:r>
      <w:r w:rsidR="00FB1F50" w:rsidRPr="00A34FC7">
        <w:t xml:space="preserve">The app </w:t>
      </w:r>
      <w:r w:rsidR="001B069A" w:rsidRPr="00A34FC7">
        <w:t xml:space="preserve">could </w:t>
      </w:r>
      <w:r w:rsidR="0034124B" w:rsidRPr="00A34FC7">
        <w:t xml:space="preserve">(passively) </w:t>
      </w:r>
      <w:r w:rsidR="001B069A" w:rsidRPr="00A34FC7">
        <w:t xml:space="preserve">track GPS locations and </w:t>
      </w:r>
      <w:r w:rsidR="001E561B" w:rsidRPr="00A34FC7">
        <w:t xml:space="preserve">periodically remind the </w:t>
      </w:r>
      <w:r w:rsidR="001B069A" w:rsidRPr="00A34FC7">
        <w:t>respondent</w:t>
      </w:r>
      <w:r w:rsidR="0034124B" w:rsidRPr="00A34FC7">
        <w:t>s</w:t>
      </w:r>
      <w:r w:rsidR="001B069A" w:rsidRPr="00A34FC7">
        <w:t xml:space="preserve"> </w:t>
      </w:r>
      <w:r w:rsidR="00731B3A" w:rsidRPr="00A34FC7">
        <w:t xml:space="preserve">to </w:t>
      </w:r>
      <w:r w:rsidR="0034124B" w:rsidRPr="00A34FC7">
        <w:t>activate the app and provide all secondary</w:t>
      </w:r>
      <w:r w:rsidR="00731B3A" w:rsidRPr="00A34FC7">
        <w:t xml:space="preserve"> travel diar</w:t>
      </w:r>
      <w:r w:rsidR="0034124B" w:rsidRPr="00A34FC7">
        <w:t>y data</w:t>
      </w:r>
      <w:r w:rsidR="00731B3A" w:rsidRPr="00A34FC7">
        <w:t xml:space="preserve"> </w:t>
      </w:r>
      <w:r w:rsidR="001B069A" w:rsidRPr="00A34FC7">
        <w:t xml:space="preserve">during the travel </w:t>
      </w:r>
      <w:r w:rsidR="0034124B" w:rsidRPr="00A34FC7">
        <w:t xml:space="preserve">survey </w:t>
      </w:r>
      <w:r w:rsidR="001B069A" w:rsidRPr="00A34FC7">
        <w:t>day</w:t>
      </w:r>
      <w:r w:rsidR="00172199" w:rsidRPr="00A34FC7">
        <w:t>s</w:t>
      </w:r>
      <w:r w:rsidR="000D3818" w:rsidRPr="00A34FC7">
        <w:t xml:space="preserve">. </w:t>
      </w:r>
      <w:r w:rsidR="001B069A" w:rsidRPr="00A34FC7">
        <w:t xml:space="preserve">The </w:t>
      </w:r>
      <w:r w:rsidR="000774A0" w:rsidRPr="00A34FC7">
        <w:t>choice between</w:t>
      </w:r>
      <w:r w:rsidR="001B069A" w:rsidRPr="00A34FC7">
        <w:t xml:space="preserve"> </w:t>
      </w:r>
      <w:proofErr w:type="spellStart"/>
      <w:r w:rsidR="001B069A" w:rsidRPr="00A34FC7">
        <w:t>rSurvey</w:t>
      </w:r>
      <w:proofErr w:type="spellEnd"/>
      <w:r w:rsidR="001B069A" w:rsidRPr="00A34FC7">
        <w:t xml:space="preserve"> or </w:t>
      </w:r>
      <w:proofErr w:type="spellStart"/>
      <w:r w:rsidR="001B069A" w:rsidRPr="00A34FC7">
        <w:t>rMove</w:t>
      </w:r>
      <w:proofErr w:type="spellEnd"/>
      <w:r w:rsidR="001B069A" w:rsidRPr="00A34FC7">
        <w:t xml:space="preserve"> </w:t>
      </w:r>
      <w:r w:rsidR="000774A0" w:rsidRPr="00A34FC7">
        <w:t xml:space="preserve">for the travel </w:t>
      </w:r>
      <w:r w:rsidR="0034124B" w:rsidRPr="00A34FC7">
        <w:t>diary portion of the survey was offered</w:t>
      </w:r>
      <w:r w:rsidR="000774A0" w:rsidRPr="00A34FC7">
        <w:t xml:space="preserve"> using </w:t>
      </w:r>
      <w:r w:rsidR="0097710A" w:rsidRPr="00A34FC7">
        <w:t>the following protocol</w:t>
      </w:r>
      <w:r w:rsidR="001B069A" w:rsidRPr="00A34FC7">
        <w:t xml:space="preserve">: </w:t>
      </w:r>
      <w:r w:rsidRPr="00A34FC7">
        <w:t xml:space="preserve">during each week of the 2017 data collection process, the first 140 households in which all adults reported owning </w:t>
      </w:r>
      <w:proofErr w:type="spellStart"/>
      <w:r w:rsidR="00E200CA" w:rsidRPr="00A34FC7">
        <w:t>rMove</w:t>
      </w:r>
      <w:proofErr w:type="spellEnd"/>
      <w:r w:rsidR="00E200CA" w:rsidRPr="00A34FC7">
        <w:t>-</w:t>
      </w:r>
      <w:r w:rsidRPr="00A34FC7">
        <w:t>compatible smartphones</w:t>
      </w:r>
      <w:r w:rsidR="00DC2AE1" w:rsidRPr="00A34FC7">
        <w:t xml:space="preserve"> were given the </w:t>
      </w:r>
      <w:r w:rsidR="00DC2AE1" w:rsidRPr="00A34FC7">
        <w:rPr>
          <w:bCs/>
        </w:rPr>
        <w:t>option</w:t>
      </w:r>
      <w:r w:rsidR="00DC2AE1" w:rsidRPr="00A34FC7">
        <w:t xml:space="preserve"> to</w:t>
      </w:r>
      <w:r w:rsidRPr="00A34FC7">
        <w:t xml:space="preserve"> </w:t>
      </w:r>
      <w:r w:rsidR="00DC2AE1" w:rsidRPr="00A34FC7">
        <w:t>use</w:t>
      </w:r>
      <w:r w:rsidRPr="00A34FC7">
        <w:t xml:space="preserve"> the smartphone app</w:t>
      </w:r>
      <w:r w:rsidR="00B50FDC" w:rsidRPr="00A34FC7">
        <w:t xml:space="preserve"> for an additional $15 incentive per person</w:t>
      </w:r>
      <w:r w:rsidRPr="00A34FC7">
        <w:t xml:space="preserve">, while </w:t>
      </w:r>
      <w:r w:rsidR="00027FAC" w:rsidRPr="00A34FC7">
        <w:t xml:space="preserve">that week’s </w:t>
      </w:r>
      <w:r w:rsidRPr="00A34FC7">
        <w:t xml:space="preserve">remaining households were automatically assigned to </w:t>
      </w:r>
      <w:r w:rsidR="00B45B3F" w:rsidRPr="00A34FC7">
        <w:t>complete</w:t>
      </w:r>
      <w:r w:rsidR="00817F36" w:rsidRPr="00A34FC7">
        <w:t xml:space="preserve"> their travel diaries</w:t>
      </w:r>
      <w:r w:rsidRPr="00A34FC7">
        <w:t xml:space="preserve"> using </w:t>
      </w:r>
      <w:proofErr w:type="spellStart"/>
      <w:r w:rsidR="00FE4AE4" w:rsidRPr="00A34FC7">
        <w:t>rSurvey</w:t>
      </w:r>
      <w:proofErr w:type="spellEnd"/>
      <w:r w:rsidR="00FE4AE4" w:rsidRPr="00A34FC7">
        <w:t xml:space="preserve">, </w:t>
      </w:r>
      <w:r w:rsidRPr="00A34FC7">
        <w:t xml:space="preserve">the online survey tool. </w:t>
      </w:r>
    </w:p>
    <w:p w14:paraId="66807680" w14:textId="2F6D37A6" w:rsidR="00007E84" w:rsidRPr="00A34FC7" w:rsidRDefault="000E7352" w:rsidP="00723558">
      <w:pPr>
        <w:spacing w:after="0"/>
      </w:pPr>
      <w:r w:rsidRPr="00A34FC7">
        <w:t xml:space="preserve">Once respondents </w:t>
      </w:r>
      <w:r w:rsidR="00B45B3F" w:rsidRPr="00A34FC7">
        <w:t>completed the</w:t>
      </w:r>
      <w:r w:rsidRPr="00A34FC7">
        <w:t xml:space="preserve"> travel diary portion of the survey, </w:t>
      </w:r>
      <w:r w:rsidR="001C4E1F" w:rsidRPr="00A34FC7">
        <w:t>they</w:t>
      </w:r>
      <w:r w:rsidR="00A04F8E" w:rsidRPr="00A34FC7">
        <w:t xml:space="preserve"> were </w:t>
      </w:r>
      <w:r w:rsidR="0095423A" w:rsidRPr="00A34FC7">
        <w:t xml:space="preserve">led to </w:t>
      </w:r>
      <w:r w:rsidR="00665E79" w:rsidRPr="00A34FC7">
        <w:t xml:space="preserve">Section </w:t>
      </w:r>
      <w:r w:rsidR="00992621" w:rsidRPr="00A34FC7">
        <w:t>III, where they were asked</w:t>
      </w:r>
      <w:r w:rsidR="00A04F8E" w:rsidRPr="00A34FC7">
        <w:t xml:space="preserve"> to </w:t>
      </w:r>
      <w:r w:rsidR="00BD11EA" w:rsidRPr="00A34FC7">
        <w:t>provide</w:t>
      </w:r>
      <w:r w:rsidR="00A04F8E" w:rsidRPr="00A34FC7">
        <w:t xml:space="preserve"> </w:t>
      </w:r>
      <w:r w:rsidRPr="00A34FC7">
        <w:t xml:space="preserve">their frequencies of </w:t>
      </w:r>
      <w:r w:rsidR="00BD11EA" w:rsidRPr="00A34FC7">
        <w:t xml:space="preserve">use of </w:t>
      </w:r>
      <w:r w:rsidRPr="00A34FC7">
        <w:t xml:space="preserve">certain </w:t>
      </w:r>
      <w:r w:rsidR="00BD11EA" w:rsidRPr="00A34FC7">
        <w:t xml:space="preserve">modes (including ride-hailing services), </w:t>
      </w:r>
      <w:r w:rsidR="00F073B0" w:rsidRPr="00A34FC7">
        <w:t xml:space="preserve">their </w:t>
      </w:r>
      <w:r w:rsidR="00BD11EA" w:rsidRPr="00A34FC7">
        <w:t>workplace/school locations</w:t>
      </w:r>
      <w:r w:rsidR="00B45B3F" w:rsidRPr="00A34FC7">
        <w:t>,</w:t>
      </w:r>
      <w:r w:rsidR="002C371B" w:rsidRPr="00A34FC7">
        <w:t xml:space="preserve"> and other individual-specific information</w:t>
      </w:r>
      <w:r w:rsidR="00B45B3F" w:rsidRPr="00A34FC7">
        <w:t xml:space="preserve"> about attitudes and preferences</w:t>
      </w:r>
      <w:r w:rsidR="00BD11EA" w:rsidRPr="00A34FC7">
        <w:t xml:space="preserve">. </w:t>
      </w:r>
      <w:r w:rsidR="00665E79" w:rsidRPr="00A34FC7">
        <w:t xml:space="preserve">Section </w:t>
      </w:r>
      <w:r w:rsidR="00607404" w:rsidRPr="00A34FC7">
        <w:t xml:space="preserve">III </w:t>
      </w:r>
      <w:r w:rsidR="00B45B3F" w:rsidRPr="00A34FC7">
        <w:t>adopted</w:t>
      </w:r>
      <w:r w:rsidR="00607404" w:rsidRPr="00A34FC7">
        <w:t xml:space="preserve"> the same survey instrument </w:t>
      </w:r>
      <w:r w:rsidR="00B45B3F" w:rsidRPr="00A34FC7">
        <w:t xml:space="preserve">as that </w:t>
      </w:r>
      <w:r w:rsidR="00607404" w:rsidRPr="00A34FC7">
        <w:t xml:space="preserve">chosen by the respondent in </w:t>
      </w:r>
      <w:r w:rsidR="00665E79" w:rsidRPr="00A34FC7">
        <w:t xml:space="preserve">Section </w:t>
      </w:r>
      <w:r w:rsidR="00B45B3F" w:rsidRPr="00A34FC7">
        <w:t xml:space="preserve">I of the survey. </w:t>
      </w:r>
    </w:p>
    <w:p w14:paraId="37ED7D00" w14:textId="4C4656D5" w:rsidR="00D822FE" w:rsidRPr="00A34FC7" w:rsidRDefault="009F7F92" w:rsidP="00723558">
      <w:pPr>
        <w:spacing w:after="0"/>
      </w:pPr>
      <w:r w:rsidRPr="00A34FC7">
        <w:t>Beside</w:t>
      </w:r>
      <w:r w:rsidR="00522EE7" w:rsidRPr="00A34FC7">
        <w:t xml:space="preserve">s the slight </w:t>
      </w:r>
      <w:r w:rsidR="00526168" w:rsidRPr="00A34FC7">
        <w:t xml:space="preserve">differences in the </w:t>
      </w:r>
      <w:r w:rsidR="00522EE7" w:rsidRPr="00A34FC7">
        <w:t>d</w:t>
      </w:r>
      <w:r w:rsidR="00526168" w:rsidRPr="00A34FC7">
        <w:t xml:space="preserve">ata collection methods </w:t>
      </w:r>
      <w:r w:rsidR="00522EE7" w:rsidRPr="00A34FC7">
        <w:t>described</w:t>
      </w:r>
      <w:r w:rsidR="00526168" w:rsidRPr="00A34FC7">
        <w:t xml:space="preserve"> above, there were also </w:t>
      </w:r>
      <w:r w:rsidR="006D1DD6" w:rsidRPr="00A34FC7">
        <w:t xml:space="preserve">notable </w:t>
      </w:r>
      <w:r w:rsidR="00D822FE" w:rsidRPr="00A34FC7">
        <w:t>difference</w:t>
      </w:r>
      <w:r w:rsidR="00526168" w:rsidRPr="00A34FC7">
        <w:t>s</w:t>
      </w:r>
      <w:r w:rsidR="00D822FE" w:rsidRPr="00A34FC7">
        <w:t xml:space="preserve"> </w:t>
      </w:r>
      <w:r w:rsidR="00526168" w:rsidRPr="00A34FC7">
        <w:t xml:space="preserve">in </w:t>
      </w:r>
      <w:r w:rsidR="006D1DD6" w:rsidRPr="00A34FC7">
        <w:t xml:space="preserve">the financial incentives </w:t>
      </w:r>
      <w:r w:rsidR="00522EE7" w:rsidRPr="00A34FC7">
        <w:t>offered in</w:t>
      </w:r>
      <w:r w:rsidR="00526168" w:rsidRPr="00A34FC7">
        <w:t xml:space="preserve"> each survey year</w:t>
      </w:r>
      <w:r w:rsidR="006D1DD6" w:rsidRPr="00A34FC7">
        <w:t xml:space="preserve">. In </w:t>
      </w:r>
      <w:r w:rsidR="00502263" w:rsidRPr="00A34FC7">
        <w:t>both years</w:t>
      </w:r>
      <w:r w:rsidR="006D1DD6" w:rsidRPr="00A34FC7">
        <w:t xml:space="preserve">, households were offered a $10 incentive </w:t>
      </w:r>
      <w:r w:rsidR="0064137C" w:rsidRPr="00A34FC7">
        <w:t>in the form of an Amazon or Starbucks gift card if they completed the survey. In 2017,</w:t>
      </w:r>
      <w:r w:rsidR="00502263" w:rsidRPr="00A34FC7">
        <w:t xml:space="preserve"> however,</w:t>
      </w:r>
      <w:r w:rsidR="0064137C" w:rsidRPr="00A34FC7">
        <w:t xml:space="preserve"> </w:t>
      </w:r>
      <w:r w:rsidR="00502263" w:rsidRPr="00A34FC7">
        <w:t xml:space="preserve">there were </w:t>
      </w:r>
      <w:r w:rsidR="005C7760" w:rsidRPr="00A34FC7">
        <w:t xml:space="preserve">some </w:t>
      </w:r>
      <w:r w:rsidR="00522EE7" w:rsidRPr="00A34FC7">
        <w:t>additional</w:t>
      </w:r>
      <w:r w:rsidR="00FC0E03" w:rsidRPr="00A34FC7">
        <w:t xml:space="preserve"> incentives</w:t>
      </w:r>
      <w:r w:rsidR="00B90B48" w:rsidRPr="00A34FC7">
        <w:t>:</w:t>
      </w:r>
      <w:r w:rsidR="0064137C" w:rsidRPr="00A34FC7">
        <w:t xml:space="preserve"> </w:t>
      </w:r>
      <w:r w:rsidR="00B90B48" w:rsidRPr="00A34FC7">
        <w:t>f</w:t>
      </w:r>
      <w:r w:rsidR="0064137C" w:rsidRPr="00A34FC7">
        <w:t xml:space="preserve">irst, to boost </w:t>
      </w:r>
      <w:r w:rsidR="00522EE7" w:rsidRPr="00A34FC7">
        <w:t xml:space="preserve">low </w:t>
      </w:r>
      <w:r w:rsidR="0064137C" w:rsidRPr="00A34FC7">
        <w:t>response rates</w:t>
      </w:r>
      <w:r w:rsidR="0067426E" w:rsidRPr="00A34FC7">
        <w:t xml:space="preserve"> </w:t>
      </w:r>
      <w:r w:rsidR="00522EE7" w:rsidRPr="00A34FC7">
        <w:t>in specific geographic areas</w:t>
      </w:r>
      <w:r w:rsidR="001E2CB3" w:rsidRPr="00A34FC7">
        <w:t>, some households</w:t>
      </w:r>
      <w:r w:rsidR="0064137C" w:rsidRPr="00A34FC7">
        <w:t xml:space="preserve"> qualified to receive an </w:t>
      </w:r>
      <w:r w:rsidR="00FC0E03" w:rsidRPr="00A34FC7">
        <w:t>extra</w:t>
      </w:r>
      <w:r w:rsidR="0064137C" w:rsidRPr="00A34FC7">
        <w:t xml:space="preserve"> $10 </w:t>
      </w:r>
      <w:r w:rsidR="00502263" w:rsidRPr="00A34FC7">
        <w:t>incentive</w:t>
      </w:r>
      <w:r w:rsidR="00B90B48" w:rsidRPr="00A34FC7">
        <w:t>;</w:t>
      </w:r>
      <w:r w:rsidR="0064137C" w:rsidRPr="00A34FC7">
        <w:t xml:space="preserve"> </w:t>
      </w:r>
      <w:r w:rsidR="00B90B48" w:rsidRPr="00A34FC7">
        <w:t>s</w:t>
      </w:r>
      <w:r w:rsidR="0064137C" w:rsidRPr="00A34FC7">
        <w:t xml:space="preserve">econd, </w:t>
      </w:r>
      <w:r w:rsidR="00817F36" w:rsidRPr="00A34FC7">
        <w:t>as mentioned</w:t>
      </w:r>
      <w:r w:rsidR="00522EE7" w:rsidRPr="00A34FC7">
        <w:t xml:space="preserve"> earlier</w:t>
      </w:r>
      <w:r w:rsidR="00817F36" w:rsidRPr="00A34FC7">
        <w:t xml:space="preserve">, </w:t>
      </w:r>
      <w:r w:rsidR="0064137C" w:rsidRPr="00A34FC7">
        <w:t xml:space="preserve">households that opted </w:t>
      </w:r>
      <w:r w:rsidR="00522EE7" w:rsidRPr="00A34FC7">
        <w:t>to use</w:t>
      </w:r>
      <w:r w:rsidR="0064137C" w:rsidRPr="00A34FC7">
        <w:t xml:space="preserve"> </w:t>
      </w:r>
      <w:r w:rsidR="008255F6" w:rsidRPr="00A34FC7">
        <w:t xml:space="preserve">the </w:t>
      </w:r>
      <w:proofErr w:type="spellStart"/>
      <w:r w:rsidR="0064137C" w:rsidRPr="00A34FC7">
        <w:t>rMove</w:t>
      </w:r>
      <w:proofErr w:type="spellEnd"/>
      <w:r w:rsidR="0064137C" w:rsidRPr="00A34FC7">
        <w:t xml:space="preserve"> </w:t>
      </w:r>
      <w:r w:rsidR="008255F6" w:rsidRPr="00A34FC7">
        <w:t xml:space="preserve">smartphone app </w:t>
      </w:r>
      <w:r w:rsidR="00522EE7" w:rsidRPr="00A34FC7">
        <w:t>for recording travel data</w:t>
      </w:r>
      <w:r w:rsidR="008255F6" w:rsidRPr="00A34FC7">
        <w:t xml:space="preserve"> were offered an additional </w:t>
      </w:r>
      <w:r w:rsidR="00712A16" w:rsidRPr="00A34FC7">
        <w:t xml:space="preserve">incentive of </w:t>
      </w:r>
      <w:r w:rsidR="008255F6" w:rsidRPr="00A34FC7">
        <w:t xml:space="preserve">$15 per person. </w:t>
      </w:r>
    </w:p>
    <w:p w14:paraId="7100E48E" w14:textId="6EC0EF22" w:rsidR="00723558" w:rsidRDefault="00522EE7" w:rsidP="00723558">
      <w:pPr>
        <w:spacing w:after="0"/>
      </w:pPr>
      <w:r w:rsidRPr="00A34FC7">
        <w:t>These</w:t>
      </w:r>
      <w:r w:rsidR="00EE5531" w:rsidRPr="00A34FC7">
        <w:t xml:space="preserve"> changes in the data collection process </w:t>
      </w:r>
      <w:r w:rsidRPr="00A34FC7">
        <w:t>between the two</w:t>
      </w:r>
      <w:r w:rsidR="00EE5531" w:rsidRPr="00A34FC7">
        <w:t xml:space="preserve"> years </w:t>
      </w:r>
      <w:r w:rsidR="007E68DA" w:rsidRPr="00A34FC7">
        <w:t>could lead</w:t>
      </w:r>
      <w:r w:rsidR="00EE5531" w:rsidRPr="00A34FC7">
        <w:t xml:space="preserve"> to </w:t>
      </w:r>
      <w:r w:rsidR="00D32300" w:rsidRPr="00A34FC7">
        <w:t>samples that are not directly comparable</w:t>
      </w:r>
      <w:r w:rsidRPr="00A34FC7">
        <w:t xml:space="preserve"> due to sample selection processes at play</w:t>
      </w:r>
      <w:r w:rsidR="00EE5531" w:rsidRPr="00A34FC7">
        <w:t xml:space="preserve">. </w:t>
      </w:r>
      <w:r w:rsidR="005117C0" w:rsidRPr="00A34FC7">
        <w:t xml:space="preserve">For </w:t>
      </w:r>
      <w:r w:rsidR="00EE5531" w:rsidRPr="00A34FC7">
        <w:t>example</w:t>
      </w:r>
      <w:r w:rsidR="005117C0" w:rsidRPr="00A34FC7">
        <w:t>, it</w:t>
      </w:r>
      <w:r w:rsidR="00EE5531" w:rsidRPr="00A34FC7">
        <w:t xml:space="preserve"> </w:t>
      </w:r>
      <w:r w:rsidR="00E31A99" w:rsidRPr="00A34FC7">
        <w:t xml:space="preserve">is quite possible that the 2017 data collection effort </w:t>
      </w:r>
      <w:r w:rsidRPr="00A34FC7">
        <w:t>yielded a sample of</w:t>
      </w:r>
      <w:r w:rsidR="00E31A99" w:rsidRPr="00A34FC7">
        <w:t xml:space="preserve"> more tech-savvy individuals because </w:t>
      </w:r>
      <w:r w:rsidR="00223204" w:rsidRPr="00A34FC7">
        <w:t>some</w:t>
      </w:r>
      <w:r w:rsidR="00E31A99" w:rsidRPr="00A34FC7">
        <w:t xml:space="preserve"> respondents </w:t>
      </w:r>
      <w:r w:rsidR="00223204" w:rsidRPr="00A34FC7">
        <w:t xml:space="preserve">were allowed to </w:t>
      </w:r>
      <w:r w:rsidR="00427FFE" w:rsidRPr="00A34FC7">
        <w:t>us</w:t>
      </w:r>
      <w:r w:rsidR="00223204" w:rsidRPr="00A34FC7">
        <w:t>e</w:t>
      </w:r>
      <w:r w:rsidR="00E31A99" w:rsidRPr="00A34FC7">
        <w:t xml:space="preserve"> </w:t>
      </w:r>
      <w:r w:rsidR="00223204" w:rsidRPr="00A34FC7">
        <w:t>a</w:t>
      </w:r>
      <w:r w:rsidR="00E31A99" w:rsidRPr="00A34FC7">
        <w:t xml:space="preserve"> smartphone</w:t>
      </w:r>
      <w:r w:rsidR="005117C0" w:rsidRPr="00A34FC7">
        <w:t xml:space="preserve"> </w:t>
      </w:r>
      <w:r w:rsidR="00E31A99" w:rsidRPr="00A34FC7">
        <w:t xml:space="preserve">app to </w:t>
      </w:r>
      <w:r w:rsidRPr="00A34FC7">
        <w:t>record</w:t>
      </w:r>
      <w:r w:rsidR="00E31A99" w:rsidRPr="00A34FC7">
        <w:t xml:space="preserve"> their trip diary information.</w:t>
      </w:r>
      <w:r w:rsidR="00B228EB" w:rsidRPr="00A34FC7">
        <w:t xml:space="preserve"> </w:t>
      </w:r>
      <w:r w:rsidR="008763F0" w:rsidRPr="00A34FC7">
        <w:t>Since</w:t>
      </w:r>
      <w:r w:rsidR="00427FFE" w:rsidRPr="00A34FC7">
        <w:t xml:space="preserve"> tech-savvy individuals are more likely to use ride-hailing services (as</w:t>
      </w:r>
      <w:r w:rsidR="008763F0" w:rsidRPr="00A34FC7">
        <w:t xml:space="preserve"> documented</w:t>
      </w:r>
      <w:r w:rsidR="00427FFE" w:rsidRPr="00A34FC7">
        <w:t xml:space="preserve"> by </w:t>
      </w:r>
      <w:r w:rsidR="00725B3C" w:rsidRPr="00A34FC7">
        <w:t xml:space="preserve">Lavieri </w:t>
      </w:r>
      <w:r w:rsidR="00C9362D" w:rsidRPr="00A34FC7">
        <w:t>(</w:t>
      </w:r>
      <w:r w:rsidR="00C9362D" w:rsidRPr="00A34FC7">
        <w:rPr>
          <w:i/>
        </w:rPr>
        <w:t>8</w:t>
      </w:r>
      <w:r w:rsidR="00C9362D" w:rsidRPr="00A34FC7">
        <w:t>),</w:t>
      </w:r>
      <w:r w:rsidR="009D14AD" w:rsidRPr="00A34FC7">
        <w:t xml:space="preserve"> </w:t>
      </w:r>
      <w:r w:rsidR="00725B3C" w:rsidRPr="00A34FC7">
        <w:t>Lavieri and Bhat</w:t>
      </w:r>
      <w:r w:rsidR="00C9362D" w:rsidRPr="00A34FC7">
        <w:t xml:space="preserve"> (</w:t>
      </w:r>
      <w:r w:rsidR="00C9362D" w:rsidRPr="00A34FC7">
        <w:rPr>
          <w:i/>
        </w:rPr>
        <w:t>13</w:t>
      </w:r>
      <w:r w:rsidR="00C9362D" w:rsidRPr="00A34FC7">
        <w:t>),</w:t>
      </w:r>
      <w:r w:rsidR="009D14AD" w:rsidRPr="00A34FC7">
        <w:t xml:space="preserve"> and Alemi </w:t>
      </w:r>
      <w:r w:rsidR="009D14AD" w:rsidRPr="00A34FC7">
        <w:rPr>
          <w:i/>
        </w:rPr>
        <w:t>et al.</w:t>
      </w:r>
      <w:r w:rsidR="00C9362D" w:rsidRPr="00A34FC7">
        <w:t xml:space="preserve"> (</w:t>
      </w:r>
      <w:r w:rsidR="00C9362D" w:rsidRPr="00A34FC7">
        <w:rPr>
          <w:i/>
        </w:rPr>
        <w:t>10</w:t>
      </w:r>
      <w:r w:rsidR="00C9362D" w:rsidRPr="00A34FC7">
        <w:t>)</w:t>
      </w:r>
      <w:r w:rsidR="00427FFE" w:rsidRPr="00A34FC7">
        <w:t xml:space="preserve">), it is possible that </w:t>
      </w:r>
      <w:r w:rsidR="006E7BFD" w:rsidRPr="00A34FC7">
        <w:t>this</w:t>
      </w:r>
      <w:r w:rsidR="00427FFE" w:rsidRPr="00A34FC7">
        <w:t xml:space="preserve"> unobserved va</w:t>
      </w:r>
      <w:r w:rsidR="006E7BFD" w:rsidRPr="00A34FC7">
        <w:t xml:space="preserve">riable </w:t>
      </w:r>
      <w:r w:rsidR="008763F0" w:rsidRPr="00A34FC7">
        <w:t>(</w:t>
      </w:r>
      <w:r w:rsidR="008763F0" w:rsidRPr="00A34FC7">
        <w:rPr>
          <w:i/>
          <w:iCs/>
        </w:rPr>
        <w:t>i.e.,</w:t>
      </w:r>
      <w:r w:rsidR="008763F0" w:rsidRPr="00A34FC7">
        <w:t xml:space="preserve"> tech-savviness) </w:t>
      </w:r>
      <w:r w:rsidR="00427FFE" w:rsidRPr="00A34FC7">
        <w:t xml:space="preserve">may be </w:t>
      </w:r>
      <w:r w:rsidR="005117C0" w:rsidRPr="00A34FC7">
        <w:t xml:space="preserve">responsible for </w:t>
      </w:r>
      <w:r w:rsidR="008763F0" w:rsidRPr="00A34FC7">
        <w:t xml:space="preserve">a </w:t>
      </w:r>
      <w:r w:rsidR="005117C0" w:rsidRPr="00A34FC7">
        <w:t>part of the increase</w:t>
      </w:r>
      <w:r w:rsidR="00427FFE" w:rsidRPr="00A34FC7">
        <w:t xml:space="preserve"> in ride-hailing use between 2015 and 2017 respondents. If this effect is not </w:t>
      </w:r>
      <w:r w:rsidR="008763F0" w:rsidRPr="00A34FC7">
        <w:t xml:space="preserve">adequately </w:t>
      </w:r>
      <w:r w:rsidR="00427FFE" w:rsidRPr="00A34FC7">
        <w:t xml:space="preserve">controlled, </w:t>
      </w:r>
      <w:r w:rsidR="008763F0" w:rsidRPr="00A34FC7">
        <w:t>then erroneous estimates of the change (over time) in the “true” willingness to adopt and use ride-hailing services may be obtained.</w:t>
      </w:r>
    </w:p>
    <w:p w14:paraId="26BBEA05" w14:textId="79DB66BA" w:rsidR="00427FFE" w:rsidRPr="00C6712A" w:rsidRDefault="009437A7" w:rsidP="00723558">
      <w:pPr>
        <w:spacing w:after="0"/>
      </w:pPr>
      <w:r w:rsidRPr="00C6712A">
        <w:t xml:space="preserve"> </w:t>
      </w:r>
    </w:p>
    <w:p w14:paraId="1690B848" w14:textId="249738A0" w:rsidR="009D3594" w:rsidRPr="00C6712A" w:rsidRDefault="009D3594" w:rsidP="00723558">
      <w:pPr>
        <w:pStyle w:val="Heading2"/>
        <w:spacing w:before="0" w:after="0"/>
      </w:pPr>
      <w:r w:rsidRPr="00C6712A">
        <w:t xml:space="preserve">Descriptive </w:t>
      </w:r>
      <w:r w:rsidR="007356FF">
        <w:t>S</w:t>
      </w:r>
      <w:r w:rsidR="00E00E6B" w:rsidRPr="00C6712A">
        <w:t>tatistics</w:t>
      </w:r>
    </w:p>
    <w:p w14:paraId="59795E89" w14:textId="000A915D" w:rsidR="00A47BC2" w:rsidRPr="00A34FC7" w:rsidRDefault="008763F0" w:rsidP="00723558">
      <w:pPr>
        <w:spacing w:after="0"/>
        <w:ind w:firstLine="0"/>
      </w:pPr>
      <w:r w:rsidRPr="00C6712A">
        <w:t xml:space="preserve">In this study, </w:t>
      </w:r>
      <w:r w:rsidR="009656F9" w:rsidRPr="00C6712A">
        <w:t xml:space="preserve">we only used </w:t>
      </w:r>
      <w:r w:rsidRPr="00C6712A">
        <w:t xml:space="preserve">the first and third </w:t>
      </w:r>
      <w:r w:rsidR="001E2CB3" w:rsidRPr="00C6712A">
        <w:t xml:space="preserve">sections </w:t>
      </w:r>
      <w:r w:rsidRPr="00C6712A">
        <w:t xml:space="preserve">of the survey </w:t>
      </w:r>
      <w:r w:rsidR="004C55A2" w:rsidRPr="00C6712A">
        <w:t>(</w:t>
      </w:r>
      <w:r w:rsidR="004C55A2" w:rsidRPr="00C6712A">
        <w:rPr>
          <w:i/>
        </w:rPr>
        <w:t>i.e.</w:t>
      </w:r>
      <w:r w:rsidR="004C55A2" w:rsidRPr="00C6712A">
        <w:t xml:space="preserve">, we did not use </w:t>
      </w:r>
      <w:r w:rsidRPr="00C6712A">
        <w:t xml:space="preserve">the second </w:t>
      </w:r>
      <w:r w:rsidR="001E2CB3" w:rsidRPr="00C6712A">
        <w:t>section</w:t>
      </w:r>
      <w:r w:rsidRPr="00C6712A">
        <w:t xml:space="preserve">, which </w:t>
      </w:r>
      <w:r w:rsidR="00A327D5" w:rsidRPr="00C6712A">
        <w:t xml:space="preserve">constituted </w:t>
      </w:r>
      <w:r w:rsidRPr="00C6712A">
        <w:t>the travel diary portion of the survey</w:t>
      </w:r>
      <w:r w:rsidR="004C55A2" w:rsidRPr="00C6712A">
        <w:t>)</w:t>
      </w:r>
      <w:r w:rsidRPr="00C6712A">
        <w:t>.</w:t>
      </w:r>
      <w:r w:rsidR="009437A7" w:rsidRPr="00C6712A">
        <w:t xml:space="preserve"> </w:t>
      </w:r>
      <w:r w:rsidRPr="00C6712A">
        <w:t xml:space="preserve">The survey data sets from 2015 and 2017 were reconciled (with respect to variable definitions and coding) and then merged to produce a pooled data set of respondents with the year of their response explicitly coded in the data. After some cleaning of the data to remove records with missing information on key variables, </w:t>
      </w:r>
      <w:r w:rsidR="0038781B" w:rsidRPr="00C6712A">
        <w:t>the final pooled data set included 8,542 observations</w:t>
      </w:r>
      <w:r w:rsidR="008F1C96" w:rsidRPr="00C6712A">
        <w:t>, of which 3,800 belonged to the 2015 survey while the remaining 4,</w:t>
      </w:r>
      <w:r w:rsidR="003418BF" w:rsidRPr="00C6712A">
        <w:t>7</w:t>
      </w:r>
      <w:r w:rsidR="008F1C96" w:rsidRPr="00C6712A">
        <w:t>42 belonged to the 2017 survey</w:t>
      </w:r>
      <w:r w:rsidR="0038781B" w:rsidRPr="00C6712A">
        <w:t>.</w:t>
      </w:r>
      <w:r w:rsidR="009437A7" w:rsidRPr="00C6712A">
        <w:t xml:space="preserve"> </w:t>
      </w:r>
      <w:r w:rsidR="0038781B" w:rsidRPr="00C6712A">
        <w:t>Descriptive statistics for th</w:t>
      </w:r>
      <w:r w:rsidR="008F1C96" w:rsidRPr="00C6712A">
        <w:t>ese</w:t>
      </w:r>
      <w:r w:rsidR="0038781B" w:rsidRPr="00C6712A">
        <w:t xml:space="preserve"> sample</w:t>
      </w:r>
      <w:r w:rsidR="008F1C96" w:rsidRPr="00C6712A">
        <w:t>s</w:t>
      </w:r>
      <w:r w:rsidR="0038781B" w:rsidRPr="00C6712A">
        <w:t xml:space="preserve"> of </w:t>
      </w:r>
      <w:r w:rsidR="0038781B" w:rsidRPr="00C6712A">
        <w:lastRenderedPageBreak/>
        <w:t>indiv</w:t>
      </w:r>
      <w:r w:rsidR="007C173F" w:rsidRPr="00C6712A">
        <w:t xml:space="preserve">iduals can be found in </w:t>
      </w:r>
      <w:r w:rsidR="007F06C1">
        <w:fldChar w:fldCharType="begin"/>
      </w:r>
      <w:r w:rsidR="007F06C1">
        <w:instrText xml:space="preserve"> REF _Ref33010370 \h </w:instrText>
      </w:r>
      <w:r w:rsidR="007F06C1">
        <w:fldChar w:fldCharType="separate"/>
      </w:r>
      <w:r w:rsidR="00453931" w:rsidRPr="00C6712A">
        <w:t xml:space="preserve">Table </w:t>
      </w:r>
      <w:r w:rsidR="00453931">
        <w:rPr>
          <w:noProof/>
        </w:rPr>
        <w:t>1</w:t>
      </w:r>
      <w:r w:rsidR="007F06C1">
        <w:fldChar w:fldCharType="end"/>
      </w:r>
      <w:r w:rsidR="007C173F" w:rsidRPr="00C6712A">
        <w:t xml:space="preserve">, </w:t>
      </w:r>
      <w:r w:rsidR="007C173F" w:rsidRPr="00A34FC7">
        <w:t>which also contains data from the entire Puget Sound region, according to the 2017 American Community Survey (</w:t>
      </w:r>
      <w:r w:rsidR="00374974" w:rsidRPr="00A34FC7">
        <w:rPr>
          <w:i/>
        </w:rPr>
        <w:t>36</w:t>
      </w:r>
      <w:r w:rsidR="007C173F" w:rsidRPr="00A34FC7">
        <w:t>).</w:t>
      </w:r>
    </w:p>
    <w:p w14:paraId="2966D703" w14:textId="4B0DF5ED" w:rsidR="00A47BC2" w:rsidRPr="00C6712A" w:rsidRDefault="00A47BC2" w:rsidP="00723558">
      <w:pPr>
        <w:spacing w:after="0"/>
      </w:pPr>
      <w:r w:rsidRPr="00A34FC7">
        <w:t>Some of the differences between the two surveys are</w:t>
      </w:r>
      <w:r w:rsidRPr="00C6712A">
        <w:t xml:space="preserve"> worth noting. The 2017 data set is more evenly split between male and female respondents. The 2017 data seems to skew significantly younger with more than half of its sample aged 25-44 years; the same age group only accounts for little more than one-third of the 2015 sample. In 2015, nearly 30% of the sample did not own a smartphone; in 2017, just under 10% of the sample did not own a smartphone – suggesting that the 2017 sample is likely to be more tech-savvy, on average, than the 2015 sample. Also, given that ride-hailing services require the use of a smartphone app, a larger percent of individuals who responded to the 2015 survey do not have the technology required to use the on-demand mobility services. </w:t>
      </w:r>
    </w:p>
    <w:p w14:paraId="3EDB09E8" w14:textId="185222AB" w:rsidR="00E5194C" w:rsidRPr="00C6712A" w:rsidRDefault="00E5194C" w:rsidP="00723558">
      <w:pPr>
        <w:spacing w:after="0"/>
      </w:pPr>
      <w:r w:rsidRPr="00C6712A">
        <w:t xml:space="preserve">In both years, the split between individuals with and without driver’s licenses was very similar, with a little more than 92% of respondents having driver’s licenses. Curiously, even though the split of driver’s license ownership remained mostly unchanged, there was a significant change in vehicle ownership. In 2015, only 9.5% of respondents had no vehicles in their households, while 17.5% of them resided in households with three or more vehicles. In 2017, however, the share of individuals in zero-vehicle households was 12.5% while the share of individuals in households with three or more vehicles stood at just 10.3%. Although vehicle ownership and income are often positively correlated with one another, the opposite appears true in this sample; the 2017 sample exhibits lower levels of vehicle ownership, but skews significantly richer: respondents who live in households that earn $100,000 or more per year increased from 38.6% in 2015 to 47.6% in 2017. The vehicle ownership shift may be related to household size, at least to some degree: between the two years, there was an increase in the share of respondents who live in households with 2 or fewer people and a decrease in the share of respondents who live in households with 3 or more people. The shift in income levels is also in line with differences in education and employment. Individuals in the 2017 data are more educated, with almost three-quarters having a bachelor's degree or higher; in the 2015 sample, just about two-thirds of the sample have attained this level of education. Further, between 2015 and 2017, there is a significant increase in full-time employment (from 46.5% in 2015 to 57.8% in 2017) and a significant decrease in retired respondents (from 23.8% in 2015 to 13.9% in 2017). In summary, the 2017 data is comprised of richer employed individuals who reside in households with fewer residents and vehicles and are more likely to own a smartphone (compared to the 2015 data). </w:t>
      </w:r>
    </w:p>
    <w:p w14:paraId="7D005ED8" w14:textId="0146A34A" w:rsidR="00E5194C" w:rsidRPr="00C6712A" w:rsidRDefault="00E5194C" w:rsidP="00723558">
      <w:pPr>
        <w:spacing w:after="0"/>
      </w:pPr>
      <w:r w:rsidRPr="00C6712A">
        <w:t xml:space="preserve">Finally, when it comes to frequency of use of ride-hailing, there is a clear increase. The </w:t>
      </w:r>
      <w:r w:rsidR="004573FB">
        <w:t>“</w:t>
      </w:r>
      <w:r w:rsidRPr="00C6712A">
        <w:t>Never Use</w:t>
      </w:r>
      <w:r w:rsidR="004573FB">
        <w:t>”</w:t>
      </w:r>
      <w:r w:rsidRPr="00C6712A">
        <w:t xml:space="preserve"> category changes from approximately 87% in 2015 to just about 52% in 2017, while virtually all other frequency categories more than doubled, with the exception of the </w:t>
      </w:r>
      <w:r w:rsidR="004573FB">
        <w:t>“</w:t>
      </w:r>
      <w:r w:rsidRPr="00C6712A">
        <w:t>6-7 days per week</w:t>
      </w:r>
      <w:r w:rsidR="004573FB">
        <w:t>”</w:t>
      </w:r>
      <w:r w:rsidRPr="00C6712A">
        <w:t xml:space="preserve"> category, which remained the same at a very small share. It is commonly thought that smartphone ownership has a deterministic relationship with access to ride-hailing (i.e., if an individual does not have a smartphone, their frequency of ride-hailing will be “Never”). However, the data in </w:t>
      </w:r>
      <w:r w:rsidRPr="0027118B">
        <w:fldChar w:fldCharType="begin"/>
      </w:r>
      <w:r w:rsidRPr="00C6712A">
        <w:instrText xml:space="preserve"> REF _Ref32571007 \h </w:instrText>
      </w:r>
      <w:r w:rsidRPr="0027118B">
        <w:fldChar w:fldCharType="separate"/>
      </w:r>
      <w:r w:rsidR="00453931" w:rsidRPr="00C6712A">
        <w:t xml:space="preserve">Table </w:t>
      </w:r>
      <w:r w:rsidR="00453931">
        <w:rPr>
          <w:noProof/>
        </w:rPr>
        <w:t>2</w:t>
      </w:r>
      <w:r w:rsidRPr="0027118B">
        <w:fldChar w:fldCharType="end"/>
      </w:r>
      <w:r w:rsidRPr="00C6712A">
        <w:t xml:space="preserve"> reveals that this is not entirely true. While smartphone ownership does seem to be associated with higher frequencies of ride-hailing use, there are stil</w:t>
      </w:r>
      <w:r w:rsidR="00A36719">
        <w:t>l individuals in the sample who</w:t>
      </w:r>
      <w:r w:rsidRPr="00C6712A">
        <w:t xml:space="preserve"> do not own smartphones and who still use ride-hailing services. This is likely because individuals without smartphones can gain access to ride-hailing services through friends, coworkers and family members (</w:t>
      </w:r>
      <w:r w:rsidRPr="00374974">
        <w:rPr>
          <w:i/>
        </w:rPr>
        <w:t>e.g.</w:t>
      </w:r>
      <w:r w:rsidRPr="00C6712A">
        <w:t xml:space="preserve">, traveling in a ride-hailing vehicle that was hailed by someone else). </w:t>
      </w:r>
    </w:p>
    <w:p w14:paraId="124372C4" w14:textId="77777777" w:rsidR="00E5194C" w:rsidRPr="00C6712A" w:rsidRDefault="00E5194C" w:rsidP="00723558">
      <w:pPr>
        <w:spacing w:after="0"/>
      </w:pPr>
      <w:r w:rsidRPr="00C6712A">
        <w:t xml:space="preserve">These statistics show that there is a substantial change in ride-hailing service usage between the two survey years. The change in ride-hailing frequency and usage between the two survey </w:t>
      </w:r>
      <w:r w:rsidRPr="00C6712A">
        <w:lastRenderedPageBreak/>
        <w:t>years is likely to be due to a number of factors, including growing popularity of the service, changes in sample composition, and socio-demographic shifts. It is very plausible that there is a genuine or “true” increase in the adoption of ride-hailing services, independent of other phenomena (socio-economic shifts and changes in ride-hailing service attributes); it is the goal of this study to quantify that increase in ride-hailing adoption so that forecasts can be developed based on market adoption trends.</w:t>
      </w:r>
    </w:p>
    <w:p w14:paraId="6B909B85" w14:textId="565817AD" w:rsidR="00674CBD" w:rsidRDefault="00674CBD" w:rsidP="00723558">
      <w:pPr>
        <w:spacing w:after="0" w:line="276" w:lineRule="auto"/>
        <w:ind w:firstLine="0"/>
        <w:jc w:val="left"/>
      </w:pPr>
      <w:r>
        <w:br w:type="page"/>
      </w:r>
    </w:p>
    <w:p w14:paraId="0C912C08" w14:textId="77777777" w:rsidR="009437A7" w:rsidRPr="00C6712A" w:rsidRDefault="009437A7" w:rsidP="006E6706">
      <w:pPr>
        <w:ind w:firstLine="0"/>
      </w:pPr>
    </w:p>
    <w:p w14:paraId="59BA3D93" w14:textId="546642B1" w:rsidR="00D36E59" w:rsidRDefault="00D36E59" w:rsidP="006E6706">
      <w:pPr>
        <w:pStyle w:val="Caption"/>
        <w:ind w:left="-423" w:right="-648"/>
      </w:pPr>
      <w:bookmarkStart w:id="3" w:name="_Ref33010370"/>
      <w:r w:rsidRPr="00C6712A">
        <w:t xml:space="preserve">Table </w:t>
      </w:r>
      <w:r w:rsidRPr="0027118B">
        <w:fldChar w:fldCharType="begin"/>
      </w:r>
      <w:r w:rsidRPr="00C6712A">
        <w:instrText xml:space="preserve"> SEQ Table \* ARABIC </w:instrText>
      </w:r>
      <w:r w:rsidRPr="0027118B">
        <w:fldChar w:fldCharType="separate"/>
      </w:r>
      <w:r w:rsidR="00453931">
        <w:rPr>
          <w:noProof/>
        </w:rPr>
        <w:t>1</w:t>
      </w:r>
      <w:r w:rsidRPr="0027118B">
        <w:fldChar w:fldCharType="end"/>
      </w:r>
      <w:bookmarkEnd w:id="3"/>
      <w:r w:rsidRPr="00C6712A">
        <w:t xml:space="preserve"> Socio-Economic and Demographic Characteristics of Puget Sound Travel Survey Sample (n = 8,542)</w:t>
      </w:r>
    </w:p>
    <w:tbl>
      <w:tblPr>
        <w:tblW w:w="11137" w:type="dxa"/>
        <w:jc w:val="center"/>
        <w:tblLayout w:type="fixed"/>
        <w:tblLook w:val="04A0" w:firstRow="1" w:lastRow="0" w:firstColumn="1" w:lastColumn="0" w:noHBand="0" w:noVBand="1"/>
      </w:tblPr>
      <w:tblGrid>
        <w:gridCol w:w="1867"/>
        <w:gridCol w:w="734"/>
        <w:gridCol w:w="796"/>
        <w:gridCol w:w="110"/>
        <w:gridCol w:w="236"/>
        <w:gridCol w:w="464"/>
        <w:gridCol w:w="94"/>
        <w:gridCol w:w="23"/>
        <w:gridCol w:w="213"/>
        <w:gridCol w:w="24"/>
        <w:gridCol w:w="456"/>
        <w:gridCol w:w="2790"/>
        <w:gridCol w:w="9"/>
        <w:gridCol w:w="801"/>
        <w:gridCol w:w="810"/>
        <w:gridCol w:w="900"/>
        <w:gridCol w:w="810"/>
      </w:tblGrid>
      <w:tr w:rsidR="00671063" w:rsidRPr="00671063" w14:paraId="14F13066" w14:textId="77777777" w:rsidTr="00F63564">
        <w:trPr>
          <w:trHeight w:val="20"/>
          <w:jc w:val="center"/>
        </w:trPr>
        <w:tc>
          <w:tcPr>
            <w:tcW w:w="1867" w:type="dxa"/>
            <w:vMerge w:val="restart"/>
            <w:tcBorders>
              <w:top w:val="double" w:sz="6" w:space="0" w:color="auto"/>
              <w:left w:val="double" w:sz="6" w:space="0" w:color="auto"/>
              <w:bottom w:val="double" w:sz="6" w:space="0" w:color="000000"/>
              <w:right w:val="double" w:sz="6" w:space="0" w:color="auto"/>
            </w:tcBorders>
            <w:shd w:val="clear" w:color="auto" w:fill="auto"/>
            <w:vAlign w:val="center"/>
            <w:hideMark/>
          </w:tcPr>
          <w:p w14:paraId="147AAE1B" w14:textId="77777777" w:rsidR="00671063" w:rsidRPr="00671063" w:rsidRDefault="00671063" w:rsidP="00671063">
            <w:pPr>
              <w:spacing w:after="0"/>
              <w:ind w:firstLine="0"/>
              <w:jc w:val="left"/>
              <w:rPr>
                <w:rFonts w:eastAsia="Times New Roman"/>
                <w:b/>
                <w:bCs/>
                <w:color w:val="000000"/>
                <w:sz w:val="20"/>
                <w:szCs w:val="20"/>
              </w:rPr>
            </w:pPr>
            <w:r w:rsidRPr="00671063">
              <w:rPr>
                <w:rFonts w:eastAsia="Times New Roman"/>
                <w:b/>
                <w:bCs/>
                <w:color w:val="000000"/>
                <w:sz w:val="20"/>
                <w:szCs w:val="20"/>
              </w:rPr>
              <w:t>Variables</w:t>
            </w:r>
          </w:p>
        </w:tc>
        <w:tc>
          <w:tcPr>
            <w:tcW w:w="2340" w:type="dxa"/>
            <w:gridSpan w:val="5"/>
            <w:tcBorders>
              <w:top w:val="double" w:sz="6" w:space="0" w:color="auto"/>
              <w:left w:val="nil"/>
              <w:bottom w:val="double" w:sz="6" w:space="0" w:color="auto"/>
              <w:right w:val="double" w:sz="6" w:space="0" w:color="000000"/>
            </w:tcBorders>
            <w:shd w:val="clear" w:color="auto" w:fill="auto"/>
            <w:vAlign w:val="center"/>
            <w:hideMark/>
          </w:tcPr>
          <w:p w14:paraId="41760CAA" w14:textId="77777777" w:rsidR="00671063" w:rsidRPr="00671063" w:rsidRDefault="00671063" w:rsidP="00671063">
            <w:pPr>
              <w:spacing w:after="0"/>
              <w:ind w:firstLine="0"/>
              <w:jc w:val="center"/>
              <w:rPr>
                <w:rFonts w:eastAsia="Times New Roman"/>
                <w:b/>
                <w:bCs/>
                <w:color w:val="000000"/>
                <w:sz w:val="20"/>
                <w:szCs w:val="20"/>
              </w:rPr>
            </w:pPr>
            <w:r w:rsidRPr="00671063">
              <w:rPr>
                <w:rFonts w:eastAsia="Times New Roman"/>
                <w:b/>
                <w:bCs/>
                <w:color w:val="000000"/>
                <w:sz w:val="20"/>
                <w:szCs w:val="20"/>
              </w:rPr>
              <w:t>Sample</w:t>
            </w:r>
          </w:p>
        </w:tc>
        <w:tc>
          <w:tcPr>
            <w:tcW w:w="810" w:type="dxa"/>
            <w:gridSpan w:val="5"/>
            <w:tcBorders>
              <w:top w:val="double" w:sz="6" w:space="0" w:color="auto"/>
              <w:left w:val="nil"/>
              <w:bottom w:val="nil"/>
              <w:right w:val="double" w:sz="6" w:space="0" w:color="auto"/>
            </w:tcBorders>
            <w:shd w:val="clear" w:color="auto" w:fill="auto"/>
            <w:vAlign w:val="center"/>
            <w:hideMark/>
          </w:tcPr>
          <w:p w14:paraId="68D09AD7" w14:textId="77777777" w:rsidR="00671063" w:rsidRPr="00671063" w:rsidRDefault="00671063" w:rsidP="00671063">
            <w:pPr>
              <w:spacing w:after="0"/>
              <w:ind w:firstLine="0"/>
              <w:jc w:val="center"/>
              <w:rPr>
                <w:rFonts w:eastAsia="Times New Roman"/>
                <w:b/>
                <w:bCs/>
                <w:color w:val="000000"/>
                <w:sz w:val="20"/>
                <w:szCs w:val="20"/>
              </w:rPr>
            </w:pPr>
            <w:r w:rsidRPr="00671063">
              <w:rPr>
                <w:rFonts w:eastAsia="Times New Roman"/>
                <w:b/>
                <w:bCs/>
                <w:color w:val="000000"/>
                <w:sz w:val="20"/>
                <w:szCs w:val="20"/>
              </w:rPr>
              <w:t>PSR</w:t>
            </w:r>
          </w:p>
        </w:tc>
        <w:tc>
          <w:tcPr>
            <w:tcW w:w="2799" w:type="dxa"/>
            <w:gridSpan w:val="2"/>
            <w:vMerge w:val="restart"/>
            <w:tcBorders>
              <w:top w:val="double" w:sz="6" w:space="0" w:color="auto"/>
              <w:left w:val="double" w:sz="6" w:space="0" w:color="auto"/>
              <w:bottom w:val="double" w:sz="6" w:space="0" w:color="000000"/>
              <w:right w:val="double" w:sz="6" w:space="0" w:color="auto"/>
            </w:tcBorders>
            <w:shd w:val="clear" w:color="auto" w:fill="auto"/>
            <w:vAlign w:val="center"/>
            <w:hideMark/>
          </w:tcPr>
          <w:p w14:paraId="25D11614" w14:textId="77777777" w:rsidR="00671063" w:rsidRPr="00671063" w:rsidRDefault="00671063" w:rsidP="00671063">
            <w:pPr>
              <w:spacing w:after="0"/>
              <w:ind w:firstLine="0"/>
              <w:jc w:val="left"/>
              <w:rPr>
                <w:rFonts w:eastAsia="Times New Roman"/>
                <w:b/>
                <w:bCs/>
                <w:color w:val="000000"/>
                <w:sz w:val="20"/>
                <w:szCs w:val="20"/>
              </w:rPr>
            </w:pPr>
            <w:r w:rsidRPr="00671063">
              <w:rPr>
                <w:rFonts w:eastAsia="Times New Roman"/>
                <w:b/>
                <w:bCs/>
                <w:color w:val="000000"/>
                <w:sz w:val="20"/>
                <w:szCs w:val="20"/>
              </w:rPr>
              <w:t>Variables</w:t>
            </w:r>
          </w:p>
        </w:tc>
        <w:tc>
          <w:tcPr>
            <w:tcW w:w="2511" w:type="dxa"/>
            <w:gridSpan w:val="3"/>
            <w:tcBorders>
              <w:top w:val="double" w:sz="6" w:space="0" w:color="auto"/>
              <w:left w:val="nil"/>
              <w:bottom w:val="double" w:sz="6" w:space="0" w:color="auto"/>
              <w:right w:val="double" w:sz="6" w:space="0" w:color="000000"/>
            </w:tcBorders>
            <w:shd w:val="clear" w:color="auto" w:fill="auto"/>
            <w:vAlign w:val="center"/>
            <w:hideMark/>
          </w:tcPr>
          <w:p w14:paraId="6148CD4A" w14:textId="77777777" w:rsidR="00671063" w:rsidRPr="00671063" w:rsidRDefault="00671063" w:rsidP="00671063">
            <w:pPr>
              <w:spacing w:after="0"/>
              <w:ind w:firstLine="0"/>
              <w:jc w:val="center"/>
              <w:rPr>
                <w:rFonts w:eastAsia="Times New Roman"/>
                <w:b/>
                <w:bCs/>
                <w:color w:val="000000"/>
                <w:sz w:val="20"/>
                <w:szCs w:val="20"/>
              </w:rPr>
            </w:pPr>
            <w:r w:rsidRPr="00671063">
              <w:rPr>
                <w:rFonts w:eastAsia="Times New Roman"/>
                <w:b/>
                <w:bCs/>
                <w:color w:val="000000"/>
                <w:sz w:val="20"/>
                <w:szCs w:val="20"/>
              </w:rPr>
              <w:t>Sample</w:t>
            </w:r>
          </w:p>
        </w:tc>
        <w:tc>
          <w:tcPr>
            <w:tcW w:w="810" w:type="dxa"/>
            <w:tcBorders>
              <w:top w:val="double" w:sz="6" w:space="0" w:color="auto"/>
              <w:left w:val="nil"/>
              <w:bottom w:val="nil"/>
              <w:right w:val="double" w:sz="6" w:space="0" w:color="auto"/>
            </w:tcBorders>
            <w:shd w:val="clear" w:color="auto" w:fill="auto"/>
            <w:vAlign w:val="center"/>
            <w:hideMark/>
          </w:tcPr>
          <w:p w14:paraId="40F8696C" w14:textId="77777777" w:rsidR="00671063" w:rsidRPr="00671063" w:rsidRDefault="00671063" w:rsidP="00671063">
            <w:pPr>
              <w:spacing w:after="0"/>
              <w:ind w:firstLine="0"/>
              <w:jc w:val="center"/>
              <w:rPr>
                <w:rFonts w:eastAsia="Times New Roman"/>
                <w:b/>
                <w:bCs/>
                <w:color w:val="000000"/>
                <w:sz w:val="20"/>
                <w:szCs w:val="20"/>
              </w:rPr>
            </w:pPr>
            <w:r w:rsidRPr="00671063">
              <w:rPr>
                <w:rFonts w:eastAsia="Times New Roman"/>
                <w:b/>
                <w:bCs/>
                <w:color w:val="000000"/>
                <w:sz w:val="20"/>
                <w:szCs w:val="20"/>
              </w:rPr>
              <w:t>PSR</w:t>
            </w:r>
          </w:p>
        </w:tc>
      </w:tr>
      <w:tr w:rsidR="00671063" w:rsidRPr="00671063" w14:paraId="7A0FBB02" w14:textId="77777777" w:rsidTr="00F63564">
        <w:trPr>
          <w:trHeight w:val="20"/>
          <w:jc w:val="center"/>
        </w:trPr>
        <w:tc>
          <w:tcPr>
            <w:tcW w:w="1867" w:type="dxa"/>
            <w:vMerge/>
            <w:tcBorders>
              <w:top w:val="double" w:sz="6" w:space="0" w:color="auto"/>
              <w:left w:val="double" w:sz="6" w:space="0" w:color="auto"/>
              <w:bottom w:val="double" w:sz="6" w:space="0" w:color="000000"/>
              <w:right w:val="double" w:sz="6" w:space="0" w:color="auto"/>
            </w:tcBorders>
            <w:vAlign w:val="center"/>
            <w:hideMark/>
          </w:tcPr>
          <w:p w14:paraId="03DA7C92" w14:textId="77777777" w:rsidR="00671063" w:rsidRPr="00671063" w:rsidRDefault="00671063" w:rsidP="00671063">
            <w:pPr>
              <w:spacing w:after="0"/>
              <w:ind w:firstLine="0"/>
              <w:jc w:val="left"/>
              <w:rPr>
                <w:rFonts w:eastAsia="Times New Roman"/>
                <w:b/>
                <w:bCs/>
                <w:color w:val="000000"/>
                <w:sz w:val="20"/>
                <w:szCs w:val="20"/>
              </w:rPr>
            </w:pPr>
          </w:p>
        </w:tc>
        <w:tc>
          <w:tcPr>
            <w:tcW w:w="734" w:type="dxa"/>
            <w:tcBorders>
              <w:top w:val="nil"/>
              <w:left w:val="nil"/>
              <w:bottom w:val="double" w:sz="6" w:space="0" w:color="auto"/>
              <w:right w:val="single" w:sz="8" w:space="0" w:color="auto"/>
            </w:tcBorders>
            <w:shd w:val="clear" w:color="auto" w:fill="auto"/>
            <w:vAlign w:val="center"/>
            <w:hideMark/>
          </w:tcPr>
          <w:p w14:paraId="6FE99366" w14:textId="77777777" w:rsidR="00671063" w:rsidRPr="00671063" w:rsidRDefault="00671063" w:rsidP="00671063">
            <w:pPr>
              <w:spacing w:after="0"/>
              <w:ind w:firstLine="0"/>
              <w:jc w:val="center"/>
              <w:rPr>
                <w:rFonts w:eastAsia="Times New Roman"/>
                <w:b/>
                <w:bCs/>
                <w:color w:val="000000"/>
                <w:sz w:val="20"/>
                <w:szCs w:val="20"/>
              </w:rPr>
            </w:pPr>
            <w:r w:rsidRPr="00671063">
              <w:rPr>
                <w:rFonts w:eastAsia="Times New Roman"/>
                <w:b/>
                <w:bCs/>
                <w:color w:val="000000"/>
                <w:sz w:val="20"/>
                <w:szCs w:val="20"/>
              </w:rPr>
              <w:t>2015</w:t>
            </w:r>
          </w:p>
        </w:tc>
        <w:tc>
          <w:tcPr>
            <w:tcW w:w="796" w:type="dxa"/>
            <w:tcBorders>
              <w:top w:val="double" w:sz="6" w:space="0" w:color="auto"/>
              <w:left w:val="nil"/>
              <w:bottom w:val="double" w:sz="6" w:space="0" w:color="auto"/>
              <w:right w:val="single" w:sz="8" w:space="0" w:color="000000"/>
            </w:tcBorders>
            <w:shd w:val="clear" w:color="auto" w:fill="auto"/>
            <w:vAlign w:val="center"/>
            <w:hideMark/>
          </w:tcPr>
          <w:p w14:paraId="6EC8B041" w14:textId="77777777" w:rsidR="00671063" w:rsidRPr="00671063" w:rsidRDefault="00671063" w:rsidP="00671063">
            <w:pPr>
              <w:spacing w:after="0"/>
              <w:ind w:firstLine="0"/>
              <w:jc w:val="center"/>
              <w:rPr>
                <w:rFonts w:eastAsia="Times New Roman"/>
                <w:b/>
                <w:bCs/>
                <w:color w:val="000000"/>
                <w:sz w:val="20"/>
                <w:szCs w:val="20"/>
              </w:rPr>
            </w:pPr>
            <w:r w:rsidRPr="00671063">
              <w:rPr>
                <w:rFonts w:eastAsia="Times New Roman"/>
                <w:b/>
                <w:bCs/>
                <w:color w:val="000000"/>
                <w:sz w:val="20"/>
                <w:szCs w:val="20"/>
              </w:rPr>
              <w:t>2017</w:t>
            </w:r>
          </w:p>
        </w:tc>
        <w:tc>
          <w:tcPr>
            <w:tcW w:w="810" w:type="dxa"/>
            <w:gridSpan w:val="3"/>
            <w:tcBorders>
              <w:top w:val="double" w:sz="6" w:space="0" w:color="auto"/>
              <w:left w:val="nil"/>
              <w:bottom w:val="double" w:sz="6" w:space="0" w:color="auto"/>
              <w:right w:val="double" w:sz="6" w:space="0" w:color="000000"/>
            </w:tcBorders>
            <w:shd w:val="clear" w:color="auto" w:fill="auto"/>
            <w:vAlign w:val="center"/>
            <w:hideMark/>
          </w:tcPr>
          <w:p w14:paraId="241EA5BA" w14:textId="77777777" w:rsidR="00671063" w:rsidRPr="00671063" w:rsidRDefault="00671063" w:rsidP="00671063">
            <w:pPr>
              <w:spacing w:after="0"/>
              <w:ind w:firstLine="0"/>
              <w:jc w:val="center"/>
              <w:rPr>
                <w:rFonts w:eastAsia="Times New Roman"/>
                <w:b/>
                <w:bCs/>
                <w:color w:val="000000"/>
                <w:sz w:val="20"/>
                <w:szCs w:val="20"/>
              </w:rPr>
            </w:pPr>
            <w:r w:rsidRPr="00671063">
              <w:rPr>
                <w:rFonts w:eastAsia="Times New Roman"/>
                <w:b/>
                <w:bCs/>
                <w:color w:val="000000"/>
                <w:sz w:val="20"/>
                <w:szCs w:val="20"/>
              </w:rPr>
              <w:t>Total</w:t>
            </w:r>
          </w:p>
        </w:tc>
        <w:tc>
          <w:tcPr>
            <w:tcW w:w="810" w:type="dxa"/>
            <w:gridSpan w:val="5"/>
            <w:tcBorders>
              <w:top w:val="nil"/>
              <w:left w:val="nil"/>
              <w:bottom w:val="double" w:sz="6" w:space="0" w:color="auto"/>
              <w:right w:val="double" w:sz="6" w:space="0" w:color="auto"/>
            </w:tcBorders>
            <w:shd w:val="clear" w:color="auto" w:fill="auto"/>
            <w:vAlign w:val="center"/>
            <w:hideMark/>
          </w:tcPr>
          <w:p w14:paraId="46C88AA4" w14:textId="77777777" w:rsidR="00671063" w:rsidRPr="00671063" w:rsidRDefault="00671063" w:rsidP="00671063">
            <w:pPr>
              <w:spacing w:after="0"/>
              <w:ind w:firstLine="0"/>
              <w:jc w:val="center"/>
              <w:rPr>
                <w:rFonts w:eastAsia="Times New Roman"/>
                <w:b/>
                <w:bCs/>
                <w:color w:val="000000"/>
                <w:sz w:val="20"/>
                <w:szCs w:val="20"/>
              </w:rPr>
            </w:pPr>
            <w:r w:rsidRPr="00671063">
              <w:rPr>
                <w:rFonts w:eastAsia="Times New Roman"/>
                <w:b/>
                <w:bCs/>
                <w:color w:val="000000"/>
                <w:sz w:val="20"/>
                <w:szCs w:val="20"/>
              </w:rPr>
              <w:t>2017</w:t>
            </w:r>
          </w:p>
        </w:tc>
        <w:tc>
          <w:tcPr>
            <w:tcW w:w="2799" w:type="dxa"/>
            <w:gridSpan w:val="2"/>
            <w:vMerge/>
            <w:tcBorders>
              <w:top w:val="double" w:sz="6" w:space="0" w:color="auto"/>
              <w:left w:val="double" w:sz="6" w:space="0" w:color="auto"/>
              <w:bottom w:val="double" w:sz="6" w:space="0" w:color="000000"/>
              <w:right w:val="double" w:sz="6" w:space="0" w:color="auto"/>
            </w:tcBorders>
            <w:vAlign w:val="center"/>
            <w:hideMark/>
          </w:tcPr>
          <w:p w14:paraId="167B86A7" w14:textId="77777777" w:rsidR="00671063" w:rsidRPr="00671063" w:rsidRDefault="00671063" w:rsidP="00671063">
            <w:pPr>
              <w:spacing w:after="0"/>
              <w:ind w:firstLine="0"/>
              <w:jc w:val="left"/>
              <w:rPr>
                <w:rFonts w:eastAsia="Times New Roman"/>
                <w:b/>
                <w:bCs/>
                <w:color w:val="000000"/>
                <w:sz w:val="20"/>
                <w:szCs w:val="20"/>
              </w:rPr>
            </w:pPr>
          </w:p>
        </w:tc>
        <w:tc>
          <w:tcPr>
            <w:tcW w:w="801" w:type="dxa"/>
            <w:tcBorders>
              <w:top w:val="nil"/>
              <w:left w:val="nil"/>
              <w:bottom w:val="double" w:sz="6" w:space="0" w:color="auto"/>
              <w:right w:val="single" w:sz="8" w:space="0" w:color="auto"/>
            </w:tcBorders>
            <w:shd w:val="clear" w:color="auto" w:fill="auto"/>
            <w:vAlign w:val="center"/>
            <w:hideMark/>
          </w:tcPr>
          <w:p w14:paraId="1BE97CAD" w14:textId="77777777" w:rsidR="00671063" w:rsidRPr="00671063" w:rsidRDefault="00671063" w:rsidP="00671063">
            <w:pPr>
              <w:spacing w:after="0"/>
              <w:ind w:firstLine="0"/>
              <w:jc w:val="center"/>
              <w:rPr>
                <w:rFonts w:eastAsia="Times New Roman"/>
                <w:b/>
                <w:bCs/>
                <w:color w:val="000000"/>
                <w:sz w:val="20"/>
                <w:szCs w:val="20"/>
              </w:rPr>
            </w:pPr>
            <w:r w:rsidRPr="00671063">
              <w:rPr>
                <w:rFonts w:eastAsia="Times New Roman"/>
                <w:b/>
                <w:bCs/>
                <w:color w:val="000000"/>
                <w:sz w:val="20"/>
                <w:szCs w:val="20"/>
              </w:rPr>
              <w:t>2015</w:t>
            </w:r>
          </w:p>
        </w:tc>
        <w:tc>
          <w:tcPr>
            <w:tcW w:w="810" w:type="dxa"/>
            <w:tcBorders>
              <w:top w:val="nil"/>
              <w:left w:val="nil"/>
              <w:bottom w:val="double" w:sz="6" w:space="0" w:color="auto"/>
              <w:right w:val="single" w:sz="8" w:space="0" w:color="auto"/>
            </w:tcBorders>
            <w:shd w:val="clear" w:color="auto" w:fill="auto"/>
            <w:vAlign w:val="center"/>
            <w:hideMark/>
          </w:tcPr>
          <w:p w14:paraId="6760C1AD" w14:textId="77777777" w:rsidR="00671063" w:rsidRPr="00671063" w:rsidRDefault="00671063" w:rsidP="00671063">
            <w:pPr>
              <w:spacing w:after="0"/>
              <w:ind w:firstLine="0"/>
              <w:jc w:val="center"/>
              <w:rPr>
                <w:rFonts w:eastAsia="Times New Roman"/>
                <w:b/>
                <w:bCs/>
                <w:color w:val="000000"/>
                <w:sz w:val="20"/>
                <w:szCs w:val="20"/>
              </w:rPr>
            </w:pPr>
            <w:r w:rsidRPr="00671063">
              <w:rPr>
                <w:rFonts w:eastAsia="Times New Roman"/>
                <w:b/>
                <w:bCs/>
                <w:color w:val="000000"/>
                <w:sz w:val="20"/>
                <w:szCs w:val="20"/>
              </w:rPr>
              <w:t>2017</w:t>
            </w:r>
          </w:p>
        </w:tc>
        <w:tc>
          <w:tcPr>
            <w:tcW w:w="900" w:type="dxa"/>
            <w:tcBorders>
              <w:top w:val="nil"/>
              <w:left w:val="nil"/>
              <w:bottom w:val="double" w:sz="6" w:space="0" w:color="auto"/>
              <w:right w:val="double" w:sz="6" w:space="0" w:color="auto"/>
            </w:tcBorders>
            <w:shd w:val="clear" w:color="auto" w:fill="auto"/>
            <w:vAlign w:val="center"/>
            <w:hideMark/>
          </w:tcPr>
          <w:p w14:paraId="05F2F8F8" w14:textId="77777777" w:rsidR="00671063" w:rsidRPr="00671063" w:rsidRDefault="00671063" w:rsidP="00671063">
            <w:pPr>
              <w:spacing w:after="0"/>
              <w:ind w:firstLine="0"/>
              <w:jc w:val="center"/>
              <w:rPr>
                <w:rFonts w:eastAsia="Times New Roman"/>
                <w:b/>
                <w:bCs/>
                <w:color w:val="000000"/>
                <w:sz w:val="20"/>
                <w:szCs w:val="20"/>
              </w:rPr>
            </w:pPr>
            <w:r w:rsidRPr="00671063">
              <w:rPr>
                <w:rFonts w:eastAsia="Times New Roman"/>
                <w:b/>
                <w:bCs/>
                <w:color w:val="000000"/>
                <w:sz w:val="20"/>
                <w:szCs w:val="20"/>
              </w:rPr>
              <w:t>Total</w:t>
            </w:r>
          </w:p>
        </w:tc>
        <w:tc>
          <w:tcPr>
            <w:tcW w:w="810" w:type="dxa"/>
            <w:tcBorders>
              <w:top w:val="nil"/>
              <w:left w:val="nil"/>
              <w:bottom w:val="double" w:sz="6" w:space="0" w:color="auto"/>
              <w:right w:val="double" w:sz="6" w:space="0" w:color="auto"/>
            </w:tcBorders>
            <w:shd w:val="clear" w:color="auto" w:fill="auto"/>
            <w:vAlign w:val="center"/>
            <w:hideMark/>
          </w:tcPr>
          <w:p w14:paraId="554603E1" w14:textId="77777777" w:rsidR="00671063" w:rsidRPr="00671063" w:rsidRDefault="00671063" w:rsidP="00671063">
            <w:pPr>
              <w:spacing w:after="0"/>
              <w:ind w:firstLine="0"/>
              <w:jc w:val="center"/>
              <w:rPr>
                <w:rFonts w:eastAsia="Times New Roman"/>
                <w:b/>
                <w:bCs/>
                <w:color w:val="000000"/>
                <w:sz w:val="20"/>
                <w:szCs w:val="20"/>
              </w:rPr>
            </w:pPr>
            <w:r w:rsidRPr="00671063">
              <w:rPr>
                <w:rFonts w:eastAsia="Times New Roman"/>
                <w:b/>
                <w:bCs/>
                <w:color w:val="000000"/>
                <w:sz w:val="20"/>
                <w:szCs w:val="20"/>
              </w:rPr>
              <w:t>2017</w:t>
            </w:r>
          </w:p>
        </w:tc>
      </w:tr>
      <w:tr w:rsidR="00671063" w:rsidRPr="00671063" w14:paraId="5EFDE3DF" w14:textId="77777777" w:rsidTr="00F63564">
        <w:trPr>
          <w:trHeight w:val="20"/>
          <w:jc w:val="center"/>
        </w:trPr>
        <w:tc>
          <w:tcPr>
            <w:tcW w:w="1867" w:type="dxa"/>
            <w:tcBorders>
              <w:top w:val="nil"/>
              <w:left w:val="double" w:sz="6" w:space="0" w:color="auto"/>
              <w:bottom w:val="single" w:sz="8" w:space="0" w:color="auto"/>
              <w:right w:val="nil"/>
            </w:tcBorders>
            <w:shd w:val="clear" w:color="000000" w:fill="FFFFFF"/>
            <w:vAlign w:val="center"/>
            <w:hideMark/>
          </w:tcPr>
          <w:p w14:paraId="488627A0" w14:textId="77777777" w:rsidR="00671063" w:rsidRPr="00671063" w:rsidRDefault="00671063" w:rsidP="00671063">
            <w:pPr>
              <w:spacing w:after="0"/>
              <w:ind w:firstLine="0"/>
              <w:jc w:val="left"/>
              <w:rPr>
                <w:rFonts w:eastAsia="Times New Roman"/>
                <w:b/>
                <w:bCs/>
                <w:color w:val="000000"/>
                <w:sz w:val="20"/>
                <w:szCs w:val="20"/>
              </w:rPr>
            </w:pPr>
            <w:r w:rsidRPr="00671063">
              <w:rPr>
                <w:rFonts w:eastAsia="Times New Roman"/>
                <w:b/>
                <w:bCs/>
                <w:color w:val="000000"/>
                <w:sz w:val="20"/>
                <w:szCs w:val="20"/>
              </w:rPr>
              <w:t>Gender</w:t>
            </w:r>
          </w:p>
        </w:tc>
        <w:tc>
          <w:tcPr>
            <w:tcW w:w="734" w:type="dxa"/>
            <w:tcBorders>
              <w:top w:val="nil"/>
              <w:left w:val="nil"/>
              <w:bottom w:val="single" w:sz="8" w:space="0" w:color="auto"/>
              <w:right w:val="nil"/>
            </w:tcBorders>
            <w:shd w:val="clear" w:color="000000" w:fill="FFFFFF"/>
            <w:vAlign w:val="center"/>
            <w:hideMark/>
          </w:tcPr>
          <w:p w14:paraId="5DAAEE2E" w14:textId="77777777" w:rsidR="00671063" w:rsidRPr="00671063" w:rsidRDefault="00671063" w:rsidP="00671063">
            <w:pPr>
              <w:spacing w:after="0"/>
              <w:ind w:firstLine="0"/>
              <w:jc w:val="left"/>
              <w:rPr>
                <w:rFonts w:eastAsia="Times New Roman"/>
                <w:color w:val="000000"/>
                <w:sz w:val="20"/>
                <w:szCs w:val="20"/>
              </w:rPr>
            </w:pPr>
            <w:r w:rsidRPr="00671063">
              <w:rPr>
                <w:rFonts w:eastAsia="Times New Roman"/>
                <w:color w:val="000000"/>
                <w:sz w:val="20"/>
                <w:szCs w:val="20"/>
              </w:rPr>
              <w:t> </w:t>
            </w:r>
          </w:p>
        </w:tc>
        <w:tc>
          <w:tcPr>
            <w:tcW w:w="796" w:type="dxa"/>
            <w:tcBorders>
              <w:top w:val="double" w:sz="6" w:space="0" w:color="auto"/>
              <w:left w:val="nil"/>
              <w:bottom w:val="single" w:sz="8" w:space="0" w:color="auto"/>
              <w:right w:val="nil"/>
            </w:tcBorders>
            <w:shd w:val="clear" w:color="000000" w:fill="FFFFFF"/>
            <w:vAlign w:val="center"/>
            <w:hideMark/>
          </w:tcPr>
          <w:p w14:paraId="01803860" w14:textId="77777777" w:rsidR="00671063" w:rsidRPr="00671063" w:rsidRDefault="00671063" w:rsidP="00671063">
            <w:pPr>
              <w:spacing w:after="0"/>
              <w:ind w:firstLine="0"/>
              <w:jc w:val="left"/>
              <w:rPr>
                <w:rFonts w:eastAsia="Times New Roman"/>
                <w:color w:val="000000"/>
                <w:sz w:val="20"/>
                <w:szCs w:val="20"/>
              </w:rPr>
            </w:pPr>
            <w:r w:rsidRPr="00671063">
              <w:rPr>
                <w:rFonts w:eastAsia="Times New Roman"/>
                <w:color w:val="000000"/>
                <w:sz w:val="20"/>
                <w:szCs w:val="20"/>
              </w:rPr>
              <w:t> </w:t>
            </w:r>
          </w:p>
        </w:tc>
        <w:tc>
          <w:tcPr>
            <w:tcW w:w="810" w:type="dxa"/>
            <w:gridSpan w:val="3"/>
            <w:tcBorders>
              <w:top w:val="double" w:sz="6" w:space="0" w:color="auto"/>
              <w:left w:val="nil"/>
              <w:bottom w:val="single" w:sz="8" w:space="0" w:color="auto"/>
              <w:right w:val="nil"/>
            </w:tcBorders>
            <w:shd w:val="clear" w:color="000000" w:fill="FFFFFF"/>
            <w:vAlign w:val="center"/>
            <w:hideMark/>
          </w:tcPr>
          <w:p w14:paraId="2EFF704D" w14:textId="77777777" w:rsidR="00671063" w:rsidRPr="00671063" w:rsidRDefault="00671063" w:rsidP="00671063">
            <w:pPr>
              <w:spacing w:after="0"/>
              <w:ind w:firstLine="0"/>
              <w:jc w:val="left"/>
              <w:rPr>
                <w:rFonts w:eastAsia="Times New Roman"/>
                <w:color w:val="000000"/>
                <w:sz w:val="20"/>
                <w:szCs w:val="20"/>
              </w:rPr>
            </w:pPr>
            <w:r w:rsidRPr="00671063">
              <w:rPr>
                <w:rFonts w:eastAsia="Times New Roman"/>
                <w:color w:val="000000"/>
                <w:sz w:val="20"/>
                <w:szCs w:val="20"/>
              </w:rPr>
              <w:t> </w:t>
            </w:r>
          </w:p>
        </w:tc>
        <w:tc>
          <w:tcPr>
            <w:tcW w:w="810" w:type="dxa"/>
            <w:gridSpan w:val="5"/>
            <w:tcBorders>
              <w:top w:val="nil"/>
              <w:left w:val="nil"/>
              <w:bottom w:val="single" w:sz="8" w:space="0" w:color="auto"/>
              <w:right w:val="double" w:sz="6" w:space="0" w:color="auto"/>
            </w:tcBorders>
            <w:shd w:val="clear" w:color="000000" w:fill="FFFFFF"/>
            <w:vAlign w:val="center"/>
            <w:hideMark/>
          </w:tcPr>
          <w:p w14:paraId="18840102" w14:textId="77777777" w:rsidR="00671063" w:rsidRPr="00671063" w:rsidRDefault="00671063" w:rsidP="00671063">
            <w:pPr>
              <w:spacing w:after="0"/>
              <w:ind w:firstLine="0"/>
              <w:jc w:val="left"/>
              <w:rPr>
                <w:rFonts w:eastAsia="Times New Roman"/>
                <w:b/>
                <w:bCs/>
                <w:color w:val="000000"/>
                <w:sz w:val="20"/>
                <w:szCs w:val="20"/>
              </w:rPr>
            </w:pPr>
            <w:r w:rsidRPr="00671063">
              <w:rPr>
                <w:rFonts w:eastAsia="Times New Roman"/>
                <w:b/>
                <w:bCs/>
                <w:color w:val="000000"/>
                <w:sz w:val="20"/>
                <w:szCs w:val="20"/>
              </w:rPr>
              <w:t> </w:t>
            </w:r>
          </w:p>
        </w:tc>
        <w:tc>
          <w:tcPr>
            <w:tcW w:w="2799" w:type="dxa"/>
            <w:gridSpan w:val="2"/>
            <w:tcBorders>
              <w:top w:val="nil"/>
              <w:left w:val="nil"/>
              <w:bottom w:val="single" w:sz="8" w:space="0" w:color="auto"/>
              <w:right w:val="nil"/>
            </w:tcBorders>
            <w:shd w:val="clear" w:color="auto" w:fill="auto"/>
            <w:vAlign w:val="center"/>
            <w:hideMark/>
          </w:tcPr>
          <w:p w14:paraId="1B277033" w14:textId="77777777" w:rsidR="00671063" w:rsidRPr="00671063" w:rsidRDefault="00671063" w:rsidP="00671063">
            <w:pPr>
              <w:spacing w:after="0"/>
              <w:ind w:firstLine="0"/>
              <w:jc w:val="left"/>
              <w:rPr>
                <w:rFonts w:eastAsia="Times New Roman"/>
                <w:b/>
                <w:bCs/>
                <w:color w:val="000000"/>
                <w:sz w:val="20"/>
                <w:szCs w:val="20"/>
              </w:rPr>
            </w:pPr>
            <w:r w:rsidRPr="00671063">
              <w:rPr>
                <w:rFonts w:eastAsia="Times New Roman"/>
                <w:b/>
                <w:bCs/>
                <w:color w:val="000000"/>
                <w:sz w:val="20"/>
                <w:szCs w:val="20"/>
              </w:rPr>
              <w:t>Household size</w:t>
            </w:r>
          </w:p>
        </w:tc>
        <w:tc>
          <w:tcPr>
            <w:tcW w:w="801" w:type="dxa"/>
            <w:tcBorders>
              <w:top w:val="nil"/>
              <w:left w:val="nil"/>
              <w:bottom w:val="single" w:sz="8" w:space="0" w:color="auto"/>
              <w:right w:val="nil"/>
            </w:tcBorders>
            <w:shd w:val="clear" w:color="auto" w:fill="auto"/>
            <w:vAlign w:val="center"/>
            <w:hideMark/>
          </w:tcPr>
          <w:p w14:paraId="530814C7"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 </w:t>
            </w:r>
          </w:p>
        </w:tc>
        <w:tc>
          <w:tcPr>
            <w:tcW w:w="810" w:type="dxa"/>
            <w:tcBorders>
              <w:top w:val="nil"/>
              <w:left w:val="nil"/>
              <w:bottom w:val="single" w:sz="8" w:space="0" w:color="auto"/>
              <w:right w:val="nil"/>
            </w:tcBorders>
            <w:shd w:val="clear" w:color="auto" w:fill="auto"/>
            <w:vAlign w:val="center"/>
            <w:hideMark/>
          </w:tcPr>
          <w:p w14:paraId="7811F9FB"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 </w:t>
            </w:r>
          </w:p>
        </w:tc>
        <w:tc>
          <w:tcPr>
            <w:tcW w:w="900" w:type="dxa"/>
            <w:tcBorders>
              <w:top w:val="nil"/>
              <w:left w:val="nil"/>
              <w:bottom w:val="single" w:sz="8" w:space="0" w:color="auto"/>
              <w:right w:val="nil"/>
            </w:tcBorders>
            <w:shd w:val="clear" w:color="auto" w:fill="auto"/>
            <w:vAlign w:val="center"/>
            <w:hideMark/>
          </w:tcPr>
          <w:p w14:paraId="64B0190D"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 </w:t>
            </w:r>
          </w:p>
        </w:tc>
        <w:tc>
          <w:tcPr>
            <w:tcW w:w="810" w:type="dxa"/>
            <w:tcBorders>
              <w:top w:val="nil"/>
              <w:left w:val="nil"/>
              <w:bottom w:val="single" w:sz="8" w:space="0" w:color="auto"/>
              <w:right w:val="double" w:sz="6" w:space="0" w:color="auto"/>
            </w:tcBorders>
            <w:shd w:val="clear" w:color="auto" w:fill="auto"/>
            <w:vAlign w:val="center"/>
            <w:hideMark/>
          </w:tcPr>
          <w:p w14:paraId="52BE0620"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 </w:t>
            </w:r>
          </w:p>
        </w:tc>
      </w:tr>
      <w:tr w:rsidR="00671063" w:rsidRPr="00671063" w14:paraId="747AECCF" w14:textId="77777777" w:rsidTr="00F63564">
        <w:trPr>
          <w:trHeight w:val="20"/>
          <w:jc w:val="center"/>
        </w:trPr>
        <w:tc>
          <w:tcPr>
            <w:tcW w:w="1867" w:type="dxa"/>
            <w:tcBorders>
              <w:top w:val="nil"/>
              <w:left w:val="double" w:sz="6" w:space="0" w:color="auto"/>
              <w:bottom w:val="single" w:sz="8" w:space="0" w:color="auto"/>
              <w:right w:val="double" w:sz="6" w:space="0" w:color="auto"/>
            </w:tcBorders>
            <w:shd w:val="clear" w:color="auto" w:fill="auto"/>
            <w:vAlign w:val="center"/>
            <w:hideMark/>
          </w:tcPr>
          <w:p w14:paraId="4D1BD194" w14:textId="77777777" w:rsidR="00671063" w:rsidRPr="00671063" w:rsidRDefault="00671063" w:rsidP="00671063">
            <w:pPr>
              <w:spacing w:after="0"/>
              <w:ind w:firstLine="0"/>
              <w:jc w:val="left"/>
              <w:rPr>
                <w:rFonts w:eastAsia="Times New Roman"/>
                <w:color w:val="000000"/>
                <w:sz w:val="20"/>
                <w:szCs w:val="20"/>
              </w:rPr>
            </w:pPr>
            <w:r w:rsidRPr="00671063">
              <w:rPr>
                <w:rFonts w:eastAsia="Times New Roman"/>
                <w:color w:val="000000"/>
                <w:sz w:val="20"/>
                <w:szCs w:val="20"/>
              </w:rPr>
              <w:t xml:space="preserve">  Male</w:t>
            </w:r>
          </w:p>
        </w:tc>
        <w:tc>
          <w:tcPr>
            <w:tcW w:w="734" w:type="dxa"/>
            <w:tcBorders>
              <w:top w:val="nil"/>
              <w:left w:val="nil"/>
              <w:bottom w:val="single" w:sz="8" w:space="0" w:color="auto"/>
              <w:right w:val="single" w:sz="8" w:space="0" w:color="auto"/>
            </w:tcBorders>
            <w:shd w:val="clear" w:color="auto" w:fill="auto"/>
            <w:vAlign w:val="center"/>
            <w:hideMark/>
          </w:tcPr>
          <w:p w14:paraId="3F44065D"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45.8%</w:t>
            </w:r>
          </w:p>
        </w:tc>
        <w:tc>
          <w:tcPr>
            <w:tcW w:w="796" w:type="dxa"/>
            <w:tcBorders>
              <w:top w:val="single" w:sz="8" w:space="0" w:color="auto"/>
              <w:left w:val="nil"/>
              <w:bottom w:val="single" w:sz="8" w:space="0" w:color="auto"/>
              <w:right w:val="single" w:sz="8" w:space="0" w:color="000000"/>
            </w:tcBorders>
            <w:shd w:val="clear" w:color="auto" w:fill="auto"/>
            <w:vAlign w:val="center"/>
            <w:hideMark/>
          </w:tcPr>
          <w:p w14:paraId="2FB4F155"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49.1%</w:t>
            </w:r>
          </w:p>
        </w:tc>
        <w:tc>
          <w:tcPr>
            <w:tcW w:w="810" w:type="dxa"/>
            <w:gridSpan w:val="3"/>
            <w:tcBorders>
              <w:top w:val="single" w:sz="8" w:space="0" w:color="auto"/>
              <w:left w:val="nil"/>
              <w:bottom w:val="single" w:sz="8" w:space="0" w:color="auto"/>
              <w:right w:val="double" w:sz="6" w:space="0" w:color="000000"/>
            </w:tcBorders>
            <w:shd w:val="clear" w:color="auto" w:fill="auto"/>
            <w:vAlign w:val="center"/>
            <w:hideMark/>
          </w:tcPr>
          <w:p w14:paraId="4B9B11A9"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47.6%</w:t>
            </w:r>
          </w:p>
        </w:tc>
        <w:tc>
          <w:tcPr>
            <w:tcW w:w="810" w:type="dxa"/>
            <w:gridSpan w:val="5"/>
            <w:tcBorders>
              <w:top w:val="nil"/>
              <w:left w:val="nil"/>
              <w:bottom w:val="single" w:sz="8" w:space="0" w:color="auto"/>
              <w:right w:val="double" w:sz="6" w:space="0" w:color="auto"/>
            </w:tcBorders>
            <w:shd w:val="clear" w:color="auto" w:fill="auto"/>
            <w:vAlign w:val="center"/>
            <w:hideMark/>
          </w:tcPr>
          <w:p w14:paraId="17015AB0"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50.0%</w:t>
            </w:r>
          </w:p>
        </w:tc>
        <w:tc>
          <w:tcPr>
            <w:tcW w:w="2799" w:type="dxa"/>
            <w:gridSpan w:val="2"/>
            <w:tcBorders>
              <w:top w:val="nil"/>
              <w:left w:val="nil"/>
              <w:bottom w:val="single" w:sz="8" w:space="0" w:color="auto"/>
              <w:right w:val="double" w:sz="6" w:space="0" w:color="auto"/>
            </w:tcBorders>
            <w:shd w:val="clear" w:color="auto" w:fill="auto"/>
            <w:vAlign w:val="center"/>
            <w:hideMark/>
          </w:tcPr>
          <w:p w14:paraId="2A00C0B2" w14:textId="77777777" w:rsidR="00671063" w:rsidRPr="00671063" w:rsidRDefault="00671063" w:rsidP="00671063">
            <w:pPr>
              <w:spacing w:after="0"/>
              <w:ind w:firstLine="0"/>
              <w:jc w:val="left"/>
              <w:rPr>
                <w:rFonts w:eastAsia="Times New Roman"/>
                <w:color w:val="000000"/>
                <w:sz w:val="20"/>
                <w:szCs w:val="20"/>
              </w:rPr>
            </w:pPr>
            <w:r w:rsidRPr="00671063">
              <w:rPr>
                <w:rFonts w:eastAsia="Times New Roman"/>
                <w:color w:val="000000"/>
                <w:sz w:val="20"/>
                <w:szCs w:val="20"/>
              </w:rPr>
              <w:t xml:space="preserve">  1 person</w:t>
            </w:r>
          </w:p>
        </w:tc>
        <w:tc>
          <w:tcPr>
            <w:tcW w:w="801" w:type="dxa"/>
            <w:tcBorders>
              <w:top w:val="nil"/>
              <w:left w:val="nil"/>
              <w:bottom w:val="single" w:sz="8" w:space="0" w:color="auto"/>
              <w:right w:val="single" w:sz="8" w:space="0" w:color="auto"/>
            </w:tcBorders>
            <w:shd w:val="clear" w:color="auto" w:fill="auto"/>
            <w:vAlign w:val="center"/>
            <w:hideMark/>
          </w:tcPr>
          <w:p w14:paraId="79ED2D53"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23.1%</w:t>
            </w:r>
          </w:p>
        </w:tc>
        <w:tc>
          <w:tcPr>
            <w:tcW w:w="810" w:type="dxa"/>
            <w:tcBorders>
              <w:top w:val="nil"/>
              <w:left w:val="nil"/>
              <w:bottom w:val="single" w:sz="8" w:space="0" w:color="auto"/>
              <w:right w:val="single" w:sz="8" w:space="0" w:color="auto"/>
            </w:tcBorders>
            <w:shd w:val="clear" w:color="auto" w:fill="auto"/>
            <w:vAlign w:val="center"/>
            <w:hideMark/>
          </w:tcPr>
          <w:p w14:paraId="1AF0BFFE"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24.2%</w:t>
            </w:r>
          </w:p>
        </w:tc>
        <w:tc>
          <w:tcPr>
            <w:tcW w:w="900" w:type="dxa"/>
            <w:tcBorders>
              <w:top w:val="nil"/>
              <w:left w:val="nil"/>
              <w:bottom w:val="single" w:sz="8" w:space="0" w:color="auto"/>
              <w:right w:val="double" w:sz="6" w:space="0" w:color="auto"/>
            </w:tcBorders>
            <w:shd w:val="clear" w:color="auto" w:fill="auto"/>
            <w:vAlign w:val="center"/>
            <w:hideMark/>
          </w:tcPr>
          <w:p w14:paraId="21022A0C"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23.7%</w:t>
            </w:r>
          </w:p>
        </w:tc>
        <w:tc>
          <w:tcPr>
            <w:tcW w:w="810" w:type="dxa"/>
            <w:tcBorders>
              <w:top w:val="nil"/>
              <w:left w:val="nil"/>
              <w:bottom w:val="single" w:sz="8" w:space="0" w:color="auto"/>
              <w:right w:val="double" w:sz="6" w:space="0" w:color="auto"/>
            </w:tcBorders>
            <w:shd w:val="clear" w:color="auto" w:fill="auto"/>
            <w:vAlign w:val="center"/>
            <w:hideMark/>
          </w:tcPr>
          <w:p w14:paraId="6B13DFBB"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27.4%</w:t>
            </w:r>
          </w:p>
        </w:tc>
      </w:tr>
      <w:tr w:rsidR="00671063" w:rsidRPr="00671063" w14:paraId="39AFE21E" w14:textId="77777777" w:rsidTr="00F63564">
        <w:trPr>
          <w:trHeight w:val="20"/>
          <w:jc w:val="center"/>
        </w:trPr>
        <w:tc>
          <w:tcPr>
            <w:tcW w:w="1867" w:type="dxa"/>
            <w:tcBorders>
              <w:top w:val="nil"/>
              <w:left w:val="double" w:sz="6" w:space="0" w:color="auto"/>
              <w:bottom w:val="double" w:sz="6" w:space="0" w:color="auto"/>
              <w:right w:val="double" w:sz="6" w:space="0" w:color="auto"/>
            </w:tcBorders>
            <w:shd w:val="clear" w:color="auto" w:fill="auto"/>
            <w:vAlign w:val="center"/>
            <w:hideMark/>
          </w:tcPr>
          <w:p w14:paraId="2ADBC659" w14:textId="77777777" w:rsidR="00671063" w:rsidRPr="00671063" w:rsidRDefault="00671063" w:rsidP="00671063">
            <w:pPr>
              <w:spacing w:after="0"/>
              <w:ind w:firstLine="0"/>
              <w:jc w:val="left"/>
              <w:rPr>
                <w:rFonts w:eastAsia="Times New Roman"/>
                <w:color w:val="000000"/>
                <w:sz w:val="20"/>
                <w:szCs w:val="20"/>
              </w:rPr>
            </w:pPr>
            <w:r w:rsidRPr="00671063">
              <w:rPr>
                <w:rFonts w:eastAsia="Times New Roman"/>
                <w:color w:val="000000"/>
                <w:sz w:val="20"/>
                <w:szCs w:val="20"/>
              </w:rPr>
              <w:t xml:space="preserve">  Female</w:t>
            </w:r>
          </w:p>
        </w:tc>
        <w:tc>
          <w:tcPr>
            <w:tcW w:w="734" w:type="dxa"/>
            <w:tcBorders>
              <w:top w:val="nil"/>
              <w:left w:val="nil"/>
              <w:bottom w:val="double" w:sz="6" w:space="0" w:color="auto"/>
              <w:right w:val="single" w:sz="8" w:space="0" w:color="auto"/>
            </w:tcBorders>
            <w:shd w:val="clear" w:color="auto" w:fill="auto"/>
            <w:vAlign w:val="center"/>
            <w:hideMark/>
          </w:tcPr>
          <w:p w14:paraId="4C5515A1"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54.2%</w:t>
            </w:r>
          </w:p>
        </w:tc>
        <w:tc>
          <w:tcPr>
            <w:tcW w:w="796" w:type="dxa"/>
            <w:tcBorders>
              <w:top w:val="single" w:sz="8" w:space="0" w:color="auto"/>
              <w:left w:val="nil"/>
              <w:bottom w:val="double" w:sz="6" w:space="0" w:color="auto"/>
              <w:right w:val="single" w:sz="8" w:space="0" w:color="000000"/>
            </w:tcBorders>
            <w:shd w:val="clear" w:color="auto" w:fill="auto"/>
            <w:vAlign w:val="center"/>
            <w:hideMark/>
          </w:tcPr>
          <w:p w14:paraId="772B9E65"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50.9%</w:t>
            </w:r>
          </w:p>
        </w:tc>
        <w:tc>
          <w:tcPr>
            <w:tcW w:w="810" w:type="dxa"/>
            <w:gridSpan w:val="3"/>
            <w:tcBorders>
              <w:top w:val="single" w:sz="8" w:space="0" w:color="auto"/>
              <w:left w:val="nil"/>
              <w:bottom w:val="double" w:sz="6" w:space="0" w:color="auto"/>
              <w:right w:val="double" w:sz="6" w:space="0" w:color="000000"/>
            </w:tcBorders>
            <w:shd w:val="clear" w:color="auto" w:fill="auto"/>
            <w:vAlign w:val="center"/>
            <w:hideMark/>
          </w:tcPr>
          <w:p w14:paraId="5F6891E2"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52.4%</w:t>
            </w:r>
          </w:p>
        </w:tc>
        <w:tc>
          <w:tcPr>
            <w:tcW w:w="810" w:type="dxa"/>
            <w:gridSpan w:val="5"/>
            <w:tcBorders>
              <w:top w:val="nil"/>
              <w:left w:val="nil"/>
              <w:bottom w:val="double" w:sz="6" w:space="0" w:color="auto"/>
              <w:right w:val="double" w:sz="6" w:space="0" w:color="auto"/>
            </w:tcBorders>
            <w:shd w:val="clear" w:color="auto" w:fill="auto"/>
            <w:vAlign w:val="center"/>
            <w:hideMark/>
          </w:tcPr>
          <w:p w14:paraId="49B17B6B"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50.0%</w:t>
            </w:r>
          </w:p>
        </w:tc>
        <w:tc>
          <w:tcPr>
            <w:tcW w:w="2799" w:type="dxa"/>
            <w:gridSpan w:val="2"/>
            <w:tcBorders>
              <w:top w:val="nil"/>
              <w:left w:val="nil"/>
              <w:bottom w:val="single" w:sz="8" w:space="0" w:color="auto"/>
              <w:right w:val="double" w:sz="6" w:space="0" w:color="auto"/>
            </w:tcBorders>
            <w:shd w:val="clear" w:color="auto" w:fill="auto"/>
            <w:vAlign w:val="center"/>
            <w:hideMark/>
          </w:tcPr>
          <w:p w14:paraId="38D89C6D" w14:textId="77777777" w:rsidR="00671063" w:rsidRPr="00671063" w:rsidRDefault="00671063" w:rsidP="00671063">
            <w:pPr>
              <w:spacing w:after="0"/>
              <w:ind w:firstLine="0"/>
              <w:jc w:val="left"/>
              <w:rPr>
                <w:rFonts w:eastAsia="Times New Roman"/>
                <w:color w:val="000000"/>
                <w:sz w:val="20"/>
                <w:szCs w:val="20"/>
              </w:rPr>
            </w:pPr>
            <w:r w:rsidRPr="00671063">
              <w:rPr>
                <w:rFonts w:eastAsia="Times New Roman"/>
                <w:color w:val="000000"/>
                <w:sz w:val="20"/>
                <w:szCs w:val="20"/>
              </w:rPr>
              <w:t xml:space="preserve">  2 people</w:t>
            </w:r>
          </w:p>
        </w:tc>
        <w:tc>
          <w:tcPr>
            <w:tcW w:w="801" w:type="dxa"/>
            <w:tcBorders>
              <w:top w:val="nil"/>
              <w:left w:val="nil"/>
              <w:bottom w:val="single" w:sz="8" w:space="0" w:color="auto"/>
              <w:right w:val="single" w:sz="8" w:space="0" w:color="auto"/>
            </w:tcBorders>
            <w:shd w:val="clear" w:color="auto" w:fill="auto"/>
            <w:vAlign w:val="center"/>
            <w:hideMark/>
          </w:tcPr>
          <w:p w14:paraId="68F5D24B"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45.2%</w:t>
            </w:r>
          </w:p>
        </w:tc>
        <w:tc>
          <w:tcPr>
            <w:tcW w:w="810" w:type="dxa"/>
            <w:tcBorders>
              <w:top w:val="nil"/>
              <w:left w:val="nil"/>
              <w:bottom w:val="single" w:sz="8" w:space="0" w:color="auto"/>
              <w:right w:val="single" w:sz="8" w:space="0" w:color="auto"/>
            </w:tcBorders>
            <w:shd w:val="clear" w:color="auto" w:fill="auto"/>
            <w:vAlign w:val="center"/>
            <w:hideMark/>
          </w:tcPr>
          <w:p w14:paraId="39917923"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49.5%</w:t>
            </w:r>
          </w:p>
        </w:tc>
        <w:tc>
          <w:tcPr>
            <w:tcW w:w="900" w:type="dxa"/>
            <w:tcBorders>
              <w:top w:val="nil"/>
              <w:left w:val="nil"/>
              <w:bottom w:val="single" w:sz="8" w:space="0" w:color="auto"/>
              <w:right w:val="double" w:sz="6" w:space="0" w:color="auto"/>
            </w:tcBorders>
            <w:shd w:val="clear" w:color="auto" w:fill="auto"/>
            <w:vAlign w:val="center"/>
            <w:hideMark/>
          </w:tcPr>
          <w:p w14:paraId="1CE11127"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47.6%</w:t>
            </w:r>
          </w:p>
        </w:tc>
        <w:tc>
          <w:tcPr>
            <w:tcW w:w="810" w:type="dxa"/>
            <w:tcBorders>
              <w:top w:val="nil"/>
              <w:left w:val="nil"/>
              <w:bottom w:val="single" w:sz="8" w:space="0" w:color="auto"/>
              <w:right w:val="double" w:sz="6" w:space="0" w:color="auto"/>
            </w:tcBorders>
            <w:shd w:val="clear" w:color="auto" w:fill="auto"/>
            <w:vAlign w:val="center"/>
            <w:hideMark/>
          </w:tcPr>
          <w:p w14:paraId="015BCC0E"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35.0%</w:t>
            </w:r>
          </w:p>
        </w:tc>
      </w:tr>
      <w:tr w:rsidR="00513BA1" w:rsidRPr="00671063" w14:paraId="216A5499" w14:textId="77777777" w:rsidTr="00F63564">
        <w:trPr>
          <w:trHeight w:val="20"/>
          <w:jc w:val="center"/>
        </w:trPr>
        <w:tc>
          <w:tcPr>
            <w:tcW w:w="1867" w:type="dxa"/>
            <w:tcBorders>
              <w:top w:val="nil"/>
              <w:left w:val="double" w:sz="6" w:space="0" w:color="auto"/>
              <w:bottom w:val="single" w:sz="8" w:space="0" w:color="auto"/>
              <w:right w:val="nil"/>
            </w:tcBorders>
            <w:shd w:val="clear" w:color="000000" w:fill="FFFFFF"/>
            <w:vAlign w:val="center"/>
            <w:hideMark/>
          </w:tcPr>
          <w:p w14:paraId="2B82791C" w14:textId="77777777" w:rsidR="00671063" w:rsidRPr="00671063" w:rsidRDefault="00671063" w:rsidP="00671063">
            <w:pPr>
              <w:spacing w:after="0"/>
              <w:ind w:firstLine="0"/>
              <w:jc w:val="left"/>
              <w:rPr>
                <w:rFonts w:eastAsia="Times New Roman"/>
                <w:b/>
                <w:bCs/>
                <w:color w:val="000000"/>
                <w:sz w:val="20"/>
                <w:szCs w:val="20"/>
              </w:rPr>
            </w:pPr>
            <w:r w:rsidRPr="00671063">
              <w:rPr>
                <w:rFonts w:eastAsia="Times New Roman"/>
                <w:b/>
                <w:bCs/>
                <w:color w:val="000000"/>
                <w:sz w:val="20"/>
                <w:szCs w:val="20"/>
              </w:rPr>
              <w:t>Age</w:t>
            </w:r>
          </w:p>
        </w:tc>
        <w:tc>
          <w:tcPr>
            <w:tcW w:w="734" w:type="dxa"/>
            <w:tcBorders>
              <w:top w:val="nil"/>
              <w:left w:val="nil"/>
              <w:bottom w:val="single" w:sz="8" w:space="0" w:color="auto"/>
              <w:right w:val="nil"/>
            </w:tcBorders>
            <w:shd w:val="clear" w:color="000000" w:fill="FFFFFF"/>
            <w:vAlign w:val="center"/>
            <w:hideMark/>
          </w:tcPr>
          <w:p w14:paraId="476CEECE" w14:textId="77777777" w:rsidR="00671063" w:rsidRPr="00671063" w:rsidRDefault="00671063" w:rsidP="00671063">
            <w:pPr>
              <w:spacing w:after="0"/>
              <w:ind w:firstLine="0"/>
              <w:jc w:val="left"/>
              <w:rPr>
                <w:rFonts w:eastAsia="Times New Roman"/>
                <w:b/>
                <w:bCs/>
                <w:color w:val="000000"/>
                <w:sz w:val="20"/>
                <w:szCs w:val="20"/>
              </w:rPr>
            </w:pPr>
            <w:r w:rsidRPr="00671063">
              <w:rPr>
                <w:rFonts w:eastAsia="Times New Roman"/>
                <w:b/>
                <w:bCs/>
                <w:color w:val="000000"/>
                <w:sz w:val="20"/>
                <w:szCs w:val="20"/>
              </w:rPr>
              <w:t> </w:t>
            </w:r>
          </w:p>
        </w:tc>
        <w:tc>
          <w:tcPr>
            <w:tcW w:w="906" w:type="dxa"/>
            <w:gridSpan w:val="2"/>
            <w:tcBorders>
              <w:top w:val="nil"/>
              <w:left w:val="nil"/>
              <w:bottom w:val="single" w:sz="8" w:space="0" w:color="auto"/>
              <w:right w:val="nil"/>
            </w:tcBorders>
            <w:shd w:val="clear" w:color="000000" w:fill="FFFFFF"/>
            <w:vAlign w:val="center"/>
            <w:hideMark/>
          </w:tcPr>
          <w:p w14:paraId="39122130" w14:textId="77777777" w:rsidR="00671063" w:rsidRPr="00671063" w:rsidRDefault="00671063" w:rsidP="00671063">
            <w:pPr>
              <w:spacing w:after="0"/>
              <w:ind w:firstLine="0"/>
              <w:jc w:val="left"/>
              <w:rPr>
                <w:rFonts w:eastAsia="Times New Roman"/>
                <w:b/>
                <w:bCs/>
                <w:color w:val="000000"/>
                <w:sz w:val="20"/>
                <w:szCs w:val="20"/>
              </w:rPr>
            </w:pPr>
            <w:r w:rsidRPr="00671063">
              <w:rPr>
                <w:rFonts w:eastAsia="Times New Roman"/>
                <w:b/>
                <w:bCs/>
                <w:color w:val="000000"/>
                <w:sz w:val="20"/>
                <w:szCs w:val="20"/>
              </w:rPr>
              <w:t> </w:t>
            </w:r>
          </w:p>
        </w:tc>
        <w:tc>
          <w:tcPr>
            <w:tcW w:w="236" w:type="dxa"/>
            <w:tcBorders>
              <w:top w:val="nil"/>
              <w:left w:val="nil"/>
              <w:bottom w:val="single" w:sz="8" w:space="0" w:color="auto"/>
              <w:right w:val="nil"/>
            </w:tcBorders>
            <w:shd w:val="clear" w:color="000000" w:fill="FFFFFF"/>
            <w:vAlign w:val="center"/>
            <w:hideMark/>
          </w:tcPr>
          <w:p w14:paraId="07900BCD" w14:textId="77777777" w:rsidR="00671063" w:rsidRPr="00671063" w:rsidRDefault="00671063" w:rsidP="00671063">
            <w:pPr>
              <w:spacing w:after="0"/>
              <w:ind w:firstLine="0"/>
              <w:jc w:val="left"/>
              <w:rPr>
                <w:rFonts w:eastAsia="Times New Roman"/>
                <w:b/>
                <w:bCs/>
                <w:color w:val="000000"/>
                <w:sz w:val="20"/>
                <w:szCs w:val="20"/>
              </w:rPr>
            </w:pPr>
            <w:r w:rsidRPr="00671063">
              <w:rPr>
                <w:rFonts w:eastAsia="Times New Roman"/>
                <w:b/>
                <w:bCs/>
                <w:color w:val="000000"/>
                <w:sz w:val="20"/>
                <w:szCs w:val="20"/>
              </w:rPr>
              <w:t> </w:t>
            </w:r>
          </w:p>
        </w:tc>
        <w:tc>
          <w:tcPr>
            <w:tcW w:w="581" w:type="dxa"/>
            <w:gridSpan w:val="3"/>
            <w:tcBorders>
              <w:top w:val="nil"/>
              <w:left w:val="nil"/>
              <w:bottom w:val="single" w:sz="8" w:space="0" w:color="auto"/>
              <w:right w:val="nil"/>
            </w:tcBorders>
            <w:shd w:val="clear" w:color="000000" w:fill="FFFFFF"/>
            <w:vAlign w:val="center"/>
            <w:hideMark/>
          </w:tcPr>
          <w:p w14:paraId="3C217763" w14:textId="77777777" w:rsidR="00671063" w:rsidRPr="00671063" w:rsidRDefault="00671063" w:rsidP="00671063">
            <w:pPr>
              <w:spacing w:after="0"/>
              <w:ind w:firstLine="0"/>
              <w:jc w:val="left"/>
              <w:rPr>
                <w:rFonts w:eastAsia="Times New Roman"/>
                <w:b/>
                <w:bCs/>
                <w:color w:val="000000"/>
                <w:sz w:val="20"/>
                <w:szCs w:val="20"/>
              </w:rPr>
            </w:pPr>
            <w:r w:rsidRPr="00671063">
              <w:rPr>
                <w:rFonts w:eastAsia="Times New Roman"/>
                <w:b/>
                <w:bCs/>
                <w:color w:val="000000"/>
                <w:sz w:val="20"/>
                <w:szCs w:val="20"/>
              </w:rPr>
              <w:t> </w:t>
            </w:r>
          </w:p>
        </w:tc>
        <w:tc>
          <w:tcPr>
            <w:tcW w:w="237" w:type="dxa"/>
            <w:gridSpan w:val="2"/>
            <w:tcBorders>
              <w:top w:val="nil"/>
              <w:left w:val="nil"/>
              <w:bottom w:val="single" w:sz="8" w:space="0" w:color="auto"/>
              <w:right w:val="nil"/>
            </w:tcBorders>
            <w:shd w:val="clear" w:color="000000" w:fill="FFFFFF"/>
            <w:vAlign w:val="center"/>
            <w:hideMark/>
          </w:tcPr>
          <w:p w14:paraId="6AEDE87B" w14:textId="77777777" w:rsidR="00671063" w:rsidRPr="00671063" w:rsidRDefault="00671063" w:rsidP="00671063">
            <w:pPr>
              <w:spacing w:after="0"/>
              <w:ind w:firstLine="0"/>
              <w:jc w:val="left"/>
              <w:rPr>
                <w:rFonts w:eastAsia="Times New Roman"/>
                <w:b/>
                <w:bCs/>
                <w:color w:val="000000"/>
                <w:sz w:val="20"/>
                <w:szCs w:val="20"/>
              </w:rPr>
            </w:pPr>
            <w:r w:rsidRPr="00671063">
              <w:rPr>
                <w:rFonts w:eastAsia="Times New Roman"/>
                <w:b/>
                <w:bCs/>
                <w:color w:val="000000"/>
                <w:sz w:val="20"/>
                <w:szCs w:val="20"/>
              </w:rPr>
              <w:t> </w:t>
            </w:r>
          </w:p>
        </w:tc>
        <w:tc>
          <w:tcPr>
            <w:tcW w:w="456" w:type="dxa"/>
            <w:tcBorders>
              <w:top w:val="nil"/>
              <w:left w:val="nil"/>
              <w:bottom w:val="single" w:sz="8" w:space="0" w:color="auto"/>
              <w:right w:val="double" w:sz="6" w:space="0" w:color="auto"/>
            </w:tcBorders>
            <w:shd w:val="clear" w:color="000000" w:fill="FFFFFF"/>
            <w:vAlign w:val="center"/>
            <w:hideMark/>
          </w:tcPr>
          <w:p w14:paraId="43FC9684" w14:textId="77777777" w:rsidR="00671063" w:rsidRPr="00671063" w:rsidRDefault="00671063" w:rsidP="00671063">
            <w:pPr>
              <w:spacing w:after="0"/>
              <w:ind w:firstLine="0"/>
              <w:jc w:val="left"/>
              <w:rPr>
                <w:rFonts w:eastAsia="Times New Roman"/>
                <w:b/>
                <w:bCs/>
                <w:color w:val="000000"/>
                <w:sz w:val="20"/>
                <w:szCs w:val="20"/>
              </w:rPr>
            </w:pPr>
            <w:r w:rsidRPr="00671063">
              <w:rPr>
                <w:rFonts w:eastAsia="Times New Roman"/>
                <w:b/>
                <w:bCs/>
                <w:color w:val="000000"/>
                <w:sz w:val="20"/>
                <w:szCs w:val="20"/>
              </w:rPr>
              <w:t> </w:t>
            </w:r>
          </w:p>
        </w:tc>
        <w:tc>
          <w:tcPr>
            <w:tcW w:w="2790" w:type="dxa"/>
            <w:tcBorders>
              <w:top w:val="nil"/>
              <w:left w:val="nil"/>
              <w:bottom w:val="double" w:sz="6" w:space="0" w:color="auto"/>
              <w:right w:val="double" w:sz="6" w:space="0" w:color="auto"/>
            </w:tcBorders>
            <w:shd w:val="clear" w:color="auto" w:fill="auto"/>
            <w:vAlign w:val="center"/>
            <w:hideMark/>
          </w:tcPr>
          <w:p w14:paraId="4C272C14" w14:textId="77777777" w:rsidR="00671063" w:rsidRPr="00671063" w:rsidRDefault="00671063" w:rsidP="00671063">
            <w:pPr>
              <w:spacing w:after="0"/>
              <w:ind w:firstLine="0"/>
              <w:jc w:val="left"/>
              <w:rPr>
                <w:rFonts w:eastAsia="Times New Roman"/>
                <w:color w:val="000000"/>
                <w:sz w:val="20"/>
                <w:szCs w:val="20"/>
              </w:rPr>
            </w:pPr>
            <w:r w:rsidRPr="00671063">
              <w:rPr>
                <w:rFonts w:eastAsia="Times New Roman"/>
                <w:color w:val="000000"/>
                <w:sz w:val="20"/>
                <w:szCs w:val="20"/>
              </w:rPr>
              <w:t xml:space="preserve">  3 or more people</w:t>
            </w:r>
          </w:p>
        </w:tc>
        <w:tc>
          <w:tcPr>
            <w:tcW w:w="810" w:type="dxa"/>
            <w:gridSpan w:val="2"/>
            <w:tcBorders>
              <w:top w:val="nil"/>
              <w:left w:val="nil"/>
              <w:bottom w:val="double" w:sz="6" w:space="0" w:color="auto"/>
              <w:right w:val="single" w:sz="8" w:space="0" w:color="auto"/>
            </w:tcBorders>
            <w:shd w:val="clear" w:color="auto" w:fill="auto"/>
            <w:vAlign w:val="center"/>
            <w:hideMark/>
          </w:tcPr>
          <w:p w14:paraId="15D2EB36"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31.7%</w:t>
            </w:r>
          </w:p>
        </w:tc>
        <w:tc>
          <w:tcPr>
            <w:tcW w:w="810" w:type="dxa"/>
            <w:tcBorders>
              <w:top w:val="nil"/>
              <w:left w:val="nil"/>
              <w:bottom w:val="double" w:sz="6" w:space="0" w:color="auto"/>
              <w:right w:val="single" w:sz="8" w:space="0" w:color="auto"/>
            </w:tcBorders>
            <w:shd w:val="clear" w:color="auto" w:fill="auto"/>
            <w:vAlign w:val="center"/>
            <w:hideMark/>
          </w:tcPr>
          <w:p w14:paraId="57963854"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26.3%</w:t>
            </w:r>
          </w:p>
        </w:tc>
        <w:tc>
          <w:tcPr>
            <w:tcW w:w="900" w:type="dxa"/>
            <w:tcBorders>
              <w:top w:val="nil"/>
              <w:left w:val="nil"/>
              <w:bottom w:val="double" w:sz="6" w:space="0" w:color="auto"/>
              <w:right w:val="double" w:sz="6" w:space="0" w:color="auto"/>
            </w:tcBorders>
            <w:shd w:val="clear" w:color="auto" w:fill="auto"/>
            <w:vAlign w:val="center"/>
            <w:hideMark/>
          </w:tcPr>
          <w:p w14:paraId="38FBD3D2"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28.7%</w:t>
            </w:r>
          </w:p>
        </w:tc>
        <w:tc>
          <w:tcPr>
            <w:tcW w:w="810" w:type="dxa"/>
            <w:tcBorders>
              <w:top w:val="nil"/>
              <w:left w:val="nil"/>
              <w:bottom w:val="double" w:sz="6" w:space="0" w:color="auto"/>
              <w:right w:val="double" w:sz="6" w:space="0" w:color="auto"/>
            </w:tcBorders>
            <w:shd w:val="clear" w:color="auto" w:fill="auto"/>
            <w:vAlign w:val="center"/>
            <w:hideMark/>
          </w:tcPr>
          <w:p w14:paraId="2FF9E8F2"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37.6%</w:t>
            </w:r>
          </w:p>
        </w:tc>
      </w:tr>
      <w:tr w:rsidR="00513BA1" w:rsidRPr="00671063" w14:paraId="6F72107F" w14:textId="77777777" w:rsidTr="00F63564">
        <w:trPr>
          <w:trHeight w:val="20"/>
          <w:jc w:val="center"/>
        </w:trPr>
        <w:tc>
          <w:tcPr>
            <w:tcW w:w="1867" w:type="dxa"/>
            <w:tcBorders>
              <w:top w:val="nil"/>
              <w:left w:val="double" w:sz="6" w:space="0" w:color="auto"/>
              <w:bottom w:val="single" w:sz="8" w:space="0" w:color="auto"/>
              <w:right w:val="double" w:sz="6" w:space="0" w:color="auto"/>
            </w:tcBorders>
            <w:shd w:val="clear" w:color="auto" w:fill="auto"/>
            <w:vAlign w:val="center"/>
            <w:hideMark/>
          </w:tcPr>
          <w:p w14:paraId="073C2C68" w14:textId="1DB66899" w:rsidR="00671063" w:rsidRPr="00671063" w:rsidRDefault="00F63564" w:rsidP="004174AE">
            <w:pPr>
              <w:spacing w:after="0"/>
              <w:ind w:firstLine="0"/>
              <w:jc w:val="left"/>
              <w:rPr>
                <w:rFonts w:eastAsia="Times New Roman"/>
                <w:color w:val="000000"/>
                <w:sz w:val="20"/>
                <w:szCs w:val="20"/>
              </w:rPr>
            </w:pPr>
            <w:r>
              <w:rPr>
                <w:rFonts w:eastAsia="Times New Roman"/>
                <w:color w:val="000000"/>
                <w:sz w:val="20"/>
                <w:szCs w:val="20"/>
              </w:rPr>
              <w:t xml:space="preserve">  </w:t>
            </w:r>
            <w:r w:rsidR="00671063" w:rsidRPr="00671063">
              <w:rPr>
                <w:rFonts w:eastAsia="Times New Roman"/>
                <w:color w:val="000000"/>
                <w:sz w:val="20"/>
                <w:szCs w:val="20"/>
              </w:rPr>
              <w:t>18-24</w:t>
            </w:r>
            <w:r w:rsidR="00E91B47" w:rsidRPr="00F63564">
              <w:rPr>
                <w:sz w:val="20"/>
              </w:rPr>
              <w:t>*</w:t>
            </w:r>
          </w:p>
        </w:tc>
        <w:tc>
          <w:tcPr>
            <w:tcW w:w="734" w:type="dxa"/>
            <w:tcBorders>
              <w:top w:val="nil"/>
              <w:left w:val="nil"/>
              <w:bottom w:val="single" w:sz="8" w:space="0" w:color="auto"/>
              <w:right w:val="single" w:sz="8" w:space="0" w:color="auto"/>
            </w:tcBorders>
            <w:shd w:val="clear" w:color="auto" w:fill="auto"/>
            <w:vAlign w:val="center"/>
            <w:hideMark/>
          </w:tcPr>
          <w:p w14:paraId="2A803573"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5.2%</w:t>
            </w:r>
          </w:p>
        </w:tc>
        <w:tc>
          <w:tcPr>
            <w:tcW w:w="796" w:type="dxa"/>
            <w:tcBorders>
              <w:top w:val="single" w:sz="8" w:space="0" w:color="auto"/>
              <w:left w:val="nil"/>
              <w:bottom w:val="single" w:sz="8" w:space="0" w:color="auto"/>
              <w:right w:val="single" w:sz="8" w:space="0" w:color="000000"/>
            </w:tcBorders>
            <w:shd w:val="clear" w:color="auto" w:fill="auto"/>
            <w:vAlign w:val="center"/>
            <w:hideMark/>
          </w:tcPr>
          <w:p w14:paraId="138F41F0"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6.6%</w:t>
            </w:r>
          </w:p>
        </w:tc>
        <w:tc>
          <w:tcPr>
            <w:tcW w:w="810" w:type="dxa"/>
            <w:gridSpan w:val="3"/>
            <w:tcBorders>
              <w:top w:val="single" w:sz="8" w:space="0" w:color="auto"/>
              <w:left w:val="nil"/>
              <w:bottom w:val="single" w:sz="8" w:space="0" w:color="auto"/>
              <w:right w:val="double" w:sz="6" w:space="0" w:color="000000"/>
            </w:tcBorders>
            <w:shd w:val="clear" w:color="auto" w:fill="auto"/>
            <w:vAlign w:val="center"/>
            <w:hideMark/>
          </w:tcPr>
          <w:p w14:paraId="79E160C3"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6.0%</w:t>
            </w:r>
          </w:p>
        </w:tc>
        <w:tc>
          <w:tcPr>
            <w:tcW w:w="810" w:type="dxa"/>
            <w:gridSpan w:val="5"/>
            <w:tcBorders>
              <w:top w:val="nil"/>
              <w:left w:val="nil"/>
              <w:bottom w:val="single" w:sz="8" w:space="0" w:color="auto"/>
              <w:right w:val="double" w:sz="6" w:space="0" w:color="auto"/>
            </w:tcBorders>
            <w:shd w:val="clear" w:color="auto" w:fill="auto"/>
            <w:vAlign w:val="center"/>
            <w:hideMark/>
          </w:tcPr>
          <w:p w14:paraId="564A0B1B"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8.6%</w:t>
            </w:r>
          </w:p>
        </w:tc>
        <w:tc>
          <w:tcPr>
            <w:tcW w:w="2799" w:type="dxa"/>
            <w:gridSpan w:val="2"/>
            <w:tcBorders>
              <w:top w:val="nil"/>
              <w:left w:val="nil"/>
              <w:bottom w:val="single" w:sz="8" w:space="0" w:color="auto"/>
              <w:right w:val="nil"/>
            </w:tcBorders>
            <w:shd w:val="clear" w:color="000000" w:fill="FFFFFF"/>
            <w:vAlign w:val="center"/>
            <w:hideMark/>
          </w:tcPr>
          <w:p w14:paraId="7198E4CB" w14:textId="77777777" w:rsidR="00671063" w:rsidRPr="00671063" w:rsidRDefault="00671063" w:rsidP="00671063">
            <w:pPr>
              <w:spacing w:after="0"/>
              <w:ind w:firstLine="0"/>
              <w:jc w:val="left"/>
              <w:rPr>
                <w:rFonts w:eastAsia="Times New Roman"/>
                <w:b/>
                <w:bCs/>
                <w:color w:val="000000"/>
                <w:sz w:val="20"/>
                <w:szCs w:val="20"/>
              </w:rPr>
            </w:pPr>
            <w:r w:rsidRPr="00671063">
              <w:rPr>
                <w:rFonts w:eastAsia="Times New Roman"/>
                <w:b/>
                <w:bCs/>
                <w:color w:val="000000"/>
                <w:sz w:val="20"/>
                <w:szCs w:val="20"/>
              </w:rPr>
              <w:t>Education</w:t>
            </w:r>
          </w:p>
        </w:tc>
        <w:tc>
          <w:tcPr>
            <w:tcW w:w="801" w:type="dxa"/>
            <w:tcBorders>
              <w:top w:val="nil"/>
              <w:left w:val="nil"/>
              <w:bottom w:val="single" w:sz="8" w:space="0" w:color="auto"/>
              <w:right w:val="nil"/>
            </w:tcBorders>
            <w:shd w:val="clear" w:color="000000" w:fill="FFFFFF"/>
            <w:vAlign w:val="center"/>
            <w:hideMark/>
          </w:tcPr>
          <w:p w14:paraId="118E45B9" w14:textId="77777777" w:rsidR="00671063" w:rsidRPr="00671063" w:rsidRDefault="00671063" w:rsidP="00671063">
            <w:pPr>
              <w:spacing w:after="0"/>
              <w:ind w:firstLine="0"/>
              <w:jc w:val="left"/>
              <w:rPr>
                <w:rFonts w:eastAsia="Times New Roman"/>
                <w:color w:val="000000"/>
                <w:sz w:val="20"/>
                <w:szCs w:val="20"/>
              </w:rPr>
            </w:pPr>
            <w:r w:rsidRPr="00671063">
              <w:rPr>
                <w:rFonts w:eastAsia="Times New Roman"/>
                <w:color w:val="000000"/>
                <w:sz w:val="20"/>
                <w:szCs w:val="20"/>
              </w:rPr>
              <w:t> </w:t>
            </w:r>
          </w:p>
        </w:tc>
        <w:tc>
          <w:tcPr>
            <w:tcW w:w="810" w:type="dxa"/>
            <w:tcBorders>
              <w:top w:val="nil"/>
              <w:left w:val="nil"/>
              <w:bottom w:val="single" w:sz="8" w:space="0" w:color="auto"/>
              <w:right w:val="nil"/>
            </w:tcBorders>
            <w:shd w:val="clear" w:color="000000" w:fill="FFFFFF"/>
            <w:vAlign w:val="center"/>
            <w:hideMark/>
          </w:tcPr>
          <w:p w14:paraId="1A1574FE" w14:textId="77777777" w:rsidR="00671063" w:rsidRPr="00671063" w:rsidRDefault="00671063" w:rsidP="00671063">
            <w:pPr>
              <w:spacing w:after="0"/>
              <w:ind w:firstLine="0"/>
              <w:jc w:val="left"/>
              <w:rPr>
                <w:rFonts w:eastAsia="Times New Roman"/>
                <w:color w:val="000000"/>
                <w:sz w:val="20"/>
                <w:szCs w:val="20"/>
              </w:rPr>
            </w:pPr>
            <w:r w:rsidRPr="00671063">
              <w:rPr>
                <w:rFonts w:eastAsia="Times New Roman"/>
                <w:color w:val="000000"/>
                <w:sz w:val="20"/>
                <w:szCs w:val="20"/>
              </w:rPr>
              <w:t> </w:t>
            </w:r>
          </w:p>
        </w:tc>
        <w:tc>
          <w:tcPr>
            <w:tcW w:w="900" w:type="dxa"/>
            <w:tcBorders>
              <w:top w:val="nil"/>
              <w:left w:val="nil"/>
              <w:bottom w:val="single" w:sz="8" w:space="0" w:color="auto"/>
              <w:right w:val="nil"/>
            </w:tcBorders>
            <w:shd w:val="clear" w:color="000000" w:fill="FFFFFF"/>
            <w:vAlign w:val="center"/>
            <w:hideMark/>
          </w:tcPr>
          <w:p w14:paraId="4436033F" w14:textId="77777777" w:rsidR="00671063" w:rsidRPr="00671063" w:rsidRDefault="00671063" w:rsidP="00671063">
            <w:pPr>
              <w:spacing w:after="0"/>
              <w:ind w:firstLine="0"/>
              <w:jc w:val="left"/>
              <w:rPr>
                <w:rFonts w:eastAsia="Times New Roman"/>
                <w:color w:val="000000"/>
                <w:sz w:val="20"/>
                <w:szCs w:val="20"/>
              </w:rPr>
            </w:pPr>
            <w:r w:rsidRPr="00671063">
              <w:rPr>
                <w:rFonts w:eastAsia="Times New Roman"/>
                <w:color w:val="000000"/>
                <w:sz w:val="20"/>
                <w:szCs w:val="20"/>
              </w:rPr>
              <w:t> </w:t>
            </w:r>
          </w:p>
        </w:tc>
        <w:tc>
          <w:tcPr>
            <w:tcW w:w="810" w:type="dxa"/>
            <w:tcBorders>
              <w:top w:val="nil"/>
              <w:left w:val="nil"/>
              <w:bottom w:val="single" w:sz="8" w:space="0" w:color="auto"/>
              <w:right w:val="double" w:sz="6" w:space="0" w:color="auto"/>
            </w:tcBorders>
            <w:shd w:val="clear" w:color="000000" w:fill="FFFFFF"/>
            <w:vAlign w:val="center"/>
            <w:hideMark/>
          </w:tcPr>
          <w:p w14:paraId="672772F5" w14:textId="77777777" w:rsidR="00671063" w:rsidRPr="00671063" w:rsidRDefault="00671063" w:rsidP="00671063">
            <w:pPr>
              <w:spacing w:after="0"/>
              <w:ind w:firstLine="0"/>
              <w:jc w:val="left"/>
              <w:rPr>
                <w:rFonts w:eastAsia="Times New Roman"/>
                <w:color w:val="000000"/>
                <w:sz w:val="20"/>
                <w:szCs w:val="20"/>
              </w:rPr>
            </w:pPr>
            <w:r w:rsidRPr="00671063">
              <w:rPr>
                <w:rFonts w:eastAsia="Times New Roman"/>
                <w:color w:val="000000"/>
                <w:sz w:val="20"/>
                <w:szCs w:val="20"/>
              </w:rPr>
              <w:t> </w:t>
            </w:r>
          </w:p>
        </w:tc>
      </w:tr>
      <w:tr w:rsidR="00671063" w:rsidRPr="00671063" w14:paraId="651175BC" w14:textId="77777777" w:rsidTr="00F63564">
        <w:trPr>
          <w:trHeight w:val="20"/>
          <w:jc w:val="center"/>
        </w:trPr>
        <w:tc>
          <w:tcPr>
            <w:tcW w:w="1867" w:type="dxa"/>
            <w:tcBorders>
              <w:top w:val="nil"/>
              <w:left w:val="double" w:sz="6" w:space="0" w:color="auto"/>
              <w:bottom w:val="single" w:sz="8" w:space="0" w:color="auto"/>
              <w:right w:val="double" w:sz="6" w:space="0" w:color="auto"/>
            </w:tcBorders>
            <w:shd w:val="clear" w:color="auto" w:fill="auto"/>
            <w:vAlign w:val="center"/>
            <w:hideMark/>
          </w:tcPr>
          <w:p w14:paraId="05EFBCC5" w14:textId="77777777" w:rsidR="00671063" w:rsidRPr="00671063" w:rsidRDefault="00671063" w:rsidP="00671063">
            <w:pPr>
              <w:spacing w:after="0"/>
              <w:ind w:firstLine="0"/>
              <w:jc w:val="left"/>
              <w:rPr>
                <w:rFonts w:eastAsia="Times New Roman"/>
                <w:color w:val="000000"/>
                <w:sz w:val="20"/>
                <w:szCs w:val="20"/>
              </w:rPr>
            </w:pPr>
            <w:r w:rsidRPr="00671063">
              <w:rPr>
                <w:rFonts w:eastAsia="Times New Roman"/>
                <w:color w:val="000000"/>
                <w:sz w:val="20"/>
                <w:szCs w:val="20"/>
              </w:rPr>
              <w:t xml:space="preserve">  25-34</w:t>
            </w:r>
          </w:p>
        </w:tc>
        <w:tc>
          <w:tcPr>
            <w:tcW w:w="734" w:type="dxa"/>
            <w:tcBorders>
              <w:top w:val="nil"/>
              <w:left w:val="nil"/>
              <w:bottom w:val="single" w:sz="8" w:space="0" w:color="auto"/>
              <w:right w:val="single" w:sz="8" w:space="0" w:color="auto"/>
            </w:tcBorders>
            <w:shd w:val="clear" w:color="auto" w:fill="auto"/>
            <w:vAlign w:val="center"/>
            <w:hideMark/>
          </w:tcPr>
          <w:p w14:paraId="592982F1"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18.9%</w:t>
            </w:r>
          </w:p>
        </w:tc>
        <w:tc>
          <w:tcPr>
            <w:tcW w:w="796" w:type="dxa"/>
            <w:tcBorders>
              <w:top w:val="single" w:sz="8" w:space="0" w:color="auto"/>
              <w:left w:val="nil"/>
              <w:bottom w:val="single" w:sz="8" w:space="0" w:color="auto"/>
              <w:right w:val="single" w:sz="8" w:space="0" w:color="000000"/>
            </w:tcBorders>
            <w:shd w:val="clear" w:color="auto" w:fill="auto"/>
            <w:vAlign w:val="center"/>
            <w:hideMark/>
          </w:tcPr>
          <w:p w14:paraId="28914C4A"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32.2%</w:t>
            </w:r>
          </w:p>
        </w:tc>
        <w:tc>
          <w:tcPr>
            <w:tcW w:w="810" w:type="dxa"/>
            <w:gridSpan w:val="3"/>
            <w:tcBorders>
              <w:top w:val="single" w:sz="8" w:space="0" w:color="auto"/>
              <w:left w:val="nil"/>
              <w:bottom w:val="single" w:sz="8" w:space="0" w:color="auto"/>
              <w:right w:val="double" w:sz="6" w:space="0" w:color="000000"/>
            </w:tcBorders>
            <w:shd w:val="clear" w:color="auto" w:fill="auto"/>
            <w:vAlign w:val="center"/>
            <w:hideMark/>
          </w:tcPr>
          <w:p w14:paraId="69288C92"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26.3%</w:t>
            </w:r>
          </w:p>
        </w:tc>
        <w:tc>
          <w:tcPr>
            <w:tcW w:w="810" w:type="dxa"/>
            <w:gridSpan w:val="5"/>
            <w:tcBorders>
              <w:top w:val="nil"/>
              <w:left w:val="nil"/>
              <w:bottom w:val="single" w:sz="8" w:space="0" w:color="auto"/>
              <w:right w:val="double" w:sz="6" w:space="0" w:color="auto"/>
            </w:tcBorders>
            <w:shd w:val="clear" w:color="auto" w:fill="auto"/>
            <w:vAlign w:val="center"/>
            <w:hideMark/>
          </w:tcPr>
          <w:p w14:paraId="53A5A723"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20.6%</w:t>
            </w:r>
          </w:p>
        </w:tc>
        <w:tc>
          <w:tcPr>
            <w:tcW w:w="2799" w:type="dxa"/>
            <w:gridSpan w:val="2"/>
            <w:tcBorders>
              <w:top w:val="nil"/>
              <w:left w:val="nil"/>
              <w:bottom w:val="single" w:sz="8" w:space="0" w:color="auto"/>
              <w:right w:val="double" w:sz="6" w:space="0" w:color="auto"/>
            </w:tcBorders>
            <w:shd w:val="clear" w:color="auto" w:fill="auto"/>
            <w:vAlign w:val="center"/>
            <w:hideMark/>
          </w:tcPr>
          <w:p w14:paraId="1509CB59" w14:textId="77777777" w:rsidR="00671063" w:rsidRPr="00671063" w:rsidRDefault="00671063" w:rsidP="00671063">
            <w:pPr>
              <w:spacing w:after="0"/>
              <w:ind w:firstLine="0"/>
              <w:jc w:val="left"/>
              <w:rPr>
                <w:rFonts w:eastAsia="Times New Roman"/>
                <w:color w:val="000000"/>
                <w:sz w:val="20"/>
                <w:szCs w:val="20"/>
              </w:rPr>
            </w:pPr>
            <w:r w:rsidRPr="00671063">
              <w:rPr>
                <w:rFonts w:eastAsia="Times New Roman"/>
                <w:color w:val="000000"/>
                <w:sz w:val="20"/>
                <w:szCs w:val="20"/>
              </w:rPr>
              <w:t xml:space="preserve">  Less than high school</w:t>
            </w:r>
          </w:p>
        </w:tc>
        <w:tc>
          <w:tcPr>
            <w:tcW w:w="801" w:type="dxa"/>
            <w:tcBorders>
              <w:top w:val="nil"/>
              <w:left w:val="nil"/>
              <w:bottom w:val="single" w:sz="8" w:space="0" w:color="auto"/>
              <w:right w:val="single" w:sz="8" w:space="0" w:color="auto"/>
            </w:tcBorders>
            <w:shd w:val="clear" w:color="auto" w:fill="auto"/>
            <w:vAlign w:val="center"/>
            <w:hideMark/>
          </w:tcPr>
          <w:p w14:paraId="33CAE2CF"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1.9%</w:t>
            </w:r>
          </w:p>
        </w:tc>
        <w:tc>
          <w:tcPr>
            <w:tcW w:w="810" w:type="dxa"/>
            <w:tcBorders>
              <w:top w:val="nil"/>
              <w:left w:val="nil"/>
              <w:bottom w:val="single" w:sz="8" w:space="0" w:color="auto"/>
              <w:right w:val="single" w:sz="8" w:space="0" w:color="auto"/>
            </w:tcBorders>
            <w:shd w:val="clear" w:color="auto" w:fill="auto"/>
            <w:vAlign w:val="center"/>
            <w:hideMark/>
          </w:tcPr>
          <w:p w14:paraId="096BF200"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1.3%</w:t>
            </w:r>
          </w:p>
        </w:tc>
        <w:tc>
          <w:tcPr>
            <w:tcW w:w="900" w:type="dxa"/>
            <w:tcBorders>
              <w:top w:val="nil"/>
              <w:left w:val="nil"/>
              <w:bottom w:val="single" w:sz="8" w:space="0" w:color="auto"/>
              <w:right w:val="double" w:sz="6" w:space="0" w:color="auto"/>
            </w:tcBorders>
            <w:shd w:val="clear" w:color="auto" w:fill="auto"/>
            <w:vAlign w:val="center"/>
            <w:hideMark/>
          </w:tcPr>
          <w:p w14:paraId="0D2F9277"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1.6%</w:t>
            </w:r>
          </w:p>
        </w:tc>
        <w:tc>
          <w:tcPr>
            <w:tcW w:w="810" w:type="dxa"/>
            <w:tcBorders>
              <w:top w:val="nil"/>
              <w:left w:val="nil"/>
              <w:bottom w:val="single" w:sz="8" w:space="0" w:color="auto"/>
              <w:right w:val="double" w:sz="6" w:space="0" w:color="auto"/>
            </w:tcBorders>
            <w:shd w:val="clear" w:color="auto" w:fill="auto"/>
            <w:vAlign w:val="center"/>
            <w:hideMark/>
          </w:tcPr>
          <w:p w14:paraId="75129600"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8.4%</w:t>
            </w:r>
          </w:p>
        </w:tc>
      </w:tr>
      <w:tr w:rsidR="00671063" w:rsidRPr="00671063" w14:paraId="1B8A8A4F" w14:textId="77777777" w:rsidTr="00F63564">
        <w:trPr>
          <w:trHeight w:val="20"/>
          <w:jc w:val="center"/>
        </w:trPr>
        <w:tc>
          <w:tcPr>
            <w:tcW w:w="1867" w:type="dxa"/>
            <w:tcBorders>
              <w:top w:val="nil"/>
              <w:left w:val="double" w:sz="6" w:space="0" w:color="auto"/>
              <w:bottom w:val="single" w:sz="8" w:space="0" w:color="auto"/>
              <w:right w:val="double" w:sz="6" w:space="0" w:color="auto"/>
            </w:tcBorders>
            <w:shd w:val="clear" w:color="auto" w:fill="auto"/>
            <w:vAlign w:val="center"/>
            <w:hideMark/>
          </w:tcPr>
          <w:p w14:paraId="69DE9153" w14:textId="77777777" w:rsidR="00671063" w:rsidRPr="00671063" w:rsidRDefault="00671063" w:rsidP="00671063">
            <w:pPr>
              <w:spacing w:after="0"/>
              <w:ind w:firstLine="0"/>
              <w:jc w:val="left"/>
              <w:rPr>
                <w:rFonts w:eastAsia="Times New Roman"/>
                <w:color w:val="000000"/>
                <w:sz w:val="20"/>
                <w:szCs w:val="20"/>
              </w:rPr>
            </w:pPr>
            <w:r w:rsidRPr="00671063">
              <w:rPr>
                <w:rFonts w:eastAsia="Times New Roman"/>
                <w:color w:val="000000"/>
                <w:sz w:val="20"/>
                <w:szCs w:val="20"/>
              </w:rPr>
              <w:t xml:space="preserve">  35-44</w:t>
            </w:r>
          </w:p>
        </w:tc>
        <w:tc>
          <w:tcPr>
            <w:tcW w:w="734" w:type="dxa"/>
            <w:tcBorders>
              <w:top w:val="nil"/>
              <w:left w:val="nil"/>
              <w:bottom w:val="single" w:sz="8" w:space="0" w:color="auto"/>
              <w:right w:val="single" w:sz="8" w:space="0" w:color="auto"/>
            </w:tcBorders>
            <w:shd w:val="clear" w:color="auto" w:fill="auto"/>
            <w:vAlign w:val="center"/>
            <w:hideMark/>
          </w:tcPr>
          <w:p w14:paraId="1A7A09CD"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16.6%</w:t>
            </w:r>
          </w:p>
        </w:tc>
        <w:tc>
          <w:tcPr>
            <w:tcW w:w="796" w:type="dxa"/>
            <w:tcBorders>
              <w:top w:val="single" w:sz="8" w:space="0" w:color="auto"/>
              <w:left w:val="nil"/>
              <w:bottom w:val="single" w:sz="8" w:space="0" w:color="auto"/>
              <w:right w:val="single" w:sz="8" w:space="0" w:color="000000"/>
            </w:tcBorders>
            <w:shd w:val="clear" w:color="auto" w:fill="auto"/>
            <w:vAlign w:val="center"/>
            <w:hideMark/>
          </w:tcPr>
          <w:p w14:paraId="56D6BF7C"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21.4%</w:t>
            </w:r>
          </w:p>
        </w:tc>
        <w:tc>
          <w:tcPr>
            <w:tcW w:w="810" w:type="dxa"/>
            <w:gridSpan w:val="3"/>
            <w:tcBorders>
              <w:top w:val="single" w:sz="8" w:space="0" w:color="auto"/>
              <w:left w:val="nil"/>
              <w:bottom w:val="single" w:sz="8" w:space="0" w:color="auto"/>
              <w:right w:val="double" w:sz="6" w:space="0" w:color="000000"/>
            </w:tcBorders>
            <w:shd w:val="clear" w:color="auto" w:fill="auto"/>
            <w:vAlign w:val="center"/>
            <w:hideMark/>
          </w:tcPr>
          <w:p w14:paraId="077CD2DD"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19.3%</w:t>
            </w:r>
          </w:p>
        </w:tc>
        <w:tc>
          <w:tcPr>
            <w:tcW w:w="810" w:type="dxa"/>
            <w:gridSpan w:val="5"/>
            <w:tcBorders>
              <w:top w:val="nil"/>
              <w:left w:val="nil"/>
              <w:bottom w:val="single" w:sz="8" w:space="0" w:color="auto"/>
              <w:right w:val="double" w:sz="6" w:space="0" w:color="auto"/>
            </w:tcBorders>
            <w:shd w:val="clear" w:color="auto" w:fill="auto"/>
            <w:vAlign w:val="center"/>
            <w:hideMark/>
          </w:tcPr>
          <w:p w14:paraId="5AB22174"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18.1%</w:t>
            </w:r>
          </w:p>
        </w:tc>
        <w:tc>
          <w:tcPr>
            <w:tcW w:w="2799" w:type="dxa"/>
            <w:gridSpan w:val="2"/>
            <w:tcBorders>
              <w:top w:val="nil"/>
              <w:left w:val="nil"/>
              <w:bottom w:val="single" w:sz="8" w:space="0" w:color="auto"/>
              <w:right w:val="double" w:sz="6" w:space="0" w:color="auto"/>
            </w:tcBorders>
            <w:shd w:val="clear" w:color="auto" w:fill="auto"/>
            <w:vAlign w:val="center"/>
            <w:hideMark/>
          </w:tcPr>
          <w:p w14:paraId="7EBA4FAE" w14:textId="77777777" w:rsidR="00671063" w:rsidRPr="00671063" w:rsidRDefault="00671063" w:rsidP="00671063">
            <w:pPr>
              <w:spacing w:after="0"/>
              <w:ind w:firstLine="0"/>
              <w:jc w:val="left"/>
              <w:rPr>
                <w:rFonts w:eastAsia="Times New Roman"/>
                <w:color w:val="000000"/>
                <w:sz w:val="20"/>
                <w:szCs w:val="20"/>
              </w:rPr>
            </w:pPr>
            <w:r w:rsidRPr="00671063">
              <w:rPr>
                <w:rFonts w:eastAsia="Times New Roman"/>
                <w:color w:val="000000"/>
                <w:sz w:val="20"/>
                <w:szCs w:val="20"/>
              </w:rPr>
              <w:t xml:space="preserve">  High school graduate</w:t>
            </w:r>
          </w:p>
        </w:tc>
        <w:tc>
          <w:tcPr>
            <w:tcW w:w="801" w:type="dxa"/>
            <w:tcBorders>
              <w:top w:val="nil"/>
              <w:left w:val="nil"/>
              <w:bottom w:val="single" w:sz="8" w:space="0" w:color="auto"/>
              <w:right w:val="single" w:sz="8" w:space="0" w:color="auto"/>
            </w:tcBorders>
            <w:shd w:val="clear" w:color="auto" w:fill="auto"/>
            <w:vAlign w:val="center"/>
            <w:hideMark/>
          </w:tcPr>
          <w:p w14:paraId="4C8FBFAB"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9.1%</w:t>
            </w:r>
          </w:p>
        </w:tc>
        <w:tc>
          <w:tcPr>
            <w:tcW w:w="810" w:type="dxa"/>
            <w:tcBorders>
              <w:top w:val="nil"/>
              <w:left w:val="nil"/>
              <w:bottom w:val="single" w:sz="8" w:space="0" w:color="auto"/>
              <w:right w:val="single" w:sz="8" w:space="0" w:color="auto"/>
            </w:tcBorders>
            <w:shd w:val="clear" w:color="auto" w:fill="auto"/>
            <w:vAlign w:val="center"/>
            <w:hideMark/>
          </w:tcPr>
          <w:p w14:paraId="41B8EDE5"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5.5%</w:t>
            </w:r>
          </w:p>
        </w:tc>
        <w:tc>
          <w:tcPr>
            <w:tcW w:w="900" w:type="dxa"/>
            <w:tcBorders>
              <w:top w:val="nil"/>
              <w:left w:val="nil"/>
              <w:bottom w:val="single" w:sz="8" w:space="0" w:color="auto"/>
              <w:right w:val="double" w:sz="6" w:space="0" w:color="auto"/>
            </w:tcBorders>
            <w:shd w:val="clear" w:color="auto" w:fill="auto"/>
            <w:vAlign w:val="center"/>
            <w:hideMark/>
          </w:tcPr>
          <w:p w14:paraId="6E8B3DCF"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7.1%</w:t>
            </w:r>
          </w:p>
        </w:tc>
        <w:tc>
          <w:tcPr>
            <w:tcW w:w="810" w:type="dxa"/>
            <w:tcBorders>
              <w:top w:val="nil"/>
              <w:left w:val="nil"/>
              <w:bottom w:val="single" w:sz="8" w:space="0" w:color="auto"/>
              <w:right w:val="double" w:sz="6" w:space="0" w:color="auto"/>
            </w:tcBorders>
            <w:shd w:val="clear" w:color="auto" w:fill="auto"/>
            <w:vAlign w:val="center"/>
            <w:hideMark/>
          </w:tcPr>
          <w:p w14:paraId="6ECF234F"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21.8%</w:t>
            </w:r>
          </w:p>
        </w:tc>
      </w:tr>
      <w:tr w:rsidR="00671063" w:rsidRPr="00671063" w14:paraId="5780D170" w14:textId="77777777" w:rsidTr="00F63564">
        <w:trPr>
          <w:trHeight w:val="20"/>
          <w:jc w:val="center"/>
        </w:trPr>
        <w:tc>
          <w:tcPr>
            <w:tcW w:w="1867" w:type="dxa"/>
            <w:tcBorders>
              <w:top w:val="nil"/>
              <w:left w:val="double" w:sz="6" w:space="0" w:color="auto"/>
              <w:bottom w:val="single" w:sz="8" w:space="0" w:color="auto"/>
              <w:right w:val="double" w:sz="6" w:space="0" w:color="auto"/>
            </w:tcBorders>
            <w:shd w:val="clear" w:color="auto" w:fill="auto"/>
            <w:vAlign w:val="center"/>
            <w:hideMark/>
          </w:tcPr>
          <w:p w14:paraId="2CE8AEE0" w14:textId="77777777" w:rsidR="00671063" w:rsidRPr="00671063" w:rsidRDefault="00671063" w:rsidP="00671063">
            <w:pPr>
              <w:spacing w:after="0"/>
              <w:ind w:firstLine="0"/>
              <w:jc w:val="left"/>
              <w:rPr>
                <w:rFonts w:eastAsia="Times New Roman"/>
                <w:color w:val="000000"/>
                <w:sz w:val="20"/>
                <w:szCs w:val="20"/>
              </w:rPr>
            </w:pPr>
            <w:r w:rsidRPr="00671063">
              <w:rPr>
                <w:rFonts w:eastAsia="Times New Roman"/>
                <w:color w:val="000000"/>
                <w:sz w:val="20"/>
                <w:szCs w:val="20"/>
              </w:rPr>
              <w:t xml:space="preserve">  45-54</w:t>
            </w:r>
          </w:p>
        </w:tc>
        <w:tc>
          <w:tcPr>
            <w:tcW w:w="734" w:type="dxa"/>
            <w:tcBorders>
              <w:top w:val="nil"/>
              <w:left w:val="nil"/>
              <w:bottom w:val="single" w:sz="8" w:space="0" w:color="auto"/>
              <w:right w:val="single" w:sz="8" w:space="0" w:color="auto"/>
            </w:tcBorders>
            <w:shd w:val="clear" w:color="auto" w:fill="auto"/>
            <w:vAlign w:val="center"/>
            <w:hideMark/>
          </w:tcPr>
          <w:p w14:paraId="7589875C"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15.8%</w:t>
            </w:r>
          </w:p>
        </w:tc>
        <w:tc>
          <w:tcPr>
            <w:tcW w:w="796" w:type="dxa"/>
            <w:tcBorders>
              <w:top w:val="single" w:sz="8" w:space="0" w:color="auto"/>
              <w:left w:val="nil"/>
              <w:bottom w:val="single" w:sz="8" w:space="0" w:color="auto"/>
              <w:right w:val="single" w:sz="8" w:space="0" w:color="000000"/>
            </w:tcBorders>
            <w:shd w:val="clear" w:color="auto" w:fill="auto"/>
            <w:vAlign w:val="center"/>
            <w:hideMark/>
          </w:tcPr>
          <w:p w14:paraId="381AD945"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12.7%</w:t>
            </w:r>
          </w:p>
        </w:tc>
        <w:tc>
          <w:tcPr>
            <w:tcW w:w="810" w:type="dxa"/>
            <w:gridSpan w:val="3"/>
            <w:tcBorders>
              <w:top w:val="single" w:sz="8" w:space="0" w:color="auto"/>
              <w:left w:val="nil"/>
              <w:bottom w:val="single" w:sz="8" w:space="0" w:color="auto"/>
              <w:right w:val="double" w:sz="6" w:space="0" w:color="000000"/>
            </w:tcBorders>
            <w:shd w:val="clear" w:color="auto" w:fill="auto"/>
            <w:vAlign w:val="center"/>
            <w:hideMark/>
          </w:tcPr>
          <w:p w14:paraId="790E07DA"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14.1%</w:t>
            </w:r>
          </w:p>
        </w:tc>
        <w:tc>
          <w:tcPr>
            <w:tcW w:w="810" w:type="dxa"/>
            <w:gridSpan w:val="5"/>
            <w:tcBorders>
              <w:top w:val="nil"/>
              <w:left w:val="nil"/>
              <w:bottom w:val="single" w:sz="8" w:space="0" w:color="auto"/>
              <w:right w:val="double" w:sz="6" w:space="0" w:color="auto"/>
            </w:tcBorders>
            <w:shd w:val="clear" w:color="auto" w:fill="auto"/>
            <w:vAlign w:val="center"/>
            <w:hideMark/>
          </w:tcPr>
          <w:p w14:paraId="2A502398"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18.0%</w:t>
            </w:r>
          </w:p>
        </w:tc>
        <w:tc>
          <w:tcPr>
            <w:tcW w:w="2799" w:type="dxa"/>
            <w:gridSpan w:val="2"/>
            <w:tcBorders>
              <w:top w:val="nil"/>
              <w:left w:val="nil"/>
              <w:bottom w:val="single" w:sz="8" w:space="0" w:color="auto"/>
              <w:right w:val="double" w:sz="6" w:space="0" w:color="auto"/>
            </w:tcBorders>
            <w:shd w:val="clear" w:color="auto" w:fill="auto"/>
            <w:vAlign w:val="center"/>
            <w:hideMark/>
          </w:tcPr>
          <w:p w14:paraId="5F723930" w14:textId="77777777" w:rsidR="00671063" w:rsidRPr="00671063" w:rsidRDefault="00671063" w:rsidP="00671063">
            <w:pPr>
              <w:spacing w:after="0"/>
              <w:ind w:firstLine="0"/>
              <w:jc w:val="left"/>
              <w:rPr>
                <w:rFonts w:eastAsia="Times New Roman"/>
                <w:color w:val="000000"/>
                <w:sz w:val="20"/>
                <w:szCs w:val="20"/>
              </w:rPr>
            </w:pPr>
            <w:r w:rsidRPr="00671063">
              <w:rPr>
                <w:rFonts w:eastAsia="Times New Roman"/>
                <w:color w:val="000000"/>
                <w:sz w:val="20"/>
                <w:szCs w:val="20"/>
              </w:rPr>
              <w:t xml:space="preserve">  Vocational/technical training</w:t>
            </w:r>
          </w:p>
        </w:tc>
        <w:tc>
          <w:tcPr>
            <w:tcW w:w="801" w:type="dxa"/>
            <w:tcBorders>
              <w:top w:val="nil"/>
              <w:left w:val="nil"/>
              <w:bottom w:val="single" w:sz="8" w:space="0" w:color="auto"/>
              <w:right w:val="single" w:sz="8" w:space="0" w:color="auto"/>
            </w:tcBorders>
            <w:shd w:val="clear" w:color="auto" w:fill="auto"/>
            <w:vAlign w:val="center"/>
            <w:hideMark/>
          </w:tcPr>
          <w:p w14:paraId="3C08BE67"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3.7%</w:t>
            </w:r>
          </w:p>
        </w:tc>
        <w:tc>
          <w:tcPr>
            <w:tcW w:w="810" w:type="dxa"/>
            <w:tcBorders>
              <w:top w:val="nil"/>
              <w:left w:val="nil"/>
              <w:bottom w:val="single" w:sz="8" w:space="0" w:color="auto"/>
              <w:right w:val="single" w:sz="8" w:space="0" w:color="auto"/>
            </w:tcBorders>
            <w:shd w:val="clear" w:color="auto" w:fill="auto"/>
            <w:vAlign w:val="center"/>
            <w:hideMark/>
          </w:tcPr>
          <w:p w14:paraId="367D58B3"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2.3%</w:t>
            </w:r>
          </w:p>
        </w:tc>
        <w:tc>
          <w:tcPr>
            <w:tcW w:w="900" w:type="dxa"/>
            <w:tcBorders>
              <w:top w:val="nil"/>
              <w:left w:val="nil"/>
              <w:bottom w:val="single" w:sz="8" w:space="0" w:color="auto"/>
              <w:right w:val="double" w:sz="6" w:space="0" w:color="auto"/>
            </w:tcBorders>
            <w:shd w:val="clear" w:color="auto" w:fill="auto"/>
            <w:vAlign w:val="center"/>
            <w:hideMark/>
          </w:tcPr>
          <w:p w14:paraId="01C0985C"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2.9%</w:t>
            </w:r>
          </w:p>
        </w:tc>
        <w:tc>
          <w:tcPr>
            <w:tcW w:w="810" w:type="dxa"/>
            <w:tcBorders>
              <w:top w:val="nil"/>
              <w:left w:val="nil"/>
              <w:bottom w:val="single" w:sz="8" w:space="0" w:color="auto"/>
              <w:right w:val="double" w:sz="6" w:space="0" w:color="auto"/>
            </w:tcBorders>
            <w:shd w:val="clear" w:color="auto" w:fill="auto"/>
            <w:vAlign w:val="center"/>
            <w:hideMark/>
          </w:tcPr>
          <w:p w14:paraId="54A19FEB"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w:t>
            </w:r>
          </w:p>
        </w:tc>
      </w:tr>
      <w:tr w:rsidR="00671063" w:rsidRPr="00671063" w14:paraId="4FAFDD4D" w14:textId="77777777" w:rsidTr="00F63564">
        <w:trPr>
          <w:trHeight w:val="20"/>
          <w:jc w:val="center"/>
        </w:trPr>
        <w:tc>
          <w:tcPr>
            <w:tcW w:w="1867" w:type="dxa"/>
            <w:tcBorders>
              <w:top w:val="nil"/>
              <w:left w:val="double" w:sz="6" w:space="0" w:color="auto"/>
              <w:bottom w:val="single" w:sz="8" w:space="0" w:color="auto"/>
              <w:right w:val="double" w:sz="6" w:space="0" w:color="auto"/>
            </w:tcBorders>
            <w:shd w:val="clear" w:color="auto" w:fill="auto"/>
            <w:vAlign w:val="center"/>
            <w:hideMark/>
          </w:tcPr>
          <w:p w14:paraId="03EFA915" w14:textId="77777777" w:rsidR="00671063" w:rsidRPr="00671063" w:rsidRDefault="00671063" w:rsidP="00671063">
            <w:pPr>
              <w:spacing w:after="0"/>
              <w:ind w:firstLine="0"/>
              <w:jc w:val="left"/>
              <w:rPr>
                <w:rFonts w:eastAsia="Times New Roman"/>
                <w:color w:val="000000"/>
                <w:sz w:val="20"/>
                <w:szCs w:val="20"/>
              </w:rPr>
            </w:pPr>
            <w:r w:rsidRPr="00671063">
              <w:rPr>
                <w:rFonts w:eastAsia="Times New Roman"/>
                <w:color w:val="000000"/>
                <w:sz w:val="20"/>
                <w:szCs w:val="20"/>
              </w:rPr>
              <w:t xml:space="preserve">  55-64</w:t>
            </w:r>
          </w:p>
        </w:tc>
        <w:tc>
          <w:tcPr>
            <w:tcW w:w="734" w:type="dxa"/>
            <w:tcBorders>
              <w:top w:val="nil"/>
              <w:left w:val="nil"/>
              <w:bottom w:val="single" w:sz="8" w:space="0" w:color="auto"/>
              <w:right w:val="single" w:sz="8" w:space="0" w:color="auto"/>
            </w:tcBorders>
            <w:shd w:val="clear" w:color="auto" w:fill="auto"/>
            <w:vAlign w:val="center"/>
            <w:hideMark/>
          </w:tcPr>
          <w:p w14:paraId="1C36339E"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20.2%</w:t>
            </w:r>
          </w:p>
        </w:tc>
        <w:tc>
          <w:tcPr>
            <w:tcW w:w="796" w:type="dxa"/>
            <w:tcBorders>
              <w:top w:val="single" w:sz="8" w:space="0" w:color="auto"/>
              <w:left w:val="nil"/>
              <w:bottom w:val="single" w:sz="8" w:space="0" w:color="auto"/>
              <w:right w:val="single" w:sz="8" w:space="0" w:color="000000"/>
            </w:tcBorders>
            <w:shd w:val="clear" w:color="auto" w:fill="auto"/>
            <w:vAlign w:val="center"/>
            <w:hideMark/>
          </w:tcPr>
          <w:p w14:paraId="6666F596"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12.4%</w:t>
            </w:r>
          </w:p>
        </w:tc>
        <w:tc>
          <w:tcPr>
            <w:tcW w:w="810" w:type="dxa"/>
            <w:gridSpan w:val="3"/>
            <w:tcBorders>
              <w:top w:val="single" w:sz="8" w:space="0" w:color="auto"/>
              <w:left w:val="nil"/>
              <w:bottom w:val="single" w:sz="8" w:space="0" w:color="auto"/>
              <w:right w:val="double" w:sz="6" w:space="0" w:color="000000"/>
            </w:tcBorders>
            <w:shd w:val="clear" w:color="auto" w:fill="auto"/>
            <w:vAlign w:val="center"/>
            <w:hideMark/>
          </w:tcPr>
          <w:p w14:paraId="16E85662"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15.9%</w:t>
            </w:r>
          </w:p>
        </w:tc>
        <w:tc>
          <w:tcPr>
            <w:tcW w:w="810" w:type="dxa"/>
            <w:gridSpan w:val="5"/>
            <w:tcBorders>
              <w:top w:val="nil"/>
              <w:left w:val="nil"/>
              <w:bottom w:val="single" w:sz="8" w:space="0" w:color="auto"/>
              <w:right w:val="double" w:sz="6" w:space="0" w:color="auto"/>
            </w:tcBorders>
            <w:shd w:val="clear" w:color="auto" w:fill="auto"/>
            <w:vAlign w:val="center"/>
            <w:hideMark/>
          </w:tcPr>
          <w:p w14:paraId="6A46ADBD"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16.9%</w:t>
            </w:r>
          </w:p>
        </w:tc>
        <w:tc>
          <w:tcPr>
            <w:tcW w:w="2799" w:type="dxa"/>
            <w:gridSpan w:val="2"/>
            <w:tcBorders>
              <w:top w:val="nil"/>
              <w:left w:val="nil"/>
              <w:bottom w:val="single" w:sz="8" w:space="0" w:color="auto"/>
              <w:right w:val="double" w:sz="6" w:space="0" w:color="auto"/>
            </w:tcBorders>
            <w:shd w:val="clear" w:color="auto" w:fill="auto"/>
            <w:vAlign w:val="center"/>
            <w:hideMark/>
          </w:tcPr>
          <w:p w14:paraId="34841815" w14:textId="77777777" w:rsidR="00671063" w:rsidRPr="00671063" w:rsidRDefault="00671063" w:rsidP="00671063">
            <w:pPr>
              <w:spacing w:after="0"/>
              <w:ind w:firstLine="0"/>
              <w:jc w:val="left"/>
              <w:rPr>
                <w:rFonts w:eastAsia="Times New Roman"/>
                <w:color w:val="000000"/>
                <w:sz w:val="20"/>
                <w:szCs w:val="20"/>
              </w:rPr>
            </w:pPr>
            <w:r w:rsidRPr="00671063">
              <w:rPr>
                <w:rFonts w:eastAsia="Times New Roman"/>
                <w:color w:val="000000"/>
                <w:sz w:val="20"/>
                <w:szCs w:val="20"/>
              </w:rPr>
              <w:t xml:space="preserve">  Some college</w:t>
            </w:r>
          </w:p>
        </w:tc>
        <w:tc>
          <w:tcPr>
            <w:tcW w:w="801" w:type="dxa"/>
            <w:tcBorders>
              <w:top w:val="nil"/>
              <w:left w:val="nil"/>
              <w:bottom w:val="single" w:sz="8" w:space="0" w:color="auto"/>
              <w:right w:val="single" w:sz="8" w:space="0" w:color="auto"/>
            </w:tcBorders>
            <w:shd w:val="clear" w:color="auto" w:fill="auto"/>
            <w:vAlign w:val="center"/>
            <w:hideMark/>
          </w:tcPr>
          <w:p w14:paraId="4A9CB119"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15.3%</w:t>
            </w:r>
          </w:p>
        </w:tc>
        <w:tc>
          <w:tcPr>
            <w:tcW w:w="810" w:type="dxa"/>
            <w:tcBorders>
              <w:top w:val="nil"/>
              <w:left w:val="nil"/>
              <w:bottom w:val="single" w:sz="8" w:space="0" w:color="auto"/>
              <w:right w:val="single" w:sz="8" w:space="0" w:color="auto"/>
            </w:tcBorders>
            <w:shd w:val="clear" w:color="auto" w:fill="auto"/>
            <w:vAlign w:val="center"/>
            <w:hideMark/>
          </w:tcPr>
          <w:p w14:paraId="7842F341"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10.6%</w:t>
            </w:r>
          </w:p>
        </w:tc>
        <w:tc>
          <w:tcPr>
            <w:tcW w:w="900" w:type="dxa"/>
            <w:tcBorders>
              <w:top w:val="nil"/>
              <w:left w:val="nil"/>
              <w:bottom w:val="single" w:sz="8" w:space="0" w:color="auto"/>
              <w:right w:val="double" w:sz="6" w:space="0" w:color="auto"/>
            </w:tcBorders>
            <w:shd w:val="clear" w:color="auto" w:fill="auto"/>
            <w:vAlign w:val="center"/>
            <w:hideMark/>
          </w:tcPr>
          <w:p w14:paraId="3B7B0963"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12.7%</w:t>
            </w:r>
          </w:p>
        </w:tc>
        <w:tc>
          <w:tcPr>
            <w:tcW w:w="810" w:type="dxa"/>
            <w:vMerge w:val="restart"/>
            <w:tcBorders>
              <w:top w:val="nil"/>
              <w:left w:val="double" w:sz="6" w:space="0" w:color="auto"/>
              <w:bottom w:val="single" w:sz="8" w:space="0" w:color="000000"/>
              <w:right w:val="double" w:sz="6" w:space="0" w:color="auto"/>
            </w:tcBorders>
            <w:shd w:val="clear" w:color="auto" w:fill="auto"/>
            <w:vAlign w:val="center"/>
            <w:hideMark/>
          </w:tcPr>
          <w:p w14:paraId="7A23EFB5"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33.6%</w:t>
            </w:r>
          </w:p>
        </w:tc>
      </w:tr>
      <w:tr w:rsidR="00671063" w:rsidRPr="00671063" w14:paraId="0CE5A369" w14:textId="77777777" w:rsidTr="00F63564">
        <w:trPr>
          <w:trHeight w:val="20"/>
          <w:jc w:val="center"/>
        </w:trPr>
        <w:tc>
          <w:tcPr>
            <w:tcW w:w="1867" w:type="dxa"/>
            <w:tcBorders>
              <w:top w:val="nil"/>
              <w:left w:val="double" w:sz="6" w:space="0" w:color="auto"/>
              <w:bottom w:val="single" w:sz="8" w:space="0" w:color="auto"/>
              <w:right w:val="double" w:sz="6" w:space="0" w:color="auto"/>
            </w:tcBorders>
            <w:shd w:val="clear" w:color="auto" w:fill="auto"/>
            <w:vAlign w:val="center"/>
            <w:hideMark/>
          </w:tcPr>
          <w:p w14:paraId="28C9B834" w14:textId="77777777" w:rsidR="00671063" w:rsidRPr="00671063" w:rsidRDefault="00671063" w:rsidP="00671063">
            <w:pPr>
              <w:spacing w:after="0"/>
              <w:ind w:firstLine="0"/>
              <w:jc w:val="left"/>
              <w:rPr>
                <w:rFonts w:eastAsia="Times New Roman"/>
                <w:color w:val="000000"/>
                <w:sz w:val="20"/>
                <w:szCs w:val="20"/>
              </w:rPr>
            </w:pPr>
            <w:r w:rsidRPr="00671063">
              <w:rPr>
                <w:rFonts w:eastAsia="Times New Roman"/>
                <w:color w:val="000000"/>
                <w:sz w:val="20"/>
                <w:szCs w:val="20"/>
              </w:rPr>
              <w:t xml:space="preserve">  65-74</w:t>
            </w:r>
          </w:p>
        </w:tc>
        <w:tc>
          <w:tcPr>
            <w:tcW w:w="734" w:type="dxa"/>
            <w:tcBorders>
              <w:top w:val="nil"/>
              <w:left w:val="nil"/>
              <w:bottom w:val="single" w:sz="8" w:space="0" w:color="auto"/>
              <w:right w:val="single" w:sz="8" w:space="0" w:color="auto"/>
            </w:tcBorders>
            <w:shd w:val="clear" w:color="auto" w:fill="auto"/>
            <w:vAlign w:val="center"/>
            <w:hideMark/>
          </w:tcPr>
          <w:p w14:paraId="5DAC6593"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15.2%</w:t>
            </w:r>
          </w:p>
        </w:tc>
        <w:tc>
          <w:tcPr>
            <w:tcW w:w="796" w:type="dxa"/>
            <w:tcBorders>
              <w:top w:val="single" w:sz="8" w:space="0" w:color="auto"/>
              <w:left w:val="nil"/>
              <w:bottom w:val="single" w:sz="8" w:space="0" w:color="auto"/>
              <w:right w:val="single" w:sz="8" w:space="0" w:color="000000"/>
            </w:tcBorders>
            <w:shd w:val="clear" w:color="auto" w:fill="auto"/>
            <w:vAlign w:val="center"/>
            <w:hideMark/>
          </w:tcPr>
          <w:p w14:paraId="39C1AB91"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10.3%</w:t>
            </w:r>
          </w:p>
        </w:tc>
        <w:tc>
          <w:tcPr>
            <w:tcW w:w="810" w:type="dxa"/>
            <w:gridSpan w:val="3"/>
            <w:tcBorders>
              <w:top w:val="single" w:sz="8" w:space="0" w:color="auto"/>
              <w:left w:val="nil"/>
              <w:bottom w:val="single" w:sz="8" w:space="0" w:color="auto"/>
              <w:right w:val="double" w:sz="6" w:space="0" w:color="000000"/>
            </w:tcBorders>
            <w:shd w:val="clear" w:color="auto" w:fill="auto"/>
            <w:vAlign w:val="center"/>
            <w:hideMark/>
          </w:tcPr>
          <w:p w14:paraId="55DFBA7B"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12.5%</w:t>
            </w:r>
          </w:p>
        </w:tc>
        <w:tc>
          <w:tcPr>
            <w:tcW w:w="810" w:type="dxa"/>
            <w:gridSpan w:val="5"/>
            <w:tcBorders>
              <w:top w:val="nil"/>
              <w:left w:val="nil"/>
              <w:bottom w:val="single" w:sz="8" w:space="0" w:color="auto"/>
              <w:right w:val="double" w:sz="6" w:space="0" w:color="auto"/>
            </w:tcBorders>
            <w:shd w:val="clear" w:color="auto" w:fill="auto"/>
            <w:vAlign w:val="center"/>
            <w:hideMark/>
          </w:tcPr>
          <w:p w14:paraId="0301F49A"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10.7%</w:t>
            </w:r>
          </w:p>
        </w:tc>
        <w:tc>
          <w:tcPr>
            <w:tcW w:w="2799" w:type="dxa"/>
            <w:gridSpan w:val="2"/>
            <w:tcBorders>
              <w:top w:val="nil"/>
              <w:left w:val="nil"/>
              <w:bottom w:val="single" w:sz="8" w:space="0" w:color="auto"/>
              <w:right w:val="double" w:sz="6" w:space="0" w:color="auto"/>
            </w:tcBorders>
            <w:shd w:val="clear" w:color="auto" w:fill="auto"/>
            <w:vAlign w:val="center"/>
            <w:hideMark/>
          </w:tcPr>
          <w:p w14:paraId="7D116B58" w14:textId="77777777" w:rsidR="00671063" w:rsidRPr="00671063" w:rsidRDefault="00671063" w:rsidP="00671063">
            <w:pPr>
              <w:spacing w:after="0"/>
              <w:ind w:firstLine="0"/>
              <w:jc w:val="left"/>
              <w:rPr>
                <w:rFonts w:eastAsia="Times New Roman"/>
                <w:color w:val="000000"/>
                <w:sz w:val="20"/>
                <w:szCs w:val="20"/>
              </w:rPr>
            </w:pPr>
            <w:r w:rsidRPr="00671063">
              <w:rPr>
                <w:rFonts w:eastAsia="Times New Roman"/>
                <w:color w:val="000000"/>
                <w:sz w:val="20"/>
                <w:szCs w:val="20"/>
              </w:rPr>
              <w:t xml:space="preserve">  Associates degree</w:t>
            </w:r>
          </w:p>
        </w:tc>
        <w:tc>
          <w:tcPr>
            <w:tcW w:w="801" w:type="dxa"/>
            <w:tcBorders>
              <w:top w:val="nil"/>
              <w:left w:val="nil"/>
              <w:bottom w:val="single" w:sz="8" w:space="0" w:color="auto"/>
              <w:right w:val="single" w:sz="8" w:space="0" w:color="auto"/>
            </w:tcBorders>
            <w:shd w:val="clear" w:color="auto" w:fill="auto"/>
            <w:vAlign w:val="center"/>
            <w:hideMark/>
          </w:tcPr>
          <w:p w14:paraId="2050000A"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6.8%</w:t>
            </w:r>
          </w:p>
        </w:tc>
        <w:tc>
          <w:tcPr>
            <w:tcW w:w="810" w:type="dxa"/>
            <w:tcBorders>
              <w:top w:val="nil"/>
              <w:left w:val="nil"/>
              <w:bottom w:val="single" w:sz="8" w:space="0" w:color="auto"/>
              <w:right w:val="single" w:sz="8" w:space="0" w:color="auto"/>
            </w:tcBorders>
            <w:shd w:val="clear" w:color="auto" w:fill="auto"/>
            <w:vAlign w:val="center"/>
            <w:hideMark/>
          </w:tcPr>
          <w:p w14:paraId="381E4DC9"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5.7%</w:t>
            </w:r>
          </w:p>
        </w:tc>
        <w:tc>
          <w:tcPr>
            <w:tcW w:w="900" w:type="dxa"/>
            <w:tcBorders>
              <w:top w:val="nil"/>
              <w:left w:val="nil"/>
              <w:bottom w:val="single" w:sz="8" w:space="0" w:color="auto"/>
              <w:right w:val="double" w:sz="6" w:space="0" w:color="auto"/>
            </w:tcBorders>
            <w:shd w:val="clear" w:color="auto" w:fill="auto"/>
            <w:vAlign w:val="center"/>
            <w:hideMark/>
          </w:tcPr>
          <w:p w14:paraId="7D9ADCCD"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6.2%</w:t>
            </w:r>
          </w:p>
        </w:tc>
        <w:tc>
          <w:tcPr>
            <w:tcW w:w="810" w:type="dxa"/>
            <w:vMerge/>
            <w:tcBorders>
              <w:top w:val="nil"/>
              <w:left w:val="double" w:sz="6" w:space="0" w:color="auto"/>
              <w:bottom w:val="single" w:sz="8" w:space="0" w:color="000000"/>
              <w:right w:val="double" w:sz="6" w:space="0" w:color="auto"/>
            </w:tcBorders>
            <w:vAlign w:val="center"/>
            <w:hideMark/>
          </w:tcPr>
          <w:p w14:paraId="39159AEF" w14:textId="77777777" w:rsidR="00671063" w:rsidRPr="00671063" w:rsidRDefault="00671063" w:rsidP="00671063">
            <w:pPr>
              <w:spacing w:after="0"/>
              <w:ind w:firstLine="0"/>
              <w:jc w:val="left"/>
              <w:rPr>
                <w:rFonts w:eastAsia="Times New Roman"/>
                <w:color w:val="000000"/>
                <w:sz w:val="20"/>
                <w:szCs w:val="20"/>
              </w:rPr>
            </w:pPr>
          </w:p>
        </w:tc>
      </w:tr>
      <w:tr w:rsidR="00671063" w:rsidRPr="00671063" w14:paraId="73BEA60F" w14:textId="77777777" w:rsidTr="00F63564">
        <w:trPr>
          <w:trHeight w:val="20"/>
          <w:jc w:val="center"/>
        </w:trPr>
        <w:tc>
          <w:tcPr>
            <w:tcW w:w="1867" w:type="dxa"/>
            <w:tcBorders>
              <w:top w:val="nil"/>
              <w:left w:val="double" w:sz="6" w:space="0" w:color="auto"/>
              <w:bottom w:val="single" w:sz="8" w:space="0" w:color="auto"/>
              <w:right w:val="double" w:sz="6" w:space="0" w:color="auto"/>
            </w:tcBorders>
            <w:shd w:val="clear" w:color="auto" w:fill="auto"/>
            <w:vAlign w:val="center"/>
            <w:hideMark/>
          </w:tcPr>
          <w:p w14:paraId="60BAABCA" w14:textId="77777777" w:rsidR="00671063" w:rsidRPr="00671063" w:rsidRDefault="00671063" w:rsidP="00671063">
            <w:pPr>
              <w:spacing w:after="0"/>
              <w:ind w:firstLine="0"/>
              <w:jc w:val="left"/>
              <w:rPr>
                <w:rFonts w:eastAsia="Times New Roman"/>
                <w:color w:val="000000"/>
                <w:sz w:val="20"/>
                <w:szCs w:val="20"/>
              </w:rPr>
            </w:pPr>
            <w:r w:rsidRPr="00671063">
              <w:rPr>
                <w:rFonts w:eastAsia="Times New Roman"/>
                <w:color w:val="000000"/>
                <w:sz w:val="20"/>
                <w:szCs w:val="20"/>
              </w:rPr>
              <w:t xml:space="preserve">  75-84</w:t>
            </w:r>
          </w:p>
        </w:tc>
        <w:tc>
          <w:tcPr>
            <w:tcW w:w="734" w:type="dxa"/>
            <w:tcBorders>
              <w:top w:val="nil"/>
              <w:left w:val="nil"/>
              <w:bottom w:val="single" w:sz="8" w:space="0" w:color="auto"/>
              <w:right w:val="single" w:sz="8" w:space="0" w:color="auto"/>
            </w:tcBorders>
            <w:shd w:val="clear" w:color="auto" w:fill="auto"/>
            <w:vAlign w:val="center"/>
            <w:hideMark/>
          </w:tcPr>
          <w:p w14:paraId="745D4A82"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6.4%</w:t>
            </w:r>
          </w:p>
        </w:tc>
        <w:tc>
          <w:tcPr>
            <w:tcW w:w="796" w:type="dxa"/>
            <w:tcBorders>
              <w:top w:val="single" w:sz="8" w:space="0" w:color="auto"/>
              <w:left w:val="nil"/>
              <w:bottom w:val="single" w:sz="8" w:space="0" w:color="auto"/>
              <w:right w:val="single" w:sz="8" w:space="0" w:color="000000"/>
            </w:tcBorders>
            <w:shd w:val="clear" w:color="auto" w:fill="auto"/>
            <w:vAlign w:val="center"/>
            <w:hideMark/>
          </w:tcPr>
          <w:p w14:paraId="3A004D2C"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3.7%</w:t>
            </w:r>
          </w:p>
        </w:tc>
        <w:tc>
          <w:tcPr>
            <w:tcW w:w="810" w:type="dxa"/>
            <w:gridSpan w:val="3"/>
            <w:tcBorders>
              <w:top w:val="single" w:sz="8" w:space="0" w:color="auto"/>
              <w:left w:val="nil"/>
              <w:bottom w:val="single" w:sz="8" w:space="0" w:color="auto"/>
              <w:right w:val="double" w:sz="6" w:space="0" w:color="000000"/>
            </w:tcBorders>
            <w:shd w:val="clear" w:color="auto" w:fill="auto"/>
            <w:vAlign w:val="center"/>
            <w:hideMark/>
          </w:tcPr>
          <w:p w14:paraId="389D52D9"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4.9%</w:t>
            </w:r>
          </w:p>
        </w:tc>
        <w:tc>
          <w:tcPr>
            <w:tcW w:w="810" w:type="dxa"/>
            <w:gridSpan w:val="5"/>
            <w:tcBorders>
              <w:top w:val="nil"/>
              <w:left w:val="nil"/>
              <w:bottom w:val="single" w:sz="8" w:space="0" w:color="auto"/>
              <w:right w:val="double" w:sz="6" w:space="0" w:color="auto"/>
            </w:tcBorders>
            <w:shd w:val="clear" w:color="auto" w:fill="auto"/>
            <w:vAlign w:val="center"/>
            <w:hideMark/>
          </w:tcPr>
          <w:p w14:paraId="06801BB6"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4.8%</w:t>
            </w:r>
          </w:p>
        </w:tc>
        <w:tc>
          <w:tcPr>
            <w:tcW w:w="2799" w:type="dxa"/>
            <w:gridSpan w:val="2"/>
            <w:tcBorders>
              <w:top w:val="nil"/>
              <w:left w:val="nil"/>
              <w:bottom w:val="single" w:sz="8" w:space="0" w:color="auto"/>
              <w:right w:val="double" w:sz="6" w:space="0" w:color="auto"/>
            </w:tcBorders>
            <w:shd w:val="clear" w:color="auto" w:fill="auto"/>
            <w:vAlign w:val="center"/>
            <w:hideMark/>
          </w:tcPr>
          <w:p w14:paraId="7BB3D687" w14:textId="77777777" w:rsidR="00671063" w:rsidRPr="00671063" w:rsidRDefault="00671063" w:rsidP="00671063">
            <w:pPr>
              <w:spacing w:after="0"/>
              <w:ind w:firstLine="0"/>
              <w:jc w:val="left"/>
              <w:rPr>
                <w:rFonts w:eastAsia="Times New Roman"/>
                <w:color w:val="000000"/>
                <w:sz w:val="20"/>
                <w:szCs w:val="20"/>
              </w:rPr>
            </w:pPr>
            <w:r w:rsidRPr="00671063">
              <w:rPr>
                <w:rFonts w:eastAsia="Times New Roman"/>
                <w:color w:val="000000"/>
                <w:sz w:val="20"/>
                <w:szCs w:val="20"/>
              </w:rPr>
              <w:t xml:space="preserve">  Bachelor’s degree</w:t>
            </w:r>
          </w:p>
        </w:tc>
        <w:tc>
          <w:tcPr>
            <w:tcW w:w="801" w:type="dxa"/>
            <w:tcBorders>
              <w:top w:val="nil"/>
              <w:left w:val="nil"/>
              <w:bottom w:val="single" w:sz="8" w:space="0" w:color="auto"/>
              <w:right w:val="single" w:sz="8" w:space="0" w:color="auto"/>
            </w:tcBorders>
            <w:shd w:val="clear" w:color="auto" w:fill="auto"/>
            <w:vAlign w:val="center"/>
            <w:hideMark/>
          </w:tcPr>
          <w:p w14:paraId="3D39E8D6"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36.4%</w:t>
            </w:r>
          </w:p>
        </w:tc>
        <w:tc>
          <w:tcPr>
            <w:tcW w:w="810" w:type="dxa"/>
            <w:tcBorders>
              <w:top w:val="nil"/>
              <w:left w:val="nil"/>
              <w:bottom w:val="single" w:sz="8" w:space="0" w:color="auto"/>
              <w:right w:val="single" w:sz="8" w:space="0" w:color="auto"/>
            </w:tcBorders>
            <w:shd w:val="clear" w:color="auto" w:fill="auto"/>
            <w:vAlign w:val="center"/>
            <w:hideMark/>
          </w:tcPr>
          <w:p w14:paraId="71A633E1"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41.7%</w:t>
            </w:r>
          </w:p>
        </w:tc>
        <w:tc>
          <w:tcPr>
            <w:tcW w:w="900" w:type="dxa"/>
            <w:tcBorders>
              <w:top w:val="nil"/>
              <w:left w:val="nil"/>
              <w:bottom w:val="single" w:sz="8" w:space="0" w:color="auto"/>
              <w:right w:val="double" w:sz="6" w:space="0" w:color="auto"/>
            </w:tcBorders>
            <w:shd w:val="clear" w:color="auto" w:fill="auto"/>
            <w:vAlign w:val="center"/>
            <w:hideMark/>
          </w:tcPr>
          <w:p w14:paraId="10212C49"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39.3%</w:t>
            </w:r>
          </w:p>
        </w:tc>
        <w:tc>
          <w:tcPr>
            <w:tcW w:w="810" w:type="dxa"/>
            <w:tcBorders>
              <w:top w:val="nil"/>
              <w:left w:val="nil"/>
              <w:bottom w:val="single" w:sz="8" w:space="0" w:color="auto"/>
              <w:right w:val="double" w:sz="6" w:space="0" w:color="auto"/>
            </w:tcBorders>
            <w:shd w:val="clear" w:color="auto" w:fill="auto"/>
            <w:vAlign w:val="center"/>
            <w:hideMark/>
          </w:tcPr>
          <w:p w14:paraId="63ACB593"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23.3%</w:t>
            </w:r>
          </w:p>
        </w:tc>
      </w:tr>
      <w:tr w:rsidR="00671063" w:rsidRPr="00671063" w14:paraId="3567A5C4" w14:textId="77777777" w:rsidTr="00F63564">
        <w:trPr>
          <w:trHeight w:val="20"/>
          <w:jc w:val="center"/>
        </w:trPr>
        <w:tc>
          <w:tcPr>
            <w:tcW w:w="1867" w:type="dxa"/>
            <w:tcBorders>
              <w:top w:val="nil"/>
              <w:left w:val="double" w:sz="6" w:space="0" w:color="auto"/>
              <w:bottom w:val="double" w:sz="6" w:space="0" w:color="auto"/>
              <w:right w:val="double" w:sz="6" w:space="0" w:color="auto"/>
            </w:tcBorders>
            <w:shd w:val="clear" w:color="auto" w:fill="auto"/>
            <w:vAlign w:val="center"/>
            <w:hideMark/>
          </w:tcPr>
          <w:p w14:paraId="73F58F99" w14:textId="77777777" w:rsidR="00671063" w:rsidRPr="00671063" w:rsidRDefault="00671063" w:rsidP="00671063">
            <w:pPr>
              <w:spacing w:after="0"/>
              <w:ind w:firstLine="0"/>
              <w:jc w:val="left"/>
              <w:rPr>
                <w:rFonts w:eastAsia="Times New Roman"/>
                <w:color w:val="000000"/>
                <w:sz w:val="20"/>
                <w:szCs w:val="20"/>
              </w:rPr>
            </w:pPr>
            <w:r w:rsidRPr="00671063">
              <w:rPr>
                <w:rFonts w:eastAsia="Times New Roman"/>
                <w:color w:val="000000"/>
                <w:sz w:val="20"/>
                <w:szCs w:val="20"/>
              </w:rPr>
              <w:t xml:space="preserve">  85 or older</w:t>
            </w:r>
          </w:p>
        </w:tc>
        <w:tc>
          <w:tcPr>
            <w:tcW w:w="734" w:type="dxa"/>
            <w:tcBorders>
              <w:top w:val="nil"/>
              <w:left w:val="nil"/>
              <w:bottom w:val="double" w:sz="6" w:space="0" w:color="auto"/>
              <w:right w:val="single" w:sz="8" w:space="0" w:color="auto"/>
            </w:tcBorders>
            <w:shd w:val="clear" w:color="auto" w:fill="auto"/>
            <w:vAlign w:val="center"/>
            <w:hideMark/>
          </w:tcPr>
          <w:p w14:paraId="2E92CE0E"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1.7%</w:t>
            </w:r>
          </w:p>
        </w:tc>
        <w:tc>
          <w:tcPr>
            <w:tcW w:w="796" w:type="dxa"/>
            <w:tcBorders>
              <w:top w:val="single" w:sz="8" w:space="0" w:color="auto"/>
              <w:left w:val="nil"/>
              <w:bottom w:val="double" w:sz="6" w:space="0" w:color="auto"/>
              <w:right w:val="single" w:sz="8" w:space="0" w:color="000000"/>
            </w:tcBorders>
            <w:shd w:val="clear" w:color="auto" w:fill="auto"/>
            <w:vAlign w:val="center"/>
            <w:hideMark/>
          </w:tcPr>
          <w:p w14:paraId="50F7B119"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0.7%</w:t>
            </w:r>
          </w:p>
        </w:tc>
        <w:tc>
          <w:tcPr>
            <w:tcW w:w="810" w:type="dxa"/>
            <w:gridSpan w:val="3"/>
            <w:tcBorders>
              <w:top w:val="single" w:sz="8" w:space="0" w:color="auto"/>
              <w:left w:val="nil"/>
              <w:bottom w:val="double" w:sz="6" w:space="0" w:color="auto"/>
              <w:right w:val="double" w:sz="6" w:space="0" w:color="000000"/>
            </w:tcBorders>
            <w:shd w:val="clear" w:color="auto" w:fill="auto"/>
            <w:vAlign w:val="center"/>
            <w:hideMark/>
          </w:tcPr>
          <w:p w14:paraId="4951E6E5"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1.0%</w:t>
            </w:r>
          </w:p>
        </w:tc>
        <w:tc>
          <w:tcPr>
            <w:tcW w:w="810" w:type="dxa"/>
            <w:gridSpan w:val="5"/>
            <w:tcBorders>
              <w:top w:val="nil"/>
              <w:left w:val="nil"/>
              <w:bottom w:val="double" w:sz="6" w:space="0" w:color="auto"/>
              <w:right w:val="double" w:sz="6" w:space="0" w:color="auto"/>
            </w:tcBorders>
            <w:shd w:val="clear" w:color="auto" w:fill="auto"/>
            <w:vAlign w:val="center"/>
            <w:hideMark/>
          </w:tcPr>
          <w:p w14:paraId="6613BEB9"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2.3%</w:t>
            </w:r>
          </w:p>
        </w:tc>
        <w:tc>
          <w:tcPr>
            <w:tcW w:w="2799" w:type="dxa"/>
            <w:gridSpan w:val="2"/>
            <w:tcBorders>
              <w:top w:val="nil"/>
              <w:left w:val="nil"/>
              <w:bottom w:val="double" w:sz="6" w:space="0" w:color="auto"/>
              <w:right w:val="double" w:sz="6" w:space="0" w:color="auto"/>
            </w:tcBorders>
            <w:shd w:val="clear" w:color="auto" w:fill="auto"/>
            <w:vAlign w:val="center"/>
            <w:hideMark/>
          </w:tcPr>
          <w:p w14:paraId="1E88AFC0" w14:textId="77777777" w:rsidR="00671063" w:rsidRPr="00671063" w:rsidRDefault="00671063" w:rsidP="00671063">
            <w:pPr>
              <w:spacing w:after="0"/>
              <w:ind w:firstLine="0"/>
              <w:jc w:val="left"/>
              <w:rPr>
                <w:rFonts w:eastAsia="Times New Roman"/>
                <w:color w:val="000000"/>
                <w:sz w:val="20"/>
                <w:szCs w:val="20"/>
              </w:rPr>
            </w:pPr>
            <w:r w:rsidRPr="00671063">
              <w:rPr>
                <w:rFonts w:eastAsia="Times New Roman"/>
                <w:color w:val="000000"/>
                <w:sz w:val="20"/>
                <w:szCs w:val="20"/>
              </w:rPr>
              <w:t xml:space="preserve">  Graduate/post-graduate degree</w:t>
            </w:r>
          </w:p>
        </w:tc>
        <w:tc>
          <w:tcPr>
            <w:tcW w:w="801" w:type="dxa"/>
            <w:tcBorders>
              <w:top w:val="nil"/>
              <w:left w:val="nil"/>
              <w:bottom w:val="double" w:sz="6" w:space="0" w:color="auto"/>
              <w:right w:val="single" w:sz="8" w:space="0" w:color="auto"/>
            </w:tcBorders>
            <w:shd w:val="clear" w:color="auto" w:fill="auto"/>
            <w:vAlign w:val="center"/>
            <w:hideMark/>
          </w:tcPr>
          <w:p w14:paraId="7CCB2BD8"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26.8%</w:t>
            </w:r>
          </w:p>
        </w:tc>
        <w:tc>
          <w:tcPr>
            <w:tcW w:w="810" w:type="dxa"/>
            <w:tcBorders>
              <w:top w:val="nil"/>
              <w:left w:val="nil"/>
              <w:bottom w:val="double" w:sz="6" w:space="0" w:color="auto"/>
              <w:right w:val="single" w:sz="8" w:space="0" w:color="auto"/>
            </w:tcBorders>
            <w:shd w:val="clear" w:color="auto" w:fill="auto"/>
            <w:vAlign w:val="center"/>
            <w:hideMark/>
          </w:tcPr>
          <w:p w14:paraId="195DE82B"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32.9%</w:t>
            </w:r>
          </w:p>
        </w:tc>
        <w:tc>
          <w:tcPr>
            <w:tcW w:w="900" w:type="dxa"/>
            <w:tcBorders>
              <w:top w:val="nil"/>
              <w:left w:val="nil"/>
              <w:bottom w:val="double" w:sz="6" w:space="0" w:color="auto"/>
              <w:right w:val="double" w:sz="6" w:space="0" w:color="auto"/>
            </w:tcBorders>
            <w:shd w:val="clear" w:color="auto" w:fill="auto"/>
            <w:vAlign w:val="center"/>
            <w:hideMark/>
          </w:tcPr>
          <w:p w14:paraId="42A08646"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30.2%</w:t>
            </w:r>
          </w:p>
        </w:tc>
        <w:tc>
          <w:tcPr>
            <w:tcW w:w="810" w:type="dxa"/>
            <w:tcBorders>
              <w:top w:val="nil"/>
              <w:left w:val="nil"/>
              <w:bottom w:val="double" w:sz="6" w:space="0" w:color="auto"/>
              <w:right w:val="double" w:sz="6" w:space="0" w:color="auto"/>
            </w:tcBorders>
            <w:shd w:val="clear" w:color="auto" w:fill="auto"/>
            <w:vAlign w:val="center"/>
            <w:hideMark/>
          </w:tcPr>
          <w:p w14:paraId="234BFE4D"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12.9%</w:t>
            </w:r>
          </w:p>
        </w:tc>
      </w:tr>
      <w:tr w:rsidR="00513BA1" w:rsidRPr="00671063" w14:paraId="0C8AC974" w14:textId="77777777" w:rsidTr="00F63564">
        <w:trPr>
          <w:trHeight w:val="20"/>
          <w:jc w:val="center"/>
        </w:trPr>
        <w:tc>
          <w:tcPr>
            <w:tcW w:w="2601" w:type="dxa"/>
            <w:gridSpan w:val="2"/>
            <w:tcBorders>
              <w:top w:val="double" w:sz="6" w:space="0" w:color="auto"/>
              <w:left w:val="double" w:sz="6" w:space="0" w:color="auto"/>
              <w:bottom w:val="single" w:sz="8" w:space="0" w:color="auto"/>
              <w:right w:val="nil"/>
            </w:tcBorders>
            <w:shd w:val="clear" w:color="000000" w:fill="FFFFFF"/>
            <w:vAlign w:val="center"/>
            <w:hideMark/>
          </w:tcPr>
          <w:p w14:paraId="644F2937" w14:textId="39174D0F" w:rsidR="00671063" w:rsidRPr="00671063" w:rsidRDefault="00671063" w:rsidP="00671063">
            <w:pPr>
              <w:spacing w:after="0"/>
              <w:ind w:firstLine="0"/>
              <w:jc w:val="left"/>
              <w:rPr>
                <w:rFonts w:eastAsia="Times New Roman"/>
                <w:b/>
                <w:bCs/>
                <w:color w:val="000000"/>
                <w:sz w:val="20"/>
                <w:szCs w:val="20"/>
              </w:rPr>
            </w:pPr>
            <w:bookmarkStart w:id="4" w:name="RANGE!C17"/>
            <w:r w:rsidRPr="00671063">
              <w:rPr>
                <w:rFonts w:eastAsia="Times New Roman"/>
                <w:b/>
                <w:bCs/>
                <w:color w:val="000000"/>
                <w:sz w:val="20"/>
                <w:szCs w:val="20"/>
              </w:rPr>
              <w:t>Has a smartphone</w:t>
            </w:r>
            <w:bookmarkEnd w:id="4"/>
            <w:r w:rsidR="00E91B47">
              <w:rPr>
                <w:rFonts w:eastAsia="Times New Roman"/>
                <w:b/>
                <w:bCs/>
                <w:color w:val="000000"/>
                <w:sz w:val="20"/>
                <w:szCs w:val="20"/>
              </w:rPr>
              <w:t>**</w:t>
            </w:r>
          </w:p>
        </w:tc>
        <w:tc>
          <w:tcPr>
            <w:tcW w:w="906" w:type="dxa"/>
            <w:gridSpan w:val="2"/>
            <w:tcBorders>
              <w:top w:val="nil"/>
              <w:left w:val="nil"/>
              <w:bottom w:val="single" w:sz="8" w:space="0" w:color="auto"/>
              <w:right w:val="nil"/>
            </w:tcBorders>
            <w:shd w:val="clear" w:color="000000" w:fill="FFFFFF"/>
            <w:vAlign w:val="center"/>
            <w:hideMark/>
          </w:tcPr>
          <w:p w14:paraId="4BED1B17" w14:textId="77777777" w:rsidR="00671063" w:rsidRPr="00671063" w:rsidRDefault="00671063" w:rsidP="00671063">
            <w:pPr>
              <w:spacing w:after="0"/>
              <w:ind w:firstLine="0"/>
              <w:jc w:val="left"/>
              <w:rPr>
                <w:rFonts w:eastAsia="Times New Roman"/>
                <w:color w:val="000000"/>
                <w:sz w:val="20"/>
                <w:szCs w:val="20"/>
              </w:rPr>
            </w:pPr>
            <w:r w:rsidRPr="00671063">
              <w:rPr>
                <w:rFonts w:eastAsia="Times New Roman"/>
                <w:color w:val="000000"/>
                <w:sz w:val="20"/>
                <w:szCs w:val="20"/>
              </w:rPr>
              <w:t> </w:t>
            </w:r>
          </w:p>
        </w:tc>
        <w:tc>
          <w:tcPr>
            <w:tcW w:w="236" w:type="dxa"/>
            <w:tcBorders>
              <w:top w:val="nil"/>
              <w:left w:val="nil"/>
              <w:bottom w:val="single" w:sz="8" w:space="0" w:color="auto"/>
              <w:right w:val="nil"/>
            </w:tcBorders>
            <w:shd w:val="clear" w:color="000000" w:fill="FFFFFF"/>
            <w:vAlign w:val="center"/>
            <w:hideMark/>
          </w:tcPr>
          <w:p w14:paraId="623521B6" w14:textId="77777777" w:rsidR="00671063" w:rsidRPr="00671063" w:rsidRDefault="00671063" w:rsidP="00671063">
            <w:pPr>
              <w:spacing w:after="0"/>
              <w:ind w:firstLine="0"/>
              <w:jc w:val="left"/>
              <w:rPr>
                <w:rFonts w:eastAsia="Times New Roman"/>
                <w:color w:val="000000"/>
                <w:sz w:val="20"/>
                <w:szCs w:val="20"/>
              </w:rPr>
            </w:pPr>
            <w:r w:rsidRPr="00671063">
              <w:rPr>
                <w:rFonts w:eastAsia="Times New Roman"/>
                <w:color w:val="000000"/>
                <w:sz w:val="20"/>
                <w:szCs w:val="20"/>
              </w:rPr>
              <w:t> </w:t>
            </w:r>
          </w:p>
        </w:tc>
        <w:tc>
          <w:tcPr>
            <w:tcW w:w="581" w:type="dxa"/>
            <w:gridSpan w:val="3"/>
            <w:tcBorders>
              <w:top w:val="nil"/>
              <w:left w:val="nil"/>
              <w:bottom w:val="single" w:sz="8" w:space="0" w:color="auto"/>
              <w:right w:val="nil"/>
            </w:tcBorders>
            <w:shd w:val="clear" w:color="000000" w:fill="FFFFFF"/>
            <w:vAlign w:val="center"/>
            <w:hideMark/>
          </w:tcPr>
          <w:p w14:paraId="2B5B3396" w14:textId="77777777" w:rsidR="00671063" w:rsidRPr="00671063" w:rsidRDefault="00671063" w:rsidP="00671063">
            <w:pPr>
              <w:spacing w:after="0"/>
              <w:ind w:firstLine="0"/>
              <w:jc w:val="left"/>
              <w:rPr>
                <w:rFonts w:eastAsia="Times New Roman"/>
                <w:color w:val="000000"/>
                <w:sz w:val="20"/>
                <w:szCs w:val="20"/>
              </w:rPr>
            </w:pPr>
            <w:r w:rsidRPr="00671063">
              <w:rPr>
                <w:rFonts w:eastAsia="Times New Roman"/>
                <w:color w:val="000000"/>
                <w:sz w:val="20"/>
                <w:szCs w:val="20"/>
              </w:rPr>
              <w:t> </w:t>
            </w:r>
          </w:p>
        </w:tc>
        <w:tc>
          <w:tcPr>
            <w:tcW w:w="237" w:type="dxa"/>
            <w:gridSpan w:val="2"/>
            <w:tcBorders>
              <w:top w:val="nil"/>
              <w:left w:val="nil"/>
              <w:bottom w:val="single" w:sz="8" w:space="0" w:color="auto"/>
              <w:right w:val="nil"/>
            </w:tcBorders>
            <w:shd w:val="clear" w:color="000000" w:fill="FFFFFF"/>
            <w:vAlign w:val="center"/>
            <w:hideMark/>
          </w:tcPr>
          <w:p w14:paraId="64D6CD9E" w14:textId="77777777" w:rsidR="00671063" w:rsidRPr="00671063" w:rsidRDefault="00671063" w:rsidP="00671063">
            <w:pPr>
              <w:spacing w:after="0"/>
              <w:ind w:firstLine="0"/>
              <w:jc w:val="left"/>
              <w:rPr>
                <w:rFonts w:eastAsia="Times New Roman"/>
                <w:color w:val="000000"/>
                <w:sz w:val="20"/>
                <w:szCs w:val="20"/>
              </w:rPr>
            </w:pPr>
            <w:r w:rsidRPr="00671063">
              <w:rPr>
                <w:rFonts w:eastAsia="Times New Roman"/>
                <w:color w:val="000000"/>
                <w:sz w:val="20"/>
                <w:szCs w:val="20"/>
              </w:rPr>
              <w:t> </w:t>
            </w:r>
          </w:p>
        </w:tc>
        <w:tc>
          <w:tcPr>
            <w:tcW w:w="456" w:type="dxa"/>
            <w:tcBorders>
              <w:top w:val="nil"/>
              <w:left w:val="nil"/>
              <w:bottom w:val="single" w:sz="8" w:space="0" w:color="auto"/>
              <w:right w:val="double" w:sz="6" w:space="0" w:color="auto"/>
            </w:tcBorders>
            <w:shd w:val="clear" w:color="auto" w:fill="auto"/>
            <w:vAlign w:val="center"/>
            <w:hideMark/>
          </w:tcPr>
          <w:p w14:paraId="1F9B1538"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 </w:t>
            </w:r>
          </w:p>
        </w:tc>
        <w:tc>
          <w:tcPr>
            <w:tcW w:w="2790" w:type="dxa"/>
            <w:tcBorders>
              <w:top w:val="nil"/>
              <w:left w:val="nil"/>
              <w:bottom w:val="single" w:sz="8" w:space="0" w:color="auto"/>
              <w:right w:val="nil"/>
            </w:tcBorders>
            <w:shd w:val="clear" w:color="000000" w:fill="FFFFFF"/>
            <w:vAlign w:val="center"/>
            <w:hideMark/>
          </w:tcPr>
          <w:p w14:paraId="1B89D1A0" w14:textId="77777777" w:rsidR="00671063" w:rsidRPr="00671063" w:rsidRDefault="00671063" w:rsidP="00671063">
            <w:pPr>
              <w:spacing w:after="0"/>
              <w:ind w:firstLine="0"/>
              <w:jc w:val="left"/>
              <w:rPr>
                <w:rFonts w:eastAsia="Times New Roman"/>
                <w:b/>
                <w:bCs/>
                <w:color w:val="000000"/>
                <w:sz w:val="20"/>
                <w:szCs w:val="20"/>
              </w:rPr>
            </w:pPr>
            <w:r w:rsidRPr="00671063">
              <w:rPr>
                <w:rFonts w:eastAsia="Times New Roman"/>
                <w:b/>
                <w:bCs/>
                <w:color w:val="000000"/>
                <w:sz w:val="20"/>
                <w:szCs w:val="20"/>
              </w:rPr>
              <w:t>Employment</w:t>
            </w:r>
          </w:p>
        </w:tc>
        <w:tc>
          <w:tcPr>
            <w:tcW w:w="810" w:type="dxa"/>
            <w:gridSpan w:val="2"/>
            <w:tcBorders>
              <w:top w:val="nil"/>
              <w:left w:val="nil"/>
              <w:bottom w:val="single" w:sz="8" w:space="0" w:color="auto"/>
              <w:right w:val="nil"/>
            </w:tcBorders>
            <w:shd w:val="clear" w:color="000000" w:fill="FFFFFF"/>
            <w:vAlign w:val="center"/>
            <w:hideMark/>
          </w:tcPr>
          <w:p w14:paraId="113B9728"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 </w:t>
            </w:r>
          </w:p>
        </w:tc>
        <w:tc>
          <w:tcPr>
            <w:tcW w:w="810" w:type="dxa"/>
            <w:tcBorders>
              <w:top w:val="nil"/>
              <w:left w:val="nil"/>
              <w:bottom w:val="single" w:sz="8" w:space="0" w:color="auto"/>
              <w:right w:val="nil"/>
            </w:tcBorders>
            <w:shd w:val="clear" w:color="000000" w:fill="FFFFFF"/>
            <w:vAlign w:val="center"/>
            <w:hideMark/>
          </w:tcPr>
          <w:p w14:paraId="36229D91"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 </w:t>
            </w:r>
          </w:p>
        </w:tc>
        <w:tc>
          <w:tcPr>
            <w:tcW w:w="900" w:type="dxa"/>
            <w:tcBorders>
              <w:top w:val="nil"/>
              <w:left w:val="nil"/>
              <w:bottom w:val="single" w:sz="8" w:space="0" w:color="auto"/>
              <w:right w:val="nil"/>
            </w:tcBorders>
            <w:shd w:val="clear" w:color="000000" w:fill="FFFFFF"/>
            <w:vAlign w:val="center"/>
            <w:hideMark/>
          </w:tcPr>
          <w:p w14:paraId="69039AD1"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 </w:t>
            </w:r>
          </w:p>
        </w:tc>
        <w:tc>
          <w:tcPr>
            <w:tcW w:w="810" w:type="dxa"/>
            <w:tcBorders>
              <w:top w:val="nil"/>
              <w:left w:val="nil"/>
              <w:bottom w:val="single" w:sz="8" w:space="0" w:color="auto"/>
              <w:right w:val="double" w:sz="6" w:space="0" w:color="auto"/>
            </w:tcBorders>
            <w:shd w:val="clear" w:color="000000" w:fill="FFFFFF"/>
            <w:vAlign w:val="center"/>
            <w:hideMark/>
          </w:tcPr>
          <w:p w14:paraId="4A572748"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 </w:t>
            </w:r>
          </w:p>
        </w:tc>
      </w:tr>
      <w:tr w:rsidR="00F63564" w:rsidRPr="00671063" w14:paraId="25DA9119" w14:textId="77777777" w:rsidTr="00183059">
        <w:trPr>
          <w:trHeight w:val="20"/>
          <w:jc w:val="center"/>
        </w:trPr>
        <w:tc>
          <w:tcPr>
            <w:tcW w:w="1867" w:type="dxa"/>
            <w:tcBorders>
              <w:top w:val="nil"/>
              <w:left w:val="double" w:sz="6" w:space="0" w:color="auto"/>
              <w:bottom w:val="single" w:sz="8" w:space="0" w:color="auto"/>
              <w:right w:val="double" w:sz="6" w:space="0" w:color="auto"/>
            </w:tcBorders>
            <w:shd w:val="clear" w:color="auto" w:fill="auto"/>
            <w:vAlign w:val="center"/>
            <w:hideMark/>
          </w:tcPr>
          <w:p w14:paraId="435F27E1" w14:textId="4234DAA9" w:rsidR="00F63564" w:rsidRPr="00671063" w:rsidRDefault="00F63564" w:rsidP="007804D1">
            <w:pPr>
              <w:spacing w:after="0"/>
              <w:ind w:firstLine="0"/>
              <w:jc w:val="left"/>
              <w:rPr>
                <w:rFonts w:eastAsia="Times New Roman"/>
                <w:color w:val="000000"/>
                <w:sz w:val="20"/>
                <w:szCs w:val="20"/>
              </w:rPr>
            </w:pPr>
            <w:r w:rsidRPr="00671063">
              <w:rPr>
                <w:rFonts w:eastAsia="Times New Roman"/>
                <w:color w:val="000000"/>
                <w:sz w:val="20"/>
                <w:szCs w:val="20"/>
              </w:rPr>
              <w:t xml:space="preserve">  No</w:t>
            </w:r>
          </w:p>
        </w:tc>
        <w:tc>
          <w:tcPr>
            <w:tcW w:w="734" w:type="dxa"/>
            <w:tcBorders>
              <w:top w:val="nil"/>
              <w:left w:val="nil"/>
              <w:bottom w:val="single" w:sz="8" w:space="0" w:color="auto"/>
              <w:right w:val="single" w:sz="8" w:space="0" w:color="auto"/>
            </w:tcBorders>
            <w:shd w:val="clear" w:color="auto" w:fill="auto"/>
            <w:vAlign w:val="center"/>
            <w:hideMark/>
          </w:tcPr>
          <w:p w14:paraId="3489BA2E" w14:textId="38F91441" w:rsidR="00F63564" w:rsidRPr="00671063" w:rsidRDefault="00F63564" w:rsidP="00671063">
            <w:pPr>
              <w:spacing w:after="0"/>
              <w:ind w:firstLine="0"/>
              <w:jc w:val="right"/>
              <w:rPr>
                <w:rFonts w:eastAsia="Times New Roman"/>
                <w:color w:val="000000"/>
                <w:sz w:val="20"/>
                <w:szCs w:val="20"/>
              </w:rPr>
            </w:pPr>
            <w:r w:rsidRPr="00671063">
              <w:rPr>
                <w:rFonts w:eastAsia="Times New Roman"/>
                <w:color w:val="000000"/>
                <w:sz w:val="20"/>
                <w:szCs w:val="20"/>
              </w:rPr>
              <w:t>29.4%</w:t>
            </w:r>
          </w:p>
        </w:tc>
        <w:tc>
          <w:tcPr>
            <w:tcW w:w="796" w:type="dxa"/>
            <w:tcBorders>
              <w:top w:val="single" w:sz="8" w:space="0" w:color="auto"/>
              <w:left w:val="nil"/>
              <w:bottom w:val="single" w:sz="8" w:space="0" w:color="auto"/>
              <w:right w:val="single" w:sz="8" w:space="0" w:color="000000"/>
            </w:tcBorders>
            <w:shd w:val="clear" w:color="auto" w:fill="auto"/>
            <w:vAlign w:val="center"/>
            <w:hideMark/>
          </w:tcPr>
          <w:p w14:paraId="22B84F94" w14:textId="0118E6C8" w:rsidR="00F63564" w:rsidRPr="00671063" w:rsidRDefault="00F63564" w:rsidP="00671063">
            <w:pPr>
              <w:spacing w:after="0"/>
              <w:ind w:firstLine="0"/>
              <w:jc w:val="right"/>
              <w:rPr>
                <w:rFonts w:eastAsia="Times New Roman"/>
                <w:color w:val="000000"/>
                <w:sz w:val="20"/>
                <w:szCs w:val="20"/>
              </w:rPr>
            </w:pPr>
            <w:r w:rsidRPr="00671063">
              <w:rPr>
                <w:rFonts w:eastAsia="Times New Roman"/>
                <w:color w:val="000000"/>
                <w:sz w:val="20"/>
                <w:szCs w:val="20"/>
              </w:rPr>
              <w:t>9.8%</w:t>
            </w:r>
          </w:p>
        </w:tc>
        <w:tc>
          <w:tcPr>
            <w:tcW w:w="810" w:type="dxa"/>
            <w:gridSpan w:val="3"/>
            <w:tcBorders>
              <w:top w:val="single" w:sz="8" w:space="0" w:color="auto"/>
              <w:left w:val="nil"/>
              <w:bottom w:val="single" w:sz="8" w:space="0" w:color="auto"/>
              <w:right w:val="double" w:sz="6" w:space="0" w:color="000000"/>
            </w:tcBorders>
            <w:shd w:val="clear" w:color="auto" w:fill="auto"/>
            <w:vAlign w:val="center"/>
            <w:hideMark/>
          </w:tcPr>
          <w:p w14:paraId="13D1A494" w14:textId="2D503D2D" w:rsidR="00F63564" w:rsidRPr="00671063" w:rsidRDefault="00F63564" w:rsidP="00671063">
            <w:pPr>
              <w:spacing w:after="0"/>
              <w:ind w:firstLine="0"/>
              <w:jc w:val="right"/>
              <w:rPr>
                <w:rFonts w:eastAsia="Times New Roman"/>
                <w:color w:val="000000"/>
                <w:sz w:val="20"/>
                <w:szCs w:val="20"/>
              </w:rPr>
            </w:pPr>
            <w:r w:rsidRPr="00671063">
              <w:rPr>
                <w:rFonts w:eastAsia="Times New Roman"/>
                <w:color w:val="000000"/>
                <w:sz w:val="20"/>
                <w:szCs w:val="20"/>
              </w:rPr>
              <w:t>18.5%</w:t>
            </w:r>
          </w:p>
        </w:tc>
        <w:tc>
          <w:tcPr>
            <w:tcW w:w="810" w:type="dxa"/>
            <w:gridSpan w:val="5"/>
            <w:tcBorders>
              <w:top w:val="nil"/>
              <w:left w:val="nil"/>
              <w:bottom w:val="single" w:sz="8" w:space="0" w:color="auto"/>
              <w:right w:val="double" w:sz="6" w:space="0" w:color="auto"/>
            </w:tcBorders>
            <w:shd w:val="clear" w:color="auto" w:fill="auto"/>
            <w:vAlign w:val="center"/>
            <w:hideMark/>
          </w:tcPr>
          <w:p w14:paraId="6CA38400" w14:textId="470048DB" w:rsidR="00F63564" w:rsidRPr="00671063" w:rsidRDefault="00F63564" w:rsidP="00671063">
            <w:pPr>
              <w:spacing w:after="0"/>
              <w:ind w:firstLine="0"/>
              <w:jc w:val="right"/>
              <w:rPr>
                <w:rFonts w:eastAsia="Times New Roman"/>
                <w:color w:val="000000"/>
                <w:sz w:val="20"/>
                <w:szCs w:val="20"/>
              </w:rPr>
            </w:pPr>
            <w:r w:rsidRPr="00671063">
              <w:rPr>
                <w:rFonts w:eastAsia="Times New Roman"/>
                <w:color w:val="000000"/>
                <w:sz w:val="20"/>
                <w:szCs w:val="20"/>
              </w:rPr>
              <w:t>22.4%</w:t>
            </w:r>
          </w:p>
        </w:tc>
        <w:tc>
          <w:tcPr>
            <w:tcW w:w="2799" w:type="dxa"/>
            <w:gridSpan w:val="2"/>
            <w:tcBorders>
              <w:top w:val="nil"/>
              <w:left w:val="nil"/>
              <w:bottom w:val="single" w:sz="8" w:space="0" w:color="auto"/>
              <w:right w:val="double" w:sz="6" w:space="0" w:color="auto"/>
            </w:tcBorders>
            <w:shd w:val="clear" w:color="auto" w:fill="auto"/>
            <w:vAlign w:val="center"/>
            <w:hideMark/>
          </w:tcPr>
          <w:p w14:paraId="580BE3B8" w14:textId="77777777" w:rsidR="00F63564" w:rsidRPr="00671063" w:rsidRDefault="00F63564" w:rsidP="00671063">
            <w:pPr>
              <w:spacing w:after="0"/>
              <w:ind w:firstLine="0"/>
              <w:jc w:val="left"/>
              <w:rPr>
                <w:rFonts w:eastAsia="Times New Roman"/>
                <w:color w:val="000000"/>
                <w:sz w:val="20"/>
                <w:szCs w:val="20"/>
              </w:rPr>
            </w:pPr>
            <w:r w:rsidRPr="00671063">
              <w:rPr>
                <w:rFonts w:eastAsia="Times New Roman"/>
                <w:color w:val="000000"/>
                <w:sz w:val="20"/>
                <w:szCs w:val="20"/>
              </w:rPr>
              <w:t xml:space="preserve">  Employed full-time (paid)</w:t>
            </w:r>
          </w:p>
        </w:tc>
        <w:tc>
          <w:tcPr>
            <w:tcW w:w="801" w:type="dxa"/>
            <w:tcBorders>
              <w:top w:val="nil"/>
              <w:left w:val="nil"/>
              <w:bottom w:val="single" w:sz="8" w:space="0" w:color="auto"/>
              <w:right w:val="single" w:sz="8" w:space="0" w:color="auto"/>
            </w:tcBorders>
            <w:shd w:val="clear" w:color="auto" w:fill="auto"/>
            <w:vAlign w:val="center"/>
            <w:hideMark/>
          </w:tcPr>
          <w:p w14:paraId="5B2BDD16" w14:textId="77777777" w:rsidR="00F63564" w:rsidRPr="00671063" w:rsidRDefault="00F63564" w:rsidP="00671063">
            <w:pPr>
              <w:spacing w:after="0"/>
              <w:ind w:firstLine="0"/>
              <w:jc w:val="right"/>
              <w:rPr>
                <w:rFonts w:eastAsia="Times New Roman"/>
                <w:color w:val="000000"/>
                <w:sz w:val="20"/>
                <w:szCs w:val="20"/>
              </w:rPr>
            </w:pPr>
            <w:r w:rsidRPr="00671063">
              <w:rPr>
                <w:rFonts w:eastAsia="Times New Roman"/>
                <w:color w:val="000000"/>
                <w:sz w:val="20"/>
                <w:szCs w:val="20"/>
              </w:rPr>
              <w:t>46.5%</w:t>
            </w:r>
          </w:p>
        </w:tc>
        <w:tc>
          <w:tcPr>
            <w:tcW w:w="810" w:type="dxa"/>
            <w:tcBorders>
              <w:top w:val="nil"/>
              <w:left w:val="nil"/>
              <w:bottom w:val="single" w:sz="8" w:space="0" w:color="auto"/>
              <w:right w:val="single" w:sz="8" w:space="0" w:color="auto"/>
            </w:tcBorders>
            <w:shd w:val="clear" w:color="auto" w:fill="auto"/>
            <w:vAlign w:val="center"/>
            <w:hideMark/>
          </w:tcPr>
          <w:p w14:paraId="3CCD8DA1" w14:textId="77777777" w:rsidR="00F63564" w:rsidRPr="00671063" w:rsidRDefault="00F63564" w:rsidP="00671063">
            <w:pPr>
              <w:spacing w:after="0"/>
              <w:ind w:firstLine="0"/>
              <w:jc w:val="right"/>
              <w:rPr>
                <w:rFonts w:eastAsia="Times New Roman"/>
                <w:color w:val="000000"/>
                <w:sz w:val="20"/>
                <w:szCs w:val="20"/>
              </w:rPr>
            </w:pPr>
            <w:r w:rsidRPr="00671063">
              <w:rPr>
                <w:rFonts w:eastAsia="Times New Roman"/>
                <w:color w:val="000000"/>
                <w:sz w:val="20"/>
                <w:szCs w:val="20"/>
              </w:rPr>
              <w:t>57.8%</w:t>
            </w:r>
          </w:p>
        </w:tc>
        <w:tc>
          <w:tcPr>
            <w:tcW w:w="900" w:type="dxa"/>
            <w:tcBorders>
              <w:top w:val="nil"/>
              <w:left w:val="nil"/>
              <w:bottom w:val="single" w:sz="8" w:space="0" w:color="auto"/>
              <w:right w:val="double" w:sz="6" w:space="0" w:color="auto"/>
            </w:tcBorders>
            <w:shd w:val="clear" w:color="auto" w:fill="auto"/>
            <w:vAlign w:val="center"/>
            <w:hideMark/>
          </w:tcPr>
          <w:p w14:paraId="34BF1DE6" w14:textId="77777777" w:rsidR="00F63564" w:rsidRPr="00671063" w:rsidRDefault="00F63564" w:rsidP="00671063">
            <w:pPr>
              <w:spacing w:after="0"/>
              <w:ind w:firstLine="0"/>
              <w:jc w:val="right"/>
              <w:rPr>
                <w:rFonts w:eastAsia="Times New Roman"/>
                <w:color w:val="000000"/>
                <w:sz w:val="20"/>
                <w:szCs w:val="20"/>
              </w:rPr>
            </w:pPr>
            <w:r w:rsidRPr="00671063">
              <w:rPr>
                <w:rFonts w:eastAsia="Times New Roman"/>
                <w:color w:val="000000"/>
                <w:sz w:val="20"/>
                <w:szCs w:val="20"/>
              </w:rPr>
              <w:t>52.8%</w:t>
            </w:r>
          </w:p>
        </w:tc>
        <w:tc>
          <w:tcPr>
            <w:tcW w:w="810" w:type="dxa"/>
            <w:vMerge w:val="restart"/>
            <w:tcBorders>
              <w:top w:val="nil"/>
              <w:left w:val="double" w:sz="6" w:space="0" w:color="auto"/>
              <w:right w:val="double" w:sz="6" w:space="0" w:color="auto"/>
            </w:tcBorders>
            <w:shd w:val="clear" w:color="auto" w:fill="auto"/>
            <w:vAlign w:val="center"/>
            <w:hideMark/>
          </w:tcPr>
          <w:p w14:paraId="22EAD42D" w14:textId="77777777" w:rsidR="00F63564" w:rsidRPr="00671063" w:rsidRDefault="00F63564" w:rsidP="00671063">
            <w:pPr>
              <w:spacing w:after="0"/>
              <w:ind w:firstLine="0"/>
              <w:jc w:val="right"/>
              <w:rPr>
                <w:rFonts w:eastAsia="Times New Roman"/>
                <w:color w:val="000000"/>
                <w:sz w:val="20"/>
                <w:szCs w:val="20"/>
              </w:rPr>
            </w:pPr>
            <w:r w:rsidRPr="00671063">
              <w:rPr>
                <w:rFonts w:eastAsia="Times New Roman"/>
                <w:color w:val="000000"/>
                <w:sz w:val="20"/>
                <w:szCs w:val="20"/>
              </w:rPr>
              <w:t>74.1%</w:t>
            </w:r>
          </w:p>
        </w:tc>
      </w:tr>
      <w:tr w:rsidR="00F63564" w:rsidRPr="00671063" w14:paraId="1986623A" w14:textId="77777777" w:rsidTr="00183059">
        <w:trPr>
          <w:trHeight w:val="20"/>
          <w:jc w:val="center"/>
        </w:trPr>
        <w:tc>
          <w:tcPr>
            <w:tcW w:w="1867" w:type="dxa"/>
            <w:tcBorders>
              <w:top w:val="nil"/>
              <w:left w:val="double" w:sz="6" w:space="0" w:color="auto"/>
              <w:bottom w:val="double" w:sz="6" w:space="0" w:color="auto"/>
              <w:right w:val="double" w:sz="6" w:space="0" w:color="auto"/>
            </w:tcBorders>
            <w:shd w:val="clear" w:color="auto" w:fill="auto"/>
            <w:vAlign w:val="center"/>
            <w:hideMark/>
          </w:tcPr>
          <w:p w14:paraId="4CFD4240" w14:textId="16A1A8F6" w:rsidR="00F63564" w:rsidRPr="00671063" w:rsidRDefault="00F63564" w:rsidP="007804D1">
            <w:pPr>
              <w:spacing w:after="0"/>
              <w:ind w:firstLine="0"/>
              <w:jc w:val="left"/>
              <w:rPr>
                <w:rFonts w:eastAsia="Times New Roman"/>
                <w:color w:val="000000"/>
                <w:sz w:val="20"/>
                <w:szCs w:val="20"/>
              </w:rPr>
            </w:pPr>
            <w:r w:rsidRPr="00671063">
              <w:rPr>
                <w:rFonts w:eastAsia="Times New Roman"/>
                <w:color w:val="000000"/>
                <w:sz w:val="20"/>
                <w:szCs w:val="20"/>
              </w:rPr>
              <w:t xml:space="preserve">  Yes</w:t>
            </w:r>
          </w:p>
        </w:tc>
        <w:tc>
          <w:tcPr>
            <w:tcW w:w="734" w:type="dxa"/>
            <w:tcBorders>
              <w:top w:val="nil"/>
              <w:left w:val="nil"/>
              <w:bottom w:val="double" w:sz="6" w:space="0" w:color="auto"/>
              <w:right w:val="single" w:sz="8" w:space="0" w:color="auto"/>
            </w:tcBorders>
            <w:shd w:val="clear" w:color="auto" w:fill="auto"/>
            <w:vAlign w:val="center"/>
            <w:hideMark/>
          </w:tcPr>
          <w:p w14:paraId="2AE366BF" w14:textId="59D21B25" w:rsidR="00F63564" w:rsidRPr="00671063" w:rsidRDefault="00F63564" w:rsidP="007804D1">
            <w:pPr>
              <w:spacing w:after="0"/>
              <w:ind w:firstLine="0"/>
              <w:jc w:val="right"/>
              <w:rPr>
                <w:rFonts w:eastAsia="Times New Roman"/>
                <w:color w:val="000000"/>
                <w:sz w:val="20"/>
                <w:szCs w:val="20"/>
              </w:rPr>
            </w:pPr>
            <w:r w:rsidRPr="00671063">
              <w:rPr>
                <w:rFonts w:eastAsia="Times New Roman"/>
                <w:color w:val="000000"/>
                <w:sz w:val="20"/>
                <w:szCs w:val="20"/>
              </w:rPr>
              <w:t>70.6%</w:t>
            </w:r>
          </w:p>
        </w:tc>
        <w:tc>
          <w:tcPr>
            <w:tcW w:w="796" w:type="dxa"/>
            <w:tcBorders>
              <w:top w:val="single" w:sz="8" w:space="0" w:color="auto"/>
              <w:left w:val="nil"/>
              <w:bottom w:val="double" w:sz="6" w:space="0" w:color="auto"/>
              <w:right w:val="single" w:sz="8" w:space="0" w:color="000000"/>
            </w:tcBorders>
            <w:shd w:val="clear" w:color="auto" w:fill="auto"/>
            <w:vAlign w:val="center"/>
            <w:hideMark/>
          </w:tcPr>
          <w:p w14:paraId="70E96A87" w14:textId="42A56945" w:rsidR="00F63564" w:rsidRPr="00671063" w:rsidRDefault="00F63564" w:rsidP="00671063">
            <w:pPr>
              <w:spacing w:after="0"/>
              <w:ind w:firstLine="0"/>
              <w:jc w:val="right"/>
              <w:rPr>
                <w:rFonts w:eastAsia="Times New Roman"/>
                <w:color w:val="000000"/>
                <w:sz w:val="20"/>
                <w:szCs w:val="20"/>
              </w:rPr>
            </w:pPr>
            <w:r w:rsidRPr="00671063">
              <w:rPr>
                <w:rFonts w:eastAsia="Times New Roman"/>
                <w:color w:val="000000"/>
                <w:sz w:val="20"/>
                <w:szCs w:val="20"/>
              </w:rPr>
              <w:t>90.2%</w:t>
            </w:r>
          </w:p>
        </w:tc>
        <w:tc>
          <w:tcPr>
            <w:tcW w:w="810" w:type="dxa"/>
            <w:gridSpan w:val="3"/>
            <w:tcBorders>
              <w:top w:val="single" w:sz="8" w:space="0" w:color="auto"/>
              <w:left w:val="nil"/>
              <w:bottom w:val="double" w:sz="6" w:space="0" w:color="auto"/>
              <w:right w:val="double" w:sz="6" w:space="0" w:color="000000"/>
            </w:tcBorders>
            <w:shd w:val="clear" w:color="auto" w:fill="auto"/>
            <w:vAlign w:val="center"/>
            <w:hideMark/>
          </w:tcPr>
          <w:p w14:paraId="45A89F46" w14:textId="723AEBD8" w:rsidR="00F63564" w:rsidRPr="00671063" w:rsidRDefault="00F63564" w:rsidP="007804D1">
            <w:pPr>
              <w:spacing w:after="0"/>
              <w:ind w:firstLine="0"/>
              <w:jc w:val="right"/>
              <w:rPr>
                <w:rFonts w:eastAsia="Times New Roman"/>
                <w:color w:val="000000"/>
                <w:sz w:val="20"/>
                <w:szCs w:val="20"/>
              </w:rPr>
            </w:pPr>
            <w:r w:rsidRPr="00671063">
              <w:rPr>
                <w:rFonts w:eastAsia="Times New Roman"/>
                <w:color w:val="000000"/>
                <w:sz w:val="20"/>
                <w:szCs w:val="20"/>
              </w:rPr>
              <w:t>81.5%</w:t>
            </w:r>
          </w:p>
        </w:tc>
        <w:tc>
          <w:tcPr>
            <w:tcW w:w="810" w:type="dxa"/>
            <w:gridSpan w:val="5"/>
            <w:tcBorders>
              <w:top w:val="nil"/>
              <w:left w:val="nil"/>
              <w:bottom w:val="double" w:sz="6" w:space="0" w:color="auto"/>
              <w:right w:val="double" w:sz="6" w:space="0" w:color="auto"/>
            </w:tcBorders>
            <w:shd w:val="clear" w:color="auto" w:fill="auto"/>
            <w:vAlign w:val="center"/>
            <w:hideMark/>
          </w:tcPr>
          <w:p w14:paraId="70F31F5C" w14:textId="706BCD2E" w:rsidR="00F63564" w:rsidRPr="00671063" w:rsidRDefault="00F63564" w:rsidP="007804D1">
            <w:pPr>
              <w:spacing w:after="0"/>
              <w:ind w:firstLine="0"/>
              <w:jc w:val="right"/>
              <w:rPr>
                <w:rFonts w:eastAsia="Times New Roman"/>
                <w:color w:val="000000"/>
                <w:sz w:val="20"/>
                <w:szCs w:val="20"/>
              </w:rPr>
            </w:pPr>
            <w:r w:rsidRPr="00671063">
              <w:rPr>
                <w:rFonts w:eastAsia="Times New Roman"/>
                <w:color w:val="000000"/>
                <w:sz w:val="20"/>
                <w:szCs w:val="20"/>
              </w:rPr>
              <w:t>77.6%</w:t>
            </w:r>
          </w:p>
        </w:tc>
        <w:tc>
          <w:tcPr>
            <w:tcW w:w="2799" w:type="dxa"/>
            <w:gridSpan w:val="2"/>
            <w:tcBorders>
              <w:top w:val="nil"/>
              <w:left w:val="nil"/>
              <w:bottom w:val="single" w:sz="8" w:space="0" w:color="auto"/>
              <w:right w:val="double" w:sz="6" w:space="0" w:color="auto"/>
            </w:tcBorders>
            <w:shd w:val="clear" w:color="auto" w:fill="auto"/>
            <w:vAlign w:val="center"/>
            <w:hideMark/>
          </w:tcPr>
          <w:p w14:paraId="3A0711F2" w14:textId="77777777" w:rsidR="00F63564" w:rsidRPr="00671063" w:rsidRDefault="00F63564" w:rsidP="00671063">
            <w:pPr>
              <w:spacing w:after="0"/>
              <w:ind w:firstLine="0"/>
              <w:jc w:val="left"/>
              <w:rPr>
                <w:rFonts w:eastAsia="Times New Roman"/>
                <w:color w:val="000000"/>
                <w:sz w:val="20"/>
                <w:szCs w:val="20"/>
              </w:rPr>
            </w:pPr>
            <w:r w:rsidRPr="00671063">
              <w:rPr>
                <w:rFonts w:eastAsia="Times New Roman"/>
                <w:color w:val="000000"/>
                <w:sz w:val="20"/>
                <w:szCs w:val="20"/>
              </w:rPr>
              <w:t xml:space="preserve">  Employed part-time (paid)</w:t>
            </w:r>
          </w:p>
        </w:tc>
        <w:tc>
          <w:tcPr>
            <w:tcW w:w="801" w:type="dxa"/>
            <w:tcBorders>
              <w:top w:val="nil"/>
              <w:left w:val="nil"/>
              <w:bottom w:val="single" w:sz="8" w:space="0" w:color="auto"/>
              <w:right w:val="single" w:sz="8" w:space="0" w:color="auto"/>
            </w:tcBorders>
            <w:shd w:val="clear" w:color="auto" w:fill="auto"/>
            <w:vAlign w:val="center"/>
            <w:hideMark/>
          </w:tcPr>
          <w:p w14:paraId="3C483EC4" w14:textId="77777777" w:rsidR="00F63564" w:rsidRPr="00671063" w:rsidRDefault="00F63564" w:rsidP="00671063">
            <w:pPr>
              <w:spacing w:after="0"/>
              <w:ind w:firstLine="0"/>
              <w:jc w:val="right"/>
              <w:rPr>
                <w:rFonts w:eastAsia="Times New Roman"/>
                <w:color w:val="000000"/>
                <w:sz w:val="20"/>
                <w:szCs w:val="20"/>
              </w:rPr>
            </w:pPr>
            <w:r w:rsidRPr="00671063">
              <w:rPr>
                <w:rFonts w:eastAsia="Times New Roman"/>
                <w:color w:val="000000"/>
                <w:sz w:val="20"/>
                <w:szCs w:val="20"/>
              </w:rPr>
              <w:t>9.1%</w:t>
            </w:r>
          </w:p>
        </w:tc>
        <w:tc>
          <w:tcPr>
            <w:tcW w:w="810" w:type="dxa"/>
            <w:tcBorders>
              <w:top w:val="nil"/>
              <w:left w:val="nil"/>
              <w:bottom w:val="single" w:sz="8" w:space="0" w:color="auto"/>
              <w:right w:val="single" w:sz="8" w:space="0" w:color="auto"/>
            </w:tcBorders>
            <w:shd w:val="clear" w:color="auto" w:fill="auto"/>
            <w:vAlign w:val="center"/>
            <w:hideMark/>
          </w:tcPr>
          <w:p w14:paraId="3A9CB47A" w14:textId="77777777" w:rsidR="00F63564" w:rsidRPr="00671063" w:rsidRDefault="00F63564" w:rsidP="00671063">
            <w:pPr>
              <w:spacing w:after="0"/>
              <w:ind w:firstLine="0"/>
              <w:jc w:val="right"/>
              <w:rPr>
                <w:rFonts w:eastAsia="Times New Roman"/>
                <w:color w:val="000000"/>
                <w:sz w:val="20"/>
                <w:szCs w:val="20"/>
              </w:rPr>
            </w:pPr>
            <w:r w:rsidRPr="00671063">
              <w:rPr>
                <w:rFonts w:eastAsia="Times New Roman"/>
                <w:color w:val="000000"/>
                <w:sz w:val="20"/>
                <w:szCs w:val="20"/>
              </w:rPr>
              <w:t>8.0%</w:t>
            </w:r>
          </w:p>
        </w:tc>
        <w:tc>
          <w:tcPr>
            <w:tcW w:w="900" w:type="dxa"/>
            <w:tcBorders>
              <w:top w:val="nil"/>
              <w:left w:val="nil"/>
              <w:bottom w:val="single" w:sz="8" w:space="0" w:color="auto"/>
              <w:right w:val="double" w:sz="6" w:space="0" w:color="auto"/>
            </w:tcBorders>
            <w:shd w:val="clear" w:color="auto" w:fill="auto"/>
            <w:vAlign w:val="center"/>
            <w:hideMark/>
          </w:tcPr>
          <w:p w14:paraId="28C48CE8" w14:textId="77777777" w:rsidR="00F63564" w:rsidRPr="00671063" w:rsidRDefault="00F63564" w:rsidP="00671063">
            <w:pPr>
              <w:spacing w:after="0"/>
              <w:ind w:firstLine="0"/>
              <w:jc w:val="right"/>
              <w:rPr>
                <w:rFonts w:eastAsia="Times New Roman"/>
                <w:color w:val="000000"/>
                <w:sz w:val="20"/>
                <w:szCs w:val="20"/>
              </w:rPr>
            </w:pPr>
            <w:r w:rsidRPr="00671063">
              <w:rPr>
                <w:rFonts w:eastAsia="Times New Roman"/>
                <w:color w:val="000000"/>
                <w:sz w:val="20"/>
                <w:szCs w:val="20"/>
              </w:rPr>
              <w:t>8.5%</w:t>
            </w:r>
          </w:p>
        </w:tc>
        <w:tc>
          <w:tcPr>
            <w:tcW w:w="810" w:type="dxa"/>
            <w:vMerge/>
            <w:tcBorders>
              <w:left w:val="double" w:sz="6" w:space="0" w:color="auto"/>
              <w:right w:val="double" w:sz="6" w:space="0" w:color="auto"/>
            </w:tcBorders>
            <w:vAlign w:val="center"/>
            <w:hideMark/>
          </w:tcPr>
          <w:p w14:paraId="175E58EE" w14:textId="77777777" w:rsidR="00F63564" w:rsidRPr="00671063" w:rsidRDefault="00F63564" w:rsidP="00671063">
            <w:pPr>
              <w:spacing w:after="0"/>
              <w:ind w:firstLine="0"/>
              <w:jc w:val="left"/>
              <w:rPr>
                <w:rFonts w:eastAsia="Times New Roman"/>
                <w:color w:val="000000"/>
                <w:sz w:val="20"/>
                <w:szCs w:val="20"/>
              </w:rPr>
            </w:pPr>
          </w:p>
        </w:tc>
      </w:tr>
      <w:tr w:rsidR="00F63564" w:rsidRPr="00671063" w14:paraId="683FB925" w14:textId="77777777" w:rsidTr="00183059">
        <w:trPr>
          <w:trHeight w:val="20"/>
          <w:jc w:val="center"/>
        </w:trPr>
        <w:tc>
          <w:tcPr>
            <w:tcW w:w="3507" w:type="dxa"/>
            <w:gridSpan w:val="4"/>
            <w:tcBorders>
              <w:top w:val="double" w:sz="6" w:space="0" w:color="auto"/>
              <w:left w:val="double" w:sz="6" w:space="0" w:color="auto"/>
              <w:bottom w:val="single" w:sz="8" w:space="0" w:color="auto"/>
              <w:right w:val="nil"/>
            </w:tcBorders>
            <w:shd w:val="clear" w:color="000000" w:fill="FFFFFF"/>
            <w:vAlign w:val="center"/>
            <w:hideMark/>
          </w:tcPr>
          <w:p w14:paraId="537314A6" w14:textId="77777777" w:rsidR="00F63564" w:rsidRPr="00671063" w:rsidRDefault="00F63564" w:rsidP="00671063">
            <w:pPr>
              <w:spacing w:after="0"/>
              <w:ind w:firstLine="0"/>
              <w:jc w:val="left"/>
              <w:rPr>
                <w:rFonts w:eastAsia="Times New Roman"/>
                <w:b/>
                <w:bCs/>
                <w:color w:val="000000"/>
                <w:sz w:val="20"/>
                <w:szCs w:val="20"/>
              </w:rPr>
            </w:pPr>
            <w:r w:rsidRPr="00671063">
              <w:rPr>
                <w:rFonts w:eastAsia="Times New Roman"/>
                <w:b/>
                <w:bCs/>
                <w:color w:val="000000"/>
                <w:sz w:val="20"/>
                <w:szCs w:val="20"/>
              </w:rPr>
              <w:t>Has a valid driver’s license</w:t>
            </w:r>
          </w:p>
        </w:tc>
        <w:tc>
          <w:tcPr>
            <w:tcW w:w="794" w:type="dxa"/>
            <w:gridSpan w:val="3"/>
            <w:tcBorders>
              <w:top w:val="double" w:sz="6" w:space="0" w:color="auto"/>
              <w:left w:val="nil"/>
              <w:bottom w:val="single" w:sz="8" w:space="0" w:color="auto"/>
              <w:right w:val="nil"/>
            </w:tcBorders>
            <w:shd w:val="clear" w:color="000000" w:fill="FFFFFF"/>
            <w:vAlign w:val="center"/>
            <w:hideMark/>
          </w:tcPr>
          <w:p w14:paraId="00EC0C62" w14:textId="77777777" w:rsidR="00F63564" w:rsidRPr="00671063" w:rsidRDefault="00F63564" w:rsidP="00671063">
            <w:pPr>
              <w:spacing w:after="0"/>
              <w:ind w:firstLine="0"/>
              <w:jc w:val="left"/>
              <w:rPr>
                <w:rFonts w:eastAsia="Times New Roman"/>
                <w:color w:val="000000"/>
                <w:sz w:val="20"/>
                <w:szCs w:val="20"/>
              </w:rPr>
            </w:pPr>
            <w:r w:rsidRPr="00671063">
              <w:rPr>
                <w:rFonts w:eastAsia="Times New Roman"/>
                <w:color w:val="000000"/>
                <w:sz w:val="20"/>
                <w:szCs w:val="20"/>
              </w:rPr>
              <w:t> </w:t>
            </w:r>
          </w:p>
        </w:tc>
        <w:tc>
          <w:tcPr>
            <w:tcW w:w="236" w:type="dxa"/>
            <w:gridSpan w:val="2"/>
            <w:tcBorders>
              <w:top w:val="nil"/>
              <w:left w:val="nil"/>
              <w:bottom w:val="single" w:sz="8" w:space="0" w:color="auto"/>
              <w:right w:val="nil"/>
            </w:tcBorders>
            <w:shd w:val="clear" w:color="000000" w:fill="FFFFFF"/>
            <w:vAlign w:val="center"/>
            <w:hideMark/>
          </w:tcPr>
          <w:p w14:paraId="7AA3CA8A" w14:textId="77777777" w:rsidR="00F63564" w:rsidRPr="00671063" w:rsidRDefault="00F63564" w:rsidP="00671063">
            <w:pPr>
              <w:spacing w:after="0"/>
              <w:ind w:firstLine="0"/>
              <w:jc w:val="left"/>
              <w:rPr>
                <w:rFonts w:eastAsia="Times New Roman"/>
                <w:color w:val="000000"/>
                <w:sz w:val="20"/>
                <w:szCs w:val="20"/>
              </w:rPr>
            </w:pPr>
            <w:r w:rsidRPr="00671063">
              <w:rPr>
                <w:rFonts w:eastAsia="Times New Roman"/>
                <w:color w:val="000000"/>
                <w:sz w:val="20"/>
                <w:szCs w:val="20"/>
              </w:rPr>
              <w:t> </w:t>
            </w:r>
          </w:p>
        </w:tc>
        <w:tc>
          <w:tcPr>
            <w:tcW w:w="480" w:type="dxa"/>
            <w:gridSpan w:val="2"/>
            <w:tcBorders>
              <w:top w:val="nil"/>
              <w:left w:val="nil"/>
              <w:bottom w:val="single" w:sz="8" w:space="0" w:color="auto"/>
              <w:right w:val="double" w:sz="6" w:space="0" w:color="auto"/>
            </w:tcBorders>
            <w:shd w:val="clear" w:color="auto" w:fill="auto"/>
            <w:vAlign w:val="center"/>
            <w:hideMark/>
          </w:tcPr>
          <w:p w14:paraId="789E0026" w14:textId="77777777" w:rsidR="00F63564" w:rsidRPr="00671063" w:rsidRDefault="00F63564" w:rsidP="00671063">
            <w:pPr>
              <w:spacing w:after="0"/>
              <w:ind w:firstLine="0"/>
              <w:jc w:val="right"/>
              <w:rPr>
                <w:rFonts w:eastAsia="Times New Roman"/>
                <w:color w:val="000000"/>
                <w:sz w:val="20"/>
                <w:szCs w:val="20"/>
              </w:rPr>
            </w:pPr>
            <w:r w:rsidRPr="00671063">
              <w:rPr>
                <w:rFonts w:eastAsia="Times New Roman"/>
                <w:color w:val="000000"/>
                <w:sz w:val="20"/>
                <w:szCs w:val="20"/>
              </w:rPr>
              <w:t> </w:t>
            </w:r>
          </w:p>
        </w:tc>
        <w:tc>
          <w:tcPr>
            <w:tcW w:w="2790" w:type="dxa"/>
            <w:tcBorders>
              <w:top w:val="nil"/>
              <w:left w:val="nil"/>
              <w:bottom w:val="single" w:sz="8" w:space="0" w:color="auto"/>
              <w:right w:val="double" w:sz="6" w:space="0" w:color="auto"/>
            </w:tcBorders>
            <w:shd w:val="clear" w:color="auto" w:fill="auto"/>
            <w:vAlign w:val="center"/>
            <w:hideMark/>
          </w:tcPr>
          <w:p w14:paraId="6078AC76" w14:textId="77777777" w:rsidR="00F63564" w:rsidRPr="00671063" w:rsidRDefault="00F63564" w:rsidP="00671063">
            <w:pPr>
              <w:spacing w:after="0"/>
              <w:ind w:firstLine="0"/>
              <w:jc w:val="left"/>
              <w:rPr>
                <w:rFonts w:eastAsia="Times New Roman"/>
                <w:color w:val="000000"/>
                <w:sz w:val="20"/>
                <w:szCs w:val="20"/>
              </w:rPr>
            </w:pPr>
            <w:r w:rsidRPr="00671063">
              <w:rPr>
                <w:rFonts w:eastAsia="Times New Roman"/>
                <w:color w:val="000000"/>
                <w:sz w:val="20"/>
                <w:szCs w:val="20"/>
              </w:rPr>
              <w:t xml:space="preserve">  Self-employed</w:t>
            </w:r>
          </w:p>
        </w:tc>
        <w:tc>
          <w:tcPr>
            <w:tcW w:w="810" w:type="dxa"/>
            <w:gridSpan w:val="2"/>
            <w:tcBorders>
              <w:top w:val="nil"/>
              <w:left w:val="nil"/>
              <w:bottom w:val="single" w:sz="8" w:space="0" w:color="auto"/>
              <w:right w:val="single" w:sz="8" w:space="0" w:color="auto"/>
            </w:tcBorders>
            <w:shd w:val="clear" w:color="auto" w:fill="auto"/>
            <w:vAlign w:val="center"/>
            <w:hideMark/>
          </w:tcPr>
          <w:p w14:paraId="107D120C" w14:textId="77777777" w:rsidR="00F63564" w:rsidRPr="00671063" w:rsidRDefault="00F63564" w:rsidP="00671063">
            <w:pPr>
              <w:spacing w:after="0"/>
              <w:ind w:firstLine="0"/>
              <w:jc w:val="right"/>
              <w:rPr>
                <w:rFonts w:eastAsia="Times New Roman"/>
                <w:color w:val="000000"/>
                <w:sz w:val="20"/>
                <w:szCs w:val="20"/>
              </w:rPr>
            </w:pPr>
            <w:r w:rsidRPr="00671063">
              <w:rPr>
                <w:rFonts w:eastAsia="Times New Roman"/>
                <w:color w:val="000000"/>
                <w:sz w:val="20"/>
                <w:szCs w:val="20"/>
              </w:rPr>
              <w:t>6.6%</w:t>
            </w:r>
          </w:p>
        </w:tc>
        <w:tc>
          <w:tcPr>
            <w:tcW w:w="810" w:type="dxa"/>
            <w:tcBorders>
              <w:top w:val="nil"/>
              <w:left w:val="nil"/>
              <w:bottom w:val="single" w:sz="8" w:space="0" w:color="auto"/>
              <w:right w:val="single" w:sz="8" w:space="0" w:color="auto"/>
            </w:tcBorders>
            <w:shd w:val="clear" w:color="auto" w:fill="auto"/>
            <w:vAlign w:val="center"/>
            <w:hideMark/>
          </w:tcPr>
          <w:p w14:paraId="292A0E68" w14:textId="77777777" w:rsidR="00F63564" w:rsidRPr="00671063" w:rsidRDefault="00F63564" w:rsidP="00671063">
            <w:pPr>
              <w:spacing w:after="0"/>
              <w:ind w:firstLine="0"/>
              <w:jc w:val="right"/>
              <w:rPr>
                <w:rFonts w:eastAsia="Times New Roman"/>
                <w:color w:val="000000"/>
                <w:sz w:val="20"/>
                <w:szCs w:val="20"/>
              </w:rPr>
            </w:pPr>
            <w:r w:rsidRPr="00671063">
              <w:rPr>
                <w:rFonts w:eastAsia="Times New Roman"/>
                <w:color w:val="000000"/>
                <w:sz w:val="20"/>
                <w:szCs w:val="20"/>
              </w:rPr>
              <w:t>6.5%</w:t>
            </w:r>
          </w:p>
        </w:tc>
        <w:tc>
          <w:tcPr>
            <w:tcW w:w="900" w:type="dxa"/>
            <w:tcBorders>
              <w:top w:val="nil"/>
              <w:left w:val="nil"/>
              <w:bottom w:val="single" w:sz="8" w:space="0" w:color="auto"/>
              <w:right w:val="double" w:sz="6" w:space="0" w:color="auto"/>
            </w:tcBorders>
            <w:shd w:val="clear" w:color="auto" w:fill="auto"/>
            <w:vAlign w:val="center"/>
            <w:hideMark/>
          </w:tcPr>
          <w:p w14:paraId="4D778086" w14:textId="77777777" w:rsidR="00F63564" w:rsidRPr="00671063" w:rsidRDefault="00F63564" w:rsidP="00671063">
            <w:pPr>
              <w:spacing w:after="0"/>
              <w:ind w:firstLine="0"/>
              <w:jc w:val="right"/>
              <w:rPr>
                <w:rFonts w:eastAsia="Times New Roman"/>
                <w:color w:val="000000"/>
                <w:sz w:val="20"/>
                <w:szCs w:val="20"/>
              </w:rPr>
            </w:pPr>
            <w:r w:rsidRPr="00671063">
              <w:rPr>
                <w:rFonts w:eastAsia="Times New Roman"/>
                <w:color w:val="000000"/>
                <w:sz w:val="20"/>
                <w:szCs w:val="20"/>
              </w:rPr>
              <w:t>6.5%</w:t>
            </w:r>
          </w:p>
        </w:tc>
        <w:tc>
          <w:tcPr>
            <w:tcW w:w="810" w:type="dxa"/>
            <w:vMerge/>
            <w:tcBorders>
              <w:left w:val="double" w:sz="6" w:space="0" w:color="auto"/>
              <w:right w:val="double" w:sz="6" w:space="0" w:color="auto"/>
            </w:tcBorders>
            <w:vAlign w:val="center"/>
            <w:hideMark/>
          </w:tcPr>
          <w:p w14:paraId="7C8A7F39" w14:textId="77777777" w:rsidR="00F63564" w:rsidRPr="00671063" w:rsidRDefault="00F63564" w:rsidP="00671063">
            <w:pPr>
              <w:spacing w:after="0"/>
              <w:ind w:firstLine="0"/>
              <w:jc w:val="left"/>
              <w:rPr>
                <w:rFonts w:eastAsia="Times New Roman"/>
                <w:color w:val="000000"/>
                <w:sz w:val="20"/>
                <w:szCs w:val="20"/>
              </w:rPr>
            </w:pPr>
          </w:p>
        </w:tc>
      </w:tr>
      <w:tr w:rsidR="00F63564" w:rsidRPr="00671063" w14:paraId="22C40F7F" w14:textId="77777777" w:rsidTr="00183059">
        <w:trPr>
          <w:trHeight w:val="20"/>
          <w:jc w:val="center"/>
        </w:trPr>
        <w:tc>
          <w:tcPr>
            <w:tcW w:w="1867" w:type="dxa"/>
            <w:tcBorders>
              <w:top w:val="nil"/>
              <w:left w:val="double" w:sz="6" w:space="0" w:color="auto"/>
              <w:bottom w:val="single" w:sz="8" w:space="0" w:color="auto"/>
              <w:right w:val="double" w:sz="6" w:space="0" w:color="auto"/>
            </w:tcBorders>
            <w:shd w:val="clear" w:color="auto" w:fill="auto"/>
            <w:vAlign w:val="center"/>
            <w:hideMark/>
          </w:tcPr>
          <w:p w14:paraId="6FAEC1FD" w14:textId="3FCA7D41" w:rsidR="00F63564" w:rsidRPr="00671063" w:rsidRDefault="00F63564" w:rsidP="007804D1">
            <w:pPr>
              <w:spacing w:after="0"/>
              <w:ind w:firstLine="0"/>
              <w:jc w:val="left"/>
              <w:rPr>
                <w:rFonts w:eastAsia="Times New Roman"/>
                <w:color w:val="000000"/>
                <w:sz w:val="20"/>
                <w:szCs w:val="20"/>
              </w:rPr>
            </w:pPr>
            <w:r w:rsidRPr="00671063">
              <w:rPr>
                <w:rFonts w:eastAsia="Times New Roman"/>
                <w:color w:val="000000"/>
                <w:sz w:val="20"/>
                <w:szCs w:val="20"/>
              </w:rPr>
              <w:t xml:space="preserve">  </w:t>
            </w:r>
            <w:r>
              <w:rPr>
                <w:rFonts w:eastAsia="Times New Roman"/>
                <w:color w:val="000000"/>
                <w:sz w:val="20"/>
                <w:szCs w:val="20"/>
              </w:rPr>
              <w:t>No</w:t>
            </w:r>
          </w:p>
        </w:tc>
        <w:tc>
          <w:tcPr>
            <w:tcW w:w="734" w:type="dxa"/>
            <w:tcBorders>
              <w:top w:val="nil"/>
              <w:left w:val="nil"/>
              <w:bottom w:val="single" w:sz="8" w:space="0" w:color="auto"/>
              <w:right w:val="single" w:sz="8" w:space="0" w:color="auto"/>
            </w:tcBorders>
            <w:shd w:val="clear" w:color="auto" w:fill="auto"/>
            <w:vAlign w:val="center"/>
            <w:hideMark/>
          </w:tcPr>
          <w:p w14:paraId="1E55094A" w14:textId="7B7507D5" w:rsidR="00F63564" w:rsidRPr="00671063" w:rsidRDefault="00F63564" w:rsidP="00671063">
            <w:pPr>
              <w:spacing w:after="0"/>
              <w:ind w:firstLine="0"/>
              <w:jc w:val="right"/>
              <w:rPr>
                <w:rFonts w:eastAsia="Times New Roman"/>
                <w:color w:val="000000"/>
                <w:sz w:val="20"/>
                <w:szCs w:val="20"/>
              </w:rPr>
            </w:pPr>
            <w:r w:rsidRPr="00671063">
              <w:rPr>
                <w:rFonts w:eastAsia="Times New Roman"/>
                <w:color w:val="000000"/>
                <w:sz w:val="20"/>
                <w:szCs w:val="20"/>
              </w:rPr>
              <w:t>7.7%</w:t>
            </w:r>
          </w:p>
        </w:tc>
        <w:tc>
          <w:tcPr>
            <w:tcW w:w="796" w:type="dxa"/>
            <w:tcBorders>
              <w:top w:val="single" w:sz="8" w:space="0" w:color="auto"/>
              <w:left w:val="nil"/>
              <w:bottom w:val="single" w:sz="8" w:space="0" w:color="auto"/>
              <w:right w:val="single" w:sz="8" w:space="0" w:color="000000"/>
            </w:tcBorders>
            <w:shd w:val="clear" w:color="auto" w:fill="auto"/>
            <w:vAlign w:val="center"/>
            <w:hideMark/>
          </w:tcPr>
          <w:p w14:paraId="3F521175" w14:textId="21260312" w:rsidR="00F63564" w:rsidRPr="00671063" w:rsidRDefault="00F63564" w:rsidP="00671063">
            <w:pPr>
              <w:spacing w:after="0"/>
              <w:ind w:firstLine="0"/>
              <w:jc w:val="right"/>
              <w:rPr>
                <w:rFonts w:eastAsia="Times New Roman"/>
                <w:color w:val="000000"/>
                <w:sz w:val="20"/>
                <w:szCs w:val="20"/>
              </w:rPr>
            </w:pPr>
            <w:r w:rsidRPr="00671063">
              <w:rPr>
                <w:rFonts w:eastAsia="Times New Roman"/>
                <w:color w:val="000000"/>
                <w:sz w:val="20"/>
                <w:szCs w:val="20"/>
              </w:rPr>
              <w:t>7.1%</w:t>
            </w:r>
          </w:p>
        </w:tc>
        <w:tc>
          <w:tcPr>
            <w:tcW w:w="810" w:type="dxa"/>
            <w:gridSpan w:val="3"/>
            <w:tcBorders>
              <w:top w:val="single" w:sz="8" w:space="0" w:color="auto"/>
              <w:left w:val="nil"/>
              <w:bottom w:val="single" w:sz="8" w:space="0" w:color="auto"/>
              <w:right w:val="double" w:sz="6" w:space="0" w:color="000000"/>
            </w:tcBorders>
            <w:shd w:val="clear" w:color="auto" w:fill="auto"/>
            <w:vAlign w:val="center"/>
            <w:hideMark/>
          </w:tcPr>
          <w:p w14:paraId="4A748A79" w14:textId="6CF82389" w:rsidR="00F63564" w:rsidRPr="00671063" w:rsidRDefault="00F63564" w:rsidP="00671063">
            <w:pPr>
              <w:spacing w:after="0"/>
              <w:ind w:firstLine="0"/>
              <w:jc w:val="right"/>
              <w:rPr>
                <w:rFonts w:eastAsia="Times New Roman"/>
                <w:color w:val="000000"/>
                <w:sz w:val="20"/>
                <w:szCs w:val="20"/>
              </w:rPr>
            </w:pPr>
            <w:r w:rsidRPr="00671063">
              <w:rPr>
                <w:rFonts w:eastAsia="Times New Roman"/>
                <w:color w:val="000000"/>
                <w:sz w:val="20"/>
                <w:szCs w:val="20"/>
              </w:rPr>
              <w:t>7.3%</w:t>
            </w:r>
          </w:p>
        </w:tc>
        <w:tc>
          <w:tcPr>
            <w:tcW w:w="810" w:type="dxa"/>
            <w:gridSpan w:val="5"/>
            <w:tcBorders>
              <w:top w:val="nil"/>
              <w:left w:val="nil"/>
              <w:bottom w:val="single" w:sz="8" w:space="0" w:color="auto"/>
              <w:right w:val="double" w:sz="6" w:space="0" w:color="auto"/>
            </w:tcBorders>
            <w:shd w:val="clear" w:color="auto" w:fill="auto"/>
            <w:vAlign w:val="center"/>
            <w:hideMark/>
          </w:tcPr>
          <w:p w14:paraId="73F11D0B" w14:textId="77777777" w:rsidR="00F63564" w:rsidRPr="00671063" w:rsidRDefault="00F63564" w:rsidP="00671063">
            <w:pPr>
              <w:spacing w:after="0"/>
              <w:ind w:firstLine="0"/>
              <w:jc w:val="right"/>
              <w:rPr>
                <w:rFonts w:eastAsia="Times New Roman"/>
                <w:b/>
                <w:bCs/>
                <w:color w:val="000000"/>
                <w:sz w:val="20"/>
                <w:szCs w:val="20"/>
              </w:rPr>
            </w:pPr>
            <w:r w:rsidRPr="00671063">
              <w:rPr>
                <w:rFonts w:eastAsia="Times New Roman"/>
                <w:b/>
                <w:bCs/>
                <w:color w:val="000000"/>
                <w:sz w:val="20"/>
                <w:szCs w:val="20"/>
              </w:rPr>
              <w:t>---</w:t>
            </w:r>
          </w:p>
        </w:tc>
        <w:tc>
          <w:tcPr>
            <w:tcW w:w="2799" w:type="dxa"/>
            <w:gridSpan w:val="2"/>
            <w:tcBorders>
              <w:top w:val="nil"/>
              <w:left w:val="nil"/>
              <w:bottom w:val="single" w:sz="8" w:space="0" w:color="auto"/>
              <w:right w:val="double" w:sz="6" w:space="0" w:color="auto"/>
            </w:tcBorders>
            <w:shd w:val="clear" w:color="auto" w:fill="auto"/>
            <w:vAlign w:val="center"/>
            <w:hideMark/>
          </w:tcPr>
          <w:p w14:paraId="03F42E14" w14:textId="77777777" w:rsidR="00F63564" w:rsidRPr="00671063" w:rsidRDefault="00F63564" w:rsidP="00671063">
            <w:pPr>
              <w:spacing w:after="0"/>
              <w:ind w:firstLine="0"/>
              <w:jc w:val="left"/>
              <w:rPr>
                <w:rFonts w:eastAsia="Times New Roman"/>
                <w:color w:val="000000"/>
                <w:sz w:val="20"/>
                <w:szCs w:val="20"/>
              </w:rPr>
            </w:pPr>
            <w:r w:rsidRPr="00671063">
              <w:rPr>
                <w:rFonts w:eastAsia="Times New Roman"/>
                <w:color w:val="000000"/>
                <w:sz w:val="20"/>
                <w:szCs w:val="20"/>
              </w:rPr>
              <w:t xml:space="preserve">  Unpaid volunteer or intern</w:t>
            </w:r>
          </w:p>
        </w:tc>
        <w:tc>
          <w:tcPr>
            <w:tcW w:w="801" w:type="dxa"/>
            <w:tcBorders>
              <w:top w:val="nil"/>
              <w:left w:val="nil"/>
              <w:bottom w:val="single" w:sz="8" w:space="0" w:color="auto"/>
              <w:right w:val="single" w:sz="8" w:space="0" w:color="auto"/>
            </w:tcBorders>
            <w:shd w:val="clear" w:color="auto" w:fill="auto"/>
            <w:vAlign w:val="center"/>
            <w:hideMark/>
          </w:tcPr>
          <w:p w14:paraId="49986B24" w14:textId="77777777" w:rsidR="00F63564" w:rsidRPr="00671063" w:rsidRDefault="00F63564" w:rsidP="00671063">
            <w:pPr>
              <w:spacing w:after="0"/>
              <w:ind w:firstLine="0"/>
              <w:jc w:val="right"/>
              <w:rPr>
                <w:rFonts w:eastAsia="Times New Roman"/>
                <w:color w:val="000000"/>
                <w:sz w:val="20"/>
                <w:szCs w:val="20"/>
              </w:rPr>
            </w:pPr>
            <w:r w:rsidRPr="00671063">
              <w:rPr>
                <w:rFonts w:eastAsia="Times New Roman"/>
                <w:color w:val="000000"/>
                <w:sz w:val="20"/>
                <w:szCs w:val="20"/>
              </w:rPr>
              <w:t>1.2%</w:t>
            </w:r>
          </w:p>
        </w:tc>
        <w:tc>
          <w:tcPr>
            <w:tcW w:w="810" w:type="dxa"/>
            <w:tcBorders>
              <w:top w:val="nil"/>
              <w:left w:val="nil"/>
              <w:bottom w:val="single" w:sz="8" w:space="0" w:color="auto"/>
              <w:right w:val="single" w:sz="8" w:space="0" w:color="auto"/>
            </w:tcBorders>
            <w:shd w:val="clear" w:color="auto" w:fill="auto"/>
            <w:vAlign w:val="center"/>
            <w:hideMark/>
          </w:tcPr>
          <w:p w14:paraId="77530E8E" w14:textId="77777777" w:rsidR="00F63564" w:rsidRPr="00671063" w:rsidRDefault="00F63564" w:rsidP="00671063">
            <w:pPr>
              <w:spacing w:after="0"/>
              <w:ind w:firstLine="0"/>
              <w:jc w:val="right"/>
              <w:rPr>
                <w:rFonts w:eastAsia="Times New Roman"/>
                <w:color w:val="000000"/>
                <w:sz w:val="20"/>
                <w:szCs w:val="20"/>
              </w:rPr>
            </w:pPr>
            <w:r w:rsidRPr="00671063">
              <w:rPr>
                <w:rFonts w:eastAsia="Times New Roman"/>
                <w:color w:val="000000"/>
                <w:sz w:val="20"/>
                <w:szCs w:val="20"/>
              </w:rPr>
              <w:t>0.8%</w:t>
            </w:r>
          </w:p>
        </w:tc>
        <w:tc>
          <w:tcPr>
            <w:tcW w:w="900" w:type="dxa"/>
            <w:tcBorders>
              <w:top w:val="nil"/>
              <w:left w:val="nil"/>
              <w:bottom w:val="single" w:sz="8" w:space="0" w:color="auto"/>
              <w:right w:val="double" w:sz="6" w:space="0" w:color="auto"/>
            </w:tcBorders>
            <w:shd w:val="clear" w:color="auto" w:fill="auto"/>
            <w:vAlign w:val="center"/>
            <w:hideMark/>
          </w:tcPr>
          <w:p w14:paraId="48624C8E" w14:textId="77777777" w:rsidR="00F63564" w:rsidRPr="00671063" w:rsidRDefault="00F63564" w:rsidP="00671063">
            <w:pPr>
              <w:spacing w:after="0"/>
              <w:ind w:firstLine="0"/>
              <w:jc w:val="right"/>
              <w:rPr>
                <w:rFonts w:eastAsia="Times New Roman"/>
                <w:color w:val="000000"/>
                <w:sz w:val="20"/>
                <w:szCs w:val="20"/>
              </w:rPr>
            </w:pPr>
            <w:r w:rsidRPr="00671063">
              <w:rPr>
                <w:rFonts w:eastAsia="Times New Roman"/>
                <w:color w:val="000000"/>
                <w:sz w:val="20"/>
                <w:szCs w:val="20"/>
              </w:rPr>
              <w:t>1.0%</w:t>
            </w:r>
          </w:p>
        </w:tc>
        <w:tc>
          <w:tcPr>
            <w:tcW w:w="810" w:type="dxa"/>
            <w:vMerge/>
            <w:tcBorders>
              <w:left w:val="double" w:sz="6" w:space="0" w:color="auto"/>
              <w:bottom w:val="single" w:sz="8" w:space="0" w:color="000000"/>
              <w:right w:val="double" w:sz="6" w:space="0" w:color="auto"/>
            </w:tcBorders>
            <w:vAlign w:val="center"/>
            <w:hideMark/>
          </w:tcPr>
          <w:p w14:paraId="7E1FBDDF" w14:textId="77777777" w:rsidR="00F63564" w:rsidRPr="00671063" w:rsidRDefault="00F63564" w:rsidP="00671063">
            <w:pPr>
              <w:spacing w:after="0"/>
              <w:ind w:firstLine="0"/>
              <w:jc w:val="left"/>
              <w:rPr>
                <w:rFonts w:eastAsia="Times New Roman"/>
                <w:color w:val="000000"/>
                <w:sz w:val="20"/>
                <w:szCs w:val="20"/>
              </w:rPr>
            </w:pPr>
          </w:p>
        </w:tc>
      </w:tr>
      <w:tr w:rsidR="00F63564" w:rsidRPr="00671063" w14:paraId="00596000" w14:textId="77777777" w:rsidTr="009E4AD8">
        <w:trPr>
          <w:trHeight w:val="20"/>
          <w:jc w:val="center"/>
        </w:trPr>
        <w:tc>
          <w:tcPr>
            <w:tcW w:w="1867" w:type="dxa"/>
            <w:tcBorders>
              <w:top w:val="nil"/>
              <w:left w:val="double" w:sz="6" w:space="0" w:color="auto"/>
              <w:bottom w:val="double" w:sz="6" w:space="0" w:color="auto"/>
              <w:right w:val="double" w:sz="6" w:space="0" w:color="auto"/>
            </w:tcBorders>
            <w:shd w:val="clear" w:color="auto" w:fill="auto"/>
            <w:vAlign w:val="center"/>
            <w:hideMark/>
          </w:tcPr>
          <w:p w14:paraId="56933BCC" w14:textId="52F8F99D" w:rsidR="00F63564" w:rsidRPr="00671063" w:rsidRDefault="00F63564" w:rsidP="007804D1">
            <w:pPr>
              <w:spacing w:after="0"/>
              <w:ind w:firstLine="0"/>
              <w:jc w:val="left"/>
              <w:rPr>
                <w:rFonts w:eastAsia="Times New Roman"/>
                <w:color w:val="000000"/>
                <w:sz w:val="20"/>
                <w:szCs w:val="20"/>
              </w:rPr>
            </w:pPr>
            <w:r w:rsidRPr="00671063">
              <w:rPr>
                <w:rFonts w:eastAsia="Times New Roman"/>
                <w:color w:val="000000"/>
                <w:sz w:val="20"/>
                <w:szCs w:val="20"/>
              </w:rPr>
              <w:t xml:space="preserve">  </w:t>
            </w:r>
            <w:r>
              <w:rPr>
                <w:rFonts w:eastAsia="Times New Roman"/>
                <w:color w:val="000000"/>
                <w:sz w:val="20"/>
                <w:szCs w:val="20"/>
              </w:rPr>
              <w:t>Yes</w:t>
            </w:r>
          </w:p>
        </w:tc>
        <w:tc>
          <w:tcPr>
            <w:tcW w:w="734" w:type="dxa"/>
            <w:tcBorders>
              <w:top w:val="nil"/>
              <w:left w:val="nil"/>
              <w:bottom w:val="double" w:sz="6" w:space="0" w:color="auto"/>
              <w:right w:val="single" w:sz="8" w:space="0" w:color="auto"/>
            </w:tcBorders>
            <w:shd w:val="clear" w:color="auto" w:fill="auto"/>
            <w:vAlign w:val="center"/>
            <w:hideMark/>
          </w:tcPr>
          <w:p w14:paraId="6969F7F2" w14:textId="50D83085" w:rsidR="00F63564" w:rsidRPr="00671063" w:rsidRDefault="00F63564" w:rsidP="00671063">
            <w:pPr>
              <w:spacing w:after="0"/>
              <w:ind w:firstLine="0"/>
              <w:jc w:val="right"/>
              <w:rPr>
                <w:rFonts w:eastAsia="Times New Roman"/>
                <w:color w:val="000000"/>
                <w:sz w:val="20"/>
                <w:szCs w:val="20"/>
              </w:rPr>
            </w:pPr>
            <w:r w:rsidRPr="00671063">
              <w:rPr>
                <w:rFonts w:eastAsia="Times New Roman"/>
                <w:color w:val="000000"/>
                <w:sz w:val="20"/>
                <w:szCs w:val="20"/>
              </w:rPr>
              <w:t>92.3%</w:t>
            </w:r>
          </w:p>
        </w:tc>
        <w:tc>
          <w:tcPr>
            <w:tcW w:w="796" w:type="dxa"/>
            <w:tcBorders>
              <w:top w:val="single" w:sz="8" w:space="0" w:color="auto"/>
              <w:left w:val="nil"/>
              <w:bottom w:val="double" w:sz="6" w:space="0" w:color="auto"/>
              <w:right w:val="single" w:sz="8" w:space="0" w:color="000000"/>
            </w:tcBorders>
            <w:shd w:val="clear" w:color="auto" w:fill="auto"/>
            <w:vAlign w:val="center"/>
            <w:hideMark/>
          </w:tcPr>
          <w:p w14:paraId="2159DBE7" w14:textId="64A3C6D9" w:rsidR="00F63564" w:rsidRPr="00671063" w:rsidRDefault="00F63564" w:rsidP="007804D1">
            <w:pPr>
              <w:spacing w:after="0"/>
              <w:ind w:firstLine="0"/>
              <w:jc w:val="right"/>
              <w:rPr>
                <w:rFonts w:eastAsia="Times New Roman"/>
                <w:color w:val="000000"/>
                <w:sz w:val="20"/>
                <w:szCs w:val="20"/>
              </w:rPr>
            </w:pPr>
            <w:r w:rsidRPr="00671063">
              <w:rPr>
                <w:rFonts w:eastAsia="Times New Roman"/>
                <w:color w:val="000000"/>
                <w:sz w:val="20"/>
                <w:szCs w:val="20"/>
              </w:rPr>
              <w:t>92.9%</w:t>
            </w:r>
          </w:p>
        </w:tc>
        <w:tc>
          <w:tcPr>
            <w:tcW w:w="810" w:type="dxa"/>
            <w:gridSpan w:val="3"/>
            <w:tcBorders>
              <w:top w:val="single" w:sz="8" w:space="0" w:color="auto"/>
              <w:left w:val="nil"/>
              <w:bottom w:val="double" w:sz="6" w:space="0" w:color="auto"/>
              <w:right w:val="double" w:sz="6" w:space="0" w:color="000000"/>
            </w:tcBorders>
            <w:shd w:val="clear" w:color="auto" w:fill="auto"/>
            <w:vAlign w:val="center"/>
            <w:hideMark/>
          </w:tcPr>
          <w:p w14:paraId="0F55F05B" w14:textId="2344E822" w:rsidR="00F63564" w:rsidRPr="00671063" w:rsidRDefault="00F63564" w:rsidP="007804D1">
            <w:pPr>
              <w:spacing w:after="0"/>
              <w:ind w:firstLine="0"/>
              <w:jc w:val="right"/>
              <w:rPr>
                <w:rFonts w:eastAsia="Times New Roman"/>
                <w:color w:val="000000"/>
                <w:sz w:val="20"/>
                <w:szCs w:val="20"/>
              </w:rPr>
            </w:pPr>
            <w:r w:rsidRPr="00671063">
              <w:rPr>
                <w:rFonts w:eastAsia="Times New Roman"/>
                <w:color w:val="000000"/>
                <w:sz w:val="20"/>
                <w:szCs w:val="20"/>
              </w:rPr>
              <w:t>92.7%</w:t>
            </w:r>
          </w:p>
        </w:tc>
        <w:tc>
          <w:tcPr>
            <w:tcW w:w="810" w:type="dxa"/>
            <w:gridSpan w:val="5"/>
            <w:tcBorders>
              <w:top w:val="nil"/>
              <w:left w:val="nil"/>
              <w:bottom w:val="double" w:sz="6" w:space="0" w:color="auto"/>
              <w:right w:val="double" w:sz="6" w:space="0" w:color="auto"/>
            </w:tcBorders>
            <w:shd w:val="clear" w:color="auto" w:fill="auto"/>
            <w:vAlign w:val="center"/>
            <w:hideMark/>
          </w:tcPr>
          <w:p w14:paraId="6EF298D0" w14:textId="77777777" w:rsidR="00F63564" w:rsidRPr="00671063" w:rsidRDefault="00F63564" w:rsidP="00671063">
            <w:pPr>
              <w:spacing w:after="0"/>
              <w:ind w:firstLine="0"/>
              <w:jc w:val="right"/>
              <w:rPr>
                <w:rFonts w:eastAsia="Times New Roman"/>
                <w:b/>
                <w:bCs/>
                <w:color w:val="000000"/>
                <w:sz w:val="20"/>
                <w:szCs w:val="20"/>
              </w:rPr>
            </w:pPr>
            <w:r w:rsidRPr="00671063">
              <w:rPr>
                <w:rFonts w:eastAsia="Times New Roman"/>
                <w:b/>
                <w:bCs/>
                <w:color w:val="000000"/>
                <w:sz w:val="20"/>
                <w:szCs w:val="20"/>
              </w:rPr>
              <w:t>---</w:t>
            </w:r>
          </w:p>
        </w:tc>
        <w:tc>
          <w:tcPr>
            <w:tcW w:w="2799" w:type="dxa"/>
            <w:gridSpan w:val="2"/>
            <w:tcBorders>
              <w:top w:val="nil"/>
              <w:left w:val="nil"/>
              <w:bottom w:val="single" w:sz="8" w:space="0" w:color="auto"/>
              <w:right w:val="double" w:sz="6" w:space="0" w:color="auto"/>
            </w:tcBorders>
            <w:shd w:val="clear" w:color="auto" w:fill="auto"/>
            <w:vAlign w:val="center"/>
            <w:hideMark/>
          </w:tcPr>
          <w:p w14:paraId="6BDD67E2" w14:textId="77777777" w:rsidR="00F63564" w:rsidRPr="00671063" w:rsidRDefault="00F63564" w:rsidP="00671063">
            <w:pPr>
              <w:spacing w:after="0"/>
              <w:ind w:firstLine="0"/>
              <w:jc w:val="left"/>
              <w:rPr>
                <w:rFonts w:eastAsia="Times New Roman"/>
                <w:color w:val="000000"/>
                <w:sz w:val="20"/>
                <w:szCs w:val="20"/>
              </w:rPr>
            </w:pPr>
            <w:r w:rsidRPr="00671063">
              <w:rPr>
                <w:rFonts w:eastAsia="Times New Roman"/>
                <w:color w:val="000000"/>
                <w:sz w:val="20"/>
                <w:szCs w:val="20"/>
              </w:rPr>
              <w:t xml:space="preserve">  Homemaker</w:t>
            </w:r>
          </w:p>
        </w:tc>
        <w:tc>
          <w:tcPr>
            <w:tcW w:w="801" w:type="dxa"/>
            <w:tcBorders>
              <w:top w:val="nil"/>
              <w:left w:val="nil"/>
              <w:bottom w:val="single" w:sz="8" w:space="0" w:color="auto"/>
              <w:right w:val="single" w:sz="8" w:space="0" w:color="auto"/>
            </w:tcBorders>
            <w:shd w:val="clear" w:color="auto" w:fill="auto"/>
            <w:vAlign w:val="center"/>
            <w:hideMark/>
          </w:tcPr>
          <w:p w14:paraId="27E740EA" w14:textId="77777777" w:rsidR="00F63564" w:rsidRPr="00671063" w:rsidRDefault="00F63564" w:rsidP="00671063">
            <w:pPr>
              <w:spacing w:after="0"/>
              <w:ind w:firstLine="0"/>
              <w:jc w:val="right"/>
              <w:rPr>
                <w:rFonts w:eastAsia="Times New Roman"/>
                <w:color w:val="000000"/>
                <w:sz w:val="20"/>
                <w:szCs w:val="20"/>
              </w:rPr>
            </w:pPr>
            <w:r w:rsidRPr="00671063">
              <w:rPr>
                <w:rFonts w:eastAsia="Times New Roman"/>
                <w:color w:val="000000"/>
                <w:sz w:val="20"/>
                <w:szCs w:val="20"/>
              </w:rPr>
              <w:t>5.9%</w:t>
            </w:r>
          </w:p>
        </w:tc>
        <w:tc>
          <w:tcPr>
            <w:tcW w:w="810" w:type="dxa"/>
            <w:tcBorders>
              <w:top w:val="nil"/>
              <w:left w:val="nil"/>
              <w:bottom w:val="single" w:sz="8" w:space="0" w:color="auto"/>
              <w:right w:val="single" w:sz="8" w:space="0" w:color="auto"/>
            </w:tcBorders>
            <w:shd w:val="clear" w:color="auto" w:fill="auto"/>
            <w:vAlign w:val="center"/>
            <w:hideMark/>
          </w:tcPr>
          <w:p w14:paraId="6DB21591" w14:textId="77777777" w:rsidR="00F63564" w:rsidRPr="00671063" w:rsidRDefault="00F63564" w:rsidP="00671063">
            <w:pPr>
              <w:spacing w:after="0"/>
              <w:ind w:firstLine="0"/>
              <w:jc w:val="right"/>
              <w:rPr>
                <w:rFonts w:eastAsia="Times New Roman"/>
                <w:color w:val="000000"/>
                <w:sz w:val="20"/>
                <w:szCs w:val="20"/>
              </w:rPr>
            </w:pPr>
            <w:r w:rsidRPr="00671063">
              <w:rPr>
                <w:rFonts w:eastAsia="Times New Roman"/>
                <w:color w:val="000000"/>
                <w:sz w:val="20"/>
                <w:szCs w:val="20"/>
              </w:rPr>
              <w:t>5.1%</w:t>
            </w:r>
          </w:p>
        </w:tc>
        <w:tc>
          <w:tcPr>
            <w:tcW w:w="900" w:type="dxa"/>
            <w:tcBorders>
              <w:top w:val="nil"/>
              <w:left w:val="nil"/>
              <w:bottom w:val="single" w:sz="8" w:space="0" w:color="auto"/>
              <w:right w:val="double" w:sz="6" w:space="0" w:color="auto"/>
            </w:tcBorders>
            <w:shd w:val="clear" w:color="auto" w:fill="auto"/>
            <w:vAlign w:val="center"/>
            <w:hideMark/>
          </w:tcPr>
          <w:p w14:paraId="63F23D3B" w14:textId="77777777" w:rsidR="00F63564" w:rsidRPr="00671063" w:rsidRDefault="00F63564" w:rsidP="00671063">
            <w:pPr>
              <w:spacing w:after="0"/>
              <w:ind w:firstLine="0"/>
              <w:jc w:val="right"/>
              <w:rPr>
                <w:rFonts w:eastAsia="Times New Roman"/>
                <w:color w:val="000000"/>
                <w:sz w:val="20"/>
                <w:szCs w:val="20"/>
              </w:rPr>
            </w:pPr>
            <w:r w:rsidRPr="00671063">
              <w:rPr>
                <w:rFonts w:eastAsia="Times New Roman"/>
                <w:color w:val="000000"/>
                <w:sz w:val="20"/>
                <w:szCs w:val="20"/>
              </w:rPr>
              <w:t>5.5%</w:t>
            </w:r>
          </w:p>
        </w:tc>
        <w:tc>
          <w:tcPr>
            <w:tcW w:w="810" w:type="dxa"/>
            <w:vMerge w:val="restart"/>
            <w:tcBorders>
              <w:top w:val="nil"/>
              <w:left w:val="double" w:sz="6" w:space="0" w:color="auto"/>
              <w:right w:val="double" w:sz="6" w:space="0" w:color="auto"/>
            </w:tcBorders>
            <w:shd w:val="clear" w:color="auto" w:fill="auto"/>
            <w:vAlign w:val="center"/>
            <w:hideMark/>
          </w:tcPr>
          <w:p w14:paraId="5F23ED74" w14:textId="77777777" w:rsidR="00F63564" w:rsidRPr="00671063" w:rsidRDefault="00F63564" w:rsidP="00671063">
            <w:pPr>
              <w:spacing w:after="0"/>
              <w:ind w:firstLine="0"/>
              <w:jc w:val="right"/>
              <w:rPr>
                <w:rFonts w:eastAsia="Times New Roman"/>
                <w:color w:val="000000"/>
                <w:sz w:val="20"/>
                <w:szCs w:val="20"/>
              </w:rPr>
            </w:pPr>
            <w:r w:rsidRPr="00671063">
              <w:rPr>
                <w:rFonts w:eastAsia="Times New Roman"/>
                <w:color w:val="000000"/>
                <w:sz w:val="20"/>
                <w:szCs w:val="20"/>
              </w:rPr>
              <w:t>25.9%</w:t>
            </w:r>
          </w:p>
        </w:tc>
      </w:tr>
      <w:tr w:rsidR="00F63564" w:rsidRPr="00671063" w14:paraId="7D3733EC" w14:textId="77777777" w:rsidTr="009E4AD8">
        <w:trPr>
          <w:trHeight w:val="20"/>
          <w:jc w:val="center"/>
        </w:trPr>
        <w:tc>
          <w:tcPr>
            <w:tcW w:w="3507" w:type="dxa"/>
            <w:gridSpan w:val="4"/>
            <w:tcBorders>
              <w:top w:val="double" w:sz="6" w:space="0" w:color="auto"/>
              <w:left w:val="double" w:sz="6" w:space="0" w:color="auto"/>
              <w:bottom w:val="single" w:sz="8" w:space="0" w:color="auto"/>
              <w:right w:val="nil"/>
            </w:tcBorders>
            <w:shd w:val="clear" w:color="000000" w:fill="FFFFFF"/>
            <w:vAlign w:val="center"/>
            <w:hideMark/>
          </w:tcPr>
          <w:p w14:paraId="7FC47FD7" w14:textId="16A3C9FF" w:rsidR="00F63564" w:rsidRPr="00671063" w:rsidRDefault="00F63564" w:rsidP="00027260">
            <w:pPr>
              <w:spacing w:after="0"/>
              <w:ind w:firstLine="0"/>
              <w:jc w:val="left"/>
              <w:rPr>
                <w:rFonts w:eastAsia="Times New Roman"/>
                <w:b/>
                <w:bCs/>
                <w:color w:val="000000"/>
                <w:sz w:val="20"/>
                <w:szCs w:val="20"/>
              </w:rPr>
            </w:pPr>
            <w:r w:rsidRPr="00027260">
              <w:rPr>
                <w:rFonts w:eastAsia="Times New Roman"/>
                <w:b/>
                <w:bCs/>
                <w:color w:val="000000"/>
                <w:sz w:val="20"/>
                <w:szCs w:val="20"/>
              </w:rPr>
              <w:t>Household</w:t>
            </w:r>
            <w:r>
              <w:rPr>
                <w:rFonts w:eastAsia="Times New Roman"/>
                <w:b/>
                <w:bCs/>
                <w:color w:val="000000"/>
                <w:sz w:val="20"/>
                <w:szCs w:val="20"/>
              </w:rPr>
              <w:t xml:space="preserve"> v</w:t>
            </w:r>
            <w:r w:rsidRPr="00671063">
              <w:rPr>
                <w:rFonts w:eastAsia="Times New Roman"/>
                <w:b/>
                <w:bCs/>
                <w:color w:val="000000"/>
                <w:sz w:val="20"/>
                <w:szCs w:val="20"/>
              </w:rPr>
              <w:t>ehicle</w:t>
            </w:r>
            <w:r>
              <w:rPr>
                <w:rFonts w:eastAsia="Times New Roman"/>
                <w:b/>
                <w:bCs/>
                <w:color w:val="000000"/>
                <w:sz w:val="20"/>
                <w:szCs w:val="20"/>
              </w:rPr>
              <w:t xml:space="preserve"> ownership</w:t>
            </w:r>
          </w:p>
        </w:tc>
        <w:tc>
          <w:tcPr>
            <w:tcW w:w="794" w:type="dxa"/>
            <w:gridSpan w:val="3"/>
            <w:tcBorders>
              <w:top w:val="double" w:sz="6" w:space="0" w:color="auto"/>
              <w:left w:val="nil"/>
              <w:bottom w:val="single" w:sz="8" w:space="0" w:color="auto"/>
              <w:right w:val="nil"/>
            </w:tcBorders>
            <w:shd w:val="clear" w:color="000000" w:fill="FFFFFF"/>
            <w:vAlign w:val="center"/>
            <w:hideMark/>
          </w:tcPr>
          <w:p w14:paraId="306962E1" w14:textId="77777777" w:rsidR="00F63564" w:rsidRPr="00671063" w:rsidRDefault="00F63564" w:rsidP="00671063">
            <w:pPr>
              <w:spacing w:after="0"/>
              <w:ind w:firstLine="0"/>
              <w:jc w:val="left"/>
              <w:rPr>
                <w:rFonts w:eastAsia="Times New Roman"/>
                <w:color w:val="000000"/>
                <w:sz w:val="20"/>
                <w:szCs w:val="20"/>
              </w:rPr>
            </w:pPr>
            <w:r w:rsidRPr="00671063">
              <w:rPr>
                <w:rFonts w:eastAsia="Times New Roman"/>
                <w:color w:val="000000"/>
                <w:sz w:val="20"/>
                <w:szCs w:val="20"/>
              </w:rPr>
              <w:t> </w:t>
            </w:r>
          </w:p>
        </w:tc>
        <w:tc>
          <w:tcPr>
            <w:tcW w:w="236" w:type="dxa"/>
            <w:gridSpan w:val="2"/>
            <w:tcBorders>
              <w:top w:val="nil"/>
              <w:left w:val="nil"/>
              <w:bottom w:val="single" w:sz="8" w:space="0" w:color="auto"/>
              <w:right w:val="nil"/>
            </w:tcBorders>
            <w:shd w:val="clear" w:color="000000" w:fill="FFFFFF"/>
            <w:vAlign w:val="center"/>
            <w:hideMark/>
          </w:tcPr>
          <w:p w14:paraId="560318B2" w14:textId="77777777" w:rsidR="00F63564" w:rsidRPr="00671063" w:rsidRDefault="00F63564" w:rsidP="00671063">
            <w:pPr>
              <w:spacing w:after="0"/>
              <w:ind w:firstLine="0"/>
              <w:jc w:val="left"/>
              <w:rPr>
                <w:rFonts w:eastAsia="Times New Roman"/>
                <w:color w:val="000000"/>
                <w:sz w:val="20"/>
                <w:szCs w:val="20"/>
              </w:rPr>
            </w:pPr>
            <w:r w:rsidRPr="00671063">
              <w:rPr>
                <w:rFonts w:eastAsia="Times New Roman"/>
                <w:color w:val="000000"/>
                <w:sz w:val="20"/>
                <w:szCs w:val="20"/>
              </w:rPr>
              <w:t> </w:t>
            </w:r>
          </w:p>
        </w:tc>
        <w:tc>
          <w:tcPr>
            <w:tcW w:w="480" w:type="dxa"/>
            <w:gridSpan w:val="2"/>
            <w:tcBorders>
              <w:top w:val="nil"/>
              <w:left w:val="nil"/>
              <w:bottom w:val="single" w:sz="8" w:space="0" w:color="auto"/>
              <w:right w:val="double" w:sz="6" w:space="0" w:color="auto"/>
            </w:tcBorders>
            <w:shd w:val="clear" w:color="auto" w:fill="auto"/>
            <w:vAlign w:val="center"/>
            <w:hideMark/>
          </w:tcPr>
          <w:p w14:paraId="4FD73F07" w14:textId="77777777" w:rsidR="00F63564" w:rsidRPr="00671063" w:rsidRDefault="00F63564" w:rsidP="00671063">
            <w:pPr>
              <w:spacing w:after="0"/>
              <w:ind w:firstLine="0"/>
              <w:jc w:val="right"/>
              <w:rPr>
                <w:rFonts w:eastAsia="Times New Roman"/>
                <w:color w:val="000000"/>
                <w:sz w:val="20"/>
                <w:szCs w:val="20"/>
              </w:rPr>
            </w:pPr>
            <w:r w:rsidRPr="00671063">
              <w:rPr>
                <w:rFonts w:eastAsia="Times New Roman"/>
                <w:color w:val="000000"/>
                <w:sz w:val="20"/>
                <w:szCs w:val="20"/>
              </w:rPr>
              <w:t> </w:t>
            </w:r>
          </w:p>
        </w:tc>
        <w:tc>
          <w:tcPr>
            <w:tcW w:w="2790" w:type="dxa"/>
            <w:tcBorders>
              <w:top w:val="nil"/>
              <w:left w:val="nil"/>
              <w:bottom w:val="single" w:sz="8" w:space="0" w:color="auto"/>
              <w:right w:val="double" w:sz="6" w:space="0" w:color="auto"/>
            </w:tcBorders>
            <w:shd w:val="clear" w:color="auto" w:fill="auto"/>
            <w:vAlign w:val="center"/>
            <w:hideMark/>
          </w:tcPr>
          <w:p w14:paraId="0F99CBA2" w14:textId="77777777" w:rsidR="00F63564" w:rsidRPr="00671063" w:rsidRDefault="00F63564" w:rsidP="00671063">
            <w:pPr>
              <w:spacing w:after="0"/>
              <w:ind w:firstLine="0"/>
              <w:jc w:val="left"/>
              <w:rPr>
                <w:rFonts w:eastAsia="Times New Roman"/>
                <w:color w:val="000000"/>
                <w:sz w:val="20"/>
                <w:szCs w:val="20"/>
              </w:rPr>
            </w:pPr>
            <w:r w:rsidRPr="00671063">
              <w:rPr>
                <w:rFonts w:eastAsia="Times New Roman"/>
                <w:color w:val="000000"/>
                <w:sz w:val="20"/>
                <w:szCs w:val="20"/>
              </w:rPr>
              <w:t xml:space="preserve">  Retired</w:t>
            </w:r>
          </w:p>
        </w:tc>
        <w:tc>
          <w:tcPr>
            <w:tcW w:w="810" w:type="dxa"/>
            <w:gridSpan w:val="2"/>
            <w:tcBorders>
              <w:top w:val="nil"/>
              <w:left w:val="nil"/>
              <w:bottom w:val="single" w:sz="8" w:space="0" w:color="auto"/>
              <w:right w:val="single" w:sz="8" w:space="0" w:color="auto"/>
            </w:tcBorders>
            <w:shd w:val="clear" w:color="auto" w:fill="auto"/>
            <w:vAlign w:val="center"/>
            <w:hideMark/>
          </w:tcPr>
          <w:p w14:paraId="1A25C265" w14:textId="77777777" w:rsidR="00F63564" w:rsidRPr="00671063" w:rsidRDefault="00F63564" w:rsidP="00671063">
            <w:pPr>
              <w:spacing w:after="0"/>
              <w:ind w:firstLine="0"/>
              <w:jc w:val="right"/>
              <w:rPr>
                <w:rFonts w:eastAsia="Times New Roman"/>
                <w:color w:val="000000"/>
                <w:sz w:val="20"/>
                <w:szCs w:val="20"/>
              </w:rPr>
            </w:pPr>
            <w:r w:rsidRPr="00671063">
              <w:rPr>
                <w:rFonts w:eastAsia="Times New Roman"/>
                <w:color w:val="000000"/>
                <w:sz w:val="20"/>
                <w:szCs w:val="20"/>
              </w:rPr>
              <w:t>23.8%</w:t>
            </w:r>
          </w:p>
        </w:tc>
        <w:tc>
          <w:tcPr>
            <w:tcW w:w="810" w:type="dxa"/>
            <w:tcBorders>
              <w:top w:val="nil"/>
              <w:left w:val="nil"/>
              <w:bottom w:val="single" w:sz="8" w:space="0" w:color="auto"/>
              <w:right w:val="single" w:sz="8" w:space="0" w:color="auto"/>
            </w:tcBorders>
            <w:shd w:val="clear" w:color="auto" w:fill="auto"/>
            <w:vAlign w:val="center"/>
            <w:hideMark/>
          </w:tcPr>
          <w:p w14:paraId="359F6D8A" w14:textId="77777777" w:rsidR="00F63564" w:rsidRPr="00671063" w:rsidRDefault="00F63564" w:rsidP="00671063">
            <w:pPr>
              <w:spacing w:after="0"/>
              <w:ind w:firstLine="0"/>
              <w:jc w:val="right"/>
              <w:rPr>
                <w:rFonts w:eastAsia="Times New Roman"/>
                <w:color w:val="000000"/>
                <w:sz w:val="20"/>
                <w:szCs w:val="20"/>
              </w:rPr>
            </w:pPr>
            <w:r w:rsidRPr="00671063">
              <w:rPr>
                <w:rFonts w:eastAsia="Times New Roman"/>
                <w:color w:val="000000"/>
                <w:sz w:val="20"/>
                <w:szCs w:val="20"/>
              </w:rPr>
              <w:t>13.9%</w:t>
            </w:r>
          </w:p>
        </w:tc>
        <w:tc>
          <w:tcPr>
            <w:tcW w:w="900" w:type="dxa"/>
            <w:tcBorders>
              <w:top w:val="nil"/>
              <w:left w:val="nil"/>
              <w:bottom w:val="single" w:sz="8" w:space="0" w:color="auto"/>
              <w:right w:val="double" w:sz="6" w:space="0" w:color="auto"/>
            </w:tcBorders>
            <w:shd w:val="clear" w:color="auto" w:fill="auto"/>
            <w:vAlign w:val="center"/>
            <w:hideMark/>
          </w:tcPr>
          <w:p w14:paraId="403A2099" w14:textId="77777777" w:rsidR="00F63564" w:rsidRPr="00671063" w:rsidRDefault="00F63564" w:rsidP="00671063">
            <w:pPr>
              <w:spacing w:after="0"/>
              <w:ind w:firstLine="0"/>
              <w:jc w:val="right"/>
              <w:rPr>
                <w:rFonts w:eastAsia="Times New Roman"/>
                <w:color w:val="000000"/>
                <w:sz w:val="20"/>
                <w:szCs w:val="20"/>
              </w:rPr>
            </w:pPr>
            <w:r w:rsidRPr="00671063">
              <w:rPr>
                <w:rFonts w:eastAsia="Times New Roman"/>
                <w:color w:val="000000"/>
                <w:sz w:val="20"/>
                <w:szCs w:val="20"/>
              </w:rPr>
              <w:t>18.3%</w:t>
            </w:r>
          </w:p>
        </w:tc>
        <w:tc>
          <w:tcPr>
            <w:tcW w:w="810" w:type="dxa"/>
            <w:vMerge/>
            <w:tcBorders>
              <w:left w:val="double" w:sz="6" w:space="0" w:color="auto"/>
              <w:right w:val="double" w:sz="6" w:space="0" w:color="auto"/>
            </w:tcBorders>
            <w:vAlign w:val="center"/>
            <w:hideMark/>
          </w:tcPr>
          <w:p w14:paraId="110162C7" w14:textId="77777777" w:rsidR="00F63564" w:rsidRPr="00671063" w:rsidRDefault="00F63564" w:rsidP="00671063">
            <w:pPr>
              <w:spacing w:after="0"/>
              <w:ind w:firstLine="0"/>
              <w:jc w:val="left"/>
              <w:rPr>
                <w:rFonts w:eastAsia="Times New Roman"/>
                <w:color w:val="000000"/>
                <w:sz w:val="20"/>
                <w:szCs w:val="20"/>
              </w:rPr>
            </w:pPr>
          </w:p>
        </w:tc>
      </w:tr>
      <w:tr w:rsidR="00F63564" w:rsidRPr="00671063" w14:paraId="121A1005" w14:textId="77777777" w:rsidTr="009E4AD8">
        <w:trPr>
          <w:trHeight w:val="20"/>
          <w:jc w:val="center"/>
        </w:trPr>
        <w:tc>
          <w:tcPr>
            <w:tcW w:w="1867" w:type="dxa"/>
            <w:tcBorders>
              <w:top w:val="nil"/>
              <w:left w:val="double" w:sz="6" w:space="0" w:color="auto"/>
              <w:bottom w:val="single" w:sz="8" w:space="0" w:color="auto"/>
              <w:right w:val="double" w:sz="6" w:space="0" w:color="auto"/>
            </w:tcBorders>
            <w:shd w:val="clear" w:color="auto" w:fill="auto"/>
            <w:vAlign w:val="center"/>
            <w:hideMark/>
          </w:tcPr>
          <w:p w14:paraId="49CFD773" w14:textId="77777777" w:rsidR="00F63564" w:rsidRPr="00671063" w:rsidRDefault="00F63564" w:rsidP="00671063">
            <w:pPr>
              <w:spacing w:after="0"/>
              <w:ind w:firstLine="0"/>
              <w:jc w:val="left"/>
              <w:rPr>
                <w:rFonts w:eastAsia="Times New Roman"/>
                <w:color w:val="000000"/>
                <w:sz w:val="20"/>
                <w:szCs w:val="20"/>
              </w:rPr>
            </w:pPr>
            <w:r w:rsidRPr="00671063">
              <w:rPr>
                <w:rFonts w:eastAsia="Times New Roman"/>
                <w:color w:val="000000"/>
                <w:sz w:val="20"/>
                <w:szCs w:val="20"/>
              </w:rPr>
              <w:t xml:space="preserve">  0 vehicles</w:t>
            </w:r>
          </w:p>
        </w:tc>
        <w:tc>
          <w:tcPr>
            <w:tcW w:w="734" w:type="dxa"/>
            <w:tcBorders>
              <w:top w:val="nil"/>
              <w:left w:val="nil"/>
              <w:bottom w:val="single" w:sz="8" w:space="0" w:color="auto"/>
              <w:right w:val="single" w:sz="8" w:space="0" w:color="auto"/>
            </w:tcBorders>
            <w:shd w:val="clear" w:color="auto" w:fill="auto"/>
            <w:vAlign w:val="center"/>
            <w:hideMark/>
          </w:tcPr>
          <w:p w14:paraId="45893437" w14:textId="77777777" w:rsidR="00F63564" w:rsidRPr="00671063" w:rsidRDefault="00F63564" w:rsidP="00671063">
            <w:pPr>
              <w:spacing w:after="0"/>
              <w:ind w:firstLine="0"/>
              <w:jc w:val="right"/>
              <w:rPr>
                <w:rFonts w:eastAsia="Times New Roman"/>
                <w:color w:val="000000"/>
                <w:sz w:val="20"/>
                <w:szCs w:val="20"/>
              </w:rPr>
            </w:pPr>
            <w:r w:rsidRPr="00671063">
              <w:rPr>
                <w:rFonts w:eastAsia="Times New Roman"/>
                <w:color w:val="000000"/>
                <w:sz w:val="20"/>
                <w:szCs w:val="20"/>
              </w:rPr>
              <w:t>9.5%</w:t>
            </w:r>
          </w:p>
        </w:tc>
        <w:tc>
          <w:tcPr>
            <w:tcW w:w="796" w:type="dxa"/>
            <w:tcBorders>
              <w:top w:val="single" w:sz="8" w:space="0" w:color="auto"/>
              <w:left w:val="nil"/>
              <w:bottom w:val="single" w:sz="8" w:space="0" w:color="auto"/>
              <w:right w:val="single" w:sz="8" w:space="0" w:color="000000"/>
            </w:tcBorders>
            <w:shd w:val="clear" w:color="auto" w:fill="auto"/>
            <w:vAlign w:val="center"/>
            <w:hideMark/>
          </w:tcPr>
          <w:p w14:paraId="3BA4E8DD" w14:textId="77777777" w:rsidR="00F63564" w:rsidRPr="00671063" w:rsidRDefault="00F63564" w:rsidP="00671063">
            <w:pPr>
              <w:spacing w:after="0"/>
              <w:ind w:firstLine="0"/>
              <w:jc w:val="right"/>
              <w:rPr>
                <w:rFonts w:eastAsia="Times New Roman"/>
                <w:color w:val="000000"/>
                <w:sz w:val="20"/>
                <w:szCs w:val="20"/>
              </w:rPr>
            </w:pPr>
            <w:r w:rsidRPr="00671063">
              <w:rPr>
                <w:rFonts w:eastAsia="Times New Roman"/>
                <w:color w:val="000000"/>
                <w:sz w:val="20"/>
                <w:szCs w:val="20"/>
              </w:rPr>
              <w:t>12.5%</w:t>
            </w:r>
          </w:p>
        </w:tc>
        <w:tc>
          <w:tcPr>
            <w:tcW w:w="810" w:type="dxa"/>
            <w:gridSpan w:val="3"/>
            <w:tcBorders>
              <w:top w:val="single" w:sz="8" w:space="0" w:color="auto"/>
              <w:left w:val="nil"/>
              <w:bottom w:val="single" w:sz="8" w:space="0" w:color="auto"/>
              <w:right w:val="double" w:sz="6" w:space="0" w:color="000000"/>
            </w:tcBorders>
            <w:shd w:val="clear" w:color="auto" w:fill="auto"/>
            <w:vAlign w:val="center"/>
            <w:hideMark/>
          </w:tcPr>
          <w:p w14:paraId="408639AE" w14:textId="77777777" w:rsidR="00F63564" w:rsidRPr="00671063" w:rsidRDefault="00F63564" w:rsidP="00671063">
            <w:pPr>
              <w:spacing w:after="0"/>
              <w:ind w:firstLine="0"/>
              <w:jc w:val="right"/>
              <w:rPr>
                <w:rFonts w:eastAsia="Times New Roman"/>
                <w:color w:val="000000"/>
                <w:sz w:val="20"/>
                <w:szCs w:val="20"/>
              </w:rPr>
            </w:pPr>
            <w:r w:rsidRPr="00671063">
              <w:rPr>
                <w:rFonts w:eastAsia="Times New Roman"/>
                <w:color w:val="000000"/>
                <w:sz w:val="20"/>
                <w:szCs w:val="20"/>
              </w:rPr>
              <w:t>11.2%</w:t>
            </w:r>
          </w:p>
        </w:tc>
        <w:tc>
          <w:tcPr>
            <w:tcW w:w="810" w:type="dxa"/>
            <w:gridSpan w:val="5"/>
            <w:tcBorders>
              <w:top w:val="nil"/>
              <w:left w:val="nil"/>
              <w:bottom w:val="single" w:sz="8" w:space="0" w:color="auto"/>
              <w:right w:val="double" w:sz="6" w:space="0" w:color="auto"/>
            </w:tcBorders>
            <w:shd w:val="clear" w:color="auto" w:fill="auto"/>
            <w:vAlign w:val="center"/>
            <w:hideMark/>
          </w:tcPr>
          <w:p w14:paraId="785FA86A" w14:textId="77777777" w:rsidR="00F63564" w:rsidRPr="00671063" w:rsidRDefault="00F63564" w:rsidP="00671063">
            <w:pPr>
              <w:spacing w:after="0"/>
              <w:ind w:firstLine="0"/>
              <w:jc w:val="right"/>
              <w:rPr>
                <w:rFonts w:eastAsia="Times New Roman"/>
                <w:color w:val="000000"/>
                <w:sz w:val="20"/>
                <w:szCs w:val="20"/>
              </w:rPr>
            </w:pPr>
            <w:r w:rsidRPr="00671063">
              <w:rPr>
                <w:rFonts w:eastAsia="Times New Roman"/>
                <w:color w:val="000000"/>
                <w:sz w:val="20"/>
                <w:szCs w:val="20"/>
              </w:rPr>
              <w:t>7.5%</w:t>
            </w:r>
          </w:p>
        </w:tc>
        <w:tc>
          <w:tcPr>
            <w:tcW w:w="2799" w:type="dxa"/>
            <w:gridSpan w:val="2"/>
            <w:tcBorders>
              <w:top w:val="nil"/>
              <w:left w:val="nil"/>
              <w:bottom w:val="double" w:sz="6" w:space="0" w:color="auto"/>
              <w:right w:val="double" w:sz="6" w:space="0" w:color="auto"/>
            </w:tcBorders>
            <w:shd w:val="clear" w:color="auto" w:fill="auto"/>
            <w:vAlign w:val="center"/>
            <w:hideMark/>
          </w:tcPr>
          <w:p w14:paraId="08CCF368" w14:textId="77777777" w:rsidR="00F63564" w:rsidRPr="00671063" w:rsidRDefault="00F63564" w:rsidP="00671063">
            <w:pPr>
              <w:spacing w:after="0"/>
              <w:ind w:firstLine="0"/>
              <w:jc w:val="left"/>
              <w:rPr>
                <w:rFonts w:eastAsia="Times New Roman"/>
                <w:color w:val="000000"/>
                <w:sz w:val="20"/>
                <w:szCs w:val="20"/>
              </w:rPr>
            </w:pPr>
            <w:r w:rsidRPr="00671063">
              <w:rPr>
                <w:rFonts w:eastAsia="Times New Roman"/>
                <w:color w:val="000000"/>
                <w:sz w:val="20"/>
                <w:szCs w:val="20"/>
              </w:rPr>
              <w:t xml:space="preserve">  Not currently employed</w:t>
            </w:r>
          </w:p>
        </w:tc>
        <w:tc>
          <w:tcPr>
            <w:tcW w:w="801" w:type="dxa"/>
            <w:tcBorders>
              <w:top w:val="nil"/>
              <w:left w:val="nil"/>
              <w:bottom w:val="double" w:sz="6" w:space="0" w:color="auto"/>
              <w:right w:val="single" w:sz="8" w:space="0" w:color="auto"/>
            </w:tcBorders>
            <w:shd w:val="clear" w:color="auto" w:fill="auto"/>
            <w:vAlign w:val="center"/>
            <w:hideMark/>
          </w:tcPr>
          <w:p w14:paraId="39A28ADD" w14:textId="77777777" w:rsidR="00F63564" w:rsidRPr="00671063" w:rsidRDefault="00F63564" w:rsidP="00671063">
            <w:pPr>
              <w:spacing w:after="0"/>
              <w:ind w:firstLine="0"/>
              <w:jc w:val="right"/>
              <w:rPr>
                <w:rFonts w:eastAsia="Times New Roman"/>
                <w:color w:val="000000"/>
                <w:sz w:val="20"/>
                <w:szCs w:val="20"/>
              </w:rPr>
            </w:pPr>
            <w:r w:rsidRPr="00671063">
              <w:rPr>
                <w:rFonts w:eastAsia="Times New Roman"/>
                <w:color w:val="000000"/>
                <w:sz w:val="20"/>
                <w:szCs w:val="20"/>
              </w:rPr>
              <w:t>6.9%</w:t>
            </w:r>
          </w:p>
        </w:tc>
        <w:tc>
          <w:tcPr>
            <w:tcW w:w="810" w:type="dxa"/>
            <w:tcBorders>
              <w:top w:val="nil"/>
              <w:left w:val="nil"/>
              <w:bottom w:val="double" w:sz="6" w:space="0" w:color="auto"/>
              <w:right w:val="single" w:sz="8" w:space="0" w:color="auto"/>
            </w:tcBorders>
            <w:shd w:val="clear" w:color="auto" w:fill="auto"/>
            <w:vAlign w:val="center"/>
            <w:hideMark/>
          </w:tcPr>
          <w:p w14:paraId="2BB60EF6" w14:textId="77777777" w:rsidR="00F63564" w:rsidRPr="00671063" w:rsidRDefault="00F63564" w:rsidP="00671063">
            <w:pPr>
              <w:spacing w:after="0"/>
              <w:ind w:firstLine="0"/>
              <w:jc w:val="right"/>
              <w:rPr>
                <w:rFonts w:eastAsia="Times New Roman"/>
                <w:color w:val="000000"/>
                <w:sz w:val="20"/>
                <w:szCs w:val="20"/>
              </w:rPr>
            </w:pPr>
            <w:r w:rsidRPr="00671063">
              <w:rPr>
                <w:rFonts w:eastAsia="Times New Roman"/>
                <w:color w:val="000000"/>
                <w:sz w:val="20"/>
                <w:szCs w:val="20"/>
              </w:rPr>
              <w:t>7.9%</w:t>
            </w:r>
          </w:p>
        </w:tc>
        <w:tc>
          <w:tcPr>
            <w:tcW w:w="900" w:type="dxa"/>
            <w:tcBorders>
              <w:top w:val="nil"/>
              <w:left w:val="nil"/>
              <w:bottom w:val="double" w:sz="6" w:space="0" w:color="auto"/>
              <w:right w:val="double" w:sz="6" w:space="0" w:color="auto"/>
            </w:tcBorders>
            <w:shd w:val="clear" w:color="auto" w:fill="auto"/>
            <w:vAlign w:val="center"/>
            <w:hideMark/>
          </w:tcPr>
          <w:p w14:paraId="0268C292" w14:textId="77777777" w:rsidR="00F63564" w:rsidRPr="00671063" w:rsidRDefault="00F63564" w:rsidP="00671063">
            <w:pPr>
              <w:spacing w:after="0"/>
              <w:ind w:firstLine="0"/>
              <w:jc w:val="right"/>
              <w:rPr>
                <w:rFonts w:eastAsia="Times New Roman"/>
                <w:color w:val="000000"/>
                <w:sz w:val="20"/>
                <w:szCs w:val="20"/>
              </w:rPr>
            </w:pPr>
            <w:r w:rsidRPr="00671063">
              <w:rPr>
                <w:rFonts w:eastAsia="Times New Roman"/>
                <w:color w:val="000000"/>
                <w:sz w:val="20"/>
                <w:szCs w:val="20"/>
              </w:rPr>
              <w:t>7.4%</w:t>
            </w:r>
          </w:p>
        </w:tc>
        <w:tc>
          <w:tcPr>
            <w:tcW w:w="810" w:type="dxa"/>
            <w:vMerge/>
            <w:tcBorders>
              <w:left w:val="double" w:sz="6" w:space="0" w:color="auto"/>
              <w:bottom w:val="double" w:sz="6" w:space="0" w:color="000000"/>
              <w:right w:val="double" w:sz="6" w:space="0" w:color="auto"/>
            </w:tcBorders>
            <w:vAlign w:val="center"/>
            <w:hideMark/>
          </w:tcPr>
          <w:p w14:paraId="07FD0E4B" w14:textId="77777777" w:rsidR="00F63564" w:rsidRPr="00671063" w:rsidRDefault="00F63564" w:rsidP="00671063">
            <w:pPr>
              <w:spacing w:after="0"/>
              <w:ind w:firstLine="0"/>
              <w:jc w:val="left"/>
              <w:rPr>
                <w:rFonts w:eastAsia="Times New Roman"/>
                <w:color w:val="000000"/>
                <w:sz w:val="20"/>
                <w:szCs w:val="20"/>
              </w:rPr>
            </w:pPr>
          </w:p>
        </w:tc>
      </w:tr>
      <w:tr w:rsidR="00671063" w:rsidRPr="00671063" w14:paraId="46892B33" w14:textId="77777777" w:rsidTr="00F63564">
        <w:trPr>
          <w:trHeight w:val="20"/>
          <w:jc w:val="center"/>
        </w:trPr>
        <w:tc>
          <w:tcPr>
            <w:tcW w:w="1867" w:type="dxa"/>
            <w:tcBorders>
              <w:top w:val="nil"/>
              <w:left w:val="double" w:sz="6" w:space="0" w:color="auto"/>
              <w:bottom w:val="single" w:sz="8" w:space="0" w:color="auto"/>
              <w:right w:val="double" w:sz="6" w:space="0" w:color="auto"/>
            </w:tcBorders>
            <w:shd w:val="clear" w:color="auto" w:fill="auto"/>
            <w:vAlign w:val="center"/>
            <w:hideMark/>
          </w:tcPr>
          <w:p w14:paraId="0CE53FD7" w14:textId="77777777" w:rsidR="00671063" w:rsidRPr="00671063" w:rsidRDefault="00671063" w:rsidP="00671063">
            <w:pPr>
              <w:spacing w:after="0"/>
              <w:ind w:firstLine="0"/>
              <w:jc w:val="left"/>
              <w:rPr>
                <w:rFonts w:eastAsia="Times New Roman"/>
                <w:color w:val="000000"/>
                <w:sz w:val="20"/>
                <w:szCs w:val="20"/>
              </w:rPr>
            </w:pPr>
            <w:r w:rsidRPr="00671063">
              <w:rPr>
                <w:rFonts w:eastAsia="Times New Roman"/>
                <w:color w:val="000000"/>
                <w:sz w:val="20"/>
                <w:szCs w:val="20"/>
              </w:rPr>
              <w:t xml:space="preserve">  1 vehicle</w:t>
            </w:r>
          </w:p>
        </w:tc>
        <w:tc>
          <w:tcPr>
            <w:tcW w:w="734" w:type="dxa"/>
            <w:tcBorders>
              <w:top w:val="nil"/>
              <w:left w:val="nil"/>
              <w:bottom w:val="single" w:sz="8" w:space="0" w:color="auto"/>
              <w:right w:val="single" w:sz="8" w:space="0" w:color="auto"/>
            </w:tcBorders>
            <w:shd w:val="clear" w:color="auto" w:fill="auto"/>
            <w:vAlign w:val="center"/>
            <w:hideMark/>
          </w:tcPr>
          <w:p w14:paraId="51CECFE4"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34.4%</w:t>
            </w:r>
          </w:p>
        </w:tc>
        <w:tc>
          <w:tcPr>
            <w:tcW w:w="796" w:type="dxa"/>
            <w:tcBorders>
              <w:top w:val="single" w:sz="8" w:space="0" w:color="auto"/>
              <w:left w:val="nil"/>
              <w:bottom w:val="single" w:sz="8" w:space="0" w:color="auto"/>
              <w:right w:val="single" w:sz="8" w:space="0" w:color="000000"/>
            </w:tcBorders>
            <w:shd w:val="clear" w:color="auto" w:fill="auto"/>
            <w:vAlign w:val="center"/>
            <w:hideMark/>
          </w:tcPr>
          <w:p w14:paraId="060A498B"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43.5%</w:t>
            </w:r>
          </w:p>
        </w:tc>
        <w:tc>
          <w:tcPr>
            <w:tcW w:w="810" w:type="dxa"/>
            <w:gridSpan w:val="3"/>
            <w:tcBorders>
              <w:top w:val="single" w:sz="8" w:space="0" w:color="auto"/>
              <w:left w:val="nil"/>
              <w:bottom w:val="single" w:sz="8" w:space="0" w:color="auto"/>
              <w:right w:val="double" w:sz="6" w:space="0" w:color="000000"/>
            </w:tcBorders>
            <w:shd w:val="clear" w:color="auto" w:fill="auto"/>
            <w:vAlign w:val="center"/>
            <w:hideMark/>
          </w:tcPr>
          <w:p w14:paraId="53B3FDE9"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39.5%</w:t>
            </w:r>
          </w:p>
        </w:tc>
        <w:tc>
          <w:tcPr>
            <w:tcW w:w="810" w:type="dxa"/>
            <w:gridSpan w:val="5"/>
            <w:tcBorders>
              <w:top w:val="nil"/>
              <w:left w:val="nil"/>
              <w:bottom w:val="single" w:sz="8" w:space="0" w:color="auto"/>
              <w:right w:val="double" w:sz="6" w:space="0" w:color="auto"/>
            </w:tcBorders>
            <w:shd w:val="clear" w:color="auto" w:fill="auto"/>
            <w:vAlign w:val="center"/>
            <w:hideMark/>
          </w:tcPr>
          <w:p w14:paraId="3B20B820"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31.1%</w:t>
            </w:r>
          </w:p>
        </w:tc>
        <w:tc>
          <w:tcPr>
            <w:tcW w:w="4410" w:type="dxa"/>
            <w:gridSpan w:val="4"/>
            <w:tcBorders>
              <w:top w:val="double" w:sz="6" w:space="0" w:color="auto"/>
              <w:left w:val="nil"/>
              <w:bottom w:val="single" w:sz="8" w:space="0" w:color="auto"/>
              <w:right w:val="nil"/>
            </w:tcBorders>
            <w:shd w:val="clear" w:color="000000" w:fill="FFFFFF"/>
            <w:vAlign w:val="center"/>
            <w:hideMark/>
          </w:tcPr>
          <w:p w14:paraId="71446D5A" w14:textId="77777777" w:rsidR="00671063" w:rsidRPr="00671063" w:rsidRDefault="00671063" w:rsidP="00671063">
            <w:pPr>
              <w:spacing w:after="0"/>
              <w:ind w:firstLine="0"/>
              <w:jc w:val="left"/>
              <w:rPr>
                <w:rFonts w:eastAsia="Times New Roman"/>
                <w:b/>
                <w:bCs/>
                <w:color w:val="000000"/>
                <w:sz w:val="20"/>
                <w:szCs w:val="20"/>
              </w:rPr>
            </w:pPr>
            <w:r w:rsidRPr="00671063">
              <w:rPr>
                <w:rFonts w:eastAsia="Times New Roman"/>
                <w:b/>
                <w:bCs/>
                <w:color w:val="000000"/>
                <w:sz w:val="20"/>
                <w:szCs w:val="20"/>
              </w:rPr>
              <w:t>Frequency of ride-hailing</w:t>
            </w:r>
          </w:p>
        </w:tc>
        <w:tc>
          <w:tcPr>
            <w:tcW w:w="900" w:type="dxa"/>
            <w:tcBorders>
              <w:top w:val="nil"/>
              <w:left w:val="nil"/>
              <w:bottom w:val="single" w:sz="8" w:space="0" w:color="auto"/>
              <w:right w:val="nil"/>
            </w:tcBorders>
            <w:shd w:val="clear" w:color="000000" w:fill="FFFFFF"/>
            <w:vAlign w:val="center"/>
            <w:hideMark/>
          </w:tcPr>
          <w:p w14:paraId="69240BB5" w14:textId="77777777" w:rsidR="00671063" w:rsidRPr="00671063" w:rsidRDefault="00671063" w:rsidP="00671063">
            <w:pPr>
              <w:spacing w:after="0"/>
              <w:ind w:firstLine="0"/>
              <w:jc w:val="left"/>
              <w:rPr>
                <w:rFonts w:eastAsia="Times New Roman"/>
                <w:color w:val="000000"/>
                <w:sz w:val="20"/>
                <w:szCs w:val="20"/>
              </w:rPr>
            </w:pPr>
            <w:r w:rsidRPr="00671063">
              <w:rPr>
                <w:rFonts w:eastAsia="Times New Roman"/>
                <w:color w:val="000000"/>
                <w:sz w:val="20"/>
                <w:szCs w:val="20"/>
              </w:rPr>
              <w:t> </w:t>
            </w:r>
          </w:p>
        </w:tc>
        <w:tc>
          <w:tcPr>
            <w:tcW w:w="810" w:type="dxa"/>
            <w:tcBorders>
              <w:top w:val="nil"/>
              <w:left w:val="nil"/>
              <w:bottom w:val="single" w:sz="8" w:space="0" w:color="auto"/>
              <w:right w:val="double" w:sz="6" w:space="0" w:color="auto"/>
            </w:tcBorders>
            <w:shd w:val="clear" w:color="000000" w:fill="FFFFFF"/>
            <w:vAlign w:val="center"/>
            <w:hideMark/>
          </w:tcPr>
          <w:p w14:paraId="26E1FBE4" w14:textId="77777777" w:rsidR="00671063" w:rsidRPr="00671063" w:rsidRDefault="00671063" w:rsidP="00671063">
            <w:pPr>
              <w:spacing w:after="0"/>
              <w:ind w:firstLine="0"/>
              <w:jc w:val="left"/>
              <w:rPr>
                <w:rFonts w:eastAsia="Times New Roman"/>
                <w:color w:val="000000"/>
                <w:sz w:val="20"/>
                <w:szCs w:val="20"/>
              </w:rPr>
            </w:pPr>
            <w:r w:rsidRPr="00671063">
              <w:rPr>
                <w:rFonts w:eastAsia="Times New Roman"/>
                <w:color w:val="000000"/>
                <w:sz w:val="20"/>
                <w:szCs w:val="20"/>
              </w:rPr>
              <w:t> </w:t>
            </w:r>
          </w:p>
        </w:tc>
      </w:tr>
      <w:tr w:rsidR="00671063" w:rsidRPr="00671063" w14:paraId="57422E04" w14:textId="77777777" w:rsidTr="00F63564">
        <w:trPr>
          <w:trHeight w:val="20"/>
          <w:jc w:val="center"/>
        </w:trPr>
        <w:tc>
          <w:tcPr>
            <w:tcW w:w="1867" w:type="dxa"/>
            <w:tcBorders>
              <w:top w:val="nil"/>
              <w:left w:val="double" w:sz="6" w:space="0" w:color="auto"/>
              <w:bottom w:val="single" w:sz="8" w:space="0" w:color="auto"/>
              <w:right w:val="double" w:sz="6" w:space="0" w:color="auto"/>
            </w:tcBorders>
            <w:shd w:val="clear" w:color="auto" w:fill="auto"/>
            <w:vAlign w:val="center"/>
            <w:hideMark/>
          </w:tcPr>
          <w:p w14:paraId="174B2769" w14:textId="77777777" w:rsidR="00671063" w:rsidRPr="00671063" w:rsidRDefault="00671063" w:rsidP="00671063">
            <w:pPr>
              <w:spacing w:after="0"/>
              <w:ind w:firstLine="0"/>
              <w:jc w:val="left"/>
              <w:rPr>
                <w:rFonts w:eastAsia="Times New Roman"/>
                <w:color w:val="000000"/>
                <w:sz w:val="20"/>
                <w:szCs w:val="20"/>
              </w:rPr>
            </w:pPr>
            <w:r w:rsidRPr="00671063">
              <w:rPr>
                <w:rFonts w:eastAsia="Times New Roman"/>
                <w:color w:val="000000"/>
                <w:sz w:val="20"/>
                <w:szCs w:val="20"/>
              </w:rPr>
              <w:t xml:space="preserve">  2 vehicles</w:t>
            </w:r>
          </w:p>
        </w:tc>
        <w:tc>
          <w:tcPr>
            <w:tcW w:w="734" w:type="dxa"/>
            <w:tcBorders>
              <w:top w:val="nil"/>
              <w:left w:val="nil"/>
              <w:bottom w:val="single" w:sz="8" w:space="0" w:color="auto"/>
              <w:right w:val="single" w:sz="8" w:space="0" w:color="auto"/>
            </w:tcBorders>
            <w:shd w:val="clear" w:color="auto" w:fill="auto"/>
            <w:vAlign w:val="center"/>
            <w:hideMark/>
          </w:tcPr>
          <w:p w14:paraId="39339F7E"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38.6%</w:t>
            </w:r>
          </w:p>
        </w:tc>
        <w:tc>
          <w:tcPr>
            <w:tcW w:w="796" w:type="dxa"/>
            <w:tcBorders>
              <w:top w:val="single" w:sz="8" w:space="0" w:color="auto"/>
              <w:left w:val="nil"/>
              <w:bottom w:val="single" w:sz="8" w:space="0" w:color="auto"/>
              <w:right w:val="single" w:sz="8" w:space="0" w:color="000000"/>
            </w:tcBorders>
            <w:shd w:val="clear" w:color="auto" w:fill="auto"/>
            <w:vAlign w:val="center"/>
            <w:hideMark/>
          </w:tcPr>
          <w:p w14:paraId="0C7A6F08"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33.7%</w:t>
            </w:r>
          </w:p>
        </w:tc>
        <w:tc>
          <w:tcPr>
            <w:tcW w:w="810" w:type="dxa"/>
            <w:gridSpan w:val="3"/>
            <w:tcBorders>
              <w:top w:val="single" w:sz="8" w:space="0" w:color="auto"/>
              <w:left w:val="nil"/>
              <w:bottom w:val="single" w:sz="8" w:space="0" w:color="auto"/>
              <w:right w:val="double" w:sz="6" w:space="0" w:color="000000"/>
            </w:tcBorders>
            <w:shd w:val="clear" w:color="auto" w:fill="auto"/>
            <w:vAlign w:val="center"/>
            <w:hideMark/>
          </w:tcPr>
          <w:p w14:paraId="5002399B"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35.9%</w:t>
            </w:r>
          </w:p>
        </w:tc>
        <w:tc>
          <w:tcPr>
            <w:tcW w:w="810" w:type="dxa"/>
            <w:gridSpan w:val="5"/>
            <w:tcBorders>
              <w:top w:val="nil"/>
              <w:left w:val="nil"/>
              <w:bottom w:val="single" w:sz="8" w:space="0" w:color="auto"/>
              <w:right w:val="double" w:sz="6" w:space="0" w:color="auto"/>
            </w:tcBorders>
            <w:shd w:val="clear" w:color="auto" w:fill="auto"/>
            <w:vAlign w:val="center"/>
            <w:hideMark/>
          </w:tcPr>
          <w:p w14:paraId="0068D5E4"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38.2%</w:t>
            </w:r>
          </w:p>
        </w:tc>
        <w:tc>
          <w:tcPr>
            <w:tcW w:w="2799" w:type="dxa"/>
            <w:gridSpan w:val="2"/>
            <w:tcBorders>
              <w:top w:val="nil"/>
              <w:left w:val="nil"/>
              <w:bottom w:val="single" w:sz="8" w:space="0" w:color="auto"/>
              <w:right w:val="double" w:sz="6" w:space="0" w:color="auto"/>
            </w:tcBorders>
            <w:shd w:val="clear" w:color="auto" w:fill="auto"/>
            <w:vAlign w:val="center"/>
            <w:hideMark/>
          </w:tcPr>
          <w:p w14:paraId="50E2327E" w14:textId="77777777" w:rsidR="00671063" w:rsidRPr="00671063" w:rsidRDefault="00671063" w:rsidP="00671063">
            <w:pPr>
              <w:spacing w:after="0"/>
              <w:ind w:firstLine="0"/>
              <w:jc w:val="left"/>
              <w:rPr>
                <w:rFonts w:eastAsia="Times New Roman"/>
                <w:color w:val="000000"/>
                <w:sz w:val="20"/>
                <w:szCs w:val="20"/>
              </w:rPr>
            </w:pPr>
            <w:r w:rsidRPr="00671063">
              <w:rPr>
                <w:rFonts w:eastAsia="Times New Roman"/>
                <w:color w:val="000000"/>
                <w:sz w:val="20"/>
                <w:szCs w:val="20"/>
              </w:rPr>
              <w:t xml:space="preserve">  Never</w:t>
            </w:r>
          </w:p>
        </w:tc>
        <w:tc>
          <w:tcPr>
            <w:tcW w:w="801" w:type="dxa"/>
            <w:tcBorders>
              <w:top w:val="nil"/>
              <w:left w:val="nil"/>
              <w:bottom w:val="single" w:sz="8" w:space="0" w:color="auto"/>
              <w:right w:val="single" w:sz="8" w:space="0" w:color="auto"/>
            </w:tcBorders>
            <w:shd w:val="clear" w:color="auto" w:fill="auto"/>
            <w:vAlign w:val="center"/>
            <w:hideMark/>
          </w:tcPr>
          <w:p w14:paraId="10B7DB21"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87.1%</w:t>
            </w:r>
          </w:p>
        </w:tc>
        <w:tc>
          <w:tcPr>
            <w:tcW w:w="810" w:type="dxa"/>
            <w:tcBorders>
              <w:top w:val="nil"/>
              <w:left w:val="nil"/>
              <w:bottom w:val="single" w:sz="8" w:space="0" w:color="auto"/>
              <w:right w:val="single" w:sz="8" w:space="0" w:color="auto"/>
            </w:tcBorders>
            <w:shd w:val="clear" w:color="auto" w:fill="auto"/>
            <w:vAlign w:val="center"/>
            <w:hideMark/>
          </w:tcPr>
          <w:p w14:paraId="785E2A32"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51.8%</w:t>
            </w:r>
          </w:p>
        </w:tc>
        <w:tc>
          <w:tcPr>
            <w:tcW w:w="900" w:type="dxa"/>
            <w:tcBorders>
              <w:top w:val="nil"/>
              <w:left w:val="nil"/>
              <w:bottom w:val="single" w:sz="8" w:space="0" w:color="auto"/>
              <w:right w:val="double" w:sz="6" w:space="0" w:color="auto"/>
            </w:tcBorders>
            <w:shd w:val="clear" w:color="auto" w:fill="auto"/>
            <w:vAlign w:val="center"/>
            <w:hideMark/>
          </w:tcPr>
          <w:p w14:paraId="4F85BC9F"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67.5%</w:t>
            </w:r>
          </w:p>
        </w:tc>
        <w:tc>
          <w:tcPr>
            <w:tcW w:w="810" w:type="dxa"/>
            <w:tcBorders>
              <w:top w:val="nil"/>
              <w:left w:val="nil"/>
              <w:bottom w:val="single" w:sz="8" w:space="0" w:color="auto"/>
              <w:right w:val="double" w:sz="6" w:space="0" w:color="auto"/>
            </w:tcBorders>
            <w:shd w:val="clear" w:color="auto" w:fill="auto"/>
            <w:vAlign w:val="center"/>
            <w:hideMark/>
          </w:tcPr>
          <w:p w14:paraId="58A1EE5C"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w:t>
            </w:r>
          </w:p>
        </w:tc>
      </w:tr>
      <w:tr w:rsidR="00671063" w:rsidRPr="00671063" w14:paraId="20A87FEB" w14:textId="77777777" w:rsidTr="00F63564">
        <w:trPr>
          <w:trHeight w:val="20"/>
          <w:jc w:val="center"/>
        </w:trPr>
        <w:tc>
          <w:tcPr>
            <w:tcW w:w="1867" w:type="dxa"/>
            <w:tcBorders>
              <w:top w:val="nil"/>
              <w:left w:val="double" w:sz="6" w:space="0" w:color="auto"/>
              <w:bottom w:val="double" w:sz="6" w:space="0" w:color="auto"/>
              <w:right w:val="double" w:sz="6" w:space="0" w:color="auto"/>
            </w:tcBorders>
            <w:shd w:val="clear" w:color="auto" w:fill="auto"/>
            <w:vAlign w:val="center"/>
            <w:hideMark/>
          </w:tcPr>
          <w:p w14:paraId="20EC2D31" w14:textId="77777777" w:rsidR="00671063" w:rsidRPr="00671063" w:rsidRDefault="00671063" w:rsidP="00671063">
            <w:pPr>
              <w:spacing w:after="0"/>
              <w:ind w:firstLine="0"/>
              <w:jc w:val="left"/>
              <w:rPr>
                <w:rFonts w:eastAsia="Times New Roman"/>
                <w:color w:val="000000"/>
                <w:sz w:val="20"/>
                <w:szCs w:val="20"/>
              </w:rPr>
            </w:pPr>
            <w:r w:rsidRPr="00671063">
              <w:rPr>
                <w:rFonts w:eastAsia="Times New Roman"/>
                <w:color w:val="000000"/>
                <w:sz w:val="20"/>
                <w:szCs w:val="20"/>
              </w:rPr>
              <w:t xml:space="preserve">  3 or more vehicles</w:t>
            </w:r>
          </w:p>
        </w:tc>
        <w:tc>
          <w:tcPr>
            <w:tcW w:w="734" w:type="dxa"/>
            <w:tcBorders>
              <w:top w:val="nil"/>
              <w:left w:val="nil"/>
              <w:bottom w:val="double" w:sz="6" w:space="0" w:color="auto"/>
              <w:right w:val="single" w:sz="8" w:space="0" w:color="auto"/>
            </w:tcBorders>
            <w:shd w:val="clear" w:color="auto" w:fill="auto"/>
            <w:vAlign w:val="center"/>
            <w:hideMark/>
          </w:tcPr>
          <w:p w14:paraId="1F8E6D32"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17.5%</w:t>
            </w:r>
          </w:p>
        </w:tc>
        <w:tc>
          <w:tcPr>
            <w:tcW w:w="796" w:type="dxa"/>
            <w:tcBorders>
              <w:top w:val="single" w:sz="8" w:space="0" w:color="auto"/>
              <w:left w:val="nil"/>
              <w:bottom w:val="double" w:sz="6" w:space="0" w:color="auto"/>
              <w:right w:val="single" w:sz="8" w:space="0" w:color="000000"/>
            </w:tcBorders>
            <w:shd w:val="clear" w:color="auto" w:fill="auto"/>
            <w:vAlign w:val="center"/>
            <w:hideMark/>
          </w:tcPr>
          <w:p w14:paraId="35FFDA13"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10.3%</w:t>
            </w:r>
          </w:p>
        </w:tc>
        <w:tc>
          <w:tcPr>
            <w:tcW w:w="810" w:type="dxa"/>
            <w:gridSpan w:val="3"/>
            <w:tcBorders>
              <w:top w:val="single" w:sz="8" w:space="0" w:color="auto"/>
              <w:left w:val="nil"/>
              <w:bottom w:val="double" w:sz="6" w:space="0" w:color="auto"/>
              <w:right w:val="double" w:sz="6" w:space="0" w:color="000000"/>
            </w:tcBorders>
            <w:shd w:val="clear" w:color="auto" w:fill="auto"/>
            <w:vAlign w:val="center"/>
            <w:hideMark/>
          </w:tcPr>
          <w:p w14:paraId="335DEC9C"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13.4%</w:t>
            </w:r>
          </w:p>
        </w:tc>
        <w:tc>
          <w:tcPr>
            <w:tcW w:w="810" w:type="dxa"/>
            <w:gridSpan w:val="5"/>
            <w:tcBorders>
              <w:top w:val="nil"/>
              <w:left w:val="nil"/>
              <w:bottom w:val="double" w:sz="6" w:space="0" w:color="auto"/>
              <w:right w:val="double" w:sz="6" w:space="0" w:color="auto"/>
            </w:tcBorders>
            <w:shd w:val="clear" w:color="auto" w:fill="auto"/>
            <w:vAlign w:val="center"/>
            <w:hideMark/>
          </w:tcPr>
          <w:p w14:paraId="354AF11E"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23.2%</w:t>
            </w:r>
          </w:p>
        </w:tc>
        <w:tc>
          <w:tcPr>
            <w:tcW w:w="2799" w:type="dxa"/>
            <w:gridSpan w:val="2"/>
            <w:tcBorders>
              <w:top w:val="nil"/>
              <w:left w:val="nil"/>
              <w:bottom w:val="single" w:sz="8" w:space="0" w:color="auto"/>
              <w:right w:val="double" w:sz="6" w:space="0" w:color="auto"/>
            </w:tcBorders>
            <w:shd w:val="clear" w:color="auto" w:fill="auto"/>
            <w:vAlign w:val="center"/>
            <w:hideMark/>
          </w:tcPr>
          <w:p w14:paraId="1710DA93" w14:textId="77777777" w:rsidR="00671063" w:rsidRPr="00671063" w:rsidRDefault="00671063" w:rsidP="00671063">
            <w:pPr>
              <w:spacing w:after="0"/>
              <w:ind w:firstLine="0"/>
              <w:jc w:val="left"/>
              <w:rPr>
                <w:rFonts w:eastAsia="Times New Roman"/>
                <w:color w:val="000000"/>
                <w:sz w:val="20"/>
                <w:szCs w:val="20"/>
              </w:rPr>
            </w:pPr>
            <w:r w:rsidRPr="00671063">
              <w:rPr>
                <w:rFonts w:eastAsia="Times New Roman"/>
                <w:color w:val="000000"/>
                <w:sz w:val="20"/>
                <w:szCs w:val="20"/>
              </w:rPr>
              <w:t xml:space="preserve">  Less than 1 day per month</w:t>
            </w:r>
          </w:p>
        </w:tc>
        <w:tc>
          <w:tcPr>
            <w:tcW w:w="801" w:type="dxa"/>
            <w:tcBorders>
              <w:top w:val="nil"/>
              <w:left w:val="nil"/>
              <w:bottom w:val="single" w:sz="8" w:space="0" w:color="auto"/>
              <w:right w:val="single" w:sz="8" w:space="0" w:color="auto"/>
            </w:tcBorders>
            <w:shd w:val="clear" w:color="auto" w:fill="auto"/>
            <w:vAlign w:val="center"/>
            <w:hideMark/>
          </w:tcPr>
          <w:p w14:paraId="7C9E0899"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5.3%</w:t>
            </w:r>
          </w:p>
        </w:tc>
        <w:tc>
          <w:tcPr>
            <w:tcW w:w="810" w:type="dxa"/>
            <w:tcBorders>
              <w:top w:val="nil"/>
              <w:left w:val="nil"/>
              <w:bottom w:val="single" w:sz="8" w:space="0" w:color="auto"/>
              <w:right w:val="single" w:sz="8" w:space="0" w:color="auto"/>
            </w:tcBorders>
            <w:shd w:val="clear" w:color="auto" w:fill="auto"/>
            <w:vAlign w:val="center"/>
            <w:hideMark/>
          </w:tcPr>
          <w:p w14:paraId="55BCD58F"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19.0%</w:t>
            </w:r>
          </w:p>
        </w:tc>
        <w:tc>
          <w:tcPr>
            <w:tcW w:w="900" w:type="dxa"/>
            <w:tcBorders>
              <w:top w:val="nil"/>
              <w:left w:val="nil"/>
              <w:bottom w:val="single" w:sz="8" w:space="0" w:color="auto"/>
              <w:right w:val="double" w:sz="6" w:space="0" w:color="auto"/>
            </w:tcBorders>
            <w:shd w:val="clear" w:color="auto" w:fill="auto"/>
            <w:vAlign w:val="center"/>
            <w:hideMark/>
          </w:tcPr>
          <w:p w14:paraId="4859B214"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12.9%</w:t>
            </w:r>
          </w:p>
        </w:tc>
        <w:tc>
          <w:tcPr>
            <w:tcW w:w="810" w:type="dxa"/>
            <w:tcBorders>
              <w:top w:val="nil"/>
              <w:left w:val="nil"/>
              <w:bottom w:val="single" w:sz="8" w:space="0" w:color="auto"/>
              <w:right w:val="double" w:sz="6" w:space="0" w:color="auto"/>
            </w:tcBorders>
            <w:shd w:val="clear" w:color="auto" w:fill="auto"/>
            <w:vAlign w:val="center"/>
            <w:hideMark/>
          </w:tcPr>
          <w:p w14:paraId="34118F05"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w:t>
            </w:r>
          </w:p>
        </w:tc>
      </w:tr>
      <w:tr w:rsidR="00671063" w:rsidRPr="00671063" w14:paraId="1E04C55E" w14:textId="77777777" w:rsidTr="00F63564">
        <w:trPr>
          <w:trHeight w:val="20"/>
          <w:jc w:val="center"/>
        </w:trPr>
        <w:tc>
          <w:tcPr>
            <w:tcW w:w="3507" w:type="dxa"/>
            <w:gridSpan w:val="4"/>
            <w:tcBorders>
              <w:top w:val="double" w:sz="6" w:space="0" w:color="auto"/>
              <w:left w:val="double" w:sz="6" w:space="0" w:color="auto"/>
              <w:bottom w:val="single" w:sz="8" w:space="0" w:color="auto"/>
              <w:right w:val="nil"/>
            </w:tcBorders>
            <w:shd w:val="clear" w:color="000000" w:fill="FFFFFF"/>
            <w:vAlign w:val="center"/>
            <w:hideMark/>
          </w:tcPr>
          <w:p w14:paraId="7B4030AF" w14:textId="77777777" w:rsidR="00671063" w:rsidRPr="00671063" w:rsidRDefault="00671063" w:rsidP="00671063">
            <w:pPr>
              <w:spacing w:after="0"/>
              <w:ind w:firstLine="0"/>
              <w:jc w:val="left"/>
              <w:rPr>
                <w:rFonts w:eastAsia="Times New Roman"/>
                <w:b/>
                <w:bCs/>
                <w:color w:val="000000"/>
                <w:sz w:val="20"/>
                <w:szCs w:val="20"/>
              </w:rPr>
            </w:pPr>
            <w:r w:rsidRPr="00671063">
              <w:rPr>
                <w:rFonts w:eastAsia="Times New Roman"/>
                <w:b/>
                <w:bCs/>
                <w:color w:val="000000"/>
                <w:sz w:val="20"/>
                <w:szCs w:val="20"/>
              </w:rPr>
              <w:t>Household income</w:t>
            </w:r>
          </w:p>
        </w:tc>
        <w:tc>
          <w:tcPr>
            <w:tcW w:w="794" w:type="dxa"/>
            <w:gridSpan w:val="3"/>
            <w:tcBorders>
              <w:top w:val="double" w:sz="6" w:space="0" w:color="auto"/>
              <w:left w:val="nil"/>
              <w:bottom w:val="single" w:sz="8" w:space="0" w:color="auto"/>
              <w:right w:val="nil"/>
            </w:tcBorders>
            <w:shd w:val="clear" w:color="000000" w:fill="FFFFFF"/>
            <w:vAlign w:val="center"/>
            <w:hideMark/>
          </w:tcPr>
          <w:p w14:paraId="6898B35D" w14:textId="77777777" w:rsidR="00671063" w:rsidRPr="00671063" w:rsidRDefault="00671063" w:rsidP="00671063">
            <w:pPr>
              <w:spacing w:after="0"/>
              <w:ind w:firstLine="0"/>
              <w:jc w:val="left"/>
              <w:rPr>
                <w:rFonts w:eastAsia="Times New Roman"/>
                <w:color w:val="000000"/>
                <w:sz w:val="20"/>
                <w:szCs w:val="20"/>
              </w:rPr>
            </w:pPr>
            <w:r w:rsidRPr="00671063">
              <w:rPr>
                <w:rFonts w:eastAsia="Times New Roman"/>
                <w:color w:val="000000"/>
                <w:sz w:val="20"/>
                <w:szCs w:val="20"/>
              </w:rPr>
              <w:t> </w:t>
            </w:r>
          </w:p>
        </w:tc>
        <w:tc>
          <w:tcPr>
            <w:tcW w:w="236" w:type="dxa"/>
            <w:gridSpan w:val="2"/>
            <w:tcBorders>
              <w:top w:val="nil"/>
              <w:left w:val="nil"/>
              <w:bottom w:val="single" w:sz="8" w:space="0" w:color="auto"/>
              <w:right w:val="nil"/>
            </w:tcBorders>
            <w:shd w:val="clear" w:color="000000" w:fill="FFFFFF"/>
            <w:vAlign w:val="center"/>
            <w:hideMark/>
          </w:tcPr>
          <w:p w14:paraId="4525F87C" w14:textId="77777777" w:rsidR="00671063" w:rsidRPr="00671063" w:rsidRDefault="00671063" w:rsidP="00671063">
            <w:pPr>
              <w:spacing w:after="0"/>
              <w:ind w:firstLine="0"/>
              <w:jc w:val="left"/>
              <w:rPr>
                <w:rFonts w:eastAsia="Times New Roman"/>
                <w:color w:val="000000"/>
                <w:sz w:val="20"/>
                <w:szCs w:val="20"/>
              </w:rPr>
            </w:pPr>
            <w:r w:rsidRPr="00671063">
              <w:rPr>
                <w:rFonts w:eastAsia="Times New Roman"/>
                <w:color w:val="000000"/>
                <w:sz w:val="20"/>
                <w:szCs w:val="20"/>
              </w:rPr>
              <w:t> </w:t>
            </w:r>
          </w:p>
        </w:tc>
        <w:tc>
          <w:tcPr>
            <w:tcW w:w="480" w:type="dxa"/>
            <w:gridSpan w:val="2"/>
            <w:tcBorders>
              <w:top w:val="nil"/>
              <w:left w:val="nil"/>
              <w:bottom w:val="single" w:sz="8" w:space="0" w:color="auto"/>
              <w:right w:val="double" w:sz="6" w:space="0" w:color="auto"/>
            </w:tcBorders>
            <w:shd w:val="clear" w:color="auto" w:fill="auto"/>
            <w:vAlign w:val="center"/>
            <w:hideMark/>
          </w:tcPr>
          <w:p w14:paraId="5CBA96FE"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 </w:t>
            </w:r>
          </w:p>
        </w:tc>
        <w:tc>
          <w:tcPr>
            <w:tcW w:w="2790" w:type="dxa"/>
            <w:tcBorders>
              <w:top w:val="nil"/>
              <w:left w:val="nil"/>
              <w:bottom w:val="single" w:sz="8" w:space="0" w:color="auto"/>
              <w:right w:val="double" w:sz="6" w:space="0" w:color="auto"/>
            </w:tcBorders>
            <w:shd w:val="clear" w:color="auto" w:fill="auto"/>
            <w:vAlign w:val="center"/>
            <w:hideMark/>
          </w:tcPr>
          <w:p w14:paraId="7D3F8854" w14:textId="77777777" w:rsidR="00671063" w:rsidRPr="00671063" w:rsidRDefault="00671063" w:rsidP="00671063">
            <w:pPr>
              <w:spacing w:after="0"/>
              <w:ind w:firstLine="0"/>
              <w:jc w:val="left"/>
              <w:rPr>
                <w:rFonts w:eastAsia="Times New Roman"/>
                <w:color w:val="000000"/>
                <w:sz w:val="20"/>
                <w:szCs w:val="20"/>
              </w:rPr>
            </w:pPr>
            <w:r w:rsidRPr="00671063">
              <w:rPr>
                <w:rFonts w:eastAsia="Times New Roman"/>
                <w:color w:val="000000"/>
                <w:sz w:val="20"/>
                <w:szCs w:val="20"/>
              </w:rPr>
              <w:t xml:space="preserve">  1-3 days per month</w:t>
            </w:r>
          </w:p>
        </w:tc>
        <w:tc>
          <w:tcPr>
            <w:tcW w:w="810" w:type="dxa"/>
            <w:gridSpan w:val="2"/>
            <w:tcBorders>
              <w:top w:val="nil"/>
              <w:left w:val="nil"/>
              <w:bottom w:val="single" w:sz="8" w:space="0" w:color="auto"/>
              <w:right w:val="single" w:sz="8" w:space="0" w:color="auto"/>
            </w:tcBorders>
            <w:shd w:val="clear" w:color="auto" w:fill="auto"/>
            <w:vAlign w:val="center"/>
            <w:hideMark/>
          </w:tcPr>
          <w:p w14:paraId="095DFA9A"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4.8%</w:t>
            </w:r>
          </w:p>
        </w:tc>
        <w:tc>
          <w:tcPr>
            <w:tcW w:w="810" w:type="dxa"/>
            <w:tcBorders>
              <w:top w:val="nil"/>
              <w:left w:val="nil"/>
              <w:bottom w:val="single" w:sz="8" w:space="0" w:color="auto"/>
              <w:right w:val="single" w:sz="8" w:space="0" w:color="auto"/>
            </w:tcBorders>
            <w:shd w:val="clear" w:color="auto" w:fill="auto"/>
            <w:vAlign w:val="center"/>
            <w:hideMark/>
          </w:tcPr>
          <w:p w14:paraId="756391A0"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18.8%</w:t>
            </w:r>
          </w:p>
        </w:tc>
        <w:tc>
          <w:tcPr>
            <w:tcW w:w="900" w:type="dxa"/>
            <w:tcBorders>
              <w:top w:val="nil"/>
              <w:left w:val="nil"/>
              <w:bottom w:val="single" w:sz="8" w:space="0" w:color="auto"/>
              <w:right w:val="double" w:sz="6" w:space="0" w:color="auto"/>
            </w:tcBorders>
            <w:shd w:val="clear" w:color="auto" w:fill="auto"/>
            <w:vAlign w:val="center"/>
            <w:hideMark/>
          </w:tcPr>
          <w:p w14:paraId="07D6A35C"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12.6%</w:t>
            </w:r>
          </w:p>
        </w:tc>
        <w:tc>
          <w:tcPr>
            <w:tcW w:w="810" w:type="dxa"/>
            <w:tcBorders>
              <w:top w:val="nil"/>
              <w:left w:val="nil"/>
              <w:bottom w:val="single" w:sz="8" w:space="0" w:color="auto"/>
              <w:right w:val="double" w:sz="6" w:space="0" w:color="auto"/>
            </w:tcBorders>
            <w:shd w:val="clear" w:color="auto" w:fill="auto"/>
            <w:vAlign w:val="center"/>
            <w:hideMark/>
          </w:tcPr>
          <w:p w14:paraId="5045BA31"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w:t>
            </w:r>
          </w:p>
        </w:tc>
      </w:tr>
      <w:tr w:rsidR="00671063" w:rsidRPr="00671063" w14:paraId="677B8103" w14:textId="77777777" w:rsidTr="00F63564">
        <w:trPr>
          <w:trHeight w:val="20"/>
          <w:jc w:val="center"/>
        </w:trPr>
        <w:tc>
          <w:tcPr>
            <w:tcW w:w="1867" w:type="dxa"/>
            <w:tcBorders>
              <w:top w:val="nil"/>
              <w:left w:val="double" w:sz="6" w:space="0" w:color="auto"/>
              <w:bottom w:val="single" w:sz="8" w:space="0" w:color="auto"/>
              <w:right w:val="double" w:sz="6" w:space="0" w:color="auto"/>
            </w:tcBorders>
            <w:shd w:val="clear" w:color="auto" w:fill="auto"/>
            <w:vAlign w:val="center"/>
            <w:hideMark/>
          </w:tcPr>
          <w:p w14:paraId="38145947" w14:textId="77777777" w:rsidR="00671063" w:rsidRPr="00671063" w:rsidRDefault="00671063" w:rsidP="00671063">
            <w:pPr>
              <w:spacing w:after="0"/>
              <w:ind w:firstLine="0"/>
              <w:jc w:val="left"/>
              <w:rPr>
                <w:rFonts w:eastAsia="Times New Roman"/>
                <w:color w:val="000000"/>
                <w:sz w:val="20"/>
                <w:szCs w:val="20"/>
              </w:rPr>
            </w:pPr>
            <w:r w:rsidRPr="00671063">
              <w:rPr>
                <w:rFonts w:eastAsia="Times New Roman"/>
                <w:color w:val="000000"/>
                <w:sz w:val="20"/>
                <w:szCs w:val="20"/>
              </w:rPr>
              <w:t xml:space="preserve">  Under $25,000</w:t>
            </w:r>
          </w:p>
        </w:tc>
        <w:tc>
          <w:tcPr>
            <w:tcW w:w="734" w:type="dxa"/>
            <w:tcBorders>
              <w:top w:val="nil"/>
              <w:left w:val="nil"/>
              <w:bottom w:val="single" w:sz="8" w:space="0" w:color="auto"/>
              <w:right w:val="single" w:sz="8" w:space="0" w:color="auto"/>
            </w:tcBorders>
            <w:shd w:val="clear" w:color="auto" w:fill="auto"/>
            <w:vAlign w:val="center"/>
            <w:hideMark/>
          </w:tcPr>
          <w:p w14:paraId="7FB1C01F"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11.4%</w:t>
            </w:r>
          </w:p>
        </w:tc>
        <w:tc>
          <w:tcPr>
            <w:tcW w:w="796" w:type="dxa"/>
            <w:tcBorders>
              <w:top w:val="single" w:sz="8" w:space="0" w:color="auto"/>
              <w:left w:val="nil"/>
              <w:bottom w:val="single" w:sz="8" w:space="0" w:color="auto"/>
              <w:right w:val="single" w:sz="8" w:space="0" w:color="000000"/>
            </w:tcBorders>
            <w:shd w:val="clear" w:color="auto" w:fill="auto"/>
            <w:vAlign w:val="center"/>
            <w:hideMark/>
          </w:tcPr>
          <w:p w14:paraId="61246277"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9.4%</w:t>
            </w:r>
          </w:p>
        </w:tc>
        <w:tc>
          <w:tcPr>
            <w:tcW w:w="810" w:type="dxa"/>
            <w:gridSpan w:val="3"/>
            <w:tcBorders>
              <w:top w:val="single" w:sz="8" w:space="0" w:color="auto"/>
              <w:left w:val="nil"/>
              <w:bottom w:val="single" w:sz="8" w:space="0" w:color="auto"/>
              <w:right w:val="double" w:sz="6" w:space="0" w:color="000000"/>
            </w:tcBorders>
            <w:shd w:val="clear" w:color="auto" w:fill="auto"/>
            <w:vAlign w:val="center"/>
            <w:hideMark/>
          </w:tcPr>
          <w:p w14:paraId="4BE25D26"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10.3%</w:t>
            </w:r>
          </w:p>
        </w:tc>
        <w:tc>
          <w:tcPr>
            <w:tcW w:w="810" w:type="dxa"/>
            <w:gridSpan w:val="5"/>
            <w:tcBorders>
              <w:top w:val="nil"/>
              <w:left w:val="nil"/>
              <w:bottom w:val="single" w:sz="8" w:space="0" w:color="auto"/>
              <w:right w:val="double" w:sz="6" w:space="0" w:color="auto"/>
            </w:tcBorders>
            <w:shd w:val="clear" w:color="auto" w:fill="auto"/>
            <w:vAlign w:val="center"/>
            <w:hideMark/>
          </w:tcPr>
          <w:p w14:paraId="461C668D"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14.9%</w:t>
            </w:r>
          </w:p>
        </w:tc>
        <w:tc>
          <w:tcPr>
            <w:tcW w:w="2799" w:type="dxa"/>
            <w:gridSpan w:val="2"/>
            <w:tcBorders>
              <w:top w:val="nil"/>
              <w:left w:val="nil"/>
              <w:bottom w:val="single" w:sz="8" w:space="0" w:color="auto"/>
              <w:right w:val="double" w:sz="6" w:space="0" w:color="auto"/>
            </w:tcBorders>
            <w:shd w:val="clear" w:color="auto" w:fill="auto"/>
            <w:vAlign w:val="center"/>
            <w:hideMark/>
          </w:tcPr>
          <w:p w14:paraId="4A9710B4" w14:textId="77777777" w:rsidR="00671063" w:rsidRPr="00671063" w:rsidRDefault="00671063" w:rsidP="00671063">
            <w:pPr>
              <w:spacing w:after="0"/>
              <w:ind w:firstLine="0"/>
              <w:jc w:val="left"/>
              <w:rPr>
                <w:rFonts w:eastAsia="Times New Roman"/>
                <w:color w:val="000000"/>
                <w:sz w:val="20"/>
                <w:szCs w:val="20"/>
              </w:rPr>
            </w:pPr>
            <w:r w:rsidRPr="00671063">
              <w:rPr>
                <w:rFonts w:eastAsia="Times New Roman"/>
                <w:color w:val="000000"/>
                <w:sz w:val="20"/>
                <w:szCs w:val="20"/>
              </w:rPr>
              <w:t xml:space="preserve">  1 day per week</w:t>
            </w:r>
          </w:p>
        </w:tc>
        <w:tc>
          <w:tcPr>
            <w:tcW w:w="801" w:type="dxa"/>
            <w:tcBorders>
              <w:top w:val="nil"/>
              <w:left w:val="nil"/>
              <w:bottom w:val="single" w:sz="8" w:space="0" w:color="auto"/>
              <w:right w:val="single" w:sz="8" w:space="0" w:color="auto"/>
            </w:tcBorders>
            <w:shd w:val="clear" w:color="auto" w:fill="auto"/>
            <w:vAlign w:val="center"/>
            <w:hideMark/>
          </w:tcPr>
          <w:p w14:paraId="2068AF4C"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1.8%</w:t>
            </w:r>
          </w:p>
        </w:tc>
        <w:tc>
          <w:tcPr>
            <w:tcW w:w="810" w:type="dxa"/>
            <w:tcBorders>
              <w:top w:val="nil"/>
              <w:left w:val="nil"/>
              <w:bottom w:val="single" w:sz="8" w:space="0" w:color="auto"/>
              <w:right w:val="single" w:sz="8" w:space="0" w:color="auto"/>
            </w:tcBorders>
            <w:shd w:val="clear" w:color="auto" w:fill="auto"/>
            <w:vAlign w:val="center"/>
            <w:hideMark/>
          </w:tcPr>
          <w:p w14:paraId="6B19AB48"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5.2%</w:t>
            </w:r>
          </w:p>
        </w:tc>
        <w:tc>
          <w:tcPr>
            <w:tcW w:w="900" w:type="dxa"/>
            <w:tcBorders>
              <w:top w:val="nil"/>
              <w:left w:val="nil"/>
              <w:bottom w:val="single" w:sz="8" w:space="0" w:color="auto"/>
              <w:right w:val="double" w:sz="6" w:space="0" w:color="auto"/>
            </w:tcBorders>
            <w:shd w:val="clear" w:color="auto" w:fill="auto"/>
            <w:vAlign w:val="center"/>
            <w:hideMark/>
          </w:tcPr>
          <w:p w14:paraId="52CCDD98"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3.7%</w:t>
            </w:r>
          </w:p>
        </w:tc>
        <w:tc>
          <w:tcPr>
            <w:tcW w:w="810" w:type="dxa"/>
            <w:tcBorders>
              <w:top w:val="nil"/>
              <w:left w:val="nil"/>
              <w:bottom w:val="single" w:sz="8" w:space="0" w:color="auto"/>
              <w:right w:val="double" w:sz="6" w:space="0" w:color="auto"/>
            </w:tcBorders>
            <w:shd w:val="clear" w:color="auto" w:fill="auto"/>
            <w:vAlign w:val="center"/>
            <w:hideMark/>
          </w:tcPr>
          <w:p w14:paraId="185DF48D"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w:t>
            </w:r>
          </w:p>
        </w:tc>
      </w:tr>
      <w:tr w:rsidR="00671063" w:rsidRPr="00671063" w14:paraId="6AFD2CA6" w14:textId="77777777" w:rsidTr="00F63564">
        <w:trPr>
          <w:trHeight w:val="20"/>
          <w:jc w:val="center"/>
        </w:trPr>
        <w:tc>
          <w:tcPr>
            <w:tcW w:w="1867" w:type="dxa"/>
            <w:tcBorders>
              <w:top w:val="single" w:sz="8" w:space="0" w:color="auto"/>
              <w:left w:val="double" w:sz="6" w:space="0" w:color="auto"/>
              <w:bottom w:val="single" w:sz="8" w:space="0" w:color="auto"/>
              <w:right w:val="double" w:sz="6" w:space="0" w:color="auto"/>
            </w:tcBorders>
            <w:shd w:val="clear" w:color="auto" w:fill="auto"/>
            <w:vAlign w:val="center"/>
            <w:hideMark/>
          </w:tcPr>
          <w:p w14:paraId="08114E59" w14:textId="77777777" w:rsidR="00671063" w:rsidRPr="00671063" w:rsidRDefault="00671063" w:rsidP="00671063">
            <w:pPr>
              <w:spacing w:after="0"/>
              <w:ind w:firstLine="0"/>
              <w:jc w:val="left"/>
              <w:rPr>
                <w:rFonts w:eastAsia="Times New Roman"/>
                <w:color w:val="000000"/>
                <w:sz w:val="20"/>
                <w:szCs w:val="20"/>
              </w:rPr>
            </w:pPr>
            <w:r w:rsidRPr="00671063">
              <w:rPr>
                <w:rFonts w:eastAsia="Times New Roman"/>
                <w:color w:val="000000"/>
                <w:sz w:val="20"/>
                <w:szCs w:val="20"/>
              </w:rPr>
              <w:t xml:space="preserve">  $25,000-$49,999</w:t>
            </w:r>
          </w:p>
        </w:tc>
        <w:tc>
          <w:tcPr>
            <w:tcW w:w="734" w:type="dxa"/>
            <w:tcBorders>
              <w:top w:val="single" w:sz="8" w:space="0" w:color="auto"/>
              <w:left w:val="nil"/>
              <w:bottom w:val="single" w:sz="8" w:space="0" w:color="auto"/>
              <w:right w:val="single" w:sz="8" w:space="0" w:color="auto"/>
            </w:tcBorders>
            <w:shd w:val="clear" w:color="auto" w:fill="auto"/>
            <w:vAlign w:val="center"/>
            <w:hideMark/>
          </w:tcPr>
          <w:p w14:paraId="1AF76248"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18.3%</w:t>
            </w:r>
          </w:p>
        </w:tc>
        <w:tc>
          <w:tcPr>
            <w:tcW w:w="796" w:type="dxa"/>
            <w:tcBorders>
              <w:top w:val="single" w:sz="8" w:space="0" w:color="auto"/>
              <w:left w:val="nil"/>
              <w:bottom w:val="single" w:sz="8" w:space="0" w:color="auto"/>
              <w:right w:val="single" w:sz="8" w:space="0" w:color="000000"/>
            </w:tcBorders>
            <w:shd w:val="clear" w:color="auto" w:fill="auto"/>
            <w:vAlign w:val="center"/>
            <w:hideMark/>
          </w:tcPr>
          <w:p w14:paraId="1F82359B"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13.7%</w:t>
            </w:r>
          </w:p>
        </w:tc>
        <w:tc>
          <w:tcPr>
            <w:tcW w:w="810" w:type="dxa"/>
            <w:gridSpan w:val="3"/>
            <w:tcBorders>
              <w:top w:val="single" w:sz="8" w:space="0" w:color="auto"/>
              <w:left w:val="nil"/>
              <w:bottom w:val="single" w:sz="8" w:space="0" w:color="auto"/>
              <w:right w:val="double" w:sz="6" w:space="0" w:color="000000"/>
            </w:tcBorders>
            <w:shd w:val="clear" w:color="auto" w:fill="auto"/>
            <w:vAlign w:val="center"/>
            <w:hideMark/>
          </w:tcPr>
          <w:p w14:paraId="614F3FCB"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15.8%</w:t>
            </w:r>
          </w:p>
        </w:tc>
        <w:tc>
          <w:tcPr>
            <w:tcW w:w="810" w:type="dxa"/>
            <w:gridSpan w:val="5"/>
            <w:tcBorders>
              <w:top w:val="single" w:sz="8" w:space="0" w:color="auto"/>
              <w:left w:val="nil"/>
              <w:bottom w:val="single" w:sz="8" w:space="0" w:color="auto"/>
              <w:right w:val="double" w:sz="6" w:space="0" w:color="auto"/>
            </w:tcBorders>
            <w:shd w:val="clear" w:color="auto" w:fill="auto"/>
            <w:vAlign w:val="center"/>
            <w:hideMark/>
          </w:tcPr>
          <w:p w14:paraId="384F2956"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18.3%</w:t>
            </w:r>
          </w:p>
        </w:tc>
        <w:tc>
          <w:tcPr>
            <w:tcW w:w="2799" w:type="dxa"/>
            <w:gridSpan w:val="2"/>
            <w:tcBorders>
              <w:top w:val="nil"/>
              <w:left w:val="nil"/>
              <w:bottom w:val="single" w:sz="8" w:space="0" w:color="auto"/>
              <w:right w:val="double" w:sz="6" w:space="0" w:color="auto"/>
            </w:tcBorders>
            <w:shd w:val="clear" w:color="auto" w:fill="auto"/>
            <w:vAlign w:val="center"/>
            <w:hideMark/>
          </w:tcPr>
          <w:p w14:paraId="4FF192DF" w14:textId="77777777" w:rsidR="00671063" w:rsidRPr="00671063" w:rsidRDefault="00671063" w:rsidP="00671063">
            <w:pPr>
              <w:spacing w:after="0"/>
              <w:ind w:firstLine="0"/>
              <w:jc w:val="left"/>
              <w:rPr>
                <w:rFonts w:eastAsia="Times New Roman"/>
                <w:color w:val="000000"/>
                <w:sz w:val="20"/>
                <w:szCs w:val="20"/>
              </w:rPr>
            </w:pPr>
            <w:r w:rsidRPr="00671063">
              <w:rPr>
                <w:rFonts w:eastAsia="Times New Roman"/>
                <w:color w:val="000000"/>
                <w:sz w:val="20"/>
                <w:szCs w:val="20"/>
              </w:rPr>
              <w:t xml:space="preserve">  2-4 days per week</w:t>
            </w:r>
          </w:p>
        </w:tc>
        <w:tc>
          <w:tcPr>
            <w:tcW w:w="801" w:type="dxa"/>
            <w:tcBorders>
              <w:top w:val="nil"/>
              <w:left w:val="nil"/>
              <w:bottom w:val="single" w:sz="8" w:space="0" w:color="auto"/>
              <w:right w:val="single" w:sz="8" w:space="0" w:color="auto"/>
            </w:tcBorders>
            <w:shd w:val="clear" w:color="auto" w:fill="auto"/>
            <w:vAlign w:val="center"/>
            <w:hideMark/>
          </w:tcPr>
          <w:p w14:paraId="019C4B8F"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0.7%</w:t>
            </w:r>
          </w:p>
        </w:tc>
        <w:tc>
          <w:tcPr>
            <w:tcW w:w="810" w:type="dxa"/>
            <w:tcBorders>
              <w:top w:val="nil"/>
              <w:left w:val="nil"/>
              <w:bottom w:val="single" w:sz="8" w:space="0" w:color="auto"/>
              <w:right w:val="single" w:sz="8" w:space="0" w:color="auto"/>
            </w:tcBorders>
            <w:shd w:val="clear" w:color="auto" w:fill="auto"/>
            <w:vAlign w:val="center"/>
            <w:hideMark/>
          </w:tcPr>
          <w:p w14:paraId="640B588E"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4.4%</w:t>
            </w:r>
          </w:p>
        </w:tc>
        <w:tc>
          <w:tcPr>
            <w:tcW w:w="900" w:type="dxa"/>
            <w:tcBorders>
              <w:top w:val="nil"/>
              <w:left w:val="nil"/>
              <w:bottom w:val="single" w:sz="8" w:space="0" w:color="auto"/>
              <w:right w:val="double" w:sz="6" w:space="0" w:color="auto"/>
            </w:tcBorders>
            <w:shd w:val="clear" w:color="auto" w:fill="auto"/>
            <w:vAlign w:val="center"/>
            <w:hideMark/>
          </w:tcPr>
          <w:p w14:paraId="225134DA"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2.8%</w:t>
            </w:r>
          </w:p>
        </w:tc>
        <w:tc>
          <w:tcPr>
            <w:tcW w:w="810" w:type="dxa"/>
            <w:tcBorders>
              <w:top w:val="nil"/>
              <w:left w:val="nil"/>
              <w:bottom w:val="single" w:sz="8" w:space="0" w:color="auto"/>
              <w:right w:val="double" w:sz="6" w:space="0" w:color="auto"/>
            </w:tcBorders>
            <w:shd w:val="clear" w:color="auto" w:fill="auto"/>
            <w:vAlign w:val="center"/>
            <w:hideMark/>
          </w:tcPr>
          <w:p w14:paraId="20655867"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w:t>
            </w:r>
          </w:p>
        </w:tc>
      </w:tr>
      <w:tr w:rsidR="00671063" w:rsidRPr="00671063" w14:paraId="7B95BA1E" w14:textId="77777777" w:rsidTr="00F63564">
        <w:trPr>
          <w:trHeight w:val="20"/>
          <w:jc w:val="center"/>
        </w:trPr>
        <w:tc>
          <w:tcPr>
            <w:tcW w:w="1867" w:type="dxa"/>
            <w:tcBorders>
              <w:top w:val="nil"/>
              <w:left w:val="double" w:sz="6" w:space="0" w:color="auto"/>
              <w:bottom w:val="single" w:sz="8" w:space="0" w:color="auto"/>
              <w:right w:val="double" w:sz="6" w:space="0" w:color="auto"/>
            </w:tcBorders>
            <w:shd w:val="clear" w:color="auto" w:fill="auto"/>
            <w:vAlign w:val="center"/>
            <w:hideMark/>
          </w:tcPr>
          <w:p w14:paraId="0DA6D637" w14:textId="77777777" w:rsidR="00671063" w:rsidRPr="00671063" w:rsidRDefault="00671063" w:rsidP="00671063">
            <w:pPr>
              <w:spacing w:after="0"/>
              <w:ind w:firstLine="0"/>
              <w:jc w:val="left"/>
              <w:rPr>
                <w:rFonts w:eastAsia="Times New Roman"/>
                <w:color w:val="000000"/>
                <w:sz w:val="20"/>
                <w:szCs w:val="20"/>
              </w:rPr>
            </w:pPr>
            <w:r w:rsidRPr="00671063">
              <w:rPr>
                <w:rFonts w:eastAsia="Times New Roman"/>
                <w:color w:val="000000"/>
                <w:sz w:val="20"/>
                <w:szCs w:val="20"/>
              </w:rPr>
              <w:t xml:space="preserve">  $50,000-$74,999</w:t>
            </w:r>
          </w:p>
        </w:tc>
        <w:tc>
          <w:tcPr>
            <w:tcW w:w="734" w:type="dxa"/>
            <w:tcBorders>
              <w:top w:val="nil"/>
              <w:left w:val="nil"/>
              <w:bottom w:val="single" w:sz="8" w:space="0" w:color="auto"/>
              <w:right w:val="single" w:sz="8" w:space="0" w:color="auto"/>
            </w:tcBorders>
            <w:shd w:val="clear" w:color="auto" w:fill="auto"/>
            <w:vAlign w:val="center"/>
            <w:hideMark/>
          </w:tcPr>
          <w:p w14:paraId="5474C3D6"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15.7%</w:t>
            </w:r>
          </w:p>
        </w:tc>
        <w:tc>
          <w:tcPr>
            <w:tcW w:w="796" w:type="dxa"/>
            <w:tcBorders>
              <w:top w:val="single" w:sz="8" w:space="0" w:color="auto"/>
              <w:left w:val="nil"/>
              <w:bottom w:val="single" w:sz="8" w:space="0" w:color="auto"/>
              <w:right w:val="single" w:sz="8" w:space="0" w:color="000000"/>
            </w:tcBorders>
            <w:shd w:val="clear" w:color="auto" w:fill="auto"/>
            <w:vAlign w:val="center"/>
            <w:hideMark/>
          </w:tcPr>
          <w:p w14:paraId="1E89CA00"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15.1%</w:t>
            </w:r>
          </w:p>
        </w:tc>
        <w:tc>
          <w:tcPr>
            <w:tcW w:w="810" w:type="dxa"/>
            <w:gridSpan w:val="3"/>
            <w:tcBorders>
              <w:top w:val="single" w:sz="8" w:space="0" w:color="auto"/>
              <w:left w:val="nil"/>
              <w:bottom w:val="single" w:sz="8" w:space="0" w:color="auto"/>
              <w:right w:val="double" w:sz="6" w:space="0" w:color="000000"/>
            </w:tcBorders>
            <w:shd w:val="clear" w:color="auto" w:fill="auto"/>
            <w:vAlign w:val="center"/>
            <w:hideMark/>
          </w:tcPr>
          <w:p w14:paraId="27173300"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15.3%</w:t>
            </w:r>
          </w:p>
        </w:tc>
        <w:tc>
          <w:tcPr>
            <w:tcW w:w="810" w:type="dxa"/>
            <w:gridSpan w:val="5"/>
            <w:tcBorders>
              <w:top w:val="nil"/>
              <w:left w:val="nil"/>
              <w:bottom w:val="single" w:sz="8" w:space="0" w:color="auto"/>
              <w:right w:val="double" w:sz="6" w:space="0" w:color="auto"/>
            </w:tcBorders>
            <w:shd w:val="clear" w:color="auto" w:fill="auto"/>
            <w:vAlign w:val="center"/>
            <w:hideMark/>
          </w:tcPr>
          <w:p w14:paraId="400C480A"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17.4%</w:t>
            </w:r>
          </w:p>
        </w:tc>
        <w:tc>
          <w:tcPr>
            <w:tcW w:w="2799" w:type="dxa"/>
            <w:gridSpan w:val="2"/>
            <w:tcBorders>
              <w:top w:val="nil"/>
              <w:left w:val="nil"/>
              <w:bottom w:val="single" w:sz="8" w:space="0" w:color="auto"/>
              <w:right w:val="double" w:sz="6" w:space="0" w:color="auto"/>
            </w:tcBorders>
            <w:shd w:val="clear" w:color="auto" w:fill="auto"/>
            <w:vAlign w:val="center"/>
            <w:hideMark/>
          </w:tcPr>
          <w:p w14:paraId="32347496" w14:textId="77777777" w:rsidR="00671063" w:rsidRPr="00671063" w:rsidRDefault="00671063" w:rsidP="00671063">
            <w:pPr>
              <w:spacing w:after="0"/>
              <w:ind w:firstLine="0"/>
              <w:jc w:val="left"/>
              <w:rPr>
                <w:rFonts w:eastAsia="Times New Roman"/>
                <w:color w:val="000000"/>
                <w:sz w:val="20"/>
                <w:szCs w:val="20"/>
              </w:rPr>
            </w:pPr>
            <w:r w:rsidRPr="00671063">
              <w:rPr>
                <w:rFonts w:eastAsia="Times New Roman"/>
                <w:color w:val="000000"/>
                <w:sz w:val="20"/>
                <w:szCs w:val="20"/>
              </w:rPr>
              <w:t xml:space="preserve">  5 days per week</w:t>
            </w:r>
          </w:p>
        </w:tc>
        <w:tc>
          <w:tcPr>
            <w:tcW w:w="801" w:type="dxa"/>
            <w:tcBorders>
              <w:top w:val="nil"/>
              <w:left w:val="nil"/>
              <w:bottom w:val="single" w:sz="8" w:space="0" w:color="auto"/>
              <w:right w:val="single" w:sz="8" w:space="0" w:color="auto"/>
            </w:tcBorders>
            <w:shd w:val="clear" w:color="auto" w:fill="auto"/>
            <w:vAlign w:val="center"/>
            <w:hideMark/>
          </w:tcPr>
          <w:p w14:paraId="216966E0"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0.1%</w:t>
            </w:r>
          </w:p>
        </w:tc>
        <w:tc>
          <w:tcPr>
            <w:tcW w:w="810" w:type="dxa"/>
            <w:tcBorders>
              <w:top w:val="nil"/>
              <w:left w:val="nil"/>
              <w:bottom w:val="single" w:sz="8" w:space="0" w:color="auto"/>
              <w:right w:val="single" w:sz="8" w:space="0" w:color="auto"/>
            </w:tcBorders>
            <w:shd w:val="clear" w:color="auto" w:fill="auto"/>
            <w:vAlign w:val="center"/>
            <w:hideMark/>
          </w:tcPr>
          <w:p w14:paraId="639C64AF"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0.6%</w:t>
            </w:r>
          </w:p>
        </w:tc>
        <w:tc>
          <w:tcPr>
            <w:tcW w:w="900" w:type="dxa"/>
            <w:tcBorders>
              <w:top w:val="nil"/>
              <w:left w:val="nil"/>
              <w:bottom w:val="single" w:sz="8" w:space="0" w:color="auto"/>
              <w:right w:val="double" w:sz="6" w:space="0" w:color="auto"/>
            </w:tcBorders>
            <w:shd w:val="clear" w:color="auto" w:fill="auto"/>
            <w:vAlign w:val="center"/>
            <w:hideMark/>
          </w:tcPr>
          <w:p w14:paraId="01CF6817"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0.4%</w:t>
            </w:r>
          </w:p>
        </w:tc>
        <w:tc>
          <w:tcPr>
            <w:tcW w:w="810" w:type="dxa"/>
            <w:tcBorders>
              <w:top w:val="nil"/>
              <w:left w:val="nil"/>
              <w:bottom w:val="single" w:sz="8" w:space="0" w:color="auto"/>
              <w:right w:val="double" w:sz="6" w:space="0" w:color="auto"/>
            </w:tcBorders>
            <w:shd w:val="clear" w:color="auto" w:fill="auto"/>
            <w:vAlign w:val="center"/>
            <w:hideMark/>
          </w:tcPr>
          <w:p w14:paraId="0CD8FE05"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w:t>
            </w:r>
          </w:p>
        </w:tc>
      </w:tr>
      <w:tr w:rsidR="00671063" w:rsidRPr="00671063" w14:paraId="21891015" w14:textId="77777777" w:rsidTr="00F63564">
        <w:trPr>
          <w:trHeight w:val="20"/>
          <w:jc w:val="center"/>
        </w:trPr>
        <w:tc>
          <w:tcPr>
            <w:tcW w:w="1867" w:type="dxa"/>
            <w:tcBorders>
              <w:top w:val="nil"/>
              <w:left w:val="double" w:sz="6" w:space="0" w:color="auto"/>
              <w:bottom w:val="single" w:sz="8" w:space="0" w:color="auto"/>
              <w:right w:val="double" w:sz="6" w:space="0" w:color="auto"/>
            </w:tcBorders>
            <w:shd w:val="clear" w:color="auto" w:fill="auto"/>
            <w:vAlign w:val="center"/>
            <w:hideMark/>
          </w:tcPr>
          <w:p w14:paraId="3A11F97D" w14:textId="77777777" w:rsidR="00671063" w:rsidRPr="00671063" w:rsidRDefault="00671063" w:rsidP="00671063">
            <w:pPr>
              <w:spacing w:after="0"/>
              <w:ind w:firstLine="0"/>
              <w:jc w:val="left"/>
              <w:rPr>
                <w:rFonts w:eastAsia="Times New Roman"/>
                <w:color w:val="000000"/>
                <w:sz w:val="20"/>
                <w:szCs w:val="20"/>
              </w:rPr>
            </w:pPr>
            <w:r w:rsidRPr="00671063">
              <w:rPr>
                <w:rFonts w:eastAsia="Times New Roman"/>
                <w:color w:val="000000"/>
                <w:sz w:val="20"/>
                <w:szCs w:val="20"/>
              </w:rPr>
              <w:t xml:space="preserve">  $75,000-$99,999</w:t>
            </w:r>
          </w:p>
        </w:tc>
        <w:tc>
          <w:tcPr>
            <w:tcW w:w="734" w:type="dxa"/>
            <w:tcBorders>
              <w:top w:val="nil"/>
              <w:left w:val="nil"/>
              <w:bottom w:val="single" w:sz="8" w:space="0" w:color="auto"/>
              <w:right w:val="single" w:sz="8" w:space="0" w:color="auto"/>
            </w:tcBorders>
            <w:shd w:val="clear" w:color="auto" w:fill="auto"/>
            <w:vAlign w:val="center"/>
            <w:hideMark/>
          </w:tcPr>
          <w:p w14:paraId="5E9D10FE"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16.0%</w:t>
            </w:r>
          </w:p>
        </w:tc>
        <w:tc>
          <w:tcPr>
            <w:tcW w:w="796" w:type="dxa"/>
            <w:tcBorders>
              <w:top w:val="single" w:sz="8" w:space="0" w:color="auto"/>
              <w:left w:val="nil"/>
              <w:bottom w:val="single" w:sz="8" w:space="0" w:color="auto"/>
              <w:right w:val="single" w:sz="8" w:space="0" w:color="000000"/>
            </w:tcBorders>
            <w:shd w:val="clear" w:color="auto" w:fill="auto"/>
            <w:vAlign w:val="center"/>
            <w:hideMark/>
          </w:tcPr>
          <w:p w14:paraId="4AA1BF48"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14.2%</w:t>
            </w:r>
          </w:p>
        </w:tc>
        <w:tc>
          <w:tcPr>
            <w:tcW w:w="810" w:type="dxa"/>
            <w:gridSpan w:val="3"/>
            <w:tcBorders>
              <w:top w:val="single" w:sz="8" w:space="0" w:color="auto"/>
              <w:left w:val="nil"/>
              <w:bottom w:val="single" w:sz="8" w:space="0" w:color="auto"/>
              <w:right w:val="double" w:sz="6" w:space="0" w:color="000000"/>
            </w:tcBorders>
            <w:shd w:val="clear" w:color="auto" w:fill="auto"/>
            <w:vAlign w:val="center"/>
            <w:hideMark/>
          </w:tcPr>
          <w:p w14:paraId="3A341349"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15.0%</w:t>
            </w:r>
          </w:p>
        </w:tc>
        <w:tc>
          <w:tcPr>
            <w:tcW w:w="810" w:type="dxa"/>
            <w:gridSpan w:val="5"/>
            <w:tcBorders>
              <w:top w:val="nil"/>
              <w:left w:val="nil"/>
              <w:bottom w:val="single" w:sz="8" w:space="0" w:color="auto"/>
              <w:right w:val="double" w:sz="6" w:space="0" w:color="auto"/>
            </w:tcBorders>
            <w:shd w:val="clear" w:color="auto" w:fill="auto"/>
            <w:vAlign w:val="center"/>
            <w:hideMark/>
          </w:tcPr>
          <w:p w14:paraId="7AD4A119"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13.8%</w:t>
            </w:r>
          </w:p>
        </w:tc>
        <w:tc>
          <w:tcPr>
            <w:tcW w:w="2799" w:type="dxa"/>
            <w:gridSpan w:val="2"/>
            <w:tcBorders>
              <w:top w:val="nil"/>
              <w:left w:val="nil"/>
              <w:bottom w:val="nil"/>
              <w:right w:val="double" w:sz="6" w:space="0" w:color="auto"/>
            </w:tcBorders>
            <w:shd w:val="clear" w:color="auto" w:fill="auto"/>
            <w:vAlign w:val="center"/>
            <w:hideMark/>
          </w:tcPr>
          <w:p w14:paraId="4A352428" w14:textId="77777777" w:rsidR="00671063" w:rsidRPr="00671063" w:rsidRDefault="00671063" w:rsidP="00671063">
            <w:pPr>
              <w:spacing w:after="0"/>
              <w:ind w:firstLine="0"/>
              <w:jc w:val="left"/>
              <w:rPr>
                <w:rFonts w:eastAsia="Times New Roman"/>
                <w:color w:val="000000"/>
                <w:sz w:val="20"/>
                <w:szCs w:val="20"/>
              </w:rPr>
            </w:pPr>
            <w:r w:rsidRPr="00671063">
              <w:rPr>
                <w:rFonts w:eastAsia="Times New Roman"/>
                <w:color w:val="000000"/>
                <w:sz w:val="20"/>
                <w:szCs w:val="20"/>
              </w:rPr>
              <w:t xml:space="preserve">  6-7 days per week</w:t>
            </w:r>
          </w:p>
        </w:tc>
        <w:tc>
          <w:tcPr>
            <w:tcW w:w="801" w:type="dxa"/>
            <w:tcBorders>
              <w:top w:val="nil"/>
              <w:left w:val="nil"/>
              <w:bottom w:val="nil"/>
              <w:right w:val="single" w:sz="8" w:space="0" w:color="auto"/>
            </w:tcBorders>
            <w:shd w:val="clear" w:color="auto" w:fill="auto"/>
            <w:vAlign w:val="center"/>
            <w:hideMark/>
          </w:tcPr>
          <w:p w14:paraId="73B8F7E8"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0.2%</w:t>
            </w:r>
          </w:p>
        </w:tc>
        <w:tc>
          <w:tcPr>
            <w:tcW w:w="810" w:type="dxa"/>
            <w:tcBorders>
              <w:top w:val="nil"/>
              <w:left w:val="nil"/>
              <w:bottom w:val="nil"/>
              <w:right w:val="single" w:sz="8" w:space="0" w:color="auto"/>
            </w:tcBorders>
            <w:shd w:val="clear" w:color="auto" w:fill="auto"/>
            <w:vAlign w:val="center"/>
            <w:hideMark/>
          </w:tcPr>
          <w:p w14:paraId="1A0B7645"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0.2%</w:t>
            </w:r>
          </w:p>
        </w:tc>
        <w:tc>
          <w:tcPr>
            <w:tcW w:w="900" w:type="dxa"/>
            <w:tcBorders>
              <w:top w:val="nil"/>
              <w:left w:val="nil"/>
              <w:bottom w:val="nil"/>
              <w:right w:val="double" w:sz="6" w:space="0" w:color="auto"/>
            </w:tcBorders>
            <w:shd w:val="clear" w:color="auto" w:fill="auto"/>
            <w:vAlign w:val="center"/>
            <w:hideMark/>
          </w:tcPr>
          <w:p w14:paraId="44C4F9A0"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0.1%</w:t>
            </w:r>
          </w:p>
        </w:tc>
        <w:tc>
          <w:tcPr>
            <w:tcW w:w="810" w:type="dxa"/>
            <w:tcBorders>
              <w:top w:val="nil"/>
              <w:left w:val="nil"/>
              <w:bottom w:val="nil"/>
              <w:right w:val="double" w:sz="6" w:space="0" w:color="auto"/>
            </w:tcBorders>
            <w:shd w:val="clear" w:color="auto" w:fill="auto"/>
            <w:vAlign w:val="center"/>
            <w:hideMark/>
          </w:tcPr>
          <w:p w14:paraId="53A950AE"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w:t>
            </w:r>
          </w:p>
        </w:tc>
      </w:tr>
      <w:tr w:rsidR="00453931" w:rsidRPr="00671063" w14:paraId="33337BF9" w14:textId="77777777" w:rsidTr="00F63564">
        <w:trPr>
          <w:trHeight w:val="20"/>
          <w:jc w:val="center"/>
        </w:trPr>
        <w:tc>
          <w:tcPr>
            <w:tcW w:w="1867" w:type="dxa"/>
            <w:tcBorders>
              <w:top w:val="nil"/>
              <w:left w:val="double" w:sz="6" w:space="0" w:color="auto"/>
              <w:bottom w:val="double" w:sz="6" w:space="0" w:color="auto"/>
              <w:right w:val="double" w:sz="6" w:space="0" w:color="auto"/>
            </w:tcBorders>
            <w:shd w:val="clear" w:color="auto" w:fill="auto"/>
            <w:vAlign w:val="center"/>
            <w:hideMark/>
          </w:tcPr>
          <w:p w14:paraId="223ACC8C" w14:textId="77777777" w:rsidR="00671063" w:rsidRPr="00671063" w:rsidRDefault="00671063" w:rsidP="00671063">
            <w:pPr>
              <w:spacing w:after="0"/>
              <w:ind w:firstLine="0"/>
              <w:jc w:val="left"/>
              <w:rPr>
                <w:rFonts w:eastAsia="Times New Roman"/>
                <w:color w:val="000000"/>
                <w:sz w:val="20"/>
                <w:szCs w:val="20"/>
              </w:rPr>
            </w:pPr>
            <w:r w:rsidRPr="00671063">
              <w:rPr>
                <w:rFonts w:eastAsia="Times New Roman"/>
                <w:color w:val="000000"/>
                <w:sz w:val="20"/>
                <w:szCs w:val="20"/>
              </w:rPr>
              <w:t xml:space="preserve">  $100,000 or more</w:t>
            </w:r>
          </w:p>
        </w:tc>
        <w:tc>
          <w:tcPr>
            <w:tcW w:w="734" w:type="dxa"/>
            <w:tcBorders>
              <w:top w:val="nil"/>
              <w:left w:val="nil"/>
              <w:bottom w:val="double" w:sz="6" w:space="0" w:color="auto"/>
              <w:right w:val="single" w:sz="8" w:space="0" w:color="auto"/>
            </w:tcBorders>
            <w:shd w:val="clear" w:color="auto" w:fill="auto"/>
            <w:vAlign w:val="center"/>
            <w:hideMark/>
          </w:tcPr>
          <w:p w14:paraId="44C5E54F"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38.6%</w:t>
            </w:r>
          </w:p>
        </w:tc>
        <w:tc>
          <w:tcPr>
            <w:tcW w:w="796" w:type="dxa"/>
            <w:tcBorders>
              <w:top w:val="single" w:sz="8" w:space="0" w:color="auto"/>
              <w:left w:val="nil"/>
              <w:bottom w:val="double" w:sz="6" w:space="0" w:color="auto"/>
              <w:right w:val="single" w:sz="8" w:space="0" w:color="000000"/>
            </w:tcBorders>
            <w:shd w:val="clear" w:color="auto" w:fill="auto"/>
            <w:vAlign w:val="center"/>
            <w:hideMark/>
          </w:tcPr>
          <w:p w14:paraId="76FAE85B"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47.6%</w:t>
            </w:r>
          </w:p>
        </w:tc>
        <w:tc>
          <w:tcPr>
            <w:tcW w:w="810" w:type="dxa"/>
            <w:gridSpan w:val="3"/>
            <w:tcBorders>
              <w:top w:val="single" w:sz="8" w:space="0" w:color="auto"/>
              <w:left w:val="nil"/>
              <w:bottom w:val="double" w:sz="6" w:space="0" w:color="auto"/>
              <w:right w:val="double" w:sz="6" w:space="0" w:color="000000"/>
            </w:tcBorders>
            <w:shd w:val="clear" w:color="auto" w:fill="auto"/>
            <w:vAlign w:val="center"/>
            <w:hideMark/>
          </w:tcPr>
          <w:p w14:paraId="12B0D10A"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43.6%</w:t>
            </w:r>
          </w:p>
        </w:tc>
        <w:tc>
          <w:tcPr>
            <w:tcW w:w="810" w:type="dxa"/>
            <w:gridSpan w:val="5"/>
            <w:tcBorders>
              <w:top w:val="nil"/>
              <w:left w:val="nil"/>
              <w:bottom w:val="double" w:sz="6" w:space="0" w:color="auto"/>
              <w:right w:val="double" w:sz="6" w:space="0" w:color="auto"/>
            </w:tcBorders>
            <w:shd w:val="clear" w:color="auto" w:fill="auto"/>
            <w:vAlign w:val="center"/>
            <w:hideMark/>
          </w:tcPr>
          <w:p w14:paraId="2450285A"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35.6%</w:t>
            </w:r>
          </w:p>
        </w:tc>
        <w:tc>
          <w:tcPr>
            <w:tcW w:w="2799" w:type="dxa"/>
            <w:gridSpan w:val="2"/>
            <w:tcBorders>
              <w:top w:val="nil"/>
              <w:left w:val="nil"/>
              <w:bottom w:val="double" w:sz="6" w:space="0" w:color="auto"/>
              <w:right w:val="double" w:sz="6" w:space="0" w:color="auto"/>
            </w:tcBorders>
            <w:shd w:val="clear" w:color="000000" w:fill="FFFFFF"/>
            <w:vAlign w:val="center"/>
            <w:hideMark/>
          </w:tcPr>
          <w:p w14:paraId="3228D59E" w14:textId="77777777" w:rsidR="00671063" w:rsidRPr="00671063" w:rsidRDefault="00671063" w:rsidP="00671063">
            <w:pPr>
              <w:spacing w:after="0"/>
              <w:ind w:firstLine="0"/>
              <w:jc w:val="left"/>
              <w:rPr>
                <w:rFonts w:eastAsia="Times New Roman"/>
                <w:color w:val="000000"/>
                <w:sz w:val="20"/>
                <w:szCs w:val="20"/>
              </w:rPr>
            </w:pPr>
            <w:r w:rsidRPr="00671063">
              <w:rPr>
                <w:rFonts w:eastAsia="Times New Roman"/>
                <w:color w:val="000000"/>
                <w:sz w:val="20"/>
                <w:szCs w:val="20"/>
              </w:rPr>
              <w:t> </w:t>
            </w:r>
          </w:p>
        </w:tc>
        <w:tc>
          <w:tcPr>
            <w:tcW w:w="801" w:type="dxa"/>
            <w:tcBorders>
              <w:top w:val="nil"/>
              <w:left w:val="nil"/>
              <w:bottom w:val="double" w:sz="6" w:space="0" w:color="auto"/>
              <w:right w:val="single" w:sz="8" w:space="0" w:color="auto"/>
            </w:tcBorders>
            <w:shd w:val="clear" w:color="000000" w:fill="FFFFFF"/>
            <w:vAlign w:val="center"/>
            <w:hideMark/>
          </w:tcPr>
          <w:p w14:paraId="6397EED4"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 </w:t>
            </w:r>
          </w:p>
        </w:tc>
        <w:tc>
          <w:tcPr>
            <w:tcW w:w="810" w:type="dxa"/>
            <w:tcBorders>
              <w:top w:val="nil"/>
              <w:left w:val="nil"/>
              <w:bottom w:val="double" w:sz="6" w:space="0" w:color="auto"/>
              <w:right w:val="single" w:sz="8" w:space="0" w:color="auto"/>
            </w:tcBorders>
            <w:shd w:val="clear" w:color="000000" w:fill="FFFFFF"/>
            <w:vAlign w:val="center"/>
            <w:hideMark/>
          </w:tcPr>
          <w:p w14:paraId="56B23273"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 </w:t>
            </w:r>
          </w:p>
        </w:tc>
        <w:tc>
          <w:tcPr>
            <w:tcW w:w="900" w:type="dxa"/>
            <w:tcBorders>
              <w:top w:val="nil"/>
              <w:left w:val="nil"/>
              <w:bottom w:val="double" w:sz="6" w:space="0" w:color="auto"/>
              <w:right w:val="double" w:sz="6" w:space="0" w:color="auto"/>
            </w:tcBorders>
            <w:shd w:val="clear" w:color="000000" w:fill="FFFFFF"/>
            <w:vAlign w:val="center"/>
            <w:hideMark/>
          </w:tcPr>
          <w:p w14:paraId="0D465426"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 </w:t>
            </w:r>
          </w:p>
        </w:tc>
        <w:tc>
          <w:tcPr>
            <w:tcW w:w="810" w:type="dxa"/>
            <w:tcBorders>
              <w:top w:val="nil"/>
              <w:left w:val="nil"/>
              <w:bottom w:val="double" w:sz="6" w:space="0" w:color="auto"/>
              <w:right w:val="double" w:sz="6" w:space="0" w:color="auto"/>
            </w:tcBorders>
            <w:shd w:val="clear" w:color="000000" w:fill="FFFFFF"/>
            <w:vAlign w:val="center"/>
            <w:hideMark/>
          </w:tcPr>
          <w:p w14:paraId="5E16FEA2"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 </w:t>
            </w:r>
          </w:p>
        </w:tc>
      </w:tr>
      <w:tr w:rsidR="00671063" w:rsidRPr="00671063" w14:paraId="72FBF409" w14:textId="77777777" w:rsidTr="00F63564">
        <w:trPr>
          <w:trHeight w:val="20"/>
          <w:jc w:val="center"/>
        </w:trPr>
        <w:tc>
          <w:tcPr>
            <w:tcW w:w="1867" w:type="dxa"/>
            <w:tcBorders>
              <w:top w:val="nil"/>
              <w:left w:val="double" w:sz="6" w:space="0" w:color="auto"/>
              <w:bottom w:val="double" w:sz="6" w:space="0" w:color="auto"/>
              <w:right w:val="double" w:sz="6" w:space="0" w:color="auto"/>
            </w:tcBorders>
            <w:shd w:val="clear" w:color="auto" w:fill="auto"/>
            <w:vAlign w:val="center"/>
            <w:hideMark/>
          </w:tcPr>
          <w:p w14:paraId="5927C13E" w14:textId="77777777" w:rsidR="00671063" w:rsidRPr="00671063" w:rsidRDefault="00671063" w:rsidP="00671063">
            <w:pPr>
              <w:spacing w:after="0"/>
              <w:ind w:firstLine="0"/>
              <w:jc w:val="left"/>
              <w:rPr>
                <w:rFonts w:eastAsia="Times New Roman"/>
                <w:b/>
                <w:bCs/>
                <w:color w:val="000000"/>
                <w:sz w:val="20"/>
                <w:szCs w:val="20"/>
              </w:rPr>
            </w:pPr>
            <w:r w:rsidRPr="00671063">
              <w:rPr>
                <w:rFonts w:eastAsia="Times New Roman"/>
                <w:b/>
                <w:bCs/>
                <w:color w:val="000000"/>
                <w:sz w:val="20"/>
                <w:szCs w:val="20"/>
              </w:rPr>
              <w:t>Observations (n)</w:t>
            </w:r>
          </w:p>
        </w:tc>
        <w:tc>
          <w:tcPr>
            <w:tcW w:w="734" w:type="dxa"/>
            <w:tcBorders>
              <w:top w:val="nil"/>
              <w:left w:val="nil"/>
              <w:bottom w:val="double" w:sz="6" w:space="0" w:color="auto"/>
              <w:right w:val="single" w:sz="8" w:space="0" w:color="auto"/>
            </w:tcBorders>
            <w:shd w:val="clear" w:color="auto" w:fill="auto"/>
            <w:vAlign w:val="center"/>
            <w:hideMark/>
          </w:tcPr>
          <w:p w14:paraId="652D53CB"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3,800</w:t>
            </w:r>
          </w:p>
        </w:tc>
        <w:tc>
          <w:tcPr>
            <w:tcW w:w="796" w:type="dxa"/>
            <w:tcBorders>
              <w:top w:val="double" w:sz="6" w:space="0" w:color="auto"/>
              <w:left w:val="nil"/>
              <w:bottom w:val="double" w:sz="6" w:space="0" w:color="auto"/>
              <w:right w:val="single" w:sz="8" w:space="0" w:color="000000"/>
            </w:tcBorders>
            <w:shd w:val="clear" w:color="auto" w:fill="auto"/>
            <w:vAlign w:val="center"/>
            <w:hideMark/>
          </w:tcPr>
          <w:p w14:paraId="16F47EA5"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4,742</w:t>
            </w:r>
          </w:p>
        </w:tc>
        <w:tc>
          <w:tcPr>
            <w:tcW w:w="810" w:type="dxa"/>
            <w:gridSpan w:val="3"/>
            <w:tcBorders>
              <w:top w:val="double" w:sz="6" w:space="0" w:color="auto"/>
              <w:left w:val="nil"/>
              <w:bottom w:val="double" w:sz="6" w:space="0" w:color="auto"/>
              <w:right w:val="double" w:sz="6" w:space="0" w:color="000000"/>
            </w:tcBorders>
            <w:shd w:val="clear" w:color="auto" w:fill="auto"/>
            <w:vAlign w:val="center"/>
            <w:hideMark/>
          </w:tcPr>
          <w:p w14:paraId="3CAB48FF"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8,542</w:t>
            </w:r>
          </w:p>
        </w:tc>
        <w:tc>
          <w:tcPr>
            <w:tcW w:w="810" w:type="dxa"/>
            <w:gridSpan w:val="5"/>
            <w:tcBorders>
              <w:top w:val="nil"/>
              <w:left w:val="nil"/>
              <w:bottom w:val="double" w:sz="6" w:space="0" w:color="auto"/>
              <w:right w:val="double" w:sz="6" w:space="0" w:color="auto"/>
            </w:tcBorders>
            <w:shd w:val="clear" w:color="auto" w:fill="auto"/>
            <w:vAlign w:val="center"/>
            <w:hideMark/>
          </w:tcPr>
          <w:p w14:paraId="121C3C4D" w14:textId="77777777" w:rsidR="00671063" w:rsidRPr="00671063" w:rsidRDefault="00671063" w:rsidP="00671063">
            <w:pPr>
              <w:spacing w:after="0"/>
              <w:ind w:firstLine="0"/>
              <w:jc w:val="right"/>
              <w:rPr>
                <w:rFonts w:eastAsia="Times New Roman"/>
                <w:b/>
                <w:bCs/>
                <w:color w:val="000000"/>
                <w:sz w:val="20"/>
                <w:szCs w:val="20"/>
              </w:rPr>
            </w:pPr>
            <w:r w:rsidRPr="00671063">
              <w:rPr>
                <w:rFonts w:eastAsia="Times New Roman"/>
                <w:b/>
                <w:bCs/>
                <w:color w:val="000000"/>
                <w:sz w:val="20"/>
                <w:szCs w:val="20"/>
              </w:rPr>
              <w:t>---</w:t>
            </w:r>
          </w:p>
        </w:tc>
        <w:tc>
          <w:tcPr>
            <w:tcW w:w="2799" w:type="dxa"/>
            <w:gridSpan w:val="2"/>
            <w:tcBorders>
              <w:top w:val="nil"/>
              <w:left w:val="nil"/>
              <w:bottom w:val="double" w:sz="6" w:space="0" w:color="auto"/>
              <w:right w:val="double" w:sz="6" w:space="0" w:color="auto"/>
            </w:tcBorders>
            <w:shd w:val="clear" w:color="auto" w:fill="auto"/>
            <w:vAlign w:val="center"/>
            <w:hideMark/>
          </w:tcPr>
          <w:p w14:paraId="60420B65" w14:textId="77777777" w:rsidR="00671063" w:rsidRPr="00671063" w:rsidRDefault="00671063" w:rsidP="00671063">
            <w:pPr>
              <w:spacing w:after="0"/>
              <w:ind w:firstLine="0"/>
              <w:jc w:val="left"/>
              <w:rPr>
                <w:rFonts w:eastAsia="Times New Roman"/>
                <w:b/>
                <w:bCs/>
                <w:color w:val="000000"/>
                <w:sz w:val="20"/>
                <w:szCs w:val="20"/>
              </w:rPr>
            </w:pPr>
            <w:r w:rsidRPr="00671063">
              <w:rPr>
                <w:rFonts w:eastAsia="Times New Roman"/>
                <w:b/>
                <w:bCs/>
                <w:color w:val="000000"/>
                <w:sz w:val="20"/>
                <w:szCs w:val="20"/>
              </w:rPr>
              <w:t>Observations (%)</w:t>
            </w:r>
          </w:p>
        </w:tc>
        <w:tc>
          <w:tcPr>
            <w:tcW w:w="801" w:type="dxa"/>
            <w:tcBorders>
              <w:top w:val="nil"/>
              <w:left w:val="nil"/>
              <w:bottom w:val="double" w:sz="6" w:space="0" w:color="auto"/>
              <w:right w:val="single" w:sz="8" w:space="0" w:color="auto"/>
            </w:tcBorders>
            <w:shd w:val="clear" w:color="auto" w:fill="auto"/>
            <w:vAlign w:val="center"/>
            <w:hideMark/>
          </w:tcPr>
          <w:p w14:paraId="60BC0F16"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44.5%</w:t>
            </w:r>
          </w:p>
        </w:tc>
        <w:tc>
          <w:tcPr>
            <w:tcW w:w="810" w:type="dxa"/>
            <w:tcBorders>
              <w:top w:val="nil"/>
              <w:left w:val="nil"/>
              <w:bottom w:val="double" w:sz="6" w:space="0" w:color="auto"/>
              <w:right w:val="single" w:sz="8" w:space="0" w:color="auto"/>
            </w:tcBorders>
            <w:shd w:val="clear" w:color="auto" w:fill="auto"/>
            <w:vAlign w:val="center"/>
            <w:hideMark/>
          </w:tcPr>
          <w:p w14:paraId="299BA053"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55.5%</w:t>
            </w:r>
          </w:p>
        </w:tc>
        <w:tc>
          <w:tcPr>
            <w:tcW w:w="900" w:type="dxa"/>
            <w:tcBorders>
              <w:top w:val="nil"/>
              <w:left w:val="nil"/>
              <w:bottom w:val="double" w:sz="6" w:space="0" w:color="auto"/>
              <w:right w:val="double" w:sz="6" w:space="0" w:color="auto"/>
            </w:tcBorders>
            <w:shd w:val="clear" w:color="auto" w:fill="auto"/>
            <w:vAlign w:val="center"/>
            <w:hideMark/>
          </w:tcPr>
          <w:p w14:paraId="5262681E"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100.0%</w:t>
            </w:r>
          </w:p>
        </w:tc>
        <w:tc>
          <w:tcPr>
            <w:tcW w:w="810" w:type="dxa"/>
            <w:tcBorders>
              <w:top w:val="nil"/>
              <w:left w:val="nil"/>
              <w:bottom w:val="double" w:sz="6" w:space="0" w:color="auto"/>
              <w:right w:val="double" w:sz="6" w:space="0" w:color="auto"/>
            </w:tcBorders>
            <w:shd w:val="clear" w:color="auto" w:fill="auto"/>
            <w:vAlign w:val="center"/>
            <w:hideMark/>
          </w:tcPr>
          <w:p w14:paraId="24412A2E" w14:textId="77777777" w:rsidR="00671063" w:rsidRPr="00671063" w:rsidRDefault="00671063" w:rsidP="00671063">
            <w:pPr>
              <w:spacing w:after="0"/>
              <w:ind w:firstLine="0"/>
              <w:jc w:val="right"/>
              <w:rPr>
                <w:rFonts w:eastAsia="Times New Roman"/>
                <w:color w:val="000000"/>
                <w:sz w:val="20"/>
                <w:szCs w:val="20"/>
              </w:rPr>
            </w:pPr>
            <w:r w:rsidRPr="00671063">
              <w:rPr>
                <w:rFonts w:eastAsia="Times New Roman"/>
                <w:color w:val="000000"/>
                <w:sz w:val="20"/>
                <w:szCs w:val="20"/>
              </w:rPr>
              <w:t>---</w:t>
            </w:r>
          </w:p>
        </w:tc>
      </w:tr>
    </w:tbl>
    <w:p w14:paraId="2AA397A8" w14:textId="6F70920C" w:rsidR="00671063" w:rsidRDefault="00671063" w:rsidP="00453931"/>
    <w:p w14:paraId="4F77D817" w14:textId="79D772CC" w:rsidR="00E91B47" w:rsidRDefault="00E91B47" w:rsidP="00E91B47">
      <w:pPr>
        <w:pStyle w:val="FootnoteText"/>
        <w:ind w:firstLine="0"/>
      </w:pPr>
      <w:r>
        <w:rPr>
          <w:lang w:val="en-US"/>
        </w:rPr>
        <w:t>*</w:t>
      </w:r>
      <w:r w:rsidR="00F63564">
        <w:rPr>
          <w:lang w:val="en-US"/>
        </w:rPr>
        <w:t xml:space="preserve"> </w:t>
      </w:r>
      <w:r w:rsidRPr="00671063">
        <w:t>This row does not contain individuals aged 18 and 19 for the “PSR 2017” column. This is due to minor data incompatibility issues between the PSRC surveys and the Census data.</w:t>
      </w:r>
    </w:p>
    <w:p w14:paraId="0F0B2075" w14:textId="38E8E5B9" w:rsidR="00E91B47" w:rsidRPr="00453931" w:rsidRDefault="00E91B47" w:rsidP="00E91B47">
      <w:pPr>
        <w:pStyle w:val="FootnoteText"/>
        <w:ind w:firstLine="0"/>
        <w:rPr>
          <w:lang w:val="en-US"/>
        </w:rPr>
      </w:pPr>
      <w:r>
        <w:rPr>
          <w:lang w:val="en-US"/>
        </w:rPr>
        <w:t>**</w:t>
      </w:r>
      <w:r w:rsidRPr="00E91B47">
        <w:t xml:space="preserve"> </w:t>
      </w:r>
      <w:r w:rsidRPr="00671063">
        <w:t>The smartphone ownership data in the “Sample” columns refer to individual-level smartphone ownership. However, the “PSR 2017” column refers to household-level smartphone ownership.</w:t>
      </w:r>
    </w:p>
    <w:p w14:paraId="22C21537" w14:textId="50740C5D" w:rsidR="00E91B47" w:rsidRPr="00453931" w:rsidRDefault="00E91B47" w:rsidP="00E91B47">
      <w:pPr>
        <w:pStyle w:val="FootnoteText"/>
        <w:ind w:left="360" w:firstLine="0"/>
        <w:rPr>
          <w:lang w:val="en-US"/>
        </w:rPr>
      </w:pPr>
    </w:p>
    <w:p w14:paraId="5BBDC0C8" w14:textId="53D66425" w:rsidR="00674CBD" w:rsidRDefault="00674CBD" w:rsidP="00E91B47">
      <w:pPr>
        <w:pStyle w:val="ListParagraph"/>
        <w:numPr>
          <w:ilvl w:val="0"/>
          <w:numId w:val="22"/>
        </w:numPr>
        <w:spacing w:after="200" w:line="276" w:lineRule="auto"/>
        <w:jc w:val="left"/>
      </w:pPr>
      <w:r>
        <w:br w:type="page"/>
      </w:r>
    </w:p>
    <w:p w14:paraId="60ED5A6B" w14:textId="35B4161A" w:rsidR="00E5194C" w:rsidRDefault="00E5194C" w:rsidP="00994F96"/>
    <w:p w14:paraId="58C0A35C" w14:textId="77777777" w:rsidR="004174AE" w:rsidRPr="00C6712A" w:rsidRDefault="004174AE" w:rsidP="00994F96"/>
    <w:p w14:paraId="7FA2D9A2" w14:textId="4E250C58" w:rsidR="00E5194C" w:rsidRPr="00C6712A" w:rsidRDefault="00E5194C" w:rsidP="00E5194C">
      <w:pPr>
        <w:pStyle w:val="Caption"/>
        <w:keepNext/>
      </w:pPr>
      <w:bookmarkStart w:id="5" w:name="_Ref32571007"/>
      <w:r w:rsidRPr="00C6712A">
        <w:t xml:space="preserve">Table </w:t>
      </w:r>
      <w:r w:rsidRPr="0027118B">
        <w:fldChar w:fldCharType="begin"/>
      </w:r>
      <w:r w:rsidRPr="00C6712A">
        <w:instrText xml:space="preserve"> SEQ Table \* ARABIC </w:instrText>
      </w:r>
      <w:r w:rsidRPr="0027118B">
        <w:fldChar w:fldCharType="separate"/>
      </w:r>
      <w:r w:rsidR="00453931">
        <w:rPr>
          <w:noProof/>
        </w:rPr>
        <w:t>2</w:t>
      </w:r>
      <w:r w:rsidRPr="0027118B">
        <w:fldChar w:fldCharType="end"/>
      </w:r>
      <w:bookmarkEnd w:id="5"/>
      <w:r w:rsidRPr="00C6712A">
        <w:t xml:space="preserve"> Cross-tabulation of smartphone ownership and frequency of ride-hailing (n = 8,542)</w:t>
      </w:r>
    </w:p>
    <w:tbl>
      <w:tblPr>
        <w:tblW w:w="10467" w:type="dxa"/>
        <w:jc w:val="center"/>
        <w:tblLook w:val="04A0" w:firstRow="1" w:lastRow="0" w:firstColumn="1" w:lastColumn="0" w:noHBand="0" w:noVBand="1"/>
      </w:tblPr>
      <w:tblGrid>
        <w:gridCol w:w="696"/>
        <w:gridCol w:w="2274"/>
        <w:gridCol w:w="833"/>
        <w:gridCol w:w="833"/>
        <w:gridCol w:w="833"/>
        <w:gridCol w:w="833"/>
        <w:gridCol w:w="833"/>
        <w:gridCol w:w="833"/>
        <w:gridCol w:w="833"/>
        <w:gridCol w:w="833"/>
        <w:gridCol w:w="833"/>
      </w:tblGrid>
      <w:tr w:rsidR="00E5194C" w:rsidRPr="00C6712A" w14:paraId="15754DEB" w14:textId="77777777" w:rsidTr="00453931">
        <w:trPr>
          <w:cantSplit/>
          <w:trHeight w:val="20"/>
          <w:jc w:val="center"/>
        </w:trPr>
        <w:tc>
          <w:tcPr>
            <w:tcW w:w="682" w:type="dxa"/>
            <w:vMerge w:val="restart"/>
            <w:tcBorders>
              <w:top w:val="nil"/>
              <w:left w:val="nil"/>
              <w:right w:val="nil"/>
            </w:tcBorders>
            <w:shd w:val="clear" w:color="auto" w:fill="auto"/>
            <w:noWrap/>
            <w:vAlign w:val="center"/>
            <w:hideMark/>
          </w:tcPr>
          <w:p w14:paraId="2F9A7DBC" w14:textId="77777777" w:rsidR="00E5194C" w:rsidRPr="00C6712A" w:rsidRDefault="00E5194C" w:rsidP="00E5194C">
            <w:pPr>
              <w:spacing w:after="0"/>
              <w:ind w:firstLine="0"/>
              <w:contextualSpacing/>
              <w:jc w:val="center"/>
              <w:rPr>
                <w:sz w:val="20"/>
                <w:szCs w:val="24"/>
              </w:rPr>
            </w:pPr>
          </w:p>
        </w:tc>
        <w:tc>
          <w:tcPr>
            <w:tcW w:w="2288" w:type="dxa"/>
            <w:vMerge w:val="restart"/>
            <w:tcBorders>
              <w:top w:val="double" w:sz="6" w:space="0" w:color="auto"/>
              <w:left w:val="double" w:sz="6" w:space="0" w:color="auto"/>
              <w:bottom w:val="double" w:sz="6" w:space="0" w:color="000000"/>
              <w:right w:val="double" w:sz="6" w:space="0" w:color="auto"/>
            </w:tcBorders>
            <w:shd w:val="clear" w:color="auto" w:fill="auto"/>
            <w:vAlign w:val="center"/>
            <w:hideMark/>
          </w:tcPr>
          <w:p w14:paraId="54D66F6F" w14:textId="77777777" w:rsidR="00E5194C" w:rsidRPr="00C6712A" w:rsidRDefault="00E5194C" w:rsidP="00E5194C">
            <w:pPr>
              <w:spacing w:after="0"/>
              <w:ind w:firstLine="0"/>
              <w:contextualSpacing/>
              <w:jc w:val="center"/>
              <w:rPr>
                <w:b/>
                <w:bCs/>
                <w:color w:val="000000"/>
                <w:sz w:val="20"/>
              </w:rPr>
            </w:pPr>
            <w:r w:rsidRPr="00C6712A">
              <w:rPr>
                <w:b/>
                <w:bCs/>
                <w:color w:val="000000"/>
                <w:sz w:val="20"/>
              </w:rPr>
              <w:t>Frequency of ride-hailing</w:t>
            </w:r>
          </w:p>
        </w:tc>
        <w:tc>
          <w:tcPr>
            <w:tcW w:w="7497" w:type="dxa"/>
            <w:gridSpan w:val="9"/>
            <w:tcBorders>
              <w:top w:val="double" w:sz="6" w:space="0" w:color="auto"/>
              <w:left w:val="nil"/>
              <w:bottom w:val="nil"/>
              <w:right w:val="double" w:sz="6" w:space="0" w:color="000000"/>
            </w:tcBorders>
            <w:shd w:val="clear" w:color="auto" w:fill="auto"/>
            <w:vAlign w:val="center"/>
            <w:hideMark/>
          </w:tcPr>
          <w:p w14:paraId="417DE2DF" w14:textId="77777777" w:rsidR="00E5194C" w:rsidRPr="00C6712A" w:rsidRDefault="00E5194C" w:rsidP="00E5194C">
            <w:pPr>
              <w:spacing w:after="0"/>
              <w:ind w:firstLine="0"/>
              <w:contextualSpacing/>
              <w:jc w:val="center"/>
              <w:rPr>
                <w:b/>
                <w:bCs/>
                <w:color w:val="000000"/>
                <w:sz w:val="20"/>
              </w:rPr>
            </w:pPr>
            <w:r w:rsidRPr="00C6712A">
              <w:rPr>
                <w:b/>
                <w:bCs/>
                <w:color w:val="000000"/>
                <w:sz w:val="20"/>
              </w:rPr>
              <w:t>Owns a Smartphone</w:t>
            </w:r>
          </w:p>
        </w:tc>
      </w:tr>
      <w:tr w:rsidR="00E5194C" w:rsidRPr="00C6712A" w14:paraId="7BBD40EC" w14:textId="77777777" w:rsidTr="00453931">
        <w:trPr>
          <w:cantSplit/>
          <w:trHeight w:val="20"/>
          <w:jc w:val="center"/>
        </w:trPr>
        <w:tc>
          <w:tcPr>
            <w:tcW w:w="682" w:type="dxa"/>
            <w:vMerge/>
            <w:tcBorders>
              <w:left w:val="nil"/>
              <w:right w:val="nil"/>
            </w:tcBorders>
            <w:shd w:val="clear" w:color="auto" w:fill="auto"/>
            <w:noWrap/>
            <w:vAlign w:val="bottom"/>
            <w:hideMark/>
          </w:tcPr>
          <w:p w14:paraId="503B0018" w14:textId="77777777" w:rsidR="00E5194C" w:rsidRPr="00C6712A" w:rsidRDefault="00E5194C" w:rsidP="00E5194C">
            <w:pPr>
              <w:spacing w:after="0"/>
              <w:ind w:firstLine="0"/>
              <w:contextualSpacing/>
              <w:jc w:val="center"/>
              <w:rPr>
                <w:b/>
                <w:bCs/>
                <w:color w:val="000000"/>
                <w:sz w:val="20"/>
              </w:rPr>
            </w:pPr>
          </w:p>
        </w:tc>
        <w:tc>
          <w:tcPr>
            <w:tcW w:w="2288" w:type="dxa"/>
            <w:vMerge/>
            <w:tcBorders>
              <w:top w:val="double" w:sz="6" w:space="0" w:color="auto"/>
              <w:left w:val="double" w:sz="6" w:space="0" w:color="auto"/>
              <w:bottom w:val="double" w:sz="6" w:space="0" w:color="000000"/>
              <w:right w:val="double" w:sz="6" w:space="0" w:color="auto"/>
            </w:tcBorders>
            <w:vAlign w:val="center"/>
            <w:hideMark/>
          </w:tcPr>
          <w:p w14:paraId="027F7CC1" w14:textId="77777777" w:rsidR="00E5194C" w:rsidRPr="00C6712A" w:rsidRDefault="00E5194C" w:rsidP="00E5194C">
            <w:pPr>
              <w:spacing w:after="0"/>
              <w:ind w:firstLine="0"/>
              <w:contextualSpacing/>
              <w:rPr>
                <w:b/>
                <w:bCs/>
                <w:color w:val="000000"/>
                <w:sz w:val="20"/>
              </w:rPr>
            </w:pPr>
          </w:p>
        </w:tc>
        <w:tc>
          <w:tcPr>
            <w:tcW w:w="2499" w:type="dxa"/>
            <w:gridSpan w:val="3"/>
            <w:tcBorders>
              <w:top w:val="double" w:sz="6" w:space="0" w:color="auto"/>
              <w:left w:val="double" w:sz="6" w:space="0" w:color="auto"/>
              <w:bottom w:val="single" w:sz="4" w:space="0" w:color="auto"/>
              <w:right w:val="double" w:sz="6" w:space="0" w:color="000000"/>
            </w:tcBorders>
            <w:shd w:val="clear" w:color="auto" w:fill="auto"/>
            <w:noWrap/>
            <w:vAlign w:val="center"/>
            <w:hideMark/>
          </w:tcPr>
          <w:p w14:paraId="6FE19808" w14:textId="77777777" w:rsidR="00E5194C" w:rsidRPr="00C6712A" w:rsidRDefault="00E5194C" w:rsidP="00E5194C">
            <w:pPr>
              <w:spacing w:after="0"/>
              <w:ind w:firstLine="0"/>
              <w:contextualSpacing/>
              <w:jc w:val="center"/>
              <w:rPr>
                <w:b/>
                <w:bCs/>
                <w:color w:val="000000"/>
                <w:sz w:val="20"/>
              </w:rPr>
            </w:pPr>
            <w:r w:rsidRPr="00C6712A">
              <w:rPr>
                <w:b/>
                <w:bCs/>
                <w:color w:val="000000"/>
                <w:sz w:val="20"/>
              </w:rPr>
              <w:t>2015</w:t>
            </w:r>
          </w:p>
        </w:tc>
        <w:tc>
          <w:tcPr>
            <w:tcW w:w="2499" w:type="dxa"/>
            <w:gridSpan w:val="3"/>
            <w:tcBorders>
              <w:top w:val="double" w:sz="6" w:space="0" w:color="auto"/>
              <w:left w:val="nil"/>
              <w:bottom w:val="single" w:sz="4" w:space="0" w:color="auto"/>
              <w:right w:val="double" w:sz="6" w:space="0" w:color="000000"/>
            </w:tcBorders>
            <w:shd w:val="clear" w:color="auto" w:fill="auto"/>
            <w:noWrap/>
            <w:vAlign w:val="center"/>
            <w:hideMark/>
          </w:tcPr>
          <w:p w14:paraId="3C925349" w14:textId="77777777" w:rsidR="00E5194C" w:rsidRPr="00C6712A" w:rsidRDefault="00E5194C" w:rsidP="00E5194C">
            <w:pPr>
              <w:spacing w:after="0"/>
              <w:ind w:firstLine="0"/>
              <w:contextualSpacing/>
              <w:jc w:val="center"/>
              <w:rPr>
                <w:b/>
                <w:bCs/>
                <w:color w:val="000000"/>
                <w:sz w:val="20"/>
              </w:rPr>
            </w:pPr>
            <w:r w:rsidRPr="00C6712A">
              <w:rPr>
                <w:b/>
                <w:bCs/>
                <w:color w:val="000000"/>
                <w:sz w:val="20"/>
              </w:rPr>
              <w:t>2017</w:t>
            </w:r>
          </w:p>
        </w:tc>
        <w:tc>
          <w:tcPr>
            <w:tcW w:w="2499" w:type="dxa"/>
            <w:gridSpan w:val="3"/>
            <w:tcBorders>
              <w:top w:val="double" w:sz="6" w:space="0" w:color="auto"/>
              <w:left w:val="nil"/>
              <w:bottom w:val="single" w:sz="4" w:space="0" w:color="auto"/>
              <w:right w:val="double" w:sz="6" w:space="0" w:color="000000"/>
            </w:tcBorders>
            <w:shd w:val="clear" w:color="auto" w:fill="auto"/>
            <w:noWrap/>
            <w:vAlign w:val="center"/>
            <w:hideMark/>
          </w:tcPr>
          <w:p w14:paraId="5491E2F9" w14:textId="77777777" w:rsidR="00E5194C" w:rsidRPr="00C6712A" w:rsidRDefault="00E5194C" w:rsidP="00E5194C">
            <w:pPr>
              <w:spacing w:after="0"/>
              <w:ind w:firstLine="0"/>
              <w:contextualSpacing/>
              <w:jc w:val="center"/>
              <w:rPr>
                <w:b/>
                <w:bCs/>
                <w:color w:val="000000"/>
                <w:sz w:val="20"/>
              </w:rPr>
            </w:pPr>
            <w:r w:rsidRPr="00C6712A">
              <w:rPr>
                <w:b/>
                <w:bCs/>
                <w:color w:val="000000"/>
                <w:sz w:val="20"/>
              </w:rPr>
              <w:t>Total</w:t>
            </w:r>
          </w:p>
        </w:tc>
      </w:tr>
      <w:tr w:rsidR="00E5194C" w:rsidRPr="00C6712A" w14:paraId="24506B3A" w14:textId="77777777" w:rsidTr="00453931">
        <w:trPr>
          <w:cantSplit/>
          <w:trHeight w:val="20"/>
          <w:jc w:val="center"/>
        </w:trPr>
        <w:tc>
          <w:tcPr>
            <w:tcW w:w="682" w:type="dxa"/>
            <w:vMerge/>
            <w:tcBorders>
              <w:left w:val="nil"/>
              <w:bottom w:val="nil"/>
              <w:right w:val="nil"/>
            </w:tcBorders>
            <w:shd w:val="clear" w:color="auto" w:fill="auto"/>
            <w:noWrap/>
            <w:vAlign w:val="bottom"/>
            <w:hideMark/>
          </w:tcPr>
          <w:p w14:paraId="26708F1A" w14:textId="77777777" w:rsidR="00E5194C" w:rsidRPr="00C6712A" w:rsidRDefault="00E5194C" w:rsidP="00E5194C">
            <w:pPr>
              <w:spacing w:after="0"/>
              <w:ind w:firstLine="0"/>
              <w:contextualSpacing/>
              <w:jc w:val="center"/>
              <w:rPr>
                <w:b/>
                <w:bCs/>
                <w:color w:val="000000"/>
                <w:sz w:val="20"/>
              </w:rPr>
            </w:pPr>
          </w:p>
        </w:tc>
        <w:tc>
          <w:tcPr>
            <w:tcW w:w="2288" w:type="dxa"/>
            <w:vMerge/>
            <w:tcBorders>
              <w:top w:val="double" w:sz="6" w:space="0" w:color="auto"/>
              <w:left w:val="double" w:sz="6" w:space="0" w:color="auto"/>
              <w:bottom w:val="double" w:sz="6" w:space="0" w:color="000000"/>
              <w:right w:val="double" w:sz="6" w:space="0" w:color="auto"/>
            </w:tcBorders>
            <w:vAlign w:val="center"/>
            <w:hideMark/>
          </w:tcPr>
          <w:p w14:paraId="472EAB8A" w14:textId="77777777" w:rsidR="00E5194C" w:rsidRPr="00C6712A" w:rsidRDefault="00E5194C" w:rsidP="00E5194C">
            <w:pPr>
              <w:spacing w:after="0"/>
              <w:ind w:firstLine="0"/>
              <w:contextualSpacing/>
              <w:rPr>
                <w:b/>
                <w:bCs/>
                <w:color w:val="000000"/>
                <w:sz w:val="20"/>
              </w:rPr>
            </w:pPr>
          </w:p>
        </w:tc>
        <w:tc>
          <w:tcPr>
            <w:tcW w:w="833" w:type="dxa"/>
            <w:tcBorders>
              <w:top w:val="nil"/>
              <w:left w:val="double" w:sz="6" w:space="0" w:color="auto"/>
              <w:bottom w:val="double" w:sz="6" w:space="0" w:color="auto"/>
              <w:right w:val="single" w:sz="4" w:space="0" w:color="auto"/>
            </w:tcBorders>
            <w:shd w:val="clear" w:color="auto" w:fill="auto"/>
            <w:vAlign w:val="center"/>
            <w:hideMark/>
          </w:tcPr>
          <w:p w14:paraId="6477B7D4" w14:textId="77777777" w:rsidR="00E5194C" w:rsidRPr="00C6712A" w:rsidRDefault="00E5194C" w:rsidP="00E5194C">
            <w:pPr>
              <w:spacing w:after="0"/>
              <w:ind w:firstLine="0"/>
              <w:contextualSpacing/>
              <w:jc w:val="center"/>
              <w:rPr>
                <w:b/>
                <w:bCs/>
                <w:color w:val="000000"/>
                <w:sz w:val="20"/>
              </w:rPr>
            </w:pPr>
            <w:r w:rsidRPr="00C6712A">
              <w:rPr>
                <w:b/>
                <w:bCs/>
                <w:color w:val="000000"/>
                <w:sz w:val="20"/>
              </w:rPr>
              <w:t>Yes</w:t>
            </w:r>
          </w:p>
        </w:tc>
        <w:tc>
          <w:tcPr>
            <w:tcW w:w="833" w:type="dxa"/>
            <w:tcBorders>
              <w:top w:val="nil"/>
              <w:left w:val="nil"/>
              <w:bottom w:val="double" w:sz="6" w:space="0" w:color="auto"/>
              <w:right w:val="single" w:sz="4" w:space="0" w:color="auto"/>
            </w:tcBorders>
            <w:shd w:val="clear" w:color="auto" w:fill="auto"/>
            <w:vAlign w:val="center"/>
            <w:hideMark/>
          </w:tcPr>
          <w:p w14:paraId="5FD43307" w14:textId="77777777" w:rsidR="00E5194C" w:rsidRPr="00C6712A" w:rsidRDefault="00E5194C" w:rsidP="00E5194C">
            <w:pPr>
              <w:spacing w:after="0"/>
              <w:ind w:firstLine="0"/>
              <w:contextualSpacing/>
              <w:jc w:val="center"/>
              <w:rPr>
                <w:b/>
                <w:bCs/>
                <w:color w:val="000000"/>
                <w:sz w:val="20"/>
              </w:rPr>
            </w:pPr>
            <w:r w:rsidRPr="00C6712A">
              <w:rPr>
                <w:b/>
                <w:bCs/>
                <w:color w:val="000000"/>
                <w:sz w:val="20"/>
              </w:rPr>
              <w:t>No</w:t>
            </w:r>
          </w:p>
        </w:tc>
        <w:tc>
          <w:tcPr>
            <w:tcW w:w="833" w:type="dxa"/>
            <w:tcBorders>
              <w:top w:val="nil"/>
              <w:left w:val="nil"/>
              <w:bottom w:val="double" w:sz="6" w:space="0" w:color="auto"/>
              <w:right w:val="double" w:sz="6" w:space="0" w:color="auto"/>
            </w:tcBorders>
            <w:shd w:val="clear" w:color="auto" w:fill="auto"/>
            <w:vAlign w:val="center"/>
            <w:hideMark/>
          </w:tcPr>
          <w:p w14:paraId="6AB68CC6" w14:textId="77777777" w:rsidR="00E5194C" w:rsidRPr="00C6712A" w:rsidRDefault="00E5194C" w:rsidP="00E5194C">
            <w:pPr>
              <w:spacing w:after="0"/>
              <w:ind w:firstLine="0"/>
              <w:contextualSpacing/>
              <w:jc w:val="center"/>
              <w:rPr>
                <w:b/>
                <w:bCs/>
                <w:color w:val="000000"/>
                <w:sz w:val="20"/>
              </w:rPr>
            </w:pPr>
            <w:r w:rsidRPr="00C6712A">
              <w:rPr>
                <w:b/>
                <w:bCs/>
                <w:color w:val="000000"/>
                <w:sz w:val="20"/>
              </w:rPr>
              <w:t>Total</w:t>
            </w:r>
          </w:p>
        </w:tc>
        <w:tc>
          <w:tcPr>
            <w:tcW w:w="833" w:type="dxa"/>
            <w:tcBorders>
              <w:top w:val="nil"/>
              <w:left w:val="nil"/>
              <w:bottom w:val="double" w:sz="6" w:space="0" w:color="auto"/>
              <w:right w:val="single" w:sz="4" w:space="0" w:color="auto"/>
            </w:tcBorders>
            <w:shd w:val="clear" w:color="auto" w:fill="auto"/>
            <w:vAlign w:val="center"/>
            <w:hideMark/>
          </w:tcPr>
          <w:p w14:paraId="78438415" w14:textId="77777777" w:rsidR="00E5194C" w:rsidRPr="00C6712A" w:rsidRDefault="00E5194C" w:rsidP="00E5194C">
            <w:pPr>
              <w:spacing w:after="0"/>
              <w:ind w:firstLine="0"/>
              <w:contextualSpacing/>
              <w:jc w:val="center"/>
              <w:rPr>
                <w:b/>
                <w:bCs/>
                <w:color w:val="000000"/>
                <w:sz w:val="20"/>
              </w:rPr>
            </w:pPr>
            <w:r w:rsidRPr="00C6712A">
              <w:rPr>
                <w:b/>
                <w:bCs/>
                <w:color w:val="000000"/>
                <w:sz w:val="20"/>
              </w:rPr>
              <w:t>Yes</w:t>
            </w:r>
          </w:p>
        </w:tc>
        <w:tc>
          <w:tcPr>
            <w:tcW w:w="833" w:type="dxa"/>
            <w:tcBorders>
              <w:top w:val="nil"/>
              <w:left w:val="nil"/>
              <w:bottom w:val="double" w:sz="6" w:space="0" w:color="auto"/>
              <w:right w:val="single" w:sz="4" w:space="0" w:color="auto"/>
            </w:tcBorders>
            <w:shd w:val="clear" w:color="auto" w:fill="auto"/>
            <w:vAlign w:val="center"/>
            <w:hideMark/>
          </w:tcPr>
          <w:p w14:paraId="512F1902" w14:textId="77777777" w:rsidR="00E5194C" w:rsidRPr="00C6712A" w:rsidRDefault="00E5194C" w:rsidP="00E5194C">
            <w:pPr>
              <w:spacing w:after="0"/>
              <w:ind w:firstLine="0"/>
              <w:contextualSpacing/>
              <w:jc w:val="center"/>
              <w:rPr>
                <w:b/>
                <w:bCs/>
                <w:color w:val="000000"/>
                <w:sz w:val="20"/>
              </w:rPr>
            </w:pPr>
            <w:r w:rsidRPr="00C6712A">
              <w:rPr>
                <w:b/>
                <w:bCs/>
                <w:color w:val="000000"/>
                <w:sz w:val="20"/>
              </w:rPr>
              <w:t>No</w:t>
            </w:r>
          </w:p>
        </w:tc>
        <w:tc>
          <w:tcPr>
            <w:tcW w:w="833" w:type="dxa"/>
            <w:tcBorders>
              <w:top w:val="nil"/>
              <w:left w:val="nil"/>
              <w:bottom w:val="double" w:sz="6" w:space="0" w:color="auto"/>
              <w:right w:val="double" w:sz="6" w:space="0" w:color="auto"/>
            </w:tcBorders>
            <w:shd w:val="clear" w:color="auto" w:fill="auto"/>
            <w:vAlign w:val="center"/>
            <w:hideMark/>
          </w:tcPr>
          <w:p w14:paraId="16DF337A" w14:textId="77777777" w:rsidR="00E5194C" w:rsidRPr="00C6712A" w:rsidRDefault="00E5194C" w:rsidP="00E5194C">
            <w:pPr>
              <w:spacing w:after="0"/>
              <w:ind w:firstLine="0"/>
              <w:contextualSpacing/>
              <w:jc w:val="center"/>
              <w:rPr>
                <w:b/>
                <w:bCs/>
                <w:color w:val="000000"/>
                <w:sz w:val="20"/>
              </w:rPr>
            </w:pPr>
            <w:r w:rsidRPr="00C6712A">
              <w:rPr>
                <w:b/>
                <w:bCs/>
                <w:color w:val="000000"/>
                <w:sz w:val="20"/>
              </w:rPr>
              <w:t>Total</w:t>
            </w:r>
          </w:p>
        </w:tc>
        <w:tc>
          <w:tcPr>
            <w:tcW w:w="833" w:type="dxa"/>
            <w:tcBorders>
              <w:top w:val="nil"/>
              <w:left w:val="nil"/>
              <w:bottom w:val="double" w:sz="6" w:space="0" w:color="auto"/>
              <w:right w:val="single" w:sz="4" w:space="0" w:color="auto"/>
            </w:tcBorders>
            <w:shd w:val="clear" w:color="auto" w:fill="auto"/>
            <w:vAlign w:val="center"/>
            <w:hideMark/>
          </w:tcPr>
          <w:p w14:paraId="0BC68951" w14:textId="77777777" w:rsidR="00E5194C" w:rsidRPr="00C6712A" w:rsidRDefault="00E5194C" w:rsidP="00E5194C">
            <w:pPr>
              <w:spacing w:after="0"/>
              <w:ind w:firstLine="0"/>
              <w:contextualSpacing/>
              <w:jc w:val="center"/>
              <w:rPr>
                <w:b/>
                <w:bCs/>
                <w:color w:val="000000"/>
                <w:sz w:val="20"/>
              </w:rPr>
            </w:pPr>
            <w:r w:rsidRPr="00C6712A">
              <w:rPr>
                <w:b/>
                <w:bCs/>
                <w:color w:val="000000"/>
                <w:sz w:val="20"/>
              </w:rPr>
              <w:t>Yes</w:t>
            </w:r>
          </w:p>
        </w:tc>
        <w:tc>
          <w:tcPr>
            <w:tcW w:w="833" w:type="dxa"/>
            <w:tcBorders>
              <w:top w:val="nil"/>
              <w:left w:val="nil"/>
              <w:bottom w:val="double" w:sz="6" w:space="0" w:color="auto"/>
              <w:right w:val="single" w:sz="4" w:space="0" w:color="auto"/>
            </w:tcBorders>
            <w:shd w:val="clear" w:color="auto" w:fill="auto"/>
            <w:vAlign w:val="center"/>
            <w:hideMark/>
          </w:tcPr>
          <w:p w14:paraId="5A8EB287" w14:textId="77777777" w:rsidR="00E5194C" w:rsidRPr="00C6712A" w:rsidRDefault="00E5194C" w:rsidP="00E5194C">
            <w:pPr>
              <w:spacing w:after="0"/>
              <w:ind w:firstLine="0"/>
              <w:contextualSpacing/>
              <w:jc w:val="center"/>
              <w:rPr>
                <w:b/>
                <w:bCs/>
                <w:color w:val="000000"/>
                <w:sz w:val="20"/>
              </w:rPr>
            </w:pPr>
            <w:r w:rsidRPr="00C6712A">
              <w:rPr>
                <w:b/>
                <w:bCs/>
                <w:color w:val="000000"/>
                <w:sz w:val="20"/>
              </w:rPr>
              <w:t>No</w:t>
            </w:r>
          </w:p>
        </w:tc>
        <w:tc>
          <w:tcPr>
            <w:tcW w:w="833" w:type="dxa"/>
            <w:tcBorders>
              <w:top w:val="nil"/>
              <w:left w:val="nil"/>
              <w:bottom w:val="double" w:sz="6" w:space="0" w:color="auto"/>
              <w:right w:val="double" w:sz="6" w:space="0" w:color="auto"/>
            </w:tcBorders>
            <w:shd w:val="clear" w:color="auto" w:fill="auto"/>
            <w:vAlign w:val="center"/>
            <w:hideMark/>
          </w:tcPr>
          <w:p w14:paraId="2F63D789" w14:textId="77777777" w:rsidR="00E5194C" w:rsidRPr="00C6712A" w:rsidRDefault="00E5194C" w:rsidP="00E5194C">
            <w:pPr>
              <w:spacing w:after="0"/>
              <w:ind w:firstLine="0"/>
              <w:contextualSpacing/>
              <w:jc w:val="center"/>
              <w:rPr>
                <w:b/>
                <w:bCs/>
                <w:color w:val="000000"/>
                <w:sz w:val="20"/>
              </w:rPr>
            </w:pPr>
            <w:r w:rsidRPr="00C6712A">
              <w:rPr>
                <w:b/>
                <w:bCs/>
                <w:color w:val="000000"/>
                <w:sz w:val="20"/>
              </w:rPr>
              <w:t>Total</w:t>
            </w:r>
          </w:p>
        </w:tc>
      </w:tr>
      <w:tr w:rsidR="00E5194C" w:rsidRPr="00C6712A" w14:paraId="59D7CB86" w14:textId="77777777" w:rsidTr="00453931">
        <w:trPr>
          <w:cantSplit/>
          <w:trHeight w:val="20"/>
          <w:jc w:val="center"/>
        </w:trPr>
        <w:tc>
          <w:tcPr>
            <w:tcW w:w="682" w:type="dxa"/>
            <w:vMerge w:val="restart"/>
            <w:tcBorders>
              <w:top w:val="double" w:sz="6" w:space="0" w:color="auto"/>
              <w:left w:val="double" w:sz="6" w:space="0" w:color="auto"/>
              <w:bottom w:val="double" w:sz="6" w:space="0" w:color="000000"/>
              <w:right w:val="double" w:sz="6" w:space="0" w:color="auto"/>
            </w:tcBorders>
            <w:shd w:val="clear" w:color="auto" w:fill="auto"/>
            <w:textDirection w:val="btLr"/>
            <w:vAlign w:val="center"/>
            <w:hideMark/>
          </w:tcPr>
          <w:p w14:paraId="3C2E5C59" w14:textId="77777777" w:rsidR="00E5194C" w:rsidRPr="00C6712A" w:rsidRDefault="00E5194C" w:rsidP="00E5194C">
            <w:pPr>
              <w:spacing w:after="0"/>
              <w:ind w:firstLine="0"/>
              <w:contextualSpacing/>
              <w:jc w:val="center"/>
              <w:rPr>
                <w:b/>
                <w:bCs/>
                <w:color w:val="000000"/>
                <w:sz w:val="20"/>
              </w:rPr>
            </w:pPr>
            <w:r w:rsidRPr="00C6712A">
              <w:rPr>
                <w:b/>
                <w:bCs/>
                <w:color w:val="000000"/>
                <w:sz w:val="20"/>
              </w:rPr>
              <w:t>Number of</w:t>
            </w:r>
            <w:r w:rsidRPr="00C6712A">
              <w:rPr>
                <w:b/>
                <w:bCs/>
                <w:color w:val="000000"/>
                <w:sz w:val="20"/>
              </w:rPr>
              <w:br/>
              <w:t>Observations</w:t>
            </w:r>
          </w:p>
        </w:tc>
        <w:tc>
          <w:tcPr>
            <w:tcW w:w="2288" w:type="dxa"/>
            <w:tcBorders>
              <w:top w:val="nil"/>
              <w:left w:val="nil"/>
              <w:bottom w:val="single" w:sz="4" w:space="0" w:color="auto"/>
              <w:right w:val="double" w:sz="6" w:space="0" w:color="auto"/>
            </w:tcBorders>
            <w:shd w:val="clear" w:color="auto" w:fill="auto"/>
            <w:vAlign w:val="center"/>
            <w:hideMark/>
          </w:tcPr>
          <w:p w14:paraId="599998B9" w14:textId="77777777" w:rsidR="00E5194C" w:rsidRPr="00C6712A" w:rsidRDefault="00E5194C" w:rsidP="00E5194C">
            <w:pPr>
              <w:spacing w:after="0"/>
              <w:ind w:firstLine="0"/>
              <w:contextualSpacing/>
              <w:rPr>
                <w:color w:val="000000"/>
                <w:sz w:val="20"/>
              </w:rPr>
            </w:pPr>
            <w:r w:rsidRPr="00C6712A">
              <w:rPr>
                <w:color w:val="000000"/>
                <w:sz w:val="20"/>
              </w:rPr>
              <w:t>Never</w:t>
            </w:r>
          </w:p>
        </w:tc>
        <w:tc>
          <w:tcPr>
            <w:tcW w:w="833" w:type="dxa"/>
            <w:tcBorders>
              <w:top w:val="nil"/>
              <w:left w:val="nil"/>
              <w:bottom w:val="single" w:sz="4" w:space="0" w:color="auto"/>
              <w:right w:val="single" w:sz="4" w:space="0" w:color="auto"/>
            </w:tcBorders>
            <w:shd w:val="clear" w:color="auto" w:fill="auto"/>
            <w:noWrap/>
            <w:vAlign w:val="center"/>
            <w:hideMark/>
          </w:tcPr>
          <w:p w14:paraId="7484DB9A" w14:textId="77777777" w:rsidR="00E5194C" w:rsidRPr="00C6712A" w:rsidRDefault="00E5194C" w:rsidP="00E5194C">
            <w:pPr>
              <w:spacing w:after="0"/>
              <w:ind w:firstLine="0"/>
              <w:contextualSpacing/>
              <w:jc w:val="right"/>
              <w:rPr>
                <w:color w:val="000000"/>
                <w:sz w:val="20"/>
              </w:rPr>
            </w:pPr>
            <w:r w:rsidRPr="00C6712A">
              <w:rPr>
                <w:color w:val="000000"/>
                <w:sz w:val="20"/>
              </w:rPr>
              <w:t>2,207</w:t>
            </w:r>
          </w:p>
        </w:tc>
        <w:tc>
          <w:tcPr>
            <w:tcW w:w="833" w:type="dxa"/>
            <w:tcBorders>
              <w:top w:val="nil"/>
              <w:left w:val="nil"/>
              <w:bottom w:val="single" w:sz="4" w:space="0" w:color="auto"/>
              <w:right w:val="single" w:sz="4" w:space="0" w:color="auto"/>
            </w:tcBorders>
            <w:shd w:val="clear" w:color="auto" w:fill="auto"/>
            <w:noWrap/>
            <w:vAlign w:val="center"/>
            <w:hideMark/>
          </w:tcPr>
          <w:p w14:paraId="27E9A074" w14:textId="77777777" w:rsidR="00E5194C" w:rsidRPr="00C6712A" w:rsidRDefault="00E5194C" w:rsidP="00E5194C">
            <w:pPr>
              <w:spacing w:after="0"/>
              <w:ind w:firstLine="0"/>
              <w:contextualSpacing/>
              <w:jc w:val="right"/>
              <w:rPr>
                <w:color w:val="000000"/>
                <w:sz w:val="20"/>
              </w:rPr>
            </w:pPr>
            <w:r w:rsidRPr="00C6712A">
              <w:rPr>
                <w:color w:val="000000"/>
                <w:sz w:val="20"/>
              </w:rPr>
              <w:t>1,104</w:t>
            </w:r>
          </w:p>
        </w:tc>
        <w:tc>
          <w:tcPr>
            <w:tcW w:w="833" w:type="dxa"/>
            <w:tcBorders>
              <w:top w:val="nil"/>
              <w:left w:val="nil"/>
              <w:bottom w:val="single" w:sz="4" w:space="0" w:color="auto"/>
              <w:right w:val="double" w:sz="6" w:space="0" w:color="auto"/>
            </w:tcBorders>
            <w:shd w:val="clear" w:color="auto" w:fill="auto"/>
            <w:noWrap/>
            <w:vAlign w:val="center"/>
            <w:hideMark/>
          </w:tcPr>
          <w:p w14:paraId="48BD3F35" w14:textId="77777777" w:rsidR="00E5194C" w:rsidRPr="00C6712A" w:rsidRDefault="00E5194C" w:rsidP="00E5194C">
            <w:pPr>
              <w:spacing w:after="0"/>
              <w:ind w:firstLine="0"/>
              <w:contextualSpacing/>
              <w:jc w:val="right"/>
              <w:rPr>
                <w:color w:val="000000"/>
                <w:sz w:val="20"/>
              </w:rPr>
            </w:pPr>
            <w:r w:rsidRPr="00C6712A">
              <w:rPr>
                <w:color w:val="000000"/>
                <w:sz w:val="20"/>
              </w:rPr>
              <w:t>3,311</w:t>
            </w:r>
          </w:p>
        </w:tc>
        <w:tc>
          <w:tcPr>
            <w:tcW w:w="833" w:type="dxa"/>
            <w:tcBorders>
              <w:top w:val="nil"/>
              <w:left w:val="nil"/>
              <w:bottom w:val="single" w:sz="4" w:space="0" w:color="auto"/>
              <w:right w:val="single" w:sz="4" w:space="0" w:color="auto"/>
            </w:tcBorders>
            <w:shd w:val="clear" w:color="auto" w:fill="auto"/>
            <w:noWrap/>
            <w:vAlign w:val="center"/>
            <w:hideMark/>
          </w:tcPr>
          <w:p w14:paraId="1F2EAF85" w14:textId="77777777" w:rsidR="00E5194C" w:rsidRPr="00C6712A" w:rsidRDefault="00E5194C" w:rsidP="00E5194C">
            <w:pPr>
              <w:spacing w:after="0"/>
              <w:ind w:firstLine="0"/>
              <w:contextualSpacing/>
              <w:jc w:val="right"/>
              <w:rPr>
                <w:color w:val="000000"/>
                <w:sz w:val="20"/>
              </w:rPr>
            </w:pPr>
            <w:r w:rsidRPr="00C6712A">
              <w:rPr>
                <w:color w:val="000000"/>
                <w:sz w:val="20"/>
              </w:rPr>
              <w:t>2,036</w:t>
            </w:r>
          </w:p>
        </w:tc>
        <w:tc>
          <w:tcPr>
            <w:tcW w:w="833" w:type="dxa"/>
            <w:tcBorders>
              <w:top w:val="nil"/>
              <w:left w:val="nil"/>
              <w:bottom w:val="single" w:sz="4" w:space="0" w:color="auto"/>
              <w:right w:val="single" w:sz="4" w:space="0" w:color="auto"/>
            </w:tcBorders>
            <w:shd w:val="clear" w:color="auto" w:fill="auto"/>
            <w:noWrap/>
            <w:vAlign w:val="center"/>
            <w:hideMark/>
          </w:tcPr>
          <w:p w14:paraId="5D103DEF" w14:textId="77777777" w:rsidR="00E5194C" w:rsidRPr="00C6712A" w:rsidRDefault="00E5194C" w:rsidP="00E5194C">
            <w:pPr>
              <w:spacing w:after="0"/>
              <w:ind w:firstLine="0"/>
              <w:contextualSpacing/>
              <w:jc w:val="right"/>
              <w:rPr>
                <w:color w:val="000000"/>
                <w:sz w:val="20"/>
              </w:rPr>
            </w:pPr>
            <w:r w:rsidRPr="00C6712A">
              <w:rPr>
                <w:color w:val="000000"/>
                <w:sz w:val="20"/>
              </w:rPr>
              <w:t>418</w:t>
            </w:r>
          </w:p>
        </w:tc>
        <w:tc>
          <w:tcPr>
            <w:tcW w:w="833" w:type="dxa"/>
            <w:tcBorders>
              <w:top w:val="nil"/>
              <w:left w:val="nil"/>
              <w:bottom w:val="single" w:sz="4" w:space="0" w:color="auto"/>
              <w:right w:val="double" w:sz="6" w:space="0" w:color="auto"/>
            </w:tcBorders>
            <w:shd w:val="clear" w:color="auto" w:fill="auto"/>
            <w:noWrap/>
            <w:vAlign w:val="center"/>
            <w:hideMark/>
          </w:tcPr>
          <w:p w14:paraId="5324D1A4" w14:textId="77777777" w:rsidR="00E5194C" w:rsidRPr="00C6712A" w:rsidRDefault="00E5194C" w:rsidP="00E5194C">
            <w:pPr>
              <w:spacing w:after="0"/>
              <w:ind w:firstLine="0"/>
              <w:contextualSpacing/>
              <w:jc w:val="right"/>
              <w:rPr>
                <w:color w:val="000000"/>
                <w:sz w:val="20"/>
              </w:rPr>
            </w:pPr>
            <w:r w:rsidRPr="00C6712A">
              <w:rPr>
                <w:color w:val="000000"/>
                <w:sz w:val="20"/>
              </w:rPr>
              <w:t>2,454</w:t>
            </w:r>
          </w:p>
        </w:tc>
        <w:tc>
          <w:tcPr>
            <w:tcW w:w="833" w:type="dxa"/>
            <w:tcBorders>
              <w:top w:val="nil"/>
              <w:left w:val="nil"/>
              <w:bottom w:val="single" w:sz="4" w:space="0" w:color="auto"/>
              <w:right w:val="single" w:sz="4" w:space="0" w:color="auto"/>
            </w:tcBorders>
            <w:shd w:val="clear" w:color="auto" w:fill="auto"/>
            <w:noWrap/>
            <w:vAlign w:val="center"/>
            <w:hideMark/>
          </w:tcPr>
          <w:p w14:paraId="468B55EC" w14:textId="77777777" w:rsidR="00E5194C" w:rsidRPr="00C6712A" w:rsidRDefault="00E5194C" w:rsidP="00E5194C">
            <w:pPr>
              <w:spacing w:after="0"/>
              <w:ind w:firstLine="0"/>
              <w:contextualSpacing/>
              <w:jc w:val="right"/>
              <w:rPr>
                <w:color w:val="000000"/>
                <w:sz w:val="20"/>
              </w:rPr>
            </w:pPr>
            <w:r w:rsidRPr="00C6712A">
              <w:rPr>
                <w:color w:val="000000"/>
                <w:sz w:val="20"/>
              </w:rPr>
              <w:t>4,243</w:t>
            </w:r>
          </w:p>
        </w:tc>
        <w:tc>
          <w:tcPr>
            <w:tcW w:w="833" w:type="dxa"/>
            <w:tcBorders>
              <w:top w:val="nil"/>
              <w:left w:val="nil"/>
              <w:bottom w:val="single" w:sz="4" w:space="0" w:color="auto"/>
              <w:right w:val="single" w:sz="4" w:space="0" w:color="auto"/>
            </w:tcBorders>
            <w:shd w:val="clear" w:color="auto" w:fill="auto"/>
            <w:noWrap/>
            <w:vAlign w:val="center"/>
            <w:hideMark/>
          </w:tcPr>
          <w:p w14:paraId="6A6C144D" w14:textId="77777777" w:rsidR="00E5194C" w:rsidRPr="00C6712A" w:rsidRDefault="00E5194C" w:rsidP="00E5194C">
            <w:pPr>
              <w:spacing w:after="0"/>
              <w:ind w:firstLine="0"/>
              <w:contextualSpacing/>
              <w:jc w:val="right"/>
              <w:rPr>
                <w:color w:val="000000"/>
                <w:sz w:val="20"/>
              </w:rPr>
            </w:pPr>
            <w:r w:rsidRPr="00C6712A">
              <w:rPr>
                <w:color w:val="000000"/>
                <w:sz w:val="20"/>
              </w:rPr>
              <w:t>1,522</w:t>
            </w:r>
          </w:p>
        </w:tc>
        <w:tc>
          <w:tcPr>
            <w:tcW w:w="833" w:type="dxa"/>
            <w:tcBorders>
              <w:top w:val="nil"/>
              <w:left w:val="nil"/>
              <w:bottom w:val="single" w:sz="4" w:space="0" w:color="auto"/>
              <w:right w:val="double" w:sz="6" w:space="0" w:color="auto"/>
            </w:tcBorders>
            <w:shd w:val="clear" w:color="auto" w:fill="auto"/>
            <w:noWrap/>
            <w:vAlign w:val="center"/>
            <w:hideMark/>
          </w:tcPr>
          <w:p w14:paraId="4F53B872" w14:textId="77777777" w:rsidR="00E5194C" w:rsidRPr="00C6712A" w:rsidRDefault="00E5194C" w:rsidP="00E5194C">
            <w:pPr>
              <w:spacing w:after="0"/>
              <w:ind w:firstLine="0"/>
              <w:contextualSpacing/>
              <w:jc w:val="right"/>
              <w:rPr>
                <w:color w:val="000000"/>
                <w:sz w:val="20"/>
              </w:rPr>
            </w:pPr>
            <w:r w:rsidRPr="00C6712A">
              <w:rPr>
                <w:color w:val="000000"/>
                <w:sz w:val="20"/>
              </w:rPr>
              <w:t>5,765</w:t>
            </w:r>
          </w:p>
        </w:tc>
      </w:tr>
      <w:tr w:rsidR="00E5194C" w:rsidRPr="00C6712A" w14:paraId="762B2CEF" w14:textId="77777777" w:rsidTr="00453931">
        <w:trPr>
          <w:cantSplit/>
          <w:trHeight w:val="20"/>
          <w:jc w:val="center"/>
        </w:trPr>
        <w:tc>
          <w:tcPr>
            <w:tcW w:w="682" w:type="dxa"/>
            <w:vMerge/>
            <w:tcBorders>
              <w:top w:val="double" w:sz="6" w:space="0" w:color="auto"/>
              <w:left w:val="double" w:sz="6" w:space="0" w:color="auto"/>
              <w:bottom w:val="double" w:sz="6" w:space="0" w:color="000000"/>
              <w:right w:val="double" w:sz="6" w:space="0" w:color="auto"/>
            </w:tcBorders>
            <w:vAlign w:val="center"/>
            <w:hideMark/>
          </w:tcPr>
          <w:p w14:paraId="46A7B2EA" w14:textId="77777777" w:rsidR="00E5194C" w:rsidRPr="00C6712A" w:rsidRDefault="00E5194C" w:rsidP="00E5194C">
            <w:pPr>
              <w:spacing w:after="0"/>
              <w:ind w:firstLine="0"/>
              <w:contextualSpacing/>
              <w:rPr>
                <w:b/>
                <w:bCs/>
                <w:color w:val="000000"/>
                <w:sz w:val="20"/>
              </w:rPr>
            </w:pPr>
          </w:p>
        </w:tc>
        <w:tc>
          <w:tcPr>
            <w:tcW w:w="2288" w:type="dxa"/>
            <w:tcBorders>
              <w:top w:val="nil"/>
              <w:left w:val="nil"/>
              <w:bottom w:val="single" w:sz="4" w:space="0" w:color="auto"/>
              <w:right w:val="double" w:sz="6" w:space="0" w:color="auto"/>
            </w:tcBorders>
            <w:shd w:val="clear" w:color="auto" w:fill="auto"/>
            <w:vAlign w:val="center"/>
            <w:hideMark/>
          </w:tcPr>
          <w:p w14:paraId="2A878FAE" w14:textId="77777777" w:rsidR="00E5194C" w:rsidRPr="00C6712A" w:rsidRDefault="00E5194C" w:rsidP="00E5194C">
            <w:pPr>
              <w:spacing w:after="0"/>
              <w:ind w:firstLine="0"/>
              <w:contextualSpacing/>
              <w:rPr>
                <w:color w:val="000000"/>
                <w:sz w:val="20"/>
              </w:rPr>
            </w:pPr>
            <w:r w:rsidRPr="00C6712A">
              <w:rPr>
                <w:color w:val="000000"/>
                <w:sz w:val="20"/>
              </w:rPr>
              <w:t>Less than 1 day per month</w:t>
            </w:r>
          </w:p>
        </w:tc>
        <w:tc>
          <w:tcPr>
            <w:tcW w:w="833" w:type="dxa"/>
            <w:tcBorders>
              <w:top w:val="nil"/>
              <w:left w:val="nil"/>
              <w:bottom w:val="single" w:sz="4" w:space="0" w:color="auto"/>
              <w:right w:val="single" w:sz="4" w:space="0" w:color="auto"/>
            </w:tcBorders>
            <w:shd w:val="clear" w:color="auto" w:fill="auto"/>
            <w:noWrap/>
            <w:vAlign w:val="center"/>
            <w:hideMark/>
          </w:tcPr>
          <w:p w14:paraId="2D9FC36E" w14:textId="77777777" w:rsidR="00E5194C" w:rsidRPr="00C6712A" w:rsidRDefault="00E5194C" w:rsidP="00E5194C">
            <w:pPr>
              <w:spacing w:after="0"/>
              <w:ind w:firstLine="0"/>
              <w:contextualSpacing/>
              <w:jc w:val="right"/>
              <w:rPr>
                <w:color w:val="000000"/>
                <w:sz w:val="20"/>
              </w:rPr>
            </w:pPr>
            <w:r w:rsidRPr="00C6712A">
              <w:rPr>
                <w:color w:val="000000"/>
                <w:sz w:val="20"/>
              </w:rPr>
              <w:t>196</w:t>
            </w:r>
          </w:p>
        </w:tc>
        <w:tc>
          <w:tcPr>
            <w:tcW w:w="833" w:type="dxa"/>
            <w:tcBorders>
              <w:top w:val="nil"/>
              <w:left w:val="nil"/>
              <w:bottom w:val="single" w:sz="4" w:space="0" w:color="auto"/>
              <w:right w:val="single" w:sz="4" w:space="0" w:color="auto"/>
            </w:tcBorders>
            <w:shd w:val="clear" w:color="auto" w:fill="auto"/>
            <w:noWrap/>
            <w:vAlign w:val="center"/>
            <w:hideMark/>
          </w:tcPr>
          <w:p w14:paraId="651915CC" w14:textId="77777777" w:rsidR="00E5194C" w:rsidRPr="00C6712A" w:rsidRDefault="00E5194C" w:rsidP="00E5194C">
            <w:pPr>
              <w:spacing w:after="0"/>
              <w:ind w:firstLine="0"/>
              <w:contextualSpacing/>
              <w:jc w:val="right"/>
              <w:rPr>
                <w:color w:val="000000"/>
                <w:sz w:val="20"/>
              </w:rPr>
            </w:pPr>
            <w:r w:rsidRPr="00C6712A">
              <w:rPr>
                <w:color w:val="000000"/>
                <w:sz w:val="20"/>
              </w:rPr>
              <w:t>7</w:t>
            </w:r>
          </w:p>
        </w:tc>
        <w:tc>
          <w:tcPr>
            <w:tcW w:w="833" w:type="dxa"/>
            <w:tcBorders>
              <w:top w:val="nil"/>
              <w:left w:val="nil"/>
              <w:bottom w:val="single" w:sz="4" w:space="0" w:color="auto"/>
              <w:right w:val="double" w:sz="6" w:space="0" w:color="auto"/>
            </w:tcBorders>
            <w:shd w:val="clear" w:color="auto" w:fill="auto"/>
            <w:noWrap/>
            <w:vAlign w:val="center"/>
            <w:hideMark/>
          </w:tcPr>
          <w:p w14:paraId="0E660DDA" w14:textId="77777777" w:rsidR="00E5194C" w:rsidRPr="00C6712A" w:rsidRDefault="00E5194C" w:rsidP="00E5194C">
            <w:pPr>
              <w:spacing w:after="0"/>
              <w:ind w:firstLine="0"/>
              <w:contextualSpacing/>
              <w:jc w:val="right"/>
              <w:rPr>
                <w:color w:val="000000"/>
                <w:sz w:val="20"/>
              </w:rPr>
            </w:pPr>
            <w:r w:rsidRPr="00C6712A">
              <w:rPr>
                <w:color w:val="000000"/>
                <w:sz w:val="20"/>
              </w:rPr>
              <w:t>203</w:t>
            </w:r>
          </w:p>
        </w:tc>
        <w:tc>
          <w:tcPr>
            <w:tcW w:w="833" w:type="dxa"/>
            <w:tcBorders>
              <w:top w:val="nil"/>
              <w:left w:val="nil"/>
              <w:bottom w:val="single" w:sz="4" w:space="0" w:color="auto"/>
              <w:right w:val="single" w:sz="4" w:space="0" w:color="auto"/>
            </w:tcBorders>
            <w:shd w:val="clear" w:color="auto" w:fill="auto"/>
            <w:noWrap/>
            <w:vAlign w:val="center"/>
            <w:hideMark/>
          </w:tcPr>
          <w:p w14:paraId="7C2E1665" w14:textId="77777777" w:rsidR="00E5194C" w:rsidRPr="00C6712A" w:rsidRDefault="00E5194C" w:rsidP="00E5194C">
            <w:pPr>
              <w:spacing w:after="0"/>
              <w:ind w:firstLine="0"/>
              <w:contextualSpacing/>
              <w:jc w:val="right"/>
              <w:rPr>
                <w:color w:val="000000"/>
                <w:sz w:val="20"/>
              </w:rPr>
            </w:pPr>
            <w:r w:rsidRPr="00C6712A">
              <w:rPr>
                <w:color w:val="000000"/>
                <w:sz w:val="20"/>
              </w:rPr>
              <w:t>877</w:t>
            </w:r>
          </w:p>
        </w:tc>
        <w:tc>
          <w:tcPr>
            <w:tcW w:w="833" w:type="dxa"/>
            <w:tcBorders>
              <w:top w:val="nil"/>
              <w:left w:val="nil"/>
              <w:bottom w:val="single" w:sz="4" w:space="0" w:color="auto"/>
              <w:right w:val="single" w:sz="4" w:space="0" w:color="auto"/>
            </w:tcBorders>
            <w:shd w:val="clear" w:color="auto" w:fill="auto"/>
            <w:noWrap/>
            <w:vAlign w:val="center"/>
            <w:hideMark/>
          </w:tcPr>
          <w:p w14:paraId="0F1E155C" w14:textId="77777777" w:rsidR="00E5194C" w:rsidRPr="00C6712A" w:rsidRDefault="00E5194C" w:rsidP="00E5194C">
            <w:pPr>
              <w:spacing w:after="0"/>
              <w:ind w:firstLine="0"/>
              <w:contextualSpacing/>
              <w:jc w:val="right"/>
              <w:rPr>
                <w:color w:val="000000"/>
                <w:sz w:val="20"/>
              </w:rPr>
            </w:pPr>
            <w:r w:rsidRPr="00C6712A">
              <w:rPr>
                <w:color w:val="000000"/>
                <w:sz w:val="20"/>
              </w:rPr>
              <w:t>22</w:t>
            </w:r>
          </w:p>
        </w:tc>
        <w:tc>
          <w:tcPr>
            <w:tcW w:w="833" w:type="dxa"/>
            <w:tcBorders>
              <w:top w:val="nil"/>
              <w:left w:val="nil"/>
              <w:bottom w:val="single" w:sz="4" w:space="0" w:color="auto"/>
              <w:right w:val="double" w:sz="6" w:space="0" w:color="auto"/>
            </w:tcBorders>
            <w:shd w:val="clear" w:color="auto" w:fill="auto"/>
            <w:noWrap/>
            <w:vAlign w:val="center"/>
            <w:hideMark/>
          </w:tcPr>
          <w:p w14:paraId="102616DC" w14:textId="77777777" w:rsidR="00E5194C" w:rsidRPr="00C6712A" w:rsidRDefault="00E5194C" w:rsidP="00E5194C">
            <w:pPr>
              <w:spacing w:after="0"/>
              <w:ind w:firstLine="0"/>
              <w:contextualSpacing/>
              <w:jc w:val="right"/>
              <w:rPr>
                <w:color w:val="000000"/>
                <w:sz w:val="20"/>
              </w:rPr>
            </w:pPr>
            <w:r w:rsidRPr="00C6712A">
              <w:rPr>
                <w:color w:val="000000"/>
                <w:sz w:val="20"/>
              </w:rPr>
              <w:t>899</w:t>
            </w:r>
          </w:p>
        </w:tc>
        <w:tc>
          <w:tcPr>
            <w:tcW w:w="833" w:type="dxa"/>
            <w:tcBorders>
              <w:top w:val="nil"/>
              <w:left w:val="nil"/>
              <w:bottom w:val="single" w:sz="4" w:space="0" w:color="auto"/>
              <w:right w:val="single" w:sz="4" w:space="0" w:color="auto"/>
            </w:tcBorders>
            <w:shd w:val="clear" w:color="auto" w:fill="auto"/>
            <w:noWrap/>
            <w:vAlign w:val="center"/>
            <w:hideMark/>
          </w:tcPr>
          <w:p w14:paraId="20479E63" w14:textId="77777777" w:rsidR="00E5194C" w:rsidRPr="00C6712A" w:rsidRDefault="00E5194C" w:rsidP="00E5194C">
            <w:pPr>
              <w:spacing w:after="0"/>
              <w:ind w:firstLine="0"/>
              <w:contextualSpacing/>
              <w:jc w:val="right"/>
              <w:rPr>
                <w:color w:val="000000"/>
                <w:sz w:val="20"/>
              </w:rPr>
            </w:pPr>
            <w:r w:rsidRPr="00C6712A">
              <w:rPr>
                <w:color w:val="000000"/>
                <w:sz w:val="20"/>
              </w:rPr>
              <w:t>1,073</w:t>
            </w:r>
          </w:p>
        </w:tc>
        <w:tc>
          <w:tcPr>
            <w:tcW w:w="833" w:type="dxa"/>
            <w:tcBorders>
              <w:top w:val="nil"/>
              <w:left w:val="nil"/>
              <w:bottom w:val="single" w:sz="4" w:space="0" w:color="auto"/>
              <w:right w:val="single" w:sz="4" w:space="0" w:color="auto"/>
            </w:tcBorders>
            <w:shd w:val="clear" w:color="auto" w:fill="auto"/>
            <w:noWrap/>
            <w:vAlign w:val="center"/>
            <w:hideMark/>
          </w:tcPr>
          <w:p w14:paraId="7693F2BC" w14:textId="77777777" w:rsidR="00E5194C" w:rsidRPr="00C6712A" w:rsidRDefault="00E5194C" w:rsidP="00E5194C">
            <w:pPr>
              <w:spacing w:after="0"/>
              <w:ind w:firstLine="0"/>
              <w:contextualSpacing/>
              <w:jc w:val="right"/>
              <w:rPr>
                <w:color w:val="000000"/>
                <w:sz w:val="20"/>
              </w:rPr>
            </w:pPr>
            <w:r w:rsidRPr="00C6712A">
              <w:rPr>
                <w:color w:val="000000"/>
                <w:sz w:val="20"/>
              </w:rPr>
              <w:t>29</w:t>
            </w:r>
          </w:p>
        </w:tc>
        <w:tc>
          <w:tcPr>
            <w:tcW w:w="833" w:type="dxa"/>
            <w:tcBorders>
              <w:top w:val="nil"/>
              <w:left w:val="nil"/>
              <w:bottom w:val="single" w:sz="4" w:space="0" w:color="auto"/>
              <w:right w:val="double" w:sz="6" w:space="0" w:color="auto"/>
            </w:tcBorders>
            <w:shd w:val="clear" w:color="auto" w:fill="auto"/>
            <w:noWrap/>
            <w:vAlign w:val="center"/>
            <w:hideMark/>
          </w:tcPr>
          <w:p w14:paraId="24D40E09" w14:textId="77777777" w:rsidR="00E5194C" w:rsidRPr="00C6712A" w:rsidRDefault="00E5194C" w:rsidP="00E5194C">
            <w:pPr>
              <w:spacing w:after="0"/>
              <w:ind w:firstLine="0"/>
              <w:contextualSpacing/>
              <w:jc w:val="right"/>
              <w:rPr>
                <w:color w:val="000000"/>
                <w:sz w:val="20"/>
              </w:rPr>
            </w:pPr>
            <w:r w:rsidRPr="00C6712A">
              <w:rPr>
                <w:color w:val="000000"/>
                <w:sz w:val="20"/>
              </w:rPr>
              <w:t>1,102</w:t>
            </w:r>
          </w:p>
        </w:tc>
      </w:tr>
      <w:tr w:rsidR="00E5194C" w:rsidRPr="00C6712A" w14:paraId="0239BB7A" w14:textId="77777777" w:rsidTr="00453931">
        <w:trPr>
          <w:cantSplit/>
          <w:trHeight w:val="20"/>
          <w:jc w:val="center"/>
        </w:trPr>
        <w:tc>
          <w:tcPr>
            <w:tcW w:w="682" w:type="dxa"/>
            <w:vMerge/>
            <w:tcBorders>
              <w:top w:val="double" w:sz="6" w:space="0" w:color="auto"/>
              <w:left w:val="double" w:sz="6" w:space="0" w:color="auto"/>
              <w:bottom w:val="double" w:sz="6" w:space="0" w:color="000000"/>
              <w:right w:val="double" w:sz="6" w:space="0" w:color="auto"/>
            </w:tcBorders>
            <w:vAlign w:val="center"/>
            <w:hideMark/>
          </w:tcPr>
          <w:p w14:paraId="7167B978" w14:textId="77777777" w:rsidR="00E5194C" w:rsidRPr="00C6712A" w:rsidRDefault="00E5194C" w:rsidP="00E5194C">
            <w:pPr>
              <w:spacing w:after="0"/>
              <w:ind w:firstLine="0"/>
              <w:contextualSpacing/>
              <w:rPr>
                <w:b/>
                <w:bCs/>
                <w:color w:val="000000"/>
                <w:sz w:val="20"/>
              </w:rPr>
            </w:pPr>
          </w:p>
        </w:tc>
        <w:tc>
          <w:tcPr>
            <w:tcW w:w="2288" w:type="dxa"/>
            <w:tcBorders>
              <w:top w:val="nil"/>
              <w:left w:val="nil"/>
              <w:bottom w:val="single" w:sz="4" w:space="0" w:color="auto"/>
              <w:right w:val="double" w:sz="6" w:space="0" w:color="auto"/>
            </w:tcBorders>
            <w:shd w:val="clear" w:color="auto" w:fill="auto"/>
            <w:vAlign w:val="center"/>
            <w:hideMark/>
          </w:tcPr>
          <w:p w14:paraId="3343191F" w14:textId="77777777" w:rsidR="00E5194C" w:rsidRPr="00C6712A" w:rsidRDefault="00E5194C" w:rsidP="00E5194C">
            <w:pPr>
              <w:spacing w:after="0"/>
              <w:ind w:firstLine="0"/>
              <w:contextualSpacing/>
              <w:rPr>
                <w:color w:val="000000"/>
                <w:sz w:val="20"/>
              </w:rPr>
            </w:pPr>
            <w:r w:rsidRPr="00C6712A">
              <w:rPr>
                <w:color w:val="000000"/>
                <w:sz w:val="20"/>
              </w:rPr>
              <w:t>1-3 times per month</w:t>
            </w:r>
          </w:p>
        </w:tc>
        <w:tc>
          <w:tcPr>
            <w:tcW w:w="833" w:type="dxa"/>
            <w:tcBorders>
              <w:top w:val="nil"/>
              <w:left w:val="nil"/>
              <w:bottom w:val="single" w:sz="4" w:space="0" w:color="auto"/>
              <w:right w:val="single" w:sz="4" w:space="0" w:color="auto"/>
            </w:tcBorders>
            <w:shd w:val="clear" w:color="auto" w:fill="auto"/>
            <w:noWrap/>
            <w:vAlign w:val="center"/>
            <w:hideMark/>
          </w:tcPr>
          <w:p w14:paraId="30277CB9" w14:textId="77777777" w:rsidR="00E5194C" w:rsidRPr="00C6712A" w:rsidRDefault="00E5194C" w:rsidP="00E5194C">
            <w:pPr>
              <w:spacing w:after="0"/>
              <w:ind w:firstLine="0"/>
              <w:contextualSpacing/>
              <w:jc w:val="right"/>
              <w:rPr>
                <w:color w:val="000000"/>
                <w:sz w:val="20"/>
              </w:rPr>
            </w:pPr>
            <w:r w:rsidRPr="00C6712A">
              <w:rPr>
                <w:color w:val="000000"/>
                <w:sz w:val="20"/>
              </w:rPr>
              <w:t>179</w:t>
            </w:r>
          </w:p>
        </w:tc>
        <w:tc>
          <w:tcPr>
            <w:tcW w:w="833" w:type="dxa"/>
            <w:tcBorders>
              <w:top w:val="nil"/>
              <w:left w:val="nil"/>
              <w:bottom w:val="single" w:sz="4" w:space="0" w:color="auto"/>
              <w:right w:val="single" w:sz="4" w:space="0" w:color="auto"/>
            </w:tcBorders>
            <w:shd w:val="clear" w:color="auto" w:fill="auto"/>
            <w:noWrap/>
            <w:vAlign w:val="center"/>
            <w:hideMark/>
          </w:tcPr>
          <w:p w14:paraId="75E8A377" w14:textId="77777777" w:rsidR="00E5194C" w:rsidRPr="00C6712A" w:rsidRDefault="00E5194C" w:rsidP="00E5194C">
            <w:pPr>
              <w:spacing w:after="0"/>
              <w:ind w:firstLine="0"/>
              <w:contextualSpacing/>
              <w:jc w:val="right"/>
              <w:rPr>
                <w:color w:val="000000"/>
                <w:sz w:val="20"/>
              </w:rPr>
            </w:pPr>
            <w:r w:rsidRPr="00C6712A">
              <w:rPr>
                <w:color w:val="000000"/>
                <w:sz w:val="20"/>
              </w:rPr>
              <w:t>4</w:t>
            </w:r>
          </w:p>
        </w:tc>
        <w:tc>
          <w:tcPr>
            <w:tcW w:w="833" w:type="dxa"/>
            <w:tcBorders>
              <w:top w:val="nil"/>
              <w:left w:val="nil"/>
              <w:bottom w:val="single" w:sz="4" w:space="0" w:color="auto"/>
              <w:right w:val="double" w:sz="6" w:space="0" w:color="auto"/>
            </w:tcBorders>
            <w:shd w:val="clear" w:color="auto" w:fill="auto"/>
            <w:noWrap/>
            <w:vAlign w:val="center"/>
            <w:hideMark/>
          </w:tcPr>
          <w:p w14:paraId="78D3F966" w14:textId="77777777" w:rsidR="00E5194C" w:rsidRPr="00C6712A" w:rsidRDefault="00E5194C" w:rsidP="00E5194C">
            <w:pPr>
              <w:spacing w:after="0"/>
              <w:ind w:firstLine="0"/>
              <w:contextualSpacing/>
              <w:jc w:val="right"/>
              <w:rPr>
                <w:color w:val="000000"/>
                <w:sz w:val="20"/>
              </w:rPr>
            </w:pPr>
            <w:r w:rsidRPr="00C6712A">
              <w:rPr>
                <w:color w:val="000000"/>
                <w:sz w:val="20"/>
              </w:rPr>
              <w:t>183</w:t>
            </w:r>
          </w:p>
        </w:tc>
        <w:tc>
          <w:tcPr>
            <w:tcW w:w="833" w:type="dxa"/>
            <w:tcBorders>
              <w:top w:val="nil"/>
              <w:left w:val="nil"/>
              <w:bottom w:val="single" w:sz="4" w:space="0" w:color="auto"/>
              <w:right w:val="single" w:sz="4" w:space="0" w:color="auto"/>
            </w:tcBorders>
            <w:shd w:val="clear" w:color="auto" w:fill="auto"/>
            <w:noWrap/>
            <w:vAlign w:val="center"/>
            <w:hideMark/>
          </w:tcPr>
          <w:p w14:paraId="7713B0EB" w14:textId="77777777" w:rsidR="00E5194C" w:rsidRPr="00C6712A" w:rsidRDefault="00E5194C" w:rsidP="00E5194C">
            <w:pPr>
              <w:spacing w:after="0"/>
              <w:ind w:firstLine="0"/>
              <w:contextualSpacing/>
              <w:jc w:val="right"/>
              <w:rPr>
                <w:color w:val="000000"/>
                <w:sz w:val="20"/>
              </w:rPr>
            </w:pPr>
            <w:r w:rsidRPr="00C6712A">
              <w:rPr>
                <w:color w:val="000000"/>
                <w:sz w:val="20"/>
              </w:rPr>
              <w:t>878</w:t>
            </w:r>
          </w:p>
        </w:tc>
        <w:tc>
          <w:tcPr>
            <w:tcW w:w="833" w:type="dxa"/>
            <w:tcBorders>
              <w:top w:val="nil"/>
              <w:left w:val="nil"/>
              <w:bottom w:val="single" w:sz="4" w:space="0" w:color="auto"/>
              <w:right w:val="single" w:sz="4" w:space="0" w:color="auto"/>
            </w:tcBorders>
            <w:shd w:val="clear" w:color="auto" w:fill="auto"/>
            <w:noWrap/>
            <w:vAlign w:val="center"/>
            <w:hideMark/>
          </w:tcPr>
          <w:p w14:paraId="497712BE" w14:textId="77777777" w:rsidR="00E5194C" w:rsidRPr="00C6712A" w:rsidRDefault="00E5194C" w:rsidP="00E5194C">
            <w:pPr>
              <w:spacing w:after="0"/>
              <w:ind w:firstLine="0"/>
              <w:contextualSpacing/>
              <w:jc w:val="right"/>
              <w:rPr>
                <w:color w:val="000000"/>
                <w:sz w:val="20"/>
              </w:rPr>
            </w:pPr>
            <w:r w:rsidRPr="00C6712A">
              <w:rPr>
                <w:color w:val="000000"/>
                <w:sz w:val="20"/>
              </w:rPr>
              <w:t>15</w:t>
            </w:r>
          </w:p>
        </w:tc>
        <w:tc>
          <w:tcPr>
            <w:tcW w:w="833" w:type="dxa"/>
            <w:tcBorders>
              <w:top w:val="nil"/>
              <w:left w:val="nil"/>
              <w:bottom w:val="single" w:sz="4" w:space="0" w:color="auto"/>
              <w:right w:val="double" w:sz="6" w:space="0" w:color="auto"/>
            </w:tcBorders>
            <w:shd w:val="clear" w:color="auto" w:fill="auto"/>
            <w:noWrap/>
            <w:vAlign w:val="center"/>
            <w:hideMark/>
          </w:tcPr>
          <w:p w14:paraId="7816E819" w14:textId="77777777" w:rsidR="00E5194C" w:rsidRPr="00C6712A" w:rsidRDefault="00E5194C" w:rsidP="00E5194C">
            <w:pPr>
              <w:spacing w:after="0"/>
              <w:ind w:firstLine="0"/>
              <w:contextualSpacing/>
              <w:jc w:val="right"/>
              <w:rPr>
                <w:color w:val="000000"/>
                <w:sz w:val="20"/>
              </w:rPr>
            </w:pPr>
            <w:r w:rsidRPr="00C6712A">
              <w:rPr>
                <w:color w:val="000000"/>
                <w:sz w:val="20"/>
              </w:rPr>
              <w:t>893</w:t>
            </w:r>
          </w:p>
        </w:tc>
        <w:tc>
          <w:tcPr>
            <w:tcW w:w="833" w:type="dxa"/>
            <w:tcBorders>
              <w:top w:val="nil"/>
              <w:left w:val="nil"/>
              <w:bottom w:val="single" w:sz="4" w:space="0" w:color="auto"/>
              <w:right w:val="single" w:sz="4" w:space="0" w:color="auto"/>
            </w:tcBorders>
            <w:shd w:val="clear" w:color="auto" w:fill="auto"/>
            <w:noWrap/>
            <w:vAlign w:val="center"/>
            <w:hideMark/>
          </w:tcPr>
          <w:p w14:paraId="21D3088F" w14:textId="77777777" w:rsidR="00E5194C" w:rsidRPr="00C6712A" w:rsidRDefault="00E5194C" w:rsidP="00E5194C">
            <w:pPr>
              <w:spacing w:after="0"/>
              <w:ind w:firstLine="0"/>
              <w:contextualSpacing/>
              <w:jc w:val="right"/>
              <w:rPr>
                <w:color w:val="000000"/>
                <w:sz w:val="20"/>
              </w:rPr>
            </w:pPr>
            <w:r w:rsidRPr="00C6712A">
              <w:rPr>
                <w:color w:val="000000"/>
                <w:sz w:val="20"/>
              </w:rPr>
              <w:t>1,057</w:t>
            </w:r>
          </w:p>
        </w:tc>
        <w:tc>
          <w:tcPr>
            <w:tcW w:w="833" w:type="dxa"/>
            <w:tcBorders>
              <w:top w:val="nil"/>
              <w:left w:val="nil"/>
              <w:bottom w:val="single" w:sz="4" w:space="0" w:color="auto"/>
              <w:right w:val="single" w:sz="4" w:space="0" w:color="auto"/>
            </w:tcBorders>
            <w:shd w:val="clear" w:color="auto" w:fill="auto"/>
            <w:noWrap/>
            <w:vAlign w:val="center"/>
            <w:hideMark/>
          </w:tcPr>
          <w:p w14:paraId="37FC2AFE" w14:textId="77777777" w:rsidR="00E5194C" w:rsidRPr="00C6712A" w:rsidRDefault="00E5194C" w:rsidP="00E5194C">
            <w:pPr>
              <w:spacing w:after="0"/>
              <w:ind w:firstLine="0"/>
              <w:contextualSpacing/>
              <w:jc w:val="right"/>
              <w:rPr>
                <w:color w:val="000000"/>
                <w:sz w:val="20"/>
              </w:rPr>
            </w:pPr>
            <w:r w:rsidRPr="00C6712A">
              <w:rPr>
                <w:color w:val="000000"/>
                <w:sz w:val="20"/>
              </w:rPr>
              <w:t>19</w:t>
            </w:r>
          </w:p>
        </w:tc>
        <w:tc>
          <w:tcPr>
            <w:tcW w:w="833" w:type="dxa"/>
            <w:tcBorders>
              <w:top w:val="nil"/>
              <w:left w:val="nil"/>
              <w:bottom w:val="single" w:sz="4" w:space="0" w:color="auto"/>
              <w:right w:val="double" w:sz="6" w:space="0" w:color="auto"/>
            </w:tcBorders>
            <w:shd w:val="clear" w:color="auto" w:fill="auto"/>
            <w:noWrap/>
            <w:vAlign w:val="center"/>
            <w:hideMark/>
          </w:tcPr>
          <w:p w14:paraId="600A3254" w14:textId="77777777" w:rsidR="00E5194C" w:rsidRPr="00C6712A" w:rsidRDefault="00E5194C" w:rsidP="00E5194C">
            <w:pPr>
              <w:spacing w:after="0"/>
              <w:ind w:firstLine="0"/>
              <w:contextualSpacing/>
              <w:jc w:val="right"/>
              <w:rPr>
                <w:color w:val="000000"/>
                <w:sz w:val="20"/>
              </w:rPr>
            </w:pPr>
            <w:r w:rsidRPr="00C6712A">
              <w:rPr>
                <w:color w:val="000000"/>
                <w:sz w:val="20"/>
              </w:rPr>
              <w:t>1,076</w:t>
            </w:r>
          </w:p>
        </w:tc>
      </w:tr>
      <w:tr w:rsidR="00E5194C" w:rsidRPr="00C6712A" w14:paraId="4AF1863B" w14:textId="77777777" w:rsidTr="00453931">
        <w:trPr>
          <w:cantSplit/>
          <w:trHeight w:val="20"/>
          <w:jc w:val="center"/>
        </w:trPr>
        <w:tc>
          <w:tcPr>
            <w:tcW w:w="682" w:type="dxa"/>
            <w:vMerge/>
            <w:tcBorders>
              <w:top w:val="double" w:sz="6" w:space="0" w:color="auto"/>
              <w:left w:val="double" w:sz="6" w:space="0" w:color="auto"/>
              <w:bottom w:val="double" w:sz="6" w:space="0" w:color="000000"/>
              <w:right w:val="double" w:sz="6" w:space="0" w:color="auto"/>
            </w:tcBorders>
            <w:vAlign w:val="center"/>
            <w:hideMark/>
          </w:tcPr>
          <w:p w14:paraId="7BD9ED91" w14:textId="77777777" w:rsidR="00E5194C" w:rsidRPr="00C6712A" w:rsidRDefault="00E5194C" w:rsidP="00E5194C">
            <w:pPr>
              <w:spacing w:after="0"/>
              <w:ind w:firstLine="0"/>
              <w:contextualSpacing/>
              <w:rPr>
                <w:b/>
                <w:bCs/>
                <w:color w:val="000000"/>
                <w:sz w:val="20"/>
              </w:rPr>
            </w:pPr>
          </w:p>
        </w:tc>
        <w:tc>
          <w:tcPr>
            <w:tcW w:w="2288" w:type="dxa"/>
            <w:tcBorders>
              <w:top w:val="nil"/>
              <w:left w:val="nil"/>
              <w:bottom w:val="single" w:sz="4" w:space="0" w:color="auto"/>
              <w:right w:val="double" w:sz="6" w:space="0" w:color="auto"/>
            </w:tcBorders>
            <w:shd w:val="clear" w:color="auto" w:fill="auto"/>
            <w:vAlign w:val="center"/>
            <w:hideMark/>
          </w:tcPr>
          <w:p w14:paraId="727BC0FF" w14:textId="77777777" w:rsidR="00E5194C" w:rsidRPr="00C6712A" w:rsidRDefault="00E5194C" w:rsidP="00E5194C">
            <w:pPr>
              <w:spacing w:after="0"/>
              <w:ind w:firstLine="0"/>
              <w:contextualSpacing/>
              <w:rPr>
                <w:color w:val="000000"/>
                <w:sz w:val="20"/>
              </w:rPr>
            </w:pPr>
            <w:r w:rsidRPr="00C6712A">
              <w:rPr>
                <w:color w:val="000000"/>
                <w:sz w:val="20"/>
              </w:rPr>
              <w:t>1 day per week</w:t>
            </w:r>
          </w:p>
        </w:tc>
        <w:tc>
          <w:tcPr>
            <w:tcW w:w="833" w:type="dxa"/>
            <w:tcBorders>
              <w:top w:val="nil"/>
              <w:left w:val="nil"/>
              <w:bottom w:val="single" w:sz="4" w:space="0" w:color="auto"/>
              <w:right w:val="single" w:sz="4" w:space="0" w:color="auto"/>
            </w:tcBorders>
            <w:shd w:val="clear" w:color="auto" w:fill="auto"/>
            <w:noWrap/>
            <w:vAlign w:val="center"/>
            <w:hideMark/>
          </w:tcPr>
          <w:p w14:paraId="10A7E802" w14:textId="77777777" w:rsidR="00E5194C" w:rsidRPr="00C6712A" w:rsidRDefault="00E5194C" w:rsidP="00E5194C">
            <w:pPr>
              <w:spacing w:after="0"/>
              <w:ind w:firstLine="0"/>
              <w:contextualSpacing/>
              <w:jc w:val="right"/>
              <w:rPr>
                <w:color w:val="000000"/>
                <w:sz w:val="20"/>
              </w:rPr>
            </w:pPr>
            <w:r w:rsidRPr="00C6712A">
              <w:rPr>
                <w:color w:val="000000"/>
                <w:sz w:val="20"/>
              </w:rPr>
              <w:t>67</w:t>
            </w:r>
          </w:p>
        </w:tc>
        <w:tc>
          <w:tcPr>
            <w:tcW w:w="833" w:type="dxa"/>
            <w:tcBorders>
              <w:top w:val="nil"/>
              <w:left w:val="nil"/>
              <w:bottom w:val="single" w:sz="4" w:space="0" w:color="auto"/>
              <w:right w:val="single" w:sz="4" w:space="0" w:color="auto"/>
            </w:tcBorders>
            <w:shd w:val="clear" w:color="auto" w:fill="auto"/>
            <w:noWrap/>
            <w:vAlign w:val="center"/>
            <w:hideMark/>
          </w:tcPr>
          <w:p w14:paraId="147C4176" w14:textId="77777777" w:rsidR="00E5194C" w:rsidRPr="00C6712A" w:rsidRDefault="00E5194C" w:rsidP="00E5194C">
            <w:pPr>
              <w:spacing w:after="0"/>
              <w:ind w:firstLine="0"/>
              <w:contextualSpacing/>
              <w:jc w:val="right"/>
              <w:rPr>
                <w:color w:val="000000"/>
                <w:sz w:val="20"/>
              </w:rPr>
            </w:pPr>
            <w:r w:rsidRPr="00C6712A">
              <w:rPr>
                <w:color w:val="000000"/>
                <w:sz w:val="20"/>
              </w:rPr>
              <w:t>1</w:t>
            </w:r>
          </w:p>
        </w:tc>
        <w:tc>
          <w:tcPr>
            <w:tcW w:w="833" w:type="dxa"/>
            <w:tcBorders>
              <w:top w:val="nil"/>
              <w:left w:val="nil"/>
              <w:bottom w:val="single" w:sz="4" w:space="0" w:color="auto"/>
              <w:right w:val="double" w:sz="6" w:space="0" w:color="auto"/>
            </w:tcBorders>
            <w:shd w:val="clear" w:color="auto" w:fill="auto"/>
            <w:noWrap/>
            <w:vAlign w:val="center"/>
            <w:hideMark/>
          </w:tcPr>
          <w:p w14:paraId="7DE81033" w14:textId="77777777" w:rsidR="00E5194C" w:rsidRPr="00C6712A" w:rsidRDefault="00E5194C" w:rsidP="00E5194C">
            <w:pPr>
              <w:spacing w:after="0"/>
              <w:ind w:firstLine="0"/>
              <w:contextualSpacing/>
              <w:jc w:val="right"/>
              <w:rPr>
                <w:color w:val="000000"/>
                <w:sz w:val="20"/>
              </w:rPr>
            </w:pPr>
            <w:r w:rsidRPr="00C6712A">
              <w:rPr>
                <w:color w:val="000000"/>
                <w:sz w:val="20"/>
              </w:rPr>
              <w:t>68</w:t>
            </w:r>
          </w:p>
        </w:tc>
        <w:tc>
          <w:tcPr>
            <w:tcW w:w="833" w:type="dxa"/>
            <w:tcBorders>
              <w:top w:val="nil"/>
              <w:left w:val="nil"/>
              <w:bottom w:val="single" w:sz="4" w:space="0" w:color="auto"/>
              <w:right w:val="single" w:sz="4" w:space="0" w:color="auto"/>
            </w:tcBorders>
            <w:shd w:val="clear" w:color="auto" w:fill="auto"/>
            <w:noWrap/>
            <w:vAlign w:val="center"/>
            <w:hideMark/>
          </w:tcPr>
          <w:p w14:paraId="4AC2678B" w14:textId="77777777" w:rsidR="00E5194C" w:rsidRPr="00C6712A" w:rsidRDefault="00E5194C" w:rsidP="00E5194C">
            <w:pPr>
              <w:spacing w:after="0"/>
              <w:ind w:firstLine="0"/>
              <w:contextualSpacing/>
              <w:jc w:val="right"/>
              <w:rPr>
                <w:color w:val="000000"/>
                <w:sz w:val="20"/>
              </w:rPr>
            </w:pPr>
            <w:r w:rsidRPr="00C6712A">
              <w:rPr>
                <w:color w:val="000000"/>
                <w:sz w:val="20"/>
              </w:rPr>
              <w:t>242</w:t>
            </w:r>
          </w:p>
        </w:tc>
        <w:tc>
          <w:tcPr>
            <w:tcW w:w="833" w:type="dxa"/>
            <w:tcBorders>
              <w:top w:val="nil"/>
              <w:left w:val="nil"/>
              <w:bottom w:val="single" w:sz="4" w:space="0" w:color="auto"/>
              <w:right w:val="single" w:sz="4" w:space="0" w:color="auto"/>
            </w:tcBorders>
            <w:shd w:val="clear" w:color="auto" w:fill="auto"/>
            <w:noWrap/>
            <w:vAlign w:val="center"/>
            <w:hideMark/>
          </w:tcPr>
          <w:p w14:paraId="1F0B1272" w14:textId="77777777" w:rsidR="00E5194C" w:rsidRPr="00C6712A" w:rsidRDefault="00E5194C" w:rsidP="00E5194C">
            <w:pPr>
              <w:spacing w:after="0"/>
              <w:ind w:firstLine="0"/>
              <w:contextualSpacing/>
              <w:jc w:val="right"/>
              <w:rPr>
                <w:color w:val="000000"/>
                <w:sz w:val="20"/>
              </w:rPr>
            </w:pPr>
            <w:r w:rsidRPr="00C6712A">
              <w:rPr>
                <w:color w:val="000000"/>
                <w:sz w:val="20"/>
              </w:rPr>
              <w:t>3</w:t>
            </w:r>
          </w:p>
        </w:tc>
        <w:tc>
          <w:tcPr>
            <w:tcW w:w="833" w:type="dxa"/>
            <w:tcBorders>
              <w:top w:val="nil"/>
              <w:left w:val="nil"/>
              <w:bottom w:val="single" w:sz="4" w:space="0" w:color="auto"/>
              <w:right w:val="double" w:sz="6" w:space="0" w:color="auto"/>
            </w:tcBorders>
            <w:shd w:val="clear" w:color="auto" w:fill="auto"/>
            <w:noWrap/>
            <w:vAlign w:val="center"/>
            <w:hideMark/>
          </w:tcPr>
          <w:p w14:paraId="06CF55D1" w14:textId="77777777" w:rsidR="00E5194C" w:rsidRPr="00C6712A" w:rsidRDefault="00E5194C" w:rsidP="00E5194C">
            <w:pPr>
              <w:spacing w:after="0"/>
              <w:ind w:firstLine="0"/>
              <w:contextualSpacing/>
              <w:jc w:val="right"/>
              <w:rPr>
                <w:color w:val="000000"/>
                <w:sz w:val="20"/>
              </w:rPr>
            </w:pPr>
            <w:r w:rsidRPr="00C6712A">
              <w:rPr>
                <w:color w:val="000000"/>
                <w:sz w:val="20"/>
              </w:rPr>
              <w:t>245</w:t>
            </w:r>
          </w:p>
        </w:tc>
        <w:tc>
          <w:tcPr>
            <w:tcW w:w="833" w:type="dxa"/>
            <w:tcBorders>
              <w:top w:val="nil"/>
              <w:left w:val="nil"/>
              <w:bottom w:val="single" w:sz="4" w:space="0" w:color="auto"/>
              <w:right w:val="single" w:sz="4" w:space="0" w:color="auto"/>
            </w:tcBorders>
            <w:shd w:val="clear" w:color="auto" w:fill="auto"/>
            <w:noWrap/>
            <w:vAlign w:val="center"/>
            <w:hideMark/>
          </w:tcPr>
          <w:p w14:paraId="5B1BE174" w14:textId="77777777" w:rsidR="00E5194C" w:rsidRPr="00C6712A" w:rsidRDefault="00E5194C" w:rsidP="00E5194C">
            <w:pPr>
              <w:spacing w:after="0"/>
              <w:ind w:firstLine="0"/>
              <w:contextualSpacing/>
              <w:jc w:val="right"/>
              <w:rPr>
                <w:color w:val="000000"/>
                <w:sz w:val="20"/>
              </w:rPr>
            </w:pPr>
            <w:r w:rsidRPr="00C6712A">
              <w:rPr>
                <w:color w:val="000000"/>
                <w:sz w:val="20"/>
              </w:rPr>
              <w:t>309</w:t>
            </w:r>
          </w:p>
        </w:tc>
        <w:tc>
          <w:tcPr>
            <w:tcW w:w="833" w:type="dxa"/>
            <w:tcBorders>
              <w:top w:val="nil"/>
              <w:left w:val="nil"/>
              <w:bottom w:val="single" w:sz="4" w:space="0" w:color="auto"/>
              <w:right w:val="single" w:sz="4" w:space="0" w:color="auto"/>
            </w:tcBorders>
            <w:shd w:val="clear" w:color="auto" w:fill="auto"/>
            <w:noWrap/>
            <w:vAlign w:val="center"/>
            <w:hideMark/>
          </w:tcPr>
          <w:p w14:paraId="57A517A0" w14:textId="77777777" w:rsidR="00E5194C" w:rsidRPr="00C6712A" w:rsidRDefault="00E5194C" w:rsidP="00E5194C">
            <w:pPr>
              <w:spacing w:after="0"/>
              <w:ind w:firstLine="0"/>
              <w:contextualSpacing/>
              <w:jc w:val="right"/>
              <w:rPr>
                <w:color w:val="000000"/>
                <w:sz w:val="20"/>
              </w:rPr>
            </w:pPr>
            <w:r w:rsidRPr="00C6712A">
              <w:rPr>
                <w:color w:val="000000"/>
                <w:sz w:val="20"/>
              </w:rPr>
              <w:t>4</w:t>
            </w:r>
          </w:p>
        </w:tc>
        <w:tc>
          <w:tcPr>
            <w:tcW w:w="833" w:type="dxa"/>
            <w:tcBorders>
              <w:top w:val="nil"/>
              <w:left w:val="nil"/>
              <w:bottom w:val="single" w:sz="4" w:space="0" w:color="auto"/>
              <w:right w:val="double" w:sz="6" w:space="0" w:color="auto"/>
            </w:tcBorders>
            <w:shd w:val="clear" w:color="auto" w:fill="auto"/>
            <w:noWrap/>
            <w:vAlign w:val="center"/>
            <w:hideMark/>
          </w:tcPr>
          <w:p w14:paraId="738831F5" w14:textId="77777777" w:rsidR="00E5194C" w:rsidRPr="00C6712A" w:rsidRDefault="00E5194C" w:rsidP="00E5194C">
            <w:pPr>
              <w:spacing w:after="0"/>
              <w:ind w:firstLine="0"/>
              <w:contextualSpacing/>
              <w:jc w:val="right"/>
              <w:rPr>
                <w:color w:val="000000"/>
                <w:sz w:val="20"/>
              </w:rPr>
            </w:pPr>
            <w:r w:rsidRPr="00C6712A">
              <w:rPr>
                <w:color w:val="000000"/>
                <w:sz w:val="20"/>
              </w:rPr>
              <w:t>313</w:t>
            </w:r>
          </w:p>
        </w:tc>
      </w:tr>
      <w:tr w:rsidR="00E5194C" w:rsidRPr="00C6712A" w14:paraId="71C0DCF9" w14:textId="77777777" w:rsidTr="00453931">
        <w:trPr>
          <w:cantSplit/>
          <w:trHeight w:val="20"/>
          <w:jc w:val="center"/>
        </w:trPr>
        <w:tc>
          <w:tcPr>
            <w:tcW w:w="682" w:type="dxa"/>
            <w:vMerge/>
            <w:tcBorders>
              <w:top w:val="double" w:sz="6" w:space="0" w:color="auto"/>
              <w:left w:val="double" w:sz="6" w:space="0" w:color="auto"/>
              <w:bottom w:val="double" w:sz="6" w:space="0" w:color="000000"/>
              <w:right w:val="double" w:sz="6" w:space="0" w:color="auto"/>
            </w:tcBorders>
            <w:vAlign w:val="center"/>
            <w:hideMark/>
          </w:tcPr>
          <w:p w14:paraId="2EB75396" w14:textId="77777777" w:rsidR="00E5194C" w:rsidRPr="00C6712A" w:rsidRDefault="00E5194C" w:rsidP="00E5194C">
            <w:pPr>
              <w:spacing w:after="0"/>
              <w:ind w:firstLine="0"/>
              <w:contextualSpacing/>
              <w:rPr>
                <w:b/>
                <w:bCs/>
                <w:color w:val="000000"/>
                <w:sz w:val="20"/>
              </w:rPr>
            </w:pPr>
          </w:p>
        </w:tc>
        <w:tc>
          <w:tcPr>
            <w:tcW w:w="2288" w:type="dxa"/>
            <w:tcBorders>
              <w:top w:val="nil"/>
              <w:left w:val="nil"/>
              <w:bottom w:val="single" w:sz="4" w:space="0" w:color="auto"/>
              <w:right w:val="double" w:sz="6" w:space="0" w:color="auto"/>
            </w:tcBorders>
            <w:shd w:val="clear" w:color="auto" w:fill="auto"/>
            <w:vAlign w:val="center"/>
            <w:hideMark/>
          </w:tcPr>
          <w:p w14:paraId="4A0E6647" w14:textId="77777777" w:rsidR="00E5194C" w:rsidRPr="00C6712A" w:rsidRDefault="00E5194C" w:rsidP="00E5194C">
            <w:pPr>
              <w:spacing w:after="0"/>
              <w:ind w:firstLine="0"/>
              <w:contextualSpacing/>
              <w:rPr>
                <w:color w:val="000000"/>
                <w:sz w:val="20"/>
              </w:rPr>
            </w:pPr>
            <w:r w:rsidRPr="00C6712A">
              <w:rPr>
                <w:color w:val="000000"/>
                <w:sz w:val="20"/>
              </w:rPr>
              <w:t>2-4 days per week</w:t>
            </w:r>
          </w:p>
        </w:tc>
        <w:tc>
          <w:tcPr>
            <w:tcW w:w="833" w:type="dxa"/>
            <w:tcBorders>
              <w:top w:val="nil"/>
              <w:left w:val="nil"/>
              <w:bottom w:val="single" w:sz="4" w:space="0" w:color="auto"/>
              <w:right w:val="single" w:sz="4" w:space="0" w:color="auto"/>
            </w:tcBorders>
            <w:shd w:val="clear" w:color="auto" w:fill="auto"/>
            <w:noWrap/>
            <w:vAlign w:val="center"/>
            <w:hideMark/>
          </w:tcPr>
          <w:p w14:paraId="257681E5" w14:textId="77777777" w:rsidR="00E5194C" w:rsidRPr="00C6712A" w:rsidRDefault="00E5194C" w:rsidP="00E5194C">
            <w:pPr>
              <w:spacing w:after="0"/>
              <w:ind w:firstLine="0"/>
              <w:contextualSpacing/>
              <w:jc w:val="right"/>
              <w:rPr>
                <w:color w:val="000000"/>
                <w:sz w:val="20"/>
              </w:rPr>
            </w:pPr>
            <w:r w:rsidRPr="00C6712A">
              <w:rPr>
                <w:color w:val="000000"/>
                <w:sz w:val="20"/>
              </w:rPr>
              <w:t>27</w:t>
            </w:r>
          </w:p>
        </w:tc>
        <w:tc>
          <w:tcPr>
            <w:tcW w:w="833" w:type="dxa"/>
            <w:tcBorders>
              <w:top w:val="nil"/>
              <w:left w:val="nil"/>
              <w:bottom w:val="single" w:sz="4" w:space="0" w:color="auto"/>
              <w:right w:val="single" w:sz="4" w:space="0" w:color="auto"/>
            </w:tcBorders>
            <w:shd w:val="clear" w:color="auto" w:fill="auto"/>
            <w:noWrap/>
            <w:vAlign w:val="center"/>
            <w:hideMark/>
          </w:tcPr>
          <w:p w14:paraId="4E61E856" w14:textId="77777777" w:rsidR="00E5194C" w:rsidRPr="00C6712A" w:rsidRDefault="00E5194C" w:rsidP="00E5194C">
            <w:pPr>
              <w:spacing w:after="0"/>
              <w:ind w:firstLine="0"/>
              <w:contextualSpacing/>
              <w:jc w:val="right"/>
              <w:rPr>
                <w:color w:val="000000"/>
                <w:sz w:val="20"/>
              </w:rPr>
            </w:pPr>
            <w:r w:rsidRPr="00C6712A">
              <w:rPr>
                <w:color w:val="000000"/>
                <w:sz w:val="20"/>
              </w:rPr>
              <w:t>0</w:t>
            </w:r>
          </w:p>
        </w:tc>
        <w:tc>
          <w:tcPr>
            <w:tcW w:w="833" w:type="dxa"/>
            <w:tcBorders>
              <w:top w:val="nil"/>
              <w:left w:val="nil"/>
              <w:bottom w:val="single" w:sz="4" w:space="0" w:color="auto"/>
              <w:right w:val="double" w:sz="6" w:space="0" w:color="auto"/>
            </w:tcBorders>
            <w:shd w:val="clear" w:color="auto" w:fill="auto"/>
            <w:noWrap/>
            <w:vAlign w:val="center"/>
            <w:hideMark/>
          </w:tcPr>
          <w:p w14:paraId="1D1B0349" w14:textId="77777777" w:rsidR="00E5194C" w:rsidRPr="00C6712A" w:rsidRDefault="00E5194C" w:rsidP="00E5194C">
            <w:pPr>
              <w:spacing w:after="0"/>
              <w:ind w:firstLine="0"/>
              <w:contextualSpacing/>
              <w:jc w:val="right"/>
              <w:rPr>
                <w:color w:val="000000"/>
                <w:sz w:val="20"/>
              </w:rPr>
            </w:pPr>
            <w:r w:rsidRPr="00C6712A">
              <w:rPr>
                <w:color w:val="000000"/>
                <w:sz w:val="20"/>
              </w:rPr>
              <w:t>27</w:t>
            </w:r>
          </w:p>
        </w:tc>
        <w:tc>
          <w:tcPr>
            <w:tcW w:w="833" w:type="dxa"/>
            <w:tcBorders>
              <w:top w:val="nil"/>
              <w:left w:val="nil"/>
              <w:bottom w:val="single" w:sz="4" w:space="0" w:color="auto"/>
              <w:right w:val="single" w:sz="4" w:space="0" w:color="auto"/>
            </w:tcBorders>
            <w:shd w:val="clear" w:color="auto" w:fill="auto"/>
            <w:noWrap/>
            <w:vAlign w:val="center"/>
            <w:hideMark/>
          </w:tcPr>
          <w:p w14:paraId="3059CB68" w14:textId="77777777" w:rsidR="00E5194C" w:rsidRPr="00C6712A" w:rsidRDefault="00E5194C" w:rsidP="00E5194C">
            <w:pPr>
              <w:spacing w:after="0"/>
              <w:ind w:firstLine="0"/>
              <w:contextualSpacing/>
              <w:jc w:val="right"/>
              <w:rPr>
                <w:color w:val="000000"/>
                <w:sz w:val="20"/>
              </w:rPr>
            </w:pPr>
            <w:r w:rsidRPr="00C6712A">
              <w:rPr>
                <w:color w:val="000000"/>
                <w:sz w:val="20"/>
              </w:rPr>
              <w:t>206</w:t>
            </w:r>
          </w:p>
        </w:tc>
        <w:tc>
          <w:tcPr>
            <w:tcW w:w="833" w:type="dxa"/>
            <w:tcBorders>
              <w:top w:val="nil"/>
              <w:left w:val="nil"/>
              <w:bottom w:val="single" w:sz="4" w:space="0" w:color="auto"/>
              <w:right w:val="single" w:sz="4" w:space="0" w:color="auto"/>
            </w:tcBorders>
            <w:shd w:val="clear" w:color="auto" w:fill="auto"/>
            <w:noWrap/>
            <w:vAlign w:val="center"/>
            <w:hideMark/>
          </w:tcPr>
          <w:p w14:paraId="7FDD1DFC" w14:textId="77777777" w:rsidR="00E5194C" w:rsidRPr="00C6712A" w:rsidRDefault="00E5194C" w:rsidP="00E5194C">
            <w:pPr>
              <w:spacing w:after="0"/>
              <w:ind w:firstLine="0"/>
              <w:contextualSpacing/>
              <w:jc w:val="right"/>
              <w:rPr>
                <w:color w:val="000000"/>
                <w:sz w:val="20"/>
              </w:rPr>
            </w:pPr>
            <w:r w:rsidRPr="00C6712A">
              <w:rPr>
                <w:color w:val="000000"/>
                <w:sz w:val="20"/>
              </w:rPr>
              <w:t>3</w:t>
            </w:r>
          </w:p>
        </w:tc>
        <w:tc>
          <w:tcPr>
            <w:tcW w:w="833" w:type="dxa"/>
            <w:tcBorders>
              <w:top w:val="nil"/>
              <w:left w:val="nil"/>
              <w:bottom w:val="single" w:sz="4" w:space="0" w:color="auto"/>
              <w:right w:val="double" w:sz="6" w:space="0" w:color="auto"/>
            </w:tcBorders>
            <w:shd w:val="clear" w:color="auto" w:fill="auto"/>
            <w:noWrap/>
            <w:vAlign w:val="center"/>
            <w:hideMark/>
          </w:tcPr>
          <w:p w14:paraId="60D43824" w14:textId="77777777" w:rsidR="00E5194C" w:rsidRPr="00C6712A" w:rsidRDefault="00E5194C" w:rsidP="00E5194C">
            <w:pPr>
              <w:spacing w:after="0"/>
              <w:ind w:firstLine="0"/>
              <w:contextualSpacing/>
              <w:jc w:val="right"/>
              <w:rPr>
                <w:color w:val="000000"/>
                <w:sz w:val="20"/>
              </w:rPr>
            </w:pPr>
            <w:r w:rsidRPr="00C6712A">
              <w:rPr>
                <w:color w:val="000000"/>
                <w:sz w:val="20"/>
              </w:rPr>
              <w:t>209</w:t>
            </w:r>
          </w:p>
        </w:tc>
        <w:tc>
          <w:tcPr>
            <w:tcW w:w="833" w:type="dxa"/>
            <w:tcBorders>
              <w:top w:val="nil"/>
              <w:left w:val="nil"/>
              <w:bottom w:val="single" w:sz="4" w:space="0" w:color="auto"/>
              <w:right w:val="single" w:sz="4" w:space="0" w:color="auto"/>
            </w:tcBorders>
            <w:shd w:val="clear" w:color="auto" w:fill="auto"/>
            <w:noWrap/>
            <w:vAlign w:val="center"/>
            <w:hideMark/>
          </w:tcPr>
          <w:p w14:paraId="487AB6FC" w14:textId="77777777" w:rsidR="00E5194C" w:rsidRPr="00C6712A" w:rsidRDefault="00E5194C" w:rsidP="00E5194C">
            <w:pPr>
              <w:spacing w:after="0"/>
              <w:ind w:firstLine="0"/>
              <w:contextualSpacing/>
              <w:jc w:val="right"/>
              <w:rPr>
                <w:color w:val="000000"/>
                <w:sz w:val="20"/>
              </w:rPr>
            </w:pPr>
            <w:r w:rsidRPr="00C6712A">
              <w:rPr>
                <w:color w:val="000000"/>
                <w:sz w:val="20"/>
              </w:rPr>
              <w:t>233</w:t>
            </w:r>
          </w:p>
        </w:tc>
        <w:tc>
          <w:tcPr>
            <w:tcW w:w="833" w:type="dxa"/>
            <w:tcBorders>
              <w:top w:val="nil"/>
              <w:left w:val="nil"/>
              <w:bottom w:val="single" w:sz="4" w:space="0" w:color="auto"/>
              <w:right w:val="single" w:sz="4" w:space="0" w:color="auto"/>
            </w:tcBorders>
            <w:shd w:val="clear" w:color="auto" w:fill="auto"/>
            <w:noWrap/>
            <w:vAlign w:val="center"/>
            <w:hideMark/>
          </w:tcPr>
          <w:p w14:paraId="26CACFB1" w14:textId="77777777" w:rsidR="00E5194C" w:rsidRPr="00C6712A" w:rsidRDefault="00E5194C" w:rsidP="00E5194C">
            <w:pPr>
              <w:spacing w:after="0"/>
              <w:ind w:firstLine="0"/>
              <w:contextualSpacing/>
              <w:jc w:val="right"/>
              <w:rPr>
                <w:color w:val="000000"/>
                <w:sz w:val="20"/>
              </w:rPr>
            </w:pPr>
            <w:r w:rsidRPr="00C6712A">
              <w:rPr>
                <w:color w:val="000000"/>
                <w:sz w:val="20"/>
              </w:rPr>
              <w:t>3</w:t>
            </w:r>
          </w:p>
        </w:tc>
        <w:tc>
          <w:tcPr>
            <w:tcW w:w="833" w:type="dxa"/>
            <w:tcBorders>
              <w:top w:val="nil"/>
              <w:left w:val="nil"/>
              <w:bottom w:val="single" w:sz="4" w:space="0" w:color="auto"/>
              <w:right w:val="double" w:sz="6" w:space="0" w:color="auto"/>
            </w:tcBorders>
            <w:shd w:val="clear" w:color="auto" w:fill="auto"/>
            <w:noWrap/>
            <w:vAlign w:val="center"/>
            <w:hideMark/>
          </w:tcPr>
          <w:p w14:paraId="4D8E9397" w14:textId="77777777" w:rsidR="00E5194C" w:rsidRPr="00C6712A" w:rsidRDefault="00E5194C" w:rsidP="00E5194C">
            <w:pPr>
              <w:spacing w:after="0"/>
              <w:ind w:firstLine="0"/>
              <w:contextualSpacing/>
              <w:jc w:val="right"/>
              <w:rPr>
                <w:color w:val="000000"/>
                <w:sz w:val="20"/>
              </w:rPr>
            </w:pPr>
            <w:r w:rsidRPr="00C6712A">
              <w:rPr>
                <w:color w:val="000000"/>
                <w:sz w:val="20"/>
              </w:rPr>
              <w:t>236</w:t>
            </w:r>
          </w:p>
        </w:tc>
      </w:tr>
      <w:tr w:rsidR="00E5194C" w:rsidRPr="00C6712A" w14:paraId="2DF2312F" w14:textId="77777777" w:rsidTr="00453931">
        <w:trPr>
          <w:cantSplit/>
          <w:trHeight w:val="20"/>
          <w:jc w:val="center"/>
        </w:trPr>
        <w:tc>
          <w:tcPr>
            <w:tcW w:w="682" w:type="dxa"/>
            <w:vMerge/>
            <w:tcBorders>
              <w:top w:val="double" w:sz="6" w:space="0" w:color="auto"/>
              <w:left w:val="double" w:sz="6" w:space="0" w:color="auto"/>
              <w:bottom w:val="double" w:sz="6" w:space="0" w:color="000000"/>
              <w:right w:val="double" w:sz="6" w:space="0" w:color="auto"/>
            </w:tcBorders>
            <w:vAlign w:val="center"/>
            <w:hideMark/>
          </w:tcPr>
          <w:p w14:paraId="0EEA237D" w14:textId="77777777" w:rsidR="00E5194C" w:rsidRPr="00C6712A" w:rsidRDefault="00E5194C" w:rsidP="00E5194C">
            <w:pPr>
              <w:spacing w:after="0"/>
              <w:ind w:firstLine="0"/>
              <w:contextualSpacing/>
              <w:rPr>
                <w:b/>
                <w:bCs/>
                <w:color w:val="000000"/>
                <w:sz w:val="20"/>
              </w:rPr>
            </w:pPr>
          </w:p>
        </w:tc>
        <w:tc>
          <w:tcPr>
            <w:tcW w:w="2288" w:type="dxa"/>
            <w:tcBorders>
              <w:top w:val="nil"/>
              <w:left w:val="nil"/>
              <w:bottom w:val="single" w:sz="4" w:space="0" w:color="auto"/>
              <w:right w:val="double" w:sz="6" w:space="0" w:color="auto"/>
            </w:tcBorders>
            <w:shd w:val="clear" w:color="auto" w:fill="auto"/>
            <w:vAlign w:val="center"/>
            <w:hideMark/>
          </w:tcPr>
          <w:p w14:paraId="47601C98" w14:textId="77777777" w:rsidR="00E5194C" w:rsidRPr="00C6712A" w:rsidRDefault="00E5194C" w:rsidP="00E5194C">
            <w:pPr>
              <w:spacing w:after="0"/>
              <w:ind w:firstLine="0"/>
              <w:contextualSpacing/>
              <w:rPr>
                <w:color w:val="000000"/>
                <w:sz w:val="20"/>
              </w:rPr>
            </w:pPr>
            <w:r w:rsidRPr="00C6712A">
              <w:rPr>
                <w:color w:val="000000"/>
                <w:sz w:val="20"/>
              </w:rPr>
              <w:t>5 days per week</w:t>
            </w:r>
          </w:p>
        </w:tc>
        <w:tc>
          <w:tcPr>
            <w:tcW w:w="833" w:type="dxa"/>
            <w:tcBorders>
              <w:top w:val="nil"/>
              <w:left w:val="nil"/>
              <w:bottom w:val="single" w:sz="4" w:space="0" w:color="auto"/>
              <w:right w:val="single" w:sz="4" w:space="0" w:color="auto"/>
            </w:tcBorders>
            <w:shd w:val="clear" w:color="auto" w:fill="auto"/>
            <w:noWrap/>
            <w:vAlign w:val="center"/>
            <w:hideMark/>
          </w:tcPr>
          <w:p w14:paraId="4D35D72C" w14:textId="77777777" w:rsidR="00E5194C" w:rsidRPr="00C6712A" w:rsidRDefault="00E5194C" w:rsidP="00E5194C">
            <w:pPr>
              <w:spacing w:after="0"/>
              <w:ind w:firstLine="0"/>
              <w:contextualSpacing/>
              <w:jc w:val="right"/>
              <w:rPr>
                <w:color w:val="000000"/>
                <w:sz w:val="20"/>
              </w:rPr>
            </w:pPr>
            <w:r w:rsidRPr="00C6712A">
              <w:rPr>
                <w:color w:val="000000"/>
                <w:sz w:val="20"/>
              </w:rPr>
              <w:t>3</w:t>
            </w:r>
          </w:p>
        </w:tc>
        <w:tc>
          <w:tcPr>
            <w:tcW w:w="833" w:type="dxa"/>
            <w:tcBorders>
              <w:top w:val="nil"/>
              <w:left w:val="nil"/>
              <w:bottom w:val="single" w:sz="4" w:space="0" w:color="auto"/>
              <w:right w:val="single" w:sz="4" w:space="0" w:color="auto"/>
            </w:tcBorders>
            <w:shd w:val="clear" w:color="auto" w:fill="auto"/>
            <w:noWrap/>
            <w:vAlign w:val="center"/>
            <w:hideMark/>
          </w:tcPr>
          <w:p w14:paraId="258C98AA" w14:textId="77777777" w:rsidR="00E5194C" w:rsidRPr="00C6712A" w:rsidRDefault="00E5194C" w:rsidP="00E5194C">
            <w:pPr>
              <w:spacing w:after="0"/>
              <w:ind w:firstLine="0"/>
              <w:contextualSpacing/>
              <w:jc w:val="right"/>
              <w:rPr>
                <w:color w:val="000000"/>
                <w:sz w:val="20"/>
              </w:rPr>
            </w:pPr>
            <w:r w:rsidRPr="00C6712A">
              <w:rPr>
                <w:color w:val="000000"/>
                <w:sz w:val="20"/>
              </w:rPr>
              <w:t>0</w:t>
            </w:r>
          </w:p>
        </w:tc>
        <w:tc>
          <w:tcPr>
            <w:tcW w:w="833" w:type="dxa"/>
            <w:tcBorders>
              <w:top w:val="nil"/>
              <w:left w:val="nil"/>
              <w:bottom w:val="single" w:sz="4" w:space="0" w:color="auto"/>
              <w:right w:val="double" w:sz="6" w:space="0" w:color="auto"/>
            </w:tcBorders>
            <w:shd w:val="clear" w:color="auto" w:fill="auto"/>
            <w:noWrap/>
            <w:vAlign w:val="center"/>
            <w:hideMark/>
          </w:tcPr>
          <w:p w14:paraId="1DC977E5" w14:textId="77777777" w:rsidR="00E5194C" w:rsidRPr="00C6712A" w:rsidRDefault="00E5194C" w:rsidP="00E5194C">
            <w:pPr>
              <w:spacing w:after="0"/>
              <w:ind w:firstLine="0"/>
              <w:contextualSpacing/>
              <w:jc w:val="right"/>
              <w:rPr>
                <w:color w:val="000000"/>
                <w:sz w:val="20"/>
              </w:rPr>
            </w:pPr>
            <w:r w:rsidRPr="00C6712A">
              <w:rPr>
                <w:color w:val="000000"/>
                <w:sz w:val="20"/>
              </w:rPr>
              <w:t>3</w:t>
            </w:r>
          </w:p>
        </w:tc>
        <w:tc>
          <w:tcPr>
            <w:tcW w:w="833" w:type="dxa"/>
            <w:tcBorders>
              <w:top w:val="nil"/>
              <w:left w:val="nil"/>
              <w:bottom w:val="single" w:sz="4" w:space="0" w:color="auto"/>
              <w:right w:val="single" w:sz="4" w:space="0" w:color="auto"/>
            </w:tcBorders>
            <w:shd w:val="clear" w:color="auto" w:fill="auto"/>
            <w:noWrap/>
            <w:vAlign w:val="center"/>
            <w:hideMark/>
          </w:tcPr>
          <w:p w14:paraId="55094044" w14:textId="77777777" w:rsidR="00E5194C" w:rsidRPr="00C6712A" w:rsidRDefault="00E5194C" w:rsidP="00E5194C">
            <w:pPr>
              <w:spacing w:after="0"/>
              <w:ind w:firstLine="0"/>
              <w:contextualSpacing/>
              <w:jc w:val="right"/>
              <w:rPr>
                <w:color w:val="000000"/>
                <w:sz w:val="20"/>
              </w:rPr>
            </w:pPr>
            <w:r w:rsidRPr="00C6712A">
              <w:rPr>
                <w:color w:val="000000"/>
                <w:sz w:val="20"/>
              </w:rPr>
              <w:t>27</w:t>
            </w:r>
          </w:p>
        </w:tc>
        <w:tc>
          <w:tcPr>
            <w:tcW w:w="833" w:type="dxa"/>
            <w:tcBorders>
              <w:top w:val="nil"/>
              <w:left w:val="nil"/>
              <w:bottom w:val="single" w:sz="4" w:space="0" w:color="auto"/>
              <w:right w:val="single" w:sz="4" w:space="0" w:color="auto"/>
            </w:tcBorders>
            <w:shd w:val="clear" w:color="auto" w:fill="auto"/>
            <w:noWrap/>
            <w:vAlign w:val="center"/>
            <w:hideMark/>
          </w:tcPr>
          <w:p w14:paraId="5EF353C2" w14:textId="77777777" w:rsidR="00E5194C" w:rsidRPr="00C6712A" w:rsidRDefault="00E5194C" w:rsidP="00E5194C">
            <w:pPr>
              <w:spacing w:after="0"/>
              <w:ind w:firstLine="0"/>
              <w:contextualSpacing/>
              <w:jc w:val="right"/>
              <w:rPr>
                <w:color w:val="000000"/>
                <w:sz w:val="20"/>
              </w:rPr>
            </w:pPr>
            <w:r w:rsidRPr="00C6712A">
              <w:rPr>
                <w:color w:val="000000"/>
                <w:sz w:val="20"/>
              </w:rPr>
              <w:t>1</w:t>
            </w:r>
          </w:p>
        </w:tc>
        <w:tc>
          <w:tcPr>
            <w:tcW w:w="833" w:type="dxa"/>
            <w:tcBorders>
              <w:top w:val="nil"/>
              <w:left w:val="nil"/>
              <w:bottom w:val="single" w:sz="4" w:space="0" w:color="auto"/>
              <w:right w:val="double" w:sz="6" w:space="0" w:color="auto"/>
            </w:tcBorders>
            <w:shd w:val="clear" w:color="auto" w:fill="auto"/>
            <w:noWrap/>
            <w:vAlign w:val="center"/>
            <w:hideMark/>
          </w:tcPr>
          <w:p w14:paraId="37E11843" w14:textId="77777777" w:rsidR="00E5194C" w:rsidRPr="00C6712A" w:rsidRDefault="00E5194C" w:rsidP="00E5194C">
            <w:pPr>
              <w:spacing w:after="0"/>
              <w:ind w:firstLine="0"/>
              <w:contextualSpacing/>
              <w:jc w:val="right"/>
              <w:rPr>
                <w:color w:val="000000"/>
                <w:sz w:val="20"/>
              </w:rPr>
            </w:pPr>
            <w:r w:rsidRPr="00C6712A">
              <w:rPr>
                <w:color w:val="000000"/>
                <w:sz w:val="20"/>
              </w:rPr>
              <w:t>28</w:t>
            </w:r>
          </w:p>
        </w:tc>
        <w:tc>
          <w:tcPr>
            <w:tcW w:w="833" w:type="dxa"/>
            <w:tcBorders>
              <w:top w:val="nil"/>
              <w:left w:val="nil"/>
              <w:bottom w:val="single" w:sz="4" w:space="0" w:color="auto"/>
              <w:right w:val="single" w:sz="4" w:space="0" w:color="auto"/>
            </w:tcBorders>
            <w:shd w:val="clear" w:color="auto" w:fill="auto"/>
            <w:noWrap/>
            <w:vAlign w:val="center"/>
            <w:hideMark/>
          </w:tcPr>
          <w:p w14:paraId="516C9390" w14:textId="77777777" w:rsidR="00E5194C" w:rsidRPr="00C6712A" w:rsidRDefault="00E5194C" w:rsidP="00E5194C">
            <w:pPr>
              <w:spacing w:after="0"/>
              <w:ind w:firstLine="0"/>
              <w:contextualSpacing/>
              <w:jc w:val="right"/>
              <w:rPr>
                <w:color w:val="000000"/>
                <w:sz w:val="20"/>
              </w:rPr>
            </w:pPr>
            <w:r w:rsidRPr="00C6712A">
              <w:rPr>
                <w:color w:val="000000"/>
                <w:sz w:val="20"/>
              </w:rPr>
              <w:t>30</w:t>
            </w:r>
          </w:p>
        </w:tc>
        <w:tc>
          <w:tcPr>
            <w:tcW w:w="833" w:type="dxa"/>
            <w:tcBorders>
              <w:top w:val="nil"/>
              <w:left w:val="nil"/>
              <w:bottom w:val="single" w:sz="4" w:space="0" w:color="auto"/>
              <w:right w:val="single" w:sz="4" w:space="0" w:color="auto"/>
            </w:tcBorders>
            <w:shd w:val="clear" w:color="auto" w:fill="auto"/>
            <w:noWrap/>
            <w:vAlign w:val="center"/>
            <w:hideMark/>
          </w:tcPr>
          <w:p w14:paraId="4D65D141" w14:textId="77777777" w:rsidR="00E5194C" w:rsidRPr="00C6712A" w:rsidRDefault="00E5194C" w:rsidP="00E5194C">
            <w:pPr>
              <w:spacing w:after="0"/>
              <w:ind w:firstLine="0"/>
              <w:contextualSpacing/>
              <w:jc w:val="right"/>
              <w:rPr>
                <w:color w:val="000000"/>
                <w:sz w:val="20"/>
              </w:rPr>
            </w:pPr>
            <w:r w:rsidRPr="00C6712A">
              <w:rPr>
                <w:color w:val="000000"/>
                <w:sz w:val="20"/>
              </w:rPr>
              <w:t>1</w:t>
            </w:r>
          </w:p>
        </w:tc>
        <w:tc>
          <w:tcPr>
            <w:tcW w:w="833" w:type="dxa"/>
            <w:tcBorders>
              <w:top w:val="nil"/>
              <w:left w:val="nil"/>
              <w:bottom w:val="single" w:sz="4" w:space="0" w:color="auto"/>
              <w:right w:val="double" w:sz="6" w:space="0" w:color="auto"/>
            </w:tcBorders>
            <w:shd w:val="clear" w:color="auto" w:fill="auto"/>
            <w:noWrap/>
            <w:vAlign w:val="center"/>
            <w:hideMark/>
          </w:tcPr>
          <w:p w14:paraId="56199190" w14:textId="77777777" w:rsidR="00E5194C" w:rsidRPr="00C6712A" w:rsidRDefault="00E5194C" w:rsidP="00E5194C">
            <w:pPr>
              <w:spacing w:after="0"/>
              <w:ind w:firstLine="0"/>
              <w:contextualSpacing/>
              <w:jc w:val="right"/>
              <w:rPr>
                <w:color w:val="000000"/>
                <w:sz w:val="20"/>
              </w:rPr>
            </w:pPr>
            <w:r w:rsidRPr="00C6712A">
              <w:rPr>
                <w:color w:val="000000"/>
                <w:sz w:val="20"/>
              </w:rPr>
              <w:t>31</w:t>
            </w:r>
          </w:p>
        </w:tc>
      </w:tr>
      <w:tr w:rsidR="00E5194C" w:rsidRPr="00C6712A" w14:paraId="0D78B582" w14:textId="77777777" w:rsidTr="00453931">
        <w:trPr>
          <w:cantSplit/>
          <w:trHeight w:val="20"/>
          <w:jc w:val="center"/>
        </w:trPr>
        <w:tc>
          <w:tcPr>
            <w:tcW w:w="682" w:type="dxa"/>
            <w:vMerge/>
            <w:tcBorders>
              <w:top w:val="double" w:sz="6" w:space="0" w:color="auto"/>
              <w:left w:val="double" w:sz="6" w:space="0" w:color="auto"/>
              <w:bottom w:val="double" w:sz="6" w:space="0" w:color="000000"/>
              <w:right w:val="double" w:sz="6" w:space="0" w:color="auto"/>
            </w:tcBorders>
            <w:vAlign w:val="center"/>
            <w:hideMark/>
          </w:tcPr>
          <w:p w14:paraId="3F5592D2" w14:textId="77777777" w:rsidR="00E5194C" w:rsidRPr="00C6712A" w:rsidRDefault="00E5194C" w:rsidP="00E5194C">
            <w:pPr>
              <w:spacing w:after="0"/>
              <w:ind w:firstLine="0"/>
              <w:contextualSpacing/>
              <w:rPr>
                <w:b/>
                <w:bCs/>
                <w:color w:val="000000"/>
                <w:sz w:val="20"/>
              </w:rPr>
            </w:pPr>
          </w:p>
        </w:tc>
        <w:tc>
          <w:tcPr>
            <w:tcW w:w="2288" w:type="dxa"/>
            <w:tcBorders>
              <w:top w:val="nil"/>
              <w:left w:val="nil"/>
              <w:bottom w:val="single" w:sz="4" w:space="0" w:color="auto"/>
              <w:right w:val="double" w:sz="6" w:space="0" w:color="auto"/>
            </w:tcBorders>
            <w:shd w:val="clear" w:color="auto" w:fill="auto"/>
            <w:vAlign w:val="center"/>
            <w:hideMark/>
          </w:tcPr>
          <w:p w14:paraId="50EE4559" w14:textId="77777777" w:rsidR="00E5194C" w:rsidRPr="00C6712A" w:rsidRDefault="00E5194C" w:rsidP="00E5194C">
            <w:pPr>
              <w:spacing w:after="0"/>
              <w:ind w:firstLine="0"/>
              <w:contextualSpacing/>
              <w:rPr>
                <w:color w:val="000000"/>
                <w:sz w:val="20"/>
              </w:rPr>
            </w:pPr>
            <w:r w:rsidRPr="00C6712A">
              <w:rPr>
                <w:color w:val="000000"/>
                <w:sz w:val="20"/>
              </w:rPr>
              <w:t>6-7 days per week</w:t>
            </w:r>
          </w:p>
        </w:tc>
        <w:tc>
          <w:tcPr>
            <w:tcW w:w="833" w:type="dxa"/>
            <w:tcBorders>
              <w:top w:val="nil"/>
              <w:left w:val="nil"/>
              <w:bottom w:val="single" w:sz="4" w:space="0" w:color="auto"/>
              <w:right w:val="single" w:sz="4" w:space="0" w:color="auto"/>
            </w:tcBorders>
            <w:shd w:val="clear" w:color="auto" w:fill="auto"/>
            <w:noWrap/>
            <w:vAlign w:val="center"/>
            <w:hideMark/>
          </w:tcPr>
          <w:p w14:paraId="5FE756F9" w14:textId="77777777" w:rsidR="00E5194C" w:rsidRPr="00C6712A" w:rsidRDefault="00E5194C" w:rsidP="00E5194C">
            <w:pPr>
              <w:spacing w:after="0"/>
              <w:ind w:firstLine="0"/>
              <w:contextualSpacing/>
              <w:jc w:val="right"/>
              <w:rPr>
                <w:color w:val="000000"/>
                <w:sz w:val="20"/>
              </w:rPr>
            </w:pPr>
            <w:r w:rsidRPr="00C6712A">
              <w:rPr>
                <w:color w:val="000000"/>
                <w:sz w:val="20"/>
              </w:rPr>
              <w:t>5</w:t>
            </w:r>
          </w:p>
        </w:tc>
        <w:tc>
          <w:tcPr>
            <w:tcW w:w="833" w:type="dxa"/>
            <w:tcBorders>
              <w:top w:val="nil"/>
              <w:left w:val="nil"/>
              <w:bottom w:val="single" w:sz="4" w:space="0" w:color="auto"/>
              <w:right w:val="single" w:sz="4" w:space="0" w:color="auto"/>
            </w:tcBorders>
            <w:shd w:val="clear" w:color="auto" w:fill="auto"/>
            <w:noWrap/>
            <w:vAlign w:val="center"/>
            <w:hideMark/>
          </w:tcPr>
          <w:p w14:paraId="49008106" w14:textId="77777777" w:rsidR="00E5194C" w:rsidRPr="00C6712A" w:rsidRDefault="00E5194C" w:rsidP="00E5194C">
            <w:pPr>
              <w:spacing w:after="0"/>
              <w:ind w:firstLine="0"/>
              <w:contextualSpacing/>
              <w:jc w:val="right"/>
              <w:rPr>
                <w:color w:val="000000"/>
                <w:sz w:val="20"/>
              </w:rPr>
            </w:pPr>
            <w:r w:rsidRPr="00C6712A">
              <w:rPr>
                <w:color w:val="000000"/>
                <w:sz w:val="20"/>
              </w:rPr>
              <w:t>0</w:t>
            </w:r>
          </w:p>
        </w:tc>
        <w:tc>
          <w:tcPr>
            <w:tcW w:w="833" w:type="dxa"/>
            <w:tcBorders>
              <w:top w:val="nil"/>
              <w:left w:val="nil"/>
              <w:bottom w:val="single" w:sz="4" w:space="0" w:color="auto"/>
              <w:right w:val="double" w:sz="6" w:space="0" w:color="auto"/>
            </w:tcBorders>
            <w:shd w:val="clear" w:color="auto" w:fill="auto"/>
            <w:noWrap/>
            <w:vAlign w:val="center"/>
            <w:hideMark/>
          </w:tcPr>
          <w:p w14:paraId="3362929B" w14:textId="77777777" w:rsidR="00E5194C" w:rsidRPr="00C6712A" w:rsidRDefault="00E5194C" w:rsidP="00E5194C">
            <w:pPr>
              <w:spacing w:after="0"/>
              <w:ind w:firstLine="0"/>
              <w:contextualSpacing/>
              <w:jc w:val="right"/>
              <w:rPr>
                <w:color w:val="000000"/>
                <w:sz w:val="20"/>
              </w:rPr>
            </w:pPr>
            <w:r w:rsidRPr="00C6712A">
              <w:rPr>
                <w:color w:val="000000"/>
                <w:sz w:val="20"/>
              </w:rPr>
              <w:t>5</w:t>
            </w:r>
          </w:p>
        </w:tc>
        <w:tc>
          <w:tcPr>
            <w:tcW w:w="833" w:type="dxa"/>
            <w:tcBorders>
              <w:top w:val="nil"/>
              <w:left w:val="nil"/>
              <w:bottom w:val="single" w:sz="4" w:space="0" w:color="auto"/>
              <w:right w:val="single" w:sz="4" w:space="0" w:color="auto"/>
            </w:tcBorders>
            <w:shd w:val="clear" w:color="auto" w:fill="auto"/>
            <w:noWrap/>
            <w:vAlign w:val="center"/>
            <w:hideMark/>
          </w:tcPr>
          <w:p w14:paraId="679F0C76" w14:textId="77777777" w:rsidR="00E5194C" w:rsidRPr="00C6712A" w:rsidRDefault="00E5194C" w:rsidP="00E5194C">
            <w:pPr>
              <w:spacing w:after="0"/>
              <w:ind w:firstLine="0"/>
              <w:contextualSpacing/>
              <w:jc w:val="right"/>
              <w:rPr>
                <w:color w:val="000000"/>
                <w:sz w:val="20"/>
              </w:rPr>
            </w:pPr>
            <w:r w:rsidRPr="00C6712A">
              <w:rPr>
                <w:color w:val="000000"/>
                <w:sz w:val="20"/>
              </w:rPr>
              <w:t>13</w:t>
            </w:r>
          </w:p>
        </w:tc>
        <w:tc>
          <w:tcPr>
            <w:tcW w:w="833" w:type="dxa"/>
            <w:tcBorders>
              <w:top w:val="nil"/>
              <w:left w:val="nil"/>
              <w:bottom w:val="single" w:sz="4" w:space="0" w:color="auto"/>
              <w:right w:val="single" w:sz="4" w:space="0" w:color="auto"/>
            </w:tcBorders>
            <w:shd w:val="clear" w:color="auto" w:fill="auto"/>
            <w:noWrap/>
            <w:vAlign w:val="center"/>
            <w:hideMark/>
          </w:tcPr>
          <w:p w14:paraId="5BAE07FF" w14:textId="77777777" w:rsidR="00E5194C" w:rsidRPr="00C6712A" w:rsidRDefault="00E5194C" w:rsidP="00E5194C">
            <w:pPr>
              <w:spacing w:after="0"/>
              <w:ind w:firstLine="0"/>
              <w:contextualSpacing/>
              <w:jc w:val="right"/>
              <w:rPr>
                <w:color w:val="000000"/>
                <w:sz w:val="20"/>
              </w:rPr>
            </w:pPr>
            <w:r w:rsidRPr="00C6712A">
              <w:rPr>
                <w:color w:val="000000"/>
                <w:sz w:val="20"/>
              </w:rPr>
              <w:t>1</w:t>
            </w:r>
          </w:p>
        </w:tc>
        <w:tc>
          <w:tcPr>
            <w:tcW w:w="833" w:type="dxa"/>
            <w:tcBorders>
              <w:top w:val="nil"/>
              <w:left w:val="nil"/>
              <w:bottom w:val="single" w:sz="4" w:space="0" w:color="auto"/>
              <w:right w:val="double" w:sz="6" w:space="0" w:color="auto"/>
            </w:tcBorders>
            <w:shd w:val="clear" w:color="auto" w:fill="auto"/>
            <w:noWrap/>
            <w:vAlign w:val="center"/>
            <w:hideMark/>
          </w:tcPr>
          <w:p w14:paraId="3E75A884" w14:textId="77777777" w:rsidR="00E5194C" w:rsidRPr="00C6712A" w:rsidRDefault="00E5194C" w:rsidP="00E5194C">
            <w:pPr>
              <w:spacing w:after="0"/>
              <w:ind w:firstLine="0"/>
              <w:contextualSpacing/>
              <w:jc w:val="right"/>
              <w:rPr>
                <w:color w:val="000000"/>
                <w:sz w:val="20"/>
              </w:rPr>
            </w:pPr>
            <w:r w:rsidRPr="00C6712A">
              <w:rPr>
                <w:color w:val="000000"/>
                <w:sz w:val="20"/>
              </w:rPr>
              <w:t>14</w:t>
            </w:r>
          </w:p>
        </w:tc>
        <w:tc>
          <w:tcPr>
            <w:tcW w:w="833" w:type="dxa"/>
            <w:tcBorders>
              <w:top w:val="nil"/>
              <w:left w:val="nil"/>
              <w:bottom w:val="single" w:sz="4" w:space="0" w:color="auto"/>
              <w:right w:val="single" w:sz="4" w:space="0" w:color="auto"/>
            </w:tcBorders>
            <w:shd w:val="clear" w:color="auto" w:fill="auto"/>
            <w:noWrap/>
            <w:vAlign w:val="center"/>
            <w:hideMark/>
          </w:tcPr>
          <w:p w14:paraId="42CE927D" w14:textId="77777777" w:rsidR="00E5194C" w:rsidRPr="00C6712A" w:rsidRDefault="00E5194C" w:rsidP="00E5194C">
            <w:pPr>
              <w:spacing w:after="0"/>
              <w:ind w:firstLine="0"/>
              <w:contextualSpacing/>
              <w:jc w:val="right"/>
              <w:rPr>
                <w:color w:val="000000"/>
                <w:sz w:val="20"/>
              </w:rPr>
            </w:pPr>
            <w:r w:rsidRPr="00C6712A">
              <w:rPr>
                <w:color w:val="000000"/>
                <w:sz w:val="20"/>
              </w:rPr>
              <w:t>18</w:t>
            </w:r>
          </w:p>
        </w:tc>
        <w:tc>
          <w:tcPr>
            <w:tcW w:w="833" w:type="dxa"/>
            <w:tcBorders>
              <w:top w:val="nil"/>
              <w:left w:val="nil"/>
              <w:bottom w:val="single" w:sz="4" w:space="0" w:color="auto"/>
              <w:right w:val="single" w:sz="4" w:space="0" w:color="auto"/>
            </w:tcBorders>
            <w:shd w:val="clear" w:color="auto" w:fill="auto"/>
            <w:noWrap/>
            <w:vAlign w:val="center"/>
            <w:hideMark/>
          </w:tcPr>
          <w:p w14:paraId="09D6AAA4" w14:textId="77777777" w:rsidR="00E5194C" w:rsidRPr="00C6712A" w:rsidRDefault="00E5194C" w:rsidP="00E5194C">
            <w:pPr>
              <w:spacing w:after="0"/>
              <w:ind w:firstLine="0"/>
              <w:contextualSpacing/>
              <w:jc w:val="right"/>
              <w:rPr>
                <w:color w:val="000000"/>
                <w:sz w:val="20"/>
              </w:rPr>
            </w:pPr>
            <w:r w:rsidRPr="00C6712A">
              <w:rPr>
                <w:color w:val="000000"/>
                <w:sz w:val="20"/>
              </w:rPr>
              <w:t>1</w:t>
            </w:r>
          </w:p>
        </w:tc>
        <w:tc>
          <w:tcPr>
            <w:tcW w:w="833" w:type="dxa"/>
            <w:tcBorders>
              <w:top w:val="nil"/>
              <w:left w:val="nil"/>
              <w:bottom w:val="single" w:sz="4" w:space="0" w:color="auto"/>
              <w:right w:val="double" w:sz="6" w:space="0" w:color="auto"/>
            </w:tcBorders>
            <w:shd w:val="clear" w:color="auto" w:fill="auto"/>
            <w:noWrap/>
            <w:vAlign w:val="center"/>
            <w:hideMark/>
          </w:tcPr>
          <w:p w14:paraId="0B5D1845" w14:textId="77777777" w:rsidR="00E5194C" w:rsidRPr="00C6712A" w:rsidRDefault="00E5194C" w:rsidP="00E5194C">
            <w:pPr>
              <w:spacing w:after="0"/>
              <w:ind w:firstLine="0"/>
              <w:contextualSpacing/>
              <w:jc w:val="right"/>
              <w:rPr>
                <w:color w:val="000000"/>
                <w:sz w:val="20"/>
              </w:rPr>
            </w:pPr>
            <w:r w:rsidRPr="00C6712A">
              <w:rPr>
                <w:color w:val="000000"/>
                <w:sz w:val="20"/>
              </w:rPr>
              <w:t>19</w:t>
            </w:r>
          </w:p>
        </w:tc>
      </w:tr>
      <w:tr w:rsidR="00E5194C" w:rsidRPr="00C6712A" w14:paraId="57D08971" w14:textId="77777777" w:rsidTr="00453931">
        <w:trPr>
          <w:cantSplit/>
          <w:trHeight w:val="20"/>
          <w:jc w:val="center"/>
        </w:trPr>
        <w:tc>
          <w:tcPr>
            <w:tcW w:w="682" w:type="dxa"/>
            <w:vMerge/>
            <w:tcBorders>
              <w:top w:val="double" w:sz="6" w:space="0" w:color="auto"/>
              <w:left w:val="double" w:sz="6" w:space="0" w:color="auto"/>
              <w:bottom w:val="double" w:sz="6" w:space="0" w:color="000000"/>
              <w:right w:val="double" w:sz="6" w:space="0" w:color="auto"/>
            </w:tcBorders>
            <w:vAlign w:val="center"/>
            <w:hideMark/>
          </w:tcPr>
          <w:p w14:paraId="6AD7F6AB" w14:textId="77777777" w:rsidR="00E5194C" w:rsidRPr="00C6712A" w:rsidRDefault="00E5194C" w:rsidP="00E5194C">
            <w:pPr>
              <w:spacing w:after="0"/>
              <w:ind w:firstLine="0"/>
              <w:contextualSpacing/>
              <w:rPr>
                <w:b/>
                <w:bCs/>
                <w:color w:val="000000"/>
                <w:sz w:val="20"/>
              </w:rPr>
            </w:pPr>
          </w:p>
        </w:tc>
        <w:tc>
          <w:tcPr>
            <w:tcW w:w="2288" w:type="dxa"/>
            <w:tcBorders>
              <w:top w:val="nil"/>
              <w:left w:val="nil"/>
              <w:bottom w:val="double" w:sz="6" w:space="0" w:color="auto"/>
              <w:right w:val="double" w:sz="6" w:space="0" w:color="auto"/>
            </w:tcBorders>
            <w:shd w:val="clear" w:color="auto" w:fill="auto"/>
            <w:vAlign w:val="center"/>
            <w:hideMark/>
          </w:tcPr>
          <w:p w14:paraId="7A1EF208" w14:textId="77777777" w:rsidR="00E5194C" w:rsidRPr="00C6712A" w:rsidRDefault="00E5194C" w:rsidP="00E5194C">
            <w:pPr>
              <w:spacing w:after="0"/>
              <w:ind w:firstLine="0"/>
              <w:contextualSpacing/>
              <w:rPr>
                <w:color w:val="000000"/>
                <w:sz w:val="20"/>
              </w:rPr>
            </w:pPr>
            <w:r w:rsidRPr="00C6712A">
              <w:rPr>
                <w:color w:val="000000"/>
                <w:sz w:val="20"/>
              </w:rPr>
              <w:t>Total</w:t>
            </w:r>
          </w:p>
        </w:tc>
        <w:tc>
          <w:tcPr>
            <w:tcW w:w="833" w:type="dxa"/>
            <w:tcBorders>
              <w:top w:val="nil"/>
              <w:left w:val="nil"/>
              <w:bottom w:val="double" w:sz="6" w:space="0" w:color="auto"/>
              <w:right w:val="single" w:sz="4" w:space="0" w:color="auto"/>
            </w:tcBorders>
            <w:shd w:val="clear" w:color="auto" w:fill="auto"/>
            <w:noWrap/>
            <w:vAlign w:val="center"/>
            <w:hideMark/>
          </w:tcPr>
          <w:p w14:paraId="10381D1D" w14:textId="77777777" w:rsidR="00E5194C" w:rsidRPr="00C6712A" w:rsidRDefault="00E5194C" w:rsidP="00E5194C">
            <w:pPr>
              <w:spacing w:after="0"/>
              <w:ind w:firstLine="0"/>
              <w:contextualSpacing/>
              <w:jc w:val="right"/>
              <w:rPr>
                <w:color w:val="000000"/>
                <w:sz w:val="20"/>
              </w:rPr>
            </w:pPr>
            <w:r w:rsidRPr="00C6712A">
              <w:rPr>
                <w:color w:val="000000"/>
                <w:sz w:val="20"/>
              </w:rPr>
              <w:t>2,684</w:t>
            </w:r>
          </w:p>
        </w:tc>
        <w:tc>
          <w:tcPr>
            <w:tcW w:w="833" w:type="dxa"/>
            <w:tcBorders>
              <w:top w:val="nil"/>
              <w:left w:val="nil"/>
              <w:bottom w:val="double" w:sz="6" w:space="0" w:color="auto"/>
              <w:right w:val="single" w:sz="4" w:space="0" w:color="auto"/>
            </w:tcBorders>
            <w:shd w:val="clear" w:color="auto" w:fill="auto"/>
            <w:noWrap/>
            <w:vAlign w:val="center"/>
            <w:hideMark/>
          </w:tcPr>
          <w:p w14:paraId="53C18CEB" w14:textId="77777777" w:rsidR="00E5194C" w:rsidRPr="00C6712A" w:rsidRDefault="00E5194C" w:rsidP="00E5194C">
            <w:pPr>
              <w:spacing w:after="0"/>
              <w:ind w:firstLine="0"/>
              <w:contextualSpacing/>
              <w:jc w:val="right"/>
              <w:rPr>
                <w:color w:val="000000"/>
                <w:sz w:val="20"/>
              </w:rPr>
            </w:pPr>
            <w:r w:rsidRPr="00C6712A">
              <w:rPr>
                <w:color w:val="000000"/>
                <w:sz w:val="20"/>
              </w:rPr>
              <w:t>1,116</w:t>
            </w:r>
          </w:p>
        </w:tc>
        <w:tc>
          <w:tcPr>
            <w:tcW w:w="833" w:type="dxa"/>
            <w:tcBorders>
              <w:top w:val="nil"/>
              <w:left w:val="nil"/>
              <w:bottom w:val="double" w:sz="6" w:space="0" w:color="auto"/>
              <w:right w:val="double" w:sz="6" w:space="0" w:color="auto"/>
            </w:tcBorders>
            <w:shd w:val="clear" w:color="auto" w:fill="auto"/>
            <w:noWrap/>
            <w:vAlign w:val="center"/>
            <w:hideMark/>
          </w:tcPr>
          <w:p w14:paraId="4347F3BB" w14:textId="77777777" w:rsidR="00E5194C" w:rsidRPr="00C6712A" w:rsidRDefault="00E5194C" w:rsidP="00E5194C">
            <w:pPr>
              <w:spacing w:after="0"/>
              <w:ind w:firstLine="0"/>
              <w:contextualSpacing/>
              <w:jc w:val="right"/>
              <w:rPr>
                <w:color w:val="000000"/>
                <w:sz w:val="20"/>
              </w:rPr>
            </w:pPr>
            <w:r w:rsidRPr="00C6712A">
              <w:rPr>
                <w:color w:val="000000"/>
                <w:sz w:val="20"/>
              </w:rPr>
              <w:t>3,800</w:t>
            </w:r>
          </w:p>
        </w:tc>
        <w:tc>
          <w:tcPr>
            <w:tcW w:w="833" w:type="dxa"/>
            <w:tcBorders>
              <w:top w:val="nil"/>
              <w:left w:val="nil"/>
              <w:bottom w:val="double" w:sz="6" w:space="0" w:color="auto"/>
              <w:right w:val="single" w:sz="4" w:space="0" w:color="auto"/>
            </w:tcBorders>
            <w:shd w:val="clear" w:color="auto" w:fill="auto"/>
            <w:noWrap/>
            <w:vAlign w:val="center"/>
            <w:hideMark/>
          </w:tcPr>
          <w:p w14:paraId="3A5E170A" w14:textId="77777777" w:rsidR="00E5194C" w:rsidRPr="00C6712A" w:rsidRDefault="00E5194C" w:rsidP="00E5194C">
            <w:pPr>
              <w:spacing w:after="0"/>
              <w:ind w:firstLine="0"/>
              <w:contextualSpacing/>
              <w:jc w:val="right"/>
              <w:rPr>
                <w:color w:val="000000"/>
                <w:sz w:val="20"/>
              </w:rPr>
            </w:pPr>
            <w:r w:rsidRPr="00C6712A">
              <w:rPr>
                <w:color w:val="000000"/>
                <w:sz w:val="20"/>
              </w:rPr>
              <w:t>4,279</w:t>
            </w:r>
          </w:p>
        </w:tc>
        <w:tc>
          <w:tcPr>
            <w:tcW w:w="833" w:type="dxa"/>
            <w:tcBorders>
              <w:top w:val="nil"/>
              <w:left w:val="nil"/>
              <w:bottom w:val="double" w:sz="6" w:space="0" w:color="auto"/>
              <w:right w:val="single" w:sz="4" w:space="0" w:color="auto"/>
            </w:tcBorders>
            <w:shd w:val="clear" w:color="auto" w:fill="auto"/>
            <w:noWrap/>
            <w:vAlign w:val="center"/>
            <w:hideMark/>
          </w:tcPr>
          <w:p w14:paraId="46A6A6C3" w14:textId="77777777" w:rsidR="00E5194C" w:rsidRPr="00C6712A" w:rsidRDefault="00E5194C" w:rsidP="00E5194C">
            <w:pPr>
              <w:spacing w:after="0"/>
              <w:ind w:firstLine="0"/>
              <w:contextualSpacing/>
              <w:jc w:val="right"/>
              <w:rPr>
                <w:color w:val="000000"/>
                <w:sz w:val="20"/>
              </w:rPr>
            </w:pPr>
            <w:r w:rsidRPr="00C6712A">
              <w:rPr>
                <w:color w:val="000000"/>
                <w:sz w:val="20"/>
              </w:rPr>
              <w:t>463</w:t>
            </w:r>
          </w:p>
        </w:tc>
        <w:tc>
          <w:tcPr>
            <w:tcW w:w="833" w:type="dxa"/>
            <w:tcBorders>
              <w:top w:val="nil"/>
              <w:left w:val="nil"/>
              <w:bottom w:val="double" w:sz="6" w:space="0" w:color="auto"/>
              <w:right w:val="double" w:sz="6" w:space="0" w:color="auto"/>
            </w:tcBorders>
            <w:shd w:val="clear" w:color="auto" w:fill="auto"/>
            <w:noWrap/>
            <w:vAlign w:val="center"/>
            <w:hideMark/>
          </w:tcPr>
          <w:p w14:paraId="02584F4D" w14:textId="77777777" w:rsidR="00E5194C" w:rsidRPr="00C6712A" w:rsidRDefault="00E5194C" w:rsidP="00E5194C">
            <w:pPr>
              <w:spacing w:after="0"/>
              <w:ind w:firstLine="0"/>
              <w:contextualSpacing/>
              <w:jc w:val="right"/>
              <w:rPr>
                <w:color w:val="000000"/>
                <w:sz w:val="20"/>
              </w:rPr>
            </w:pPr>
            <w:r w:rsidRPr="00C6712A">
              <w:rPr>
                <w:color w:val="000000"/>
                <w:sz w:val="20"/>
              </w:rPr>
              <w:t>4,742</w:t>
            </w:r>
          </w:p>
        </w:tc>
        <w:tc>
          <w:tcPr>
            <w:tcW w:w="833" w:type="dxa"/>
            <w:tcBorders>
              <w:top w:val="nil"/>
              <w:left w:val="nil"/>
              <w:bottom w:val="double" w:sz="6" w:space="0" w:color="auto"/>
              <w:right w:val="single" w:sz="4" w:space="0" w:color="auto"/>
            </w:tcBorders>
            <w:shd w:val="clear" w:color="auto" w:fill="auto"/>
            <w:noWrap/>
            <w:vAlign w:val="center"/>
            <w:hideMark/>
          </w:tcPr>
          <w:p w14:paraId="10E6E2E4" w14:textId="77777777" w:rsidR="00E5194C" w:rsidRPr="00C6712A" w:rsidRDefault="00E5194C" w:rsidP="00E5194C">
            <w:pPr>
              <w:spacing w:after="0"/>
              <w:ind w:firstLine="0"/>
              <w:contextualSpacing/>
              <w:jc w:val="right"/>
              <w:rPr>
                <w:color w:val="000000"/>
                <w:sz w:val="20"/>
              </w:rPr>
            </w:pPr>
            <w:r w:rsidRPr="00C6712A">
              <w:rPr>
                <w:color w:val="000000"/>
                <w:sz w:val="20"/>
              </w:rPr>
              <w:t>6,963</w:t>
            </w:r>
          </w:p>
        </w:tc>
        <w:tc>
          <w:tcPr>
            <w:tcW w:w="833" w:type="dxa"/>
            <w:tcBorders>
              <w:top w:val="nil"/>
              <w:left w:val="nil"/>
              <w:bottom w:val="double" w:sz="6" w:space="0" w:color="auto"/>
              <w:right w:val="single" w:sz="4" w:space="0" w:color="auto"/>
            </w:tcBorders>
            <w:shd w:val="clear" w:color="auto" w:fill="auto"/>
            <w:noWrap/>
            <w:vAlign w:val="center"/>
            <w:hideMark/>
          </w:tcPr>
          <w:p w14:paraId="049AF4DD" w14:textId="77777777" w:rsidR="00E5194C" w:rsidRPr="00C6712A" w:rsidRDefault="00E5194C" w:rsidP="00E5194C">
            <w:pPr>
              <w:spacing w:after="0"/>
              <w:ind w:firstLine="0"/>
              <w:contextualSpacing/>
              <w:jc w:val="right"/>
              <w:rPr>
                <w:color w:val="000000"/>
                <w:sz w:val="20"/>
              </w:rPr>
            </w:pPr>
            <w:r w:rsidRPr="00C6712A">
              <w:rPr>
                <w:color w:val="000000"/>
                <w:sz w:val="20"/>
              </w:rPr>
              <w:t>1,579</w:t>
            </w:r>
          </w:p>
        </w:tc>
        <w:tc>
          <w:tcPr>
            <w:tcW w:w="833" w:type="dxa"/>
            <w:tcBorders>
              <w:top w:val="nil"/>
              <w:left w:val="nil"/>
              <w:bottom w:val="double" w:sz="6" w:space="0" w:color="auto"/>
              <w:right w:val="double" w:sz="6" w:space="0" w:color="auto"/>
            </w:tcBorders>
            <w:shd w:val="clear" w:color="auto" w:fill="auto"/>
            <w:noWrap/>
            <w:vAlign w:val="center"/>
            <w:hideMark/>
          </w:tcPr>
          <w:p w14:paraId="47B076F6" w14:textId="77777777" w:rsidR="00E5194C" w:rsidRPr="00C6712A" w:rsidRDefault="00E5194C" w:rsidP="00E5194C">
            <w:pPr>
              <w:spacing w:after="0"/>
              <w:ind w:firstLine="0"/>
              <w:contextualSpacing/>
              <w:jc w:val="right"/>
              <w:rPr>
                <w:color w:val="000000"/>
                <w:sz w:val="20"/>
              </w:rPr>
            </w:pPr>
            <w:r w:rsidRPr="00C6712A">
              <w:rPr>
                <w:color w:val="000000"/>
                <w:sz w:val="20"/>
              </w:rPr>
              <w:t>8,542</w:t>
            </w:r>
          </w:p>
        </w:tc>
      </w:tr>
      <w:tr w:rsidR="00E5194C" w:rsidRPr="00C6712A" w14:paraId="73E9349C" w14:textId="77777777" w:rsidTr="00453931">
        <w:trPr>
          <w:cantSplit/>
          <w:trHeight w:val="20"/>
          <w:jc w:val="center"/>
        </w:trPr>
        <w:tc>
          <w:tcPr>
            <w:tcW w:w="682" w:type="dxa"/>
            <w:vMerge w:val="restart"/>
            <w:tcBorders>
              <w:top w:val="nil"/>
              <w:left w:val="double" w:sz="6" w:space="0" w:color="auto"/>
              <w:bottom w:val="double" w:sz="6" w:space="0" w:color="000000"/>
              <w:right w:val="double" w:sz="6" w:space="0" w:color="auto"/>
            </w:tcBorders>
            <w:shd w:val="clear" w:color="auto" w:fill="auto"/>
            <w:textDirection w:val="btLr"/>
            <w:vAlign w:val="center"/>
            <w:hideMark/>
          </w:tcPr>
          <w:p w14:paraId="7635983A" w14:textId="77777777" w:rsidR="00E5194C" w:rsidRPr="00C6712A" w:rsidRDefault="00E5194C" w:rsidP="00E5194C">
            <w:pPr>
              <w:spacing w:after="0"/>
              <w:ind w:firstLine="0"/>
              <w:contextualSpacing/>
              <w:jc w:val="center"/>
              <w:rPr>
                <w:b/>
                <w:bCs/>
                <w:color w:val="000000"/>
                <w:sz w:val="20"/>
              </w:rPr>
            </w:pPr>
            <w:r w:rsidRPr="00C6712A">
              <w:rPr>
                <w:b/>
                <w:bCs/>
                <w:color w:val="000000"/>
                <w:sz w:val="20"/>
              </w:rPr>
              <w:t>Column-wise</w:t>
            </w:r>
            <w:r w:rsidRPr="00C6712A">
              <w:rPr>
                <w:b/>
                <w:bCs/>
                <w:color w:val="000000"/>
                <w:sz w:val="20"/>
              </w:rPr>
              <w:br/>
              <w:t>percentages</w:t>
            </w:r>
          </w:p>
        </w:tc>
        <w:tc>
          <w:tcPr>
            <w:tcW w:w="2288" w:type="dxa"/>
            <w:tcBorders>
              <w:top w:val="nil"/>
              <w:left w:val="nil"/>
              <w:bottom w:val="single" w:sz="4" w:space="0" w:color="auto"/>
              <w:right w:val="double" w:sz="6" w:space="0" w:color="auto"/>
            </w:tcBorders>
            <w:shd w:val="clear" w:color="auto" w:fill="auto"/>
            <w:vAlign w:val="center"/>
            <w:hideMark/>
          </w:tcPr>
          <w:p w14:paraId="011DE3A8" w14:textId="77777777" w:rsidR="00E5194C" w:rsidRPr="00C6712A" w:rsidRDefault="00E5194C" w:rsidP="00E5194C">
            <w:pPr>
              <w:spacing w:after="0"/>
              <w:ind w:firstLine="0"/>
              <w:contextualSpacing/>
              <w:rPr>
                <w:color w:val="000000"/>
                <w:sz w:val="20"/>
              </w:rPr>
            </w:pPr>
            <w:r w:rsidRPr="00C6712A">
              <w:rPr>
                <w:color w:val="000000"/>
                <w:sz w:val="20"/>
              </w:rPr>
              <w:t>Never</w:t>
            </w:r>
          </w:p>
        </w:tc>
        <w:tc>
          <w:tcPr>
            <w:tcW w:w="833" w:type="dxa"/>
            <w:tcBorders>
              <w:top w:val="nil"/>
              <w:left w:val="nil"/>
              <w:bottom w:val="single" w:sz="4" w:space="0" w:color="auto"/>
              <w:right w:val="single" w:sz="4" w:space="0" w:color="auto"/>
            </w:tcBorders>
            <w:shd w:val="clear" w:color="auto" w:fill="auto"/>
            <w:noWrap/>
            <w:vAlign w:val="center"/>
            <w:hideMark/>
          </w:tcPr>
          <w:p w14:paraId="72B35DCC" w14:textId="77777777" w:rsidR="00E5194C" w:rsidRPr="00C6712A" w:rsidRDefault="00E5194C" w:rsidP="00E5194C">
            <w:pPr>
              <w:spacing w:after="0"/>
              <w:ind w:firstLine="0"/>
              <w:contextualSpacing/>
              <w:jc w:val="right"/>
              <w:rPr>
                <w:color w:val="000000"/>
                <w:sz w:val="20"/>
              </w:rPr>
            </w:pPr>
            <w:r w:rsidRPr="00C6712A">
              <w:rPr>
                <w:color w:val="000000"/>
                <w:sz w:val="20"/>
              </w:rPr>
              <w:t>82.2%</w:t>
            </w:r>
          </w:p>
        </w:tc>
        <w:tc>
          <w:tcPr>
            <w:tcW w:w="833" w:type="dxa"/>
            <w:tcBorders>
              <w:top w:val="nil"/>
              <w:left w:val="nil"/>
              <w:bottom w:val="single" w:sz="4" w:space="0" w:color="auto"/>
              <w:right w:val="single" w:sz="4" w:space="0" w:color="auto"/>
            </w:tcBorders>
            <w:shd w:val="clear" w:color="auto" w:fill="auto"/>
            <w:noWrap/>
            <w:vAlign w:val="center"/>
            <w:hideMark/>
          </w:tcPr>
          <w:p w14:paraId="66225D09" w14:textId="77777777" w:rsidR="00E5194C" w:rsidRPr="00C6712A" w:rsidRDefault="00E5194C" w:rsidP="00E5194C">
            <w:pPr>
              <w:spacing w:after="0"/>
              <w:ind w:firstLine="0"/>
              <w:contextualSpacing/>
              <w:jc w:val="right"/>
              <w:rPr>
                <w:color w:val="000000"/>
                <w:sz w:val="20"/>
              </w:rPr>
            </w:pPr>
            <w:r w:rsidRPr="00C6712A">
              <w:rPr>
                <w:color w:val="000000"/>
                <w:sz w:val="20"/>
              </w:rPr>
              <w:t>98.9%</w:t>
            </w:r>
          </w:p>
        </w:tc>
        <w:tc>
          <w:tcPr>
            <w:tcW w:w="833" w:type="dxa"/>
            <w:tcBorders>
              <w:top w:val="nil"/>
              <w:left w:val="nil"/>
              <w:bottom w:val="single" w:sz="4" w:space="0" w:color="auto"/>
              <w:right w:val="double" w:sz="6" w:space="0" w:color="auto"/>
            </w:tcBorders>
            <w:shd w:val="clear" w:color="auto" w:fill="auto"/>
            <w:noWrap/>
            <w:vAlign w:val="center"/>
            <w:hideMark/>
          </w:tcPr>
          <w:p w14:paraId="4F58064C" w14:textId="77777777" w:rsidR="00E5194C" w:rsidRPr="00C6712A" w:rsidRDefault="00E5194C" w:rsidP="00E5194C">
            <w:pPr>
              <w:spacing w:after="0"/>
              <w:ind w:firstLine="0"/>
              <w:contextualSpacing/>
              <w:jc w:val="right"/>
              <w:rPr>
                <w:color w:val="000000"/>
                <w:sz w:val="20"/>
              </w:rPr>
            </w:pPr>
            <w:r w:rsidRPr="00C6712A">
              <w:rPr>
                <w:color w:val="000000"/>
                <w:sz w:val="20"/>
              </w:rPr>
              <w:t>87.2%</w:t>
            </w:r>
          </w:p>
        </w:tc>
        <w:tc>
          <w:tcPr>
            <w:tcW w:w="833" w:type="dxa"/>
            <w:tcBorders>
              <w:top w:val="nil"/>
              <w:left w:val="nil"/>
              <w:bottom w:val="single" w:sz="4" w:space="0" w:color="auto"/>
              <w:right w:val="single" w:sz="4" w:space="0" w:color="auto"/>
            </w:tcBorders>
            <w:shd w:val="clear" w:color="auto" w:fill="auto"/>
            <w:noWrap/>
            <w:vAlign w:val="center"/>
            <w:hideMark/>
          </w:tcPr>
          <w:p w14:paraId="7EF67E40" w14:textId="77777777" w:rsidR="00E5194C" w:rsidRPr="00C6712A" w:rsidRDefault="00E5194C" w:rsidP="00E5194C">
            <w:pPr>
              <w:spacing w:after="0"/>
              <w:ind w:firstLine="0"/>
              <w:contextualSpacing/>
              <w:jc w:val="right"/>
              <w:rPr>
                <w:color w:val="000000"/>
                <w:sz w:val="20"/>
              </w:rPr>
            </w:pPr>
            <w:r w:rsidRPr="00C6712A">
              <w:rPr>
                <w:color w:val="000000"/>
                <w:sz w:val="20"/>
              </w:rPr>
              <w:t>47.6%</w:t>
            </w:r>
          </w:p>
        </w:tc>
        <w:tc>
          <w:tcPr>
            <w:tcW w:w="833" w:type="dxa"/>
            <w:tcBorders>
              <w:top w:val="nil"/>
              <w:left w:val="nil"/>
              <w:bottom w:val="single" w:sz="4" w:space="0" w:color="auto"/>
              <w:right w:val="single" w:sz="4" w:space="0" w:color="auto"/>
            </w:tcBorders>
            <w:shd w:val="clear" w:color="auto" w:fill="auto"/>
            <w:noWrap/>
            <w:vAlign w:val="center"/>
            <w:hideMark/>
          </w:tcPr>
          <w:p w14:paraId="51566BFD" w14:textId="77777777" w:rsidR="00E5194C" w:rsidRPr="00C6712A" w:rsidRDefault="00E5194C" w:rsidP="00E5194C">
            <w:pPr>
              <w:spacing w:after="0"/>
              <w:ind w:firstLine="0"/>
              <w:contextualSpacing/>
              <w:jc w:val="right"/>
              <w:rPr>
                <w:color w:val="000000"/>
                <w:sz w:val="20"/>
              </w:rPr>
            </w:pPr>
            <w:r w:rsidRPr="00C6712A">
              <w:rPr>
                <w:color w:val="000000"/>
                <w:sz w:val="20"/>
              </w:rPr>
              <w:t>90.4%</w:t>
            </w:r>
          </w:p>
        </w:tc>
        <w:tc>
          <w:tcPr>
            <w:tcW w:w="833" w:type="dxa"/>
            <w:tcBorders>
              <w:top w:val="nil"/>
              <w:left w:val="nil"/>
              <w:bottom w:val="single" w:sz="4" w:space="0" w:color="auto"/>
              <w:right w:val="double" w:sz="6" w:space="0" w:color="auto"/>
            </w:tcBorders>
            <w:shd w:val="clear" w:color="auto" w:fill="auto"/>
            <w:noWrap/>
            <w:vAlign w:val="center"/>
            <w:hideMark/>
          </w:tcPr>
          <w:p w14:paraId="7B79A3CB" w14:textId="77777777" w:rsidR="00E5194C" w:rsidRPr="00C6712A" w:rsidRDefault="00E5194C" w:rsidP="00E5194C">
            <w:pPr>
              <w:spacing w:after="0"/>
              <w:ind w:firstLine="0"/>
              <w:contextualSpacing/>
              <w:jc w:val="right"/>
              <w:rPr>
                <w:color w:val="000000"/>
                <w:sz w:val="20"/>
              </w:rPr>
            </w:pPr>
            <w:r w:rsidRPr="00C6712A">
              <w:rPr>
                <w:color w:val="000000"/>
                <w:sz w:val="20"/>
              </w:rPr>
              <w:t>51.7%</w:t>
            </w:r>
          </w:p>
        </w:tc>
        <w:tc>
          <w:tcPr>
            <w:tcW w:w="833" w:type="dxa"/>
            <w:tcBorders>
              <w:top w:val="nil"/>
              <w:left w:val="nil"/>
              <w:bottom w:val="single" w:sz="4" w:space="0" w:color="auto"/>
              <w:right w:val="single" w:sz="4" w:space="0" w:color="auto"/>
            </w:tcBorders>
            <w:shd w:val="clear" w:color="auto" w:fill="auto"/>
            <w:noWrap/>
            <w:vAlign w:val="center"/>
            <w:hideMark/>
          </w:tcPr>
          <w:p w14:paraId="048DAF9D" w14:textId="77777777" w:rsidR="00E5194C" w:rsidRPr="00C6712A" w:rsidRDefault="00E5194C" w:rsidP="00E5194C">
            <w:pPr>
              <w:spacing w:after="0"/>
              <w:ind w:firstLine="0"/>
              <w:contextualSpacing/>
              <w:jc w:val="right"/>
              <w:rPr>
                <w:color w:val="000000"/>
                <w:sz w:val="20"/>
              </w:rPr>
            </w:pPr>
            <w:r w:rsidRPr="00C6712A">
              <w:rPr>
                <w:color w:val="000000"/>
                <w:sz w:val="20"/>
              </w:rPr>
              <w:t>61.0%</w:t>
            </w:r>
          </w:p>
        </w:tc>
        <w:tc>
          <w:tcPr>
            <w:tcW w:w="833" w:type="dxa"/>
            <w:tcBorders>
              <w:top w:val="nil"/>
              <w:left w:val="nil"/>
              <w:bottom w:val="single" w:sz="4" w:space="0" w:color="auto"/>
              <w:right w:val="single" w:sz="4" w:space="0" w:color="auto"/>
            </w:tcBorders>
            <w:shd w:val="clear" w:color="auto" w:fill="auto"/>
            <w:noWrap/>
            <w:vAlign w:val="center"/>
            <w:hideMark/>
          </w:tcPr>
          <w:p w14:paraId="4A96E018" w14:textId="77777777" w:rsidR="00E5194C" w:rsidRPr="00C6712A" w:rsidRDefault="00E5194C" w:rsidP="00E5194C">
            <w:pPr>
              <w:spacing w:after="0"/>
              <w:ind w:firstLine="0"/>
              <w:contextualSpacing/>
              <w:jc w:val="right"/>
              <w:rPr>
                <w:color w:val="000000"/>
                <w:sz w:val="20"/>
              </w:rPr>
            </w:pPr>
            <w:r w:rsidRPr="00C6712A">
              <w:rPr>
                <w:color w:val="000000"/>
                <w:sz w:val="20"/>
              </w:rPr>
              <w:t>96.3%</w:t>
            </w:r>
          </w:p>
        </w:tc>
        <w:tc>
          <w:tcPr>
            <w:tcW w:w="833" w:type="dxa"/>
            <w:tcBorders>
              <w:top w:val="nil"/>
              <w:left w:val="nil"/>
              <w:bottom w:val="single" w:sz="4" w:space="0" w:color="auto"/>
              <w:right w:val="double" w:sz="6" w:space="0" w:color="auto"/>
            </w:tcBorders>
            <w:shd w:val="clear" w:color="auto" w:fill="auto"/>
            <w:noWrap/>
            <w:vAlign w:val="center"/>
            <w:hideMark/>
          </w:tcPr>
          <w:p w14:paraId="191FCC31" w14:textId="77777777" w:rsidR="00E5194C" w:rsidRPr="00C6712A" w:rsidRDefault="00E5194C" w:rsidP="00E5194C">
            <w:pPr>
              <w:spacing w:after="0"/>
              <w:ind w:firstLine="0"/>
              <w:contextualSpacing/>
              <w:jc w:val="right"/>
              <w:rPr>
                <w:color w:val="000000"/>
                <w:sz w:val="20"/>
              </w:rPr>
            </w:pPr>
            <w:r w:rsidRPr="00C6712A">
              <w:rPr>
                <w:color w:val="000000"/>
                <w:sz w:val="20"/>
              </w:rPr>
              <w:t>67.4%</w:t>
            </w:r>
          </w:p>
        </w:tc>
      </w:tr>
      <w:tr w:rsidR="00E5194C" w:rsidRPr="00C6712A" w14:paraId="47BB1EDD" w14:textId="77777777" w:rsidTr="00453931">
        <w:trPr>
          <w:cantSplit/>
          <w:trHeight w:val="20"/>
          <w:jc w:val="center"/>
        </w:trPr>
        <w:tc>
          <w:tcPr>
            <w:tcW w:w="682" w:type="dxa"/>
            <w:vMerge/>
            <w:tcBorders>
              <w:top w:val="nil"/>
              <w:left w:val="double" w:sz="6" w:space="0" w:color="auto"/>
              <w:bottom w:val="double" w:sz="6" w:space="0" w:color="000000"/>
              <w:right w:val="double" w:sz="6" w:space="0" w:color="auto"/>
            </w:tcBorders>
            <w:vAlign w:val="center"/>
            <w:hideMark/>
          </w:tcPr>
          <w:p w14:paraId="54944972" w14:textId="77777777" w:rsidR="00E5194C" w:rsidRPr="00C6712A" w:rsidRDefault="00E5194C" w:rsidP="00E5194C">
            <w:pPr>
              <w:spacing w:after="0"/>
              <w:ind w:firstLine="0"/>
              <w:contextualSpacing/>
              <w:rPr>
                <w:b/>
                <w:bCs/>
                <w:color w:val="000000"/>
                <w:sz w:val="20"/>
              </w:rPr>
            </w:pPr>
          </w:p>
        </w:tc>
        <w:tc>
          <w:tcPr>
            <w:tcW w:w="2288" w:type="dxa"/>
            <w:tcBorders>
              <w:top w:val="nil"/>
              <w:left w:val="nil"/>
              <w:bottom w:val="single" w:sz="4" w:space="0" w:color="auto"/>
              <w:right w:val="double" w:sz="6" w:space="0" w:color="auto"/>
            </w:tcBorders>
            <w:shd w:val="clear" w:color="auto" w:fill="auto"/>
            <w:vAlign w:val="center"/>
            <w:hideMark/>
          </w:tcPr>
          <w:p w14:paraId="57D26F28" w14:textId="77777777" w:rsidR="00E5194C" w:rsidRPr="00C6712A" w:rsidRDefault="00E5194C" w:rsidP="00E5194C">
            <w:pPr>
              <w:spacing w:after="0"/>
              <w:ind w:firstLine="0"/>
              <w:contextualSpacing/>
              <w:rPr>
                <w:color w:val="000000"/>
                <w:sz w:val="20"/>
              </w:rPr>
            </w:pPr>
            <w:r w:rsidRPr="00C6712A">
              <w:rPr>
                <w:color w:val="000000"/>
                <w:sz w:val="20"/>
              </w:rPr>
              <w:t>Less than 1 day per month</w:t>
            </w:r>
          </w:p>
        </w:tc>
        <w:tc>
          <w:tcPr>
            <w:tcW w:w="833" w:type="dxa"/>
            <w:tcBorders>
              <w:top w:val="nil"/>
              <w:left w:val="nil"/>
              <w:bottom w:val="single" w:sz="4" w:space="0" w:color="auto"/>
              <w:right w:val="single" w:sz="4" w:space="0" w:color="auto"/>
            </w:tcBorders>
            <w:shd w:val="clear" w:color="auto" w:fill="auto"/>
            <w:noWrap/>
            <w:vAlign w:val="center"/>
            <w:hideMark/>
          </w:tcPr>
          <w:p w14:paraId="3EFF3C14" w14:textId="77777777" w:rsidR="00E5194C" w:rsidRPr="00C6712A" w:rsidRDefault="00E5194C" w:rsidP="00E5194C">
            <w:pPr>
              <w:spacing w:after="0"/>
              <w:ind w:firstLine="0"/>
              <w:contextualSpacing/>
              <w:jc w:val="right"/>
              <w:rPr>
                <w:color w:val="000000"/>
                <w:sz w:val="20"/>
              </w:rPr>
            </w:pPr>
            <w:r w:rsidRPr="00C6712A">
              <w:rPr>
                <w:color w:val="000000"/>
                <w:sz w:val="20"/>
              </w:rPr>
              <w:t>7.3%</w:t>
            </w:r>
          </w:p>
        </w:tc>
        <w:tc>
          <w:tcPr>
            <w:tcW w:w="833" w:type="dxa"/>
            <w:tcBorders>
              <w:top w:val="nil"/>
              <w:left w:val="nil"/>
              <w:bottom w:val="single" w:sz="4" w:space="0" w:color="auto"/>
              <w:right w:val="single" w:sz="4" w:space="0" w:color="auto"/>
            </w:tcBorders>
            <w:shd w:val="clear" w:color="auto" w:fill="auto"/>
            <w:noWrap/>
            <w:vAlign w:val="center"/>
            <w:hideMark/>
          </w:tcPr>
          <w:p w14:paraId="60B0B058" w14:textId="77777777" w:rsidR="00E5194C" w:rsidRPr="00C6712A" w:rsidRDefault="00E5194C" w:rsidP="00E5194C">
            <w:pPr>
              <w:spacing w:after="0"/>
              <w:ind w:firstLine="0"/>
              <w:contextualSpacing/>
              <w:jc w:val="right"/>
              <w:rPr>
                <w:color w:val="000000"/>
                <w:sz w:val="20"/>
              </w:rPr>
            </w:pPr>
            <w:r w:rsidRPr="00C6712A">
              <w:rPr>
                <w:color w:val="000000"/>
                <w:sz w:val="20"/>
              </w:rPr>
              <w:t>0.6%</w:t>
            </w:r>
          </w:p>
        </w:tc>
        <w:tc>
          <w:tcPr>
            <w:tcW w:w="833" w:type="dxa"/>
            <w:tcBorders>
              <w:top w:val="nil"/>
              <w:left w:val="nil"/>
              <w:bottom w:val="single" w:sz="4" w:space="0" w:color="auto"/>
              <w:right w:val="double" w:sz="6" w:space="0" w:color="auto"/>
            </w:tcBorders>
            <w:shd w:val="clear" w:color="auto" w:fill="auto"/>
            <w:noWrap/>
            <w:vAlign w:val="center"/>
            <w:hideMark/>
          </w:tcPr>
          <w:p w14:paraId="7569FB14" w14:textId="77777777" w:rsidR="00E5194C" w:rsidRPr="00C6712A" w:rsidRDefault="00E5194C" w:rsidP="00E5194C">
            <w:pPr>
              <w:spacing w:after="0"/>
              <w:ind w:firstLine="0"/>
              <w:contextualSpacing/>
              <w:jc w:val="right"/>
              <w:rPr>
                <w:color w:val="000000"/>
                <w:sz w:val="20"/>
              </w:rPr>
            </w:pPr>
            <w:r w:rsidRPr="00C6712A">
              <w:rPr>
                <w:color w:val="000000"/>
                <w:sz w:val="20"/>
              </w:rPr>
              <w:t>5.3%</w:t>
            </w:r>
          </w:p>
        </w:tc>
        <w:tc>
          <w:tcPr>
            <w:tcW w:w="833" w:type="dxa"/>
            <w:tcBorders>
              <w:top w:val="nil"/>
              <w:left w:val="nil"/>
              <w:bottom w:val="single" w:sz="4" w:space="0" w:color="auto"/>
              <w:right w:val="single" w:sz="4" w:space="0" w:color="auto"/>
            </w:tcBorders>
            <w:shd w:val="clear" w:color="auto" w:fill="auto"/>
            <w:noWrap/>
            <w:vAlign w:val="center"/>
            <w:hideMark/>
          </w:tcPr>
          <w:p w14:paraId="7DD229AB" w14:textId="77777777" w:rsidR="00E5194C" w:rsidRPr="00C6712A" w:rsidRDefault="00E5194C" w:rsidP="00E5194C">
            <w:pPr>
              <w:spacing w:after="0"/>
              <w:ind w:firstLine="0"/>
              <w:contextualSpacing/>
              <w:jc w:val="right"/>
              <w:rPr>
                <w:color w:val="000000"/>
                <w:sz w:val="20"/>
              </w:rPr>
            </w:pPr>
            <w:r w:rsidRPr="00C6712A">
              <w:rPr>
                <w:color w:val="000000"/>
                <w:sz w:val="20"/>
              </w:rPr>
              <w:t>20.5%</w:t>
            </w:r>
          </w:p>
        </w:tc>
        <w:tc>
          <w:tcPr>
            <w:tcW w:w="833" w:type="dxa"/>
            <w:tcBorders>
              <w:top w:val="nil"/>
              <w:left w:val="nil"/>
              <w:bottom w:val="single" w:sz="4" w:space="0" w:color="auto"/>
              <w:right w:val="single" w:sz="4" w:space="0" w:color="auto"/>
            </w:tcBorders>
            <w:shd w:val="clear" w:color="auto" w:fill="auto"/>
            <w:noWrap/>
            <w:vAlign w:val="center"/>
            <w:hideMark/>
          </w:tcPr>
          <w:p w14:paraId="02958B9F" w14:textId="77777777" w:rsidR="00E5194C" w:rsidRPr="00C6712A" w:rsidRDefault="00E5194C" w:rsidP="00E5194C">
            <w:pPr>
              <w:spacing w:after="0"/>
              <w:ind w:firstLine="0"/>
              <w:contextualSpacing/>
              <w:jc w:val="right"/>
              <w:rPr>
                <w:color w:val="000000"/>
                <w:sz w:val="20"/>
              </w:rPr>
            </w:pPr>
            <w:r w:rsidRPr="00C6712A">
              <w:rPr>
                <w:color w:val="000000"/>
                <w:sz w:val="20"/>
              </w:rPr>
              <w:t>4.8%</w:t>
            </w:r>
          </w:p>
        </w:tc>
        <w:tc>
          <w:tcPr>
            <w:tcW w:w="833" w:type="dxa"/>
            <w:tcBorders>
              <w:top w:val="nil"/>
              <w:left w:val="nil"/>
              <w:bottom w:val="single" w:sz="4" w:space="0" w:color="auto"/>
              <w:right w:val="double" w:sz="6" w:space="0" w:color="auto"/>
            </w:tcBorders>
            <w:shd w:val="clear" w:color="auto" w:fill="auto"/>
            <w:noWrap/>
            <w:vAlign w:val="center"/>
            <w:hideMark/>
          </w:tcPr>
          <w:p w14:paraId="3E1A0809" w14:textId="77777777" w:rsidR="00E5194C" w:rsidRPr="00C6712A" w:rsidRDefault="00E5194C" w:rsidP="00E5194C">
            <w:pPr>
              <w:spacing w:after="0"/>
              <w:ind w:firstLine="0"/>
              <w:contextualSpacing/>
              <w:jc w:val="right"/>
              <w:rPr>
                <w:color w:val="000000"/>
                <w:sz w:val="20"/>
              </w:rPr>
            </w:pPr>
            <w:r w:rsidRPr="00C6712A">
              <w:rPr>
                <w:color w:val="000000"/>
                <w:sz w:val="20"/>
              </w:rPr>
              <w:t>19.0%</w:t>
            </w:r>
          </w:p>
        </w:tc>
        <w:tc>
          <w:tcPr>
            <w:tcW w:w="833" w:type="dxa"/>
            <w:tcBorders>
              <w:top w:val="nil"/>
              <w:left w:val="nil"/>
              <w:bottom w:val="single" w:sz="4" w:space="0" w:color="auto"/>
              <w:right w:val="single" w:sz="4" w:space="0" w:color="auto"/>
            </w:tcBorders>
            <w:shd w:val="clear" w:color="auto" w:fill="auto"/>
            <w:noWrap/>
            <w:vAlign w:val="center"/>
            <w:hideMark/>
          </w:tcPr>
          <w:p w14:paraId="07B320BC" w14:textId="77777777" w:rsidR="00E5194C" w:rsidRPr="00C6712A" w:rsidRDefault="00E5194C" w:rsidP="00E5194C">
            <w:pPr>
              <w:spacing w:after="0"/>
              <w:ind w:firstLine="0"/>
              <w:contextualSpacing/>
              <w:jc w:val="right"/>
              <w:rPr>
                <w:color w:val="000000"/>
                <w:sz w:val="20"/>
              </w:rPr>
            </w:pPr>
            <w:r w:rsidRPr="00C6712A">
              <w:rPr>
                <w:color w:val="000000"/>
                <w:sz w:val="20"/>
              </w:rPr>
              <w:t>15.4%</w:t>
            </w:r>
          </w:p>
        </w:tc>
        <w:tc>
          <w:tcPr>
            <w:tcW w:w="833" w:type="dxa"/>
            <w:tcBorders>
              <w:top w:val="nil"/>
              <w:left w:val="nil"/>
              <w:bottom w:val="single" w:sz="4" w:space="0" w:color="auto"/>
              <w:right w:val="single" w:sz="4" w:space="0" w:color="auto"/>
            </w:tcBorders>
            <w:shd w:val="clear" w:color="auto" w:fill="auto"/>
            <w:noWrap/>
            <w:vAlign w:val="center"/>
            <w:hideMark/>
          </w:tcPr>
          <w:p w14:paraId="7DFB8025" w14:textId="77777777" w:rsidR="00E5194C" w:rsidRPr="00C6712A" w:rsidRDefault="00E5194C" w:rsidP="00E5194C">
            <w:pPr>
              <w:spacing w:after="0"/>
              <w:ind w:firstLine="0"/>
              <w:contextualSpacing/>
              <w:jc w:val="right"/>
              <w:rPr>
                <w:color w:val="000000"/>
                <w:sz w:val="20"/>
              </w:rPr>
            </w:pPr>
            <w:r w:rsidRPr="00C6712A">
              <w:rPr>
                <w:color w:val="000000"/>
                <w:sz w:val="20"/>
              </w:rPr>
              <w:t>1.8%</w:t>
            </w:r>
          </w:p>
        </w:tc>
        <w:tc>
          <w:tcPr>
            <w:tcW w:w="833" w:type="dxa"/>
            <w:tcBorders>
              <w:top w:val="nil"/>
              <w:left w:val="nil"/>
              <w:bottom w:val="single" w:sz="4" w:space="0" w:color="auto"/>
              <w:right w:val="double" w:sz="6" w:space="0" w:color="auto"/>
            </w:tcBorders>
            <w:shd w:val="clear" w:color="auto" w:fill="auto"/>
            <w:noWrap/>
            <w:vAlign w:val="center"/>
            <w:hideMark/>
          </w:tcPr>
          <w:p w14:paraId="346FFFF5" w14:textId="77777777" w:rsidR="00E5194C" w:rsidRPr="00C6712A" w:rsidRDefault="00E5194C" w:rsidP="00E5194C">
            <w:pPr>
              <w:spacing w:after="0"/>
              <w:ind w:firstLine="0"/>
              <w:contextualSpacing/>
              <w:jc w:val="right"/>
              <w:rPr>
                <w:color w:val="000000"/>
                <w:sz w:val="20"/>
              </w:rPr>
            </w:pPr>
            <w:r w:rsidRPr="00C6712A">
              <w:rPr>
                <w:color w:val="000000"/>
                <w:sz w:val="20"/>
              </w:rPr>
              <w:t>12.9%</w:t>
            </w:r>
          </w:p>
        </w:tc>
      </w:tr>
      <w:tr w:rsidR="00E5194C" w:rsidRPr="00C6712A" w14:paraId="03B219B7" w14:textId="77777777" w:rsidTr="00453931">
        <w:trPr>
          <w:cantSplit/>
          <w:trHeight w:val="20"/>
          <w:jc w:val="center"/>
        </w:trPr>
        <w:tc>
          <w:tcPr>
            <w:tcW w:w="682" w:type="dxa"/>
            <w:vMerge/>
            <w:tcBorders>
              <w:top w:val="nil"/>
              <w:left w:val="double" w:sz="6" w:space="0" w:color="auto"/>
              <w:bottom w:val="double" w:sz="6" w:space="0" w:color="000000"/>
              <w:right w:val="double" w:sz="6" w:space="0" w:color="auto"/>
            </w:tcBorders>
            <w:vAlign w:val="center"/>
            <w:hideMark/>
          </w:tcPr>
          <w:p w14:paraId="709BDB59" w14:textId="77777777" w:rsidR="00E5194C" w:rsidRPr="00C6712A" w:rsidRDefault="00E5194C" w:rsidP="00E5194C">
            <w:pPr>
              <w:spacing w:after="0"/>
              <w:ind w:firstLine="0"/>
              <w:contextualSpacing/>
              <w:rPr>
                <w:b/>
                <w:bCs/>
                <w:color w:val="000000"/>
                <w:sz w:val="20"/>
              </w:rPr>
            </w:pPr>
          </w:p>
        </w:tc>
        <w:tc>
          <w:tcPr>
            <w:tcW w:w="2288" w:type="dxa"/>
            <w:tcBorders>
              <w:top w:val="nil"/>
              <w:left w:val="nil"/>
              <w:bottom w:val="single" w:sz="4" w:space="0" w:color="auto"/>
              <w:right w:val="double" w:sz="6" w:space="0" w:color="auto"/>
            </w:tcBorders>
            <w:shd w:val="clear" w:color="auto" w:fill="auto"/>
            <w:vAlign w:val="center"/>
            <w:hideMark/>
          </w:tcPr>
          <w:p w14:paraId="263AE815" w14:textId="77777777" w:rsidR="00E5194C" w:rsidRPr="00C6712A" w:rsidRDefault="00E5194C" w:rsidP="00E5194C">
            <w:pPr>
              <w:spacing w:after="0"/>
              <w:ind w:firstLine="0"/>
              <w:contextualSpacing/>
              <w:rPr>
                <w:color w:val="000000"/>
                <w:sz w:val="20"/>
              </w:rPr>
            </w:pPr>
            <w:r w:rsidRPr="00C6712A">
              <w:rPr>
                <w:color w:val="000000"/>
                <w:sz w:val="20"/>
              </w:rPr>
              <w:t>1-3 times per month</w:t>
            </w:r>
          </w:p>
        </w:tc>
        <w:tc>
          <w:tcPr>
            <w:tcW w:w="833" w:type="dxa"/>
            <w:tcBorders>
              <w:top w:val="nil"/>
              <w:left w:val="nil"/>
              <w:bottom w:val="single" w:sz="4" w:space="0" w:color="auto"/>
              <w:right w:val="single" w:sz="4" w:space="0" w:color="auto"/>
            </w:tcBorders>
            <w:shd w:val="clear" w:color="auto" w:fill="auto"/>
            <w:noWrap/>
            <w:vAlign w:val="center"/>
            <w:hideMark/>
          </w:tcPr>
          <w:p w14:paraId="3CE6461F" w14:textId="77777777" w:rsidR="00E5194C" w:rsidRPr="00C6712A" w:rsidRDefault="00E5194C" w:rsidP="00E5194C">
            <w:pPr>
              <w:spacing w:after="0"/>
              <w:ind w:firstLine="0"/>
              <w:contextualSpacing/>
              <w:jc w:val="right"/>
              <w:rPr>
                <w:color w:val="000000"/>
                <w:sz w:val="20"/>
              </w:rPr>
            </w:pPr>
            <w:r w:rsidRPr="00C6712A">
              <w:rPr>
                <w:color w:val="000000"/>
                <w:sz w:val="20"/>
              </w:rPr>
              <w:t>6.7%</w:t>
            </w:r>
          </w:p>
        </w:tc>
        <w:tc>
          <w:tcPr>
            <w:tcW w:w="833" w:type="dxa"/>
            <w:tcBorders>
              <w:top w:val="nil"/>
              <w:left w:val="nil"/>
              <w:bottom w:val="single" w:sz="4" w:space="0" w:color="auto"/>
              <w:right w:val="single" w:sz="4" w:space="0" w:color="auto"/>
            </w:tcBorders>
            <w:shd w:val="clear" w:color="auto" w:fill="auto"/>
            <w:noWrap/>
            <w:vAlign w:val="center"/>
            <w:hideMark/>
          </w:tcPr>
          <w:p w14:paraId="691CDA97" w14:textId="77777777" w:rsidR="00E5194C" w:rsidRPr="00C6712A" w:rsidRDefault="00E5194C" w:rsidP="00E5194C">
            <w:pPr>
              <w:spacing w:after="0"/>
              <w:ind w:firstLine="0"/>
              <w:contextualSpacing/>
              <w:jc w:val="right"/>
              <w:rPr>
                <w:color w:val="000000"/>
                <w:sz w:val="20"/>
              </w:rPr>
            </w:pPr>
            <w:r w:rsidRPr="00C6712A">
              <w:rPr>
                <w:color w:val="000000"/>
                <w:sz w:val="20"/>
              </w:rPr>
              <w:t>0.4%</w:t>
            </w:r>
          </w:p>
        </w:tc>
        <w:tc>
          <w:tcPr>
            <w:tcW w:w="833" w:type="dxa"/>
            <w:tcBorders>
              <w:top w:val="nil"/>
              <w:left w:val="nil"/>
              <w:bottom w:val="single" w:sz="4" w:space="0" w:color="auto"/>
              <w:right w:val="double" w:sz="6" w:space="0" w:color="auto"/>
            </w:tcBorders>
            <w:shd w:val="clear" w:color="auto" w:fill="auto"/>
            <w:noWrap/>
            <w:vAlign w:val="center"/>
            <w:hideMark/>
          </w:tcPr>
          <w:p w14:paraId="12FAD010" w14:textId="77777777" w:rsidR="00E5194C" w:rsidRPr="00C6712A" w:rsidRDefault="00E5194C" w:rsidP="00E5194C">
            <w:pPr>
              <w:spacing w:after="0"/>
              <w:ind w:firstLine="0"/>
              <w:contextualSpacing/>
              <w:jc w:val="right"/>
              <w:rPr>
                <w:color w:val="000000"/>
                <w:sz w:val="20"/>
              </w:rPr>
            </w:pPr>
            <w:r w:rsidRPr="00C6712A">
              <w:rPr>
                <w:color w:val="000000"/>
                <w:sz w:val="20"/>
              </w:rPr>
              <w:t>4.8%</w:t>
            </w:r>
          </w:p>
        </w:tc>
        <w:tc>
          <w:tcPr>
            <w:tcW w:w="833" w:type="dxa"/>
            <w:tcBorders>
              <w:top w:val="nil"/>
              <w:left w:val="nil"/>
              <w:bottom w:val="single" w:sz="4" w:space="0" w:color="auto"/>
              <w:right w:val="single" w:sz="4" w:space="0" w:color="auto"/>
            </w:tcBorders>
            <w:shd w:val="clear" w:color="auto" w:fill="auto"/>
            <w:noWrap/>
            <w:vAlign w:val="center"/>
            <w:hideMark/>
          </w:tcPr>
          <w:p w14:paraId="3B0CBD4B" w14:textId="77777777" w:rsidR="00E5194C" w:rsidRPr="00C6712A" w:rsidRDefault="00E5194C" w:rsidP="00E5194C">
            <w:pPr>
              <w:spacing w:after="0"/>
              <w:ind w:firstLine="0"/>
              <w:contextualSpacing/>
              <w:jc w:val="right"/>
              <w:rPr>
                <w:color w:val="000000"/>
                <w:sz w:val="20"/>
              </w:rPr>
            </w:pPr>
            <w:r w:rsidRPr="00C6712A">
              <w:rPr>
                <w:color w:val="000000"/>
                <w:sz w:val="20"/>
              </w:rPr>
              <w:t>20.5%</w:t>
            </w:r>
          </w:p>
        </w:tc>
        <w:tc>
          <w:tcPr>
            <w:tcW w:w="833" w:type="dxa"/>
            <w:tcBorders>
              <w:top w:val="nil"/>
              <w:left w:val="nil"/>
              <w:bottom w:val="single" w:sz="4" w:space="0" w:color="auto"/>
              <w:right w:val="single" w:sz="4" w:space="0" w:color="auto"/>
            </w:tcBorders>
            <w:shd w:val="clear" w:color="auto" w:fill="auto"/>
            <w:noWrap/>
            <w:vAlign w:val="center"/>
            <w:hideMark/>
          </w:tcPr>
          <w:p w14:paraId="72C6CB06" w14:textId="77777777" w:rsidR="00E5194C" w:rsidRPr="00C6712A" w:rsidRDefault="00E5194C" w:rsidP="00E5194C">
            <w:pPr>
              <w:spacing w:after="0"/>
              <w:ind w:firstLine="0"/>
              <w:contextualSpacing/>
              <w:jc w:val="right"/>
              <w:rPr>
                <w:color w:val="000000"/>
                <w:sz w:val="20"/>
              </w:rPr>
            </w:pPr>
            <w:r w:rsidRPr="00C6712A">
              <w:rPr>
                <w:color w:val="000000"/>
                <w:sz w:val="20"/>
              </w:rPr>
              <w:t>3.2%</w:t>
            </w:r>
          </w:p>
        </w:tc>
        <w:tc>
          <w:tcPr>
            <w:tcW w:w="833" w:type="dxa"/>
            <w:tcBorders>
              <w:top w:val="nil"/>
              <w:left w:val="nil"/>
              <w:bottom w:val="single" w:sz="4" w:space="0" w:color="auto"/>
              <w:right w:val="double" w:sz="6" w:space="0" w:color="auto"/>
            </w:tcBorders>
            <w:shd w:val="clear" w:color="auto" w:fill="auto"/>
            <w:noWrap/>
            <w:vAlign w:val="center"/>
            <w:hideMark/>
          </w:tcPr>
          <w:p w14:paraId="4F678AC8" w14:textId="77777777" w:rsidR="00E5194C" w:rsidRPr="00C6712A" w:rsidRDefault="00E5194C" w:rsidP="00E5194C">
            <w:pPr>
              <w:spacing w:after="0"/>
              <w:ind w:firstLine="0"/>
              <w:contextualSpacing/>
              <w:jc w:val="right"/>
              <w:rPr>
                <w:color w:val="000000"/>
                <w:sz w:val="20"/>
              </w:rPr>
            </w:pPr>
            <w:r w:rsidRPr="00C6712A">
              <w:rPr>
                <w:color w:val="000000"/>
                <w:sz w:val="20"/>
              </w:rPr>
              <w:t>18.8%</w:t>
            </w:r>
          </w:p>
        </w:tc>
        <w:tc>
          <w:tcPr>
            <w:tcW w:w="833" w:type="dxa"/>
            <w:tcBorders>
              <w:top w:val="nil"/>
              <w:left w:val="nil"/>
              <w:bottom w:val="single" w:sz="4" w:space="0" w:color="auto"/>
              <w:right w:val="single" w:sz="4" w:space="0" w:color="auto"/>
            </w:tcBorders>
            <w:shd w:val="clear" w:color="auto" w:fill="auto"/>
            <w:noWrap/>
            <w:vAlign w:val="center"/>
            <w:hideMark/>
          </w:tcPr>
          <w:p w14:paraId="5244002F" w14:textId="77777777" w:rsidR="00E5194C" w:rsidRPr="00C6712A" w:rsidRDefault="00E5194C" w:rsidP="00E5194C">
            <w:pPr>
              <w:spacing w:after="0"/>
              <w:ind w:firstLine="0"/>
              <w:contextualSpacing/>
              <w:jc w:val="right"/>
              <w:rPr>
                <w:color w:val="000000"/>
                <w:sz w:val="20"/>
              </w:rPr>
            </w:pPr>
            <w:r w:rsidRPr="00C6712A">
              <w:rPr>
                <w:color w:val="000000"/>
                <w:sz w:val="20"/>
              </w:rPr>
              <w:t>15.2%</w:t>
            </w:r>
          </w:p>
        </w:tc>
        <w:tc>
          <w:tcPr>
            <w:tcW w:w="833" w:type="dxa"/>
            <w:tcBorders>
              <w:top w:val="nil"/>
              <w:left w:val="nil"/>
              <w:bottom w:val="single" w:sz="4" w:space="0" w:color="auto"/>
              <w:right w:val="single" w:sz="4" w:space="0" w:color="auto"/>
            </w:tcBorders>
            <w:shd w:val="clear" w:color="auto" w:fill="auto"/>
            <w:noWrap/>
            <w:vAlign w:val="center"/>
            <w:hideMark/>
          </w:tcPr>
          <w:p w14:paraId="15C7E9A3" w14:textId="77777777" w:rsidR="00E5194C" w:rsidRPr="00C6712A" w:rsidRDefault="00E5194C" w:rsidP="00E5194C">
            <w:pPr>
              <w:spacing w:after="0"/>
              <w:ind w:firstLine="0"/>
              <w:contextualSpacing/>
              <w:jc w:val="right"/>
              <w:rPr>
                <w:color w:val="000000"/>
                <w:sz w:val="20"/>
              </w:rPr>
            </w:pPr>
            <w:r w:rsidRPr="00C6712A">
              <w:rPr>
                <w:color w:val="000000"/>
                <w:sz w:val="20"/>
              </w:rPr>
              <w:t>1.2%</w:t>
            </w:r>
          </w:p>
        </w:tc>
        <w:tc>
          <w:tcPr>
            <w:tcW w:w="833" w:type="dxa"/>
            <w:tcBorders>
              <w:top w:val="nil"/>
              <w:left w:val="nil"/>
              <w:bottom w:val="single" w:sz="4" w:space="0" w:color="auto"/>
              <w:right w:val="double" w:sz="6" w:space="0" w:color="auto"/>
            </w:tcBorders>
            <w:shd w:val="clear" w:color="auto" w:fill="auto"/>
            <w:noWrap/>
            <w:vAlign w:val="center"/>
            <w:hideMark/>
          </w:tcPr>
          <w:p w14:paraId="315ACE89" w14:textId="77777777" w:rsidR="00E5194C" w:rsidRPr="00C6712A" w:rsidRDefault="00E5194C" w:rsidP="00E5194C">
            <w:pPr>
              <w:spacing w:after="0"/>
              <w:ind w:firstLine="0"/>
              <w:contextualSpacing/>
              <w:jc w:val="right"/>
              <w:rPr>
                <w:color w:val="000000"/>
                <w:sz w:val="20"/>
              </w:rPr>
            </w:pPr>
            <w:r w:rsidRPr="00C6712A">
              <w:rPr>
                <w:color w:val="000000"/>
                <w:sz w:val="20"/>
              </w:rPr>
              <w:t>12.6%</w:t>
            </w:r>
          </w:p>
        </w:tc>
      </w:tr>
      <w:tr w:rsidR="00E5194C" w:rsidRPr="00C6712A" w14:paraId="0894629A" w14:textId="77777777" w:rsidTr="00453931">
        <w:trPr>
          <w:cantSplit/>
          <w:trHeight w:val="20"/>
          <w:jc w:val="center"/>
        </w:trPr>
        <w:tc>
          <w:tcPr>
            <w:tcW w:w="682" w:type="dxa"/>
            <w:vMerge/>
            <w:tcBorders>
              <w:top w:val="nil"/>
              <w:left w:val="double" w:sz="6" w:space="0" w:color="auto"/>
              <w:bottom w:val="double" w:sz="6" w:space="0" w:color="000000"/>
              <w:right w:val="double" w:sz="6" w:space="0" w:color="auto"/>
            </w:tcBorders>
            <w:vAlign w:val="center"/>
            <w:hideMark/>
          </w:tcPr>
          <w:p w14:paraId="629140F1" w14:textId="77777777" w:rsidR="00E5194C" w:rsidRPr="00C6712A" w:rsidRDefault="00E5194C" w:rsidP="00E5194C">
            <w:pPr>
              <w:spacing w:after="0"/>
              <w:ind w:firstLine="0"/>
              <w:contextualSpacing/>
              <w:rPr>
                <w:b/>
                <w:bCs/>
                <w:color w:val="000000"/>
                <w:sz w:val="20"/>
              </w:rPr>
            </w:pPr>
          </w:p>
        </w:tc>
        <w:tc>
          <w:tcPr>
            <w:tcW w:w="2288" w:type="dxa"/>
            <w:tcBorders>
              <w:top w:val="nil"/>
              <w:left w:val="nil"/>
              <w:bottom w:val="single" w:sz="4" w:space="0" w:color="auto"/>
              <w:right w:val="double" w:sz="6" w:space="0" w:color="auto"/>
            </w:tcBorders>
            <w:shd w:val="clear" w:color="auto" w:fill="auto"/>
            <w:vAlign w:val="center"/>
            <w:hideMark/>
          </w:tcPr>
          <w:p w14:paraId="797557FB" w14:textId="77777777" w:rsidR="00E5194C" w:rsidRPr="00C6712A" w:rsidRDefault="00E5194C" w:rsidP="00E5194C">
            <w:pPr>
              <w:spacing w:after="0"/>
              <w:ind w:firstLine="0"/>
              <w:contextualSpacing/>
              <w:rPr>
                <w:color w:val="000000"/>
                <w:sz w:val="20"/>
              </w:rPr>
            </w:pPr>
            <w:r w:rsidRPr="00C6712A">
              <w:rPr>
                <w:color w:val="000000"/>
                <w:sz w:val="20"/>
              </w:rPr>
              <w:t>1 day per week</w:t>
            </w:r>
          </w:p>
        </w:tc>
        <w:tc>
          <w:tcPr>
            <w:tcW w:w="833" w:type="dxa"/>
            <w:tcBorders>
              <w:top w:val="nil"/>
              <w:left w:val="nil"/>
              <w:bottom w:val="single" w:sz="4" w:space="0" w:color="auto"/>
              <w:right w:val="single" w:sz="4" w:space="0" w:color="auto"/>
            </w:tcBorders>
            <w:shd w:val="clear" w:color="auto" w:fill="auto"/>
            <w:noWrap/>
            <w:vAlign w:val="center"/>
            <w:hideMark/>
          </w:tcPr>
          <w:p w14:paraId="25BD30BF" w14:textId="77777777" w:rsidR="00E5194C" w:rsidRPr="00C6712A" w:rsidRDefault="00E5194C" w:rsidP="00E5194C">
            <w:pPr>
              <w:spacing w:after="0"/>
              <w:ind w:firstLine="0"/>
              <w:contextualSpacing/>
              <w:jc w:val="right"/>
              <w:rPr>
                <w:color w:val="000000"/>
                <w:sz w:val="20"/>
              </w:rPr>
            </w:pPr>
            <w:r w:rsidRPr="00C6712A">
              <w:rPr>
                <w:color w:val="000000"/>
                <w:sz w:val="20"/>
              </w:rPr>
              <w:t>2.5%</w:t>
            </w:r>
          </w:p>
        </w:tc>
        <w:tc>
          <w:tcPr>
            <w:tcW w:w="833" w:type="dxa"/>
            <w:tcBorders>
              <w:top w:val="nil"/>
              <w:left w:val="nil"/>
              <w:bottom w:val="single" w:sz="4" w:space="0" w:color="auto"/>
              <w:right w:val="single" w:sz="4" w:space="0" w:color="auto"/>
            </w:tcBorders>
            <w:shd w:val="clear" w:color="auto" w:fill="auto"/>
            <w:noWrap/>
            <w:vAlign w:val="center"/>
            <w:hideMark/>
          </w:tcPr>
          <w:p w14:paraId="6603CCE7" w14:textId="77777777" w:rsidR="00E5194C" w:rsidRPr="00C6712A" w:rsidRDefault="00E5194C" w:rsidP="00E5194C">
            <w:pPr>
              <w:spacing w:after="0"/>
              <w:ind w:firstLine="0"/>
              <w:contextualSpacing/>
              <w:jc w:val="right"/>
              <w:rPr>
                <w:color w:val="000000"/>
                <w:sz w:val="20"/>
              </w:rPr>
            </w:pPr>
            <w:r w:rsidRPr="00C6712A">
              <w:rPr>
                <w:color w:val="000000"/>
                <w:sz w:val="20"/>
              </w:rPr>
              <w:t>0.1%</w:t>
            </w:r>
          </w:p>
        </w:tc>
        <w:tc>
          <w:tcPr>
            <w:tcW w:w="833" w:type="dxa"/>
            <w:tcBorders>
              <w:top w:val="nil"/>
              <w:left w:val="nil"/>
              <w:bottom w:val="single" w:sz="4" w:space="0" w:color="auto"/>
              <w:right w:val="double" w:sz="6" w:space="0" w:color="auto"/>
            </w:tcBorders>
            <w:shd w:val="clear" w:color="auto" w:fill="auto"/>
            <w:noWrap/>
            <w:vAlign w:val="center"/>
            <w:hideMark/>
          </w:tcPr>
          <w:p w14:paraId="3AD898A1" w14:textId="77777777" w:rsidR="00E5194C" w:rsidRPr="00C6712A" w:rsidRDefault="00E5194C" w:rsidP="00E5194C">
            <w:pPr>
              <w:spacing w:after="0"/>
              <w:ind w:firstLine="0"/>
              <w:contextualSpacing/>
              <w:jc w:val="right"/>
              <w:rPr>
                <w:color w:val="000000"/>
                <w:sz w:val="20"/>
              </w:rPr>
            </w:pPr>
            <w:r w:rsidRPr="00C6712A">
              <w:rPr>
                <w:color w:val="000000"/>
                <w:sz w:val="20"/>
              </w:rPr>
              <w:t>1.8%</w:t>
            </w:r>
          </w:p>
        </w:tc>
        <w:tc>
          <w:tcPr>
            <w:tcW w:w="833" w:type="dxa"/>
            <w:tcBorders>
              <w:top w:val="nil"/>
              <w:left w:val="nil"/>
              <w:bottom w:val="single" w:sz="4" w:space="0" w:color="auto"/>
              <w:right w:val="single" w:sz="4" w:space="0" w:color="auto"/>
            </w:tcBorders>
            <w:shd w:val="clear" w:color="auto" w:fill="auto"/>
            <w:noWrap/>
            <w:vAlign w:val="center"/>
            <w:hideMark/>
          </w:tcPr>
          <w:p w14:paraId="226422BF" w14:textId="77777777" w:rsidR="00E5194C" w:rsidRPr="00C6712A" w:rsidRDefault="00E5194C" w:rsidP="00E5194C">
            <w:pPr>
              <w:spacing w:after="0"/>
              <w:ind w:firstLine="0"/>
              <w:contextualSpacing/>
              <w:jc w:val="right"/>
              <w:rPr>
                <w:color w:val="000000"/>
                <w:sz w:val="20"/>
              </w:rPr>
            </w:pPr>
            <w:r w:rsidRPr="00C6712A">
              <w:rPr>
                <w:color w:val="000000"/>
                <w:sz w:val="20"/>
              </w:rPr>
              <w:t>5.7%</w:t>
            </w:r>
          </w:p>
        </w:tc>
        <w:tc>
          <w:tcPr>
            <w:tcW w:w="833" w:type="dxa"/>
            <w:tcBorders>
              <w:top w:val="nil"/>
              <w:left w:val="nil"/>
              <w:bottom w:val="single" w:sz="4" w:space="0" w:color="auto"/>
              <w:right w:val="single" w:sz="4" w:space="0" w:color="auto"/>
            </w:tcBorders>
            <w:shd w:val="clear" w:color="auto" w:fill="auto"/>
            <w:noWrap/>
            <w:vAlign w:val="center"/>
            <w:hideMark/>
          </w:tcPr>
          <w:p w14:paraId="7695AD16" w14:textId="77777777" w:rsidR="00E5194C" w:rsidRPr="00C6712A" w:rsidRDefault="00E5194C" w:rsidP="00E5194C">
            <w:pPr>
              <w:spacing w:after="0"/>
              <w:ind w:firstLine="0"/>
              <w:contextualSpacing/>
              <w:jc w:val="right"/>
              <w:rPr>
                <w:color w:val="000000"/>
                <w:sz w:val="20"/>
              </w:rPr>
            </w:pPr>
            <w:r w:rsidRPr="00C6712A">
              <w:rPr>
                <w:color w:val="000000"/>
                <w:sz w:val="20"/>
              </w:rPr>
              <w:t>0.6%</w:t>
            </w:r>
          </w:p>
        </w:tc>
        <w:tc>
          <w:tcPr>
            <w:tcW w:w="833" w:type="dxa"/>
            <w:tcBorders>
              <w:top w:val="nil"/>
              <w:left w:val="nil"/>
              <w:bottom w:val="single" w:sz="4" w:space="0" w:color="auto"/>
              <w:right w:val="double" w:sz="6" w:space="0" w:color="auto"/>
            </w:tcBorders>
            <w:shd w:val="clear" w:color="auto" w:fill="auto"/>
            <w:noWrap/>
            <w:vAlign w:val="center"/>
            <w:hideMark/>
          </w:tcPr>
          <w:p w14:paraId="671E0B91" w14:textId="77777777" w:rsidR="00E5194C" w:rsidRPr="00C6712A" w:rsidRDefault="00E5194C" w:rsidP="00E5194C">
            <w:pPr>
              <w:spacing w:after="0"/>
              <w:ind w:firstLine="0"/>
              <w:contextualSpacing/>
              <w:jc w:val="right"/>
              <w:rPr>
                <w:color w:val="000000"/>
                <w:sz w:val="20"/>
              </w:rPr>
            </w:pPr>
            <w:r w:rsidRPr="00C6712A">
              <w:rPr>
                <w:color w:val="000000"/>
                <w:sz w:val="20"/>
              </w:rPr>
              <w:t>5.2%</w:t>
            </w:r>
          </w:p>
        </w:tc>
        <w:tc>
          <w:tcPr>
            <w:tcW w:w="833" w:type="dxa"/>
            <w:tcBorders>
              <w:top w:val="nil"/>
              <w:left w:val="nil"/>
              <w:bottom w:val="single" w:sz="4" w:space="0" w:color="auto"/>
              <w:right w:val="single" w:sz="4" w:space="0" w:color="auto"/>
            </w:tcBorders>
            <w:shd w:val="clear" w:color="auto" w:fill="auto"/>
            <w:noWrap/>
            <w:vAlign w:val="center"/>
            <w:hideMark/>
          </w:tcPr>
          <w:p w14:paraId="06AEAD25" w14:textId="77777777" w:rsidR="00E5194C" w:rsidRPr="00C6712A" w:rsidRDefault="00E5194C" w:rsidP="00E5194C">
            <w:pPr>
              <w:spacing w:after="0"/>
              <w:ind w:firstLine="0"/>
              <w:contextualSpacing/>
              <w:jc w:val="right"/>
              <w:rPr>
                <w:color w:val="000000"/>
                <w:sz w:val="20"/>
              </w:rPr>
            </w:pPr>
            <w:r w:rsidRPr="00C6712A">
              <w:rPr>
                <w:color w:val="000000"/>
                <w:sz w:val="20"/>
              </w:rPr>
              <w:t>4.4%</w:t>
            </w:r>
          </w:p>
        </w:tc>
        <w:tc>
          <w:tcPr>
            <w:tcW w:w="833" w:type="dxa"/>
            <w:tcBorders>
              <w:top w:val="nil"/>
              <w:left w:val="nil"/>
              <w:bottom w:val="single" w:sz="4" w:space="0" w:color="auto"/>
              <w:right w:val="single" w:sz="4" w:space="0" w:color="auto"/>
            </w:tcBorders>
            <w:shd w:val="clear" w:color="auto" w:fill="auto"/>
            <w:noWrap/>
            <w:vAlign w:val="center"/>
            <w:hideMark/>
          </w:tcPr>
          <w:p w14:paraId="76351464" w14:textId="77777777" w:rsidR="00E5194C" w:rsidRPr="00C6712A" w:rsidRDefault="00E5194C" w:rsidP="00E5194C">
            <w:pPr>
              <w:spacing w:after="0"/>
              <w:ind w:firstLine="0"/>
              <w:contextualSpacing/>
              <w:jc w:val="right"/>
              <w:rPr>
                <w:color w:val="000000"/>
                <w:sz w:val="20"/>
              </w:rPr>
            </w:pPr>
            <w:r w:rsidRPr="00C6712A">
              <w:rPr>
                <w:color w:val="000000"/>
                <w:sz w:val="20"/>
              </w:rPr>
              <w:t>0.3%</w:t>
            </w:r>
          </w:p>
        </w:tc>
        <w:tc>
          <w:tcPr>
            <w:tcW w:w="833" w:type="dxa"/>
            <w:tcBorders>
              <w:top w:val="nil"/>
              <w:left w:val="nil"/>
              <w:bottom w:val="single" w:sz="4" w:space="0" w:color="auto"/>
              <w:right w:val="double" w:sz="6" w:space="0" w:color="auto"/>
            </w:tcBorders>
            <w:shd w:val="clear" w:color="auto" w:fill="auto"/>
            <w:noWrap/>
            <w:vAlign w:val="center"/>
            <w:hideMark/>
          </w:tcPr>
          <w:p w14:paraId="6D5C4A1E" w14:textId="77777777" w:rsidR="00E5194C" w:rsidRPr="00C6712A" w:rsidRDefault="00E5194C" w:rsidP="00E5194C">
            <w:pPr>
              <w:spacing w:after="0"/>
              <w:ind w:firstLine="0"/>
              <w:contextualSpacing/>
              <w:jc w:val="right"/>
              <w:rPr>
                <w:color w:val="000000"/>
                <w:sz w:val="20"/>
              </w:rPr>
            </w:pPr>
            <w:r w:rsidRPr="00C6712A">
              <w:rPr>
                <w:color w:val="000000"/>
                <w:sz w:val="20"/>
              </w:rPr>
              <w:t>3.7%</w:t>
            </w:r>
          </w:p>
        </w:tc>
      </w:tr>
      <w:tr w:rsidR="00E5194C" w:rsidRPr="00C6712A" w14:paraId="119F88A6" w14:textId="77777777" w:rsidTr="00453931">
        <w:trPr>
          <w:cantSplit/>
          <w:trHeight w:val="20"/>
          <w:jc w:val="center"/>
        </w:trPr>
        <w:tc>
          <w:tcPr>
            <w:tcW w:w="682" w:type="dxa"/>
            <w:vMerge/>
            <w:tcBorders>
              <w:top w:val="nil"/>
              <w:left w:val="double" w:sz="6" w:space="0" w:color="auto"/>
              <w:bottom w:val="double" w:sz="6" w:space="0" w:color="000000"/>
              <w:right w:val="double" w:sz="6" w:space="0" w:color="auto"/>
            </w:tcBorders>
            <w:vAlign w:val="center"/>
            <w:hideMark/>
          </w:tcPr>
          <w:p w14:paraId="3F97719B" w14:textId="77777777" w:rsidR="00E5194C" w:rsidRPr="00C6712A" w:rsidRDefault="00E5194C" w:rsidP="00E5194C">
            <w:pPr>
              <w:spacing w:after="0"/>
              <w:ind w:firstLine="0"/>
              <w:contextualSpacing/>
              <w:rPr>
                <w:b/>
                <w:bCs/>
                <w:color w:val="000000"/>
                <w:sz w:val="20"/>
              </w:rPr>
            </w:pPr>
          </w:p>
        </w:tc>
        <w:tc>
          <w:tcPr>
            <w:tcW w:w="2288" w:type="dxa"/>
            <w:tcBorders>
              <w:top w:val="nil"/>
              <w:left w:val="nil"/>
              <w:bottom w:val="single" w:sz="4" w:space="0" w:color="auto"/>
              <w:right w:val="double" w:sz="6" w:space="0" w:color="auto"/>
            </w:tcBorders>
            <w:shd w:val="clear" w:color="auto" w:fill="auto"/>
            <w:vAlign w:val="center"/>
            <w:hideMark/>
          </w:tcPr>
          <w:p w14:paraId="2FEE21F9" w14:textId="77777777" w:rsidR="00E5194C" w:rsidRPr="00C6712A" w:rsidRDefault="00E5194C" w:rsidP="00E5194C">
            <w:pPr>
              <w:spacing w:after="0"/>
              <w:ind w:firstLine="0"/>
              <w:contextualSpacing/>
              <w:rPr>
                <w:color w:val="000000"/>
                <w:sz w:val="20"/>
              </w:rPr>
            </w:pPr>
            <w:r w:rsidRPr="00C6712A">
              <w:rPr>
                <w:color w:val="000000"/>
                <w:sz w:val="20"/>
              </w:rPr>
              <w:t>2-4 days per week</w:t>
            </w:r>
          </w:p>
        </w:tc>
        <w:tc>
          <w:tcPr>
            <w:tcW w:w="833" w:type="dxa"/>
            <w:tcBorders>
              <w:top w:val="nil"/>
              <w:left w:val="nil"/>
              <w:bottom w:val="single" w:sz="4" w:space="0" w:color="auto"/>
              <w:right w:val="single" w:sz="4" w:space="0" w:color="auto"/>
            </w:tcBorders>
            <w:shd w:val="clear" w:color="auto" w:fill="auto"/>
            <w:noWrap/>
            <w:vAlign w:val="center"/>
            <w:hideMark/>
          </w:tcPr>
          <w:p w14:paraId="5D9A1F0D" w14:textId="77777777" w:rsidR="00E5194C" w:rsidRPr="00C6712A" w:rsidRDefault="00E5194C" w:rsidP="00E5194C">
            <w:pPr>
              <w:spacing w:after="0"/>
              <w:ind w:firstLine="0"/>
              <w:contextualSpacing/>
              <w:jc w:val="right"/>
              <w:rPr>
                <w:color w:val="000000"/>
                <w:sz w:val="20"/>
              </w:rPr>
            </w:pPr>
            <w:r w:rsidRPr="00C6712A">
              <w:rPr>
                <w:color w:val="000000"/>
                <w:sz w:val="20"/>
              </w:rPr>
              <w:t>1.0%</w:t>
            </w:r>
          </w:p>
        </w:tc>
        <w:tc>
          <w:tcPr>
            <w:tcW w:w="833" w:type="dxa"/>
            <w:tcBorders>
              <w:top w:val="nil"/>
              <w:left w:val="nil"/>
              <w:bottom w:val="single" w:sz="4" w:space="0" w:color="auto"/>
              <w:right w:val="single" w:sz="4" w:space="0" w:color="auto"/>
            </w:tcBorders>
            <w:shd w:val="clear" w:color="auto" w:fill="auto"/>
            <w:noWrap/>
            <w:vAlign w:val="center"/>
            <w:hideMark/>
          </w:tcPr>
          <w:p w14:paraId="7CA62E81" w14:textId="77777777" w:rsidR="00E5194C" w:rsidRPr="00C6712A" w:rsidRDefault="00E5194C" w:rsidP="00E5194C">
            <w:pPr>
              <w:spacing w:after="0"/>
              <w:ind w:firstLine="0"/>
              <w:contextualSpacing/>
              <w:jc w:val="right"/>
              <w:rPr>
                <w:color w:val="000000"/>
                <w:sz w:val="20"/>
              </w:rPr>
            </w:pPr>
            <w:r w:rsidRPr="00C6712A">
              <w:rPr>
                <w:color w:val="000000"/>
                <w:sz w:val="20"/>
              </w:rPr>
              <w:t>0.0%</w:t>
            </w:r>
          </w:p>
        </w:tc>
        <w:tc>
          <w:tcPr>
            <w:tcW w:w="833" w:type="dxa"/>
            <w:tcBorders>
              <w:top w:val="nil"/>
              <w:left w:val="nil"/>
              <w:bottom w:val="single" w:sz="4" w:space="0" w:color="auto"/>
              <w:right w:val="double" w:sz="6" w:space="0" w:color="auto"/>
            </w:tcBorders>
            <w:shd w:val="clear" w:color="auto" w:fill="auto"/>
            <w:noWrap/>
            <w:vAlign w:val="center"/>
            <w:hideMark/>
          </w:tcPr>
          <w:p w14:paraId="0E530393" w14:textId="77777777" w:rsidR="00E5194C" w:rsidRPr="00C6712A" w:rsidRDefault="00E5194C" w:rsidP="00E5194C">
            <w:pPr>
              <w:spacing w:after="0"/>
              <w:ind w:firstLine="0"/>
              <w:contextualSpacing/>
              <w:jc w:val="right"/>
              <w:rPr>
                <w:color w:val="000000"/>
                <w:sz w:val="20"/>
              </w:rPr>
            </w:pPr>
            <w:r w:rsidRPr="00C6712A">
              <w:rPr>
                <w:color w:val="000000"/>
                <w:sz w:val="20"/>
              </w:rPr>
              <w:t>0.7%</w:t>
            </w:r>
          </w:p>
        </w:tc>
        <w:tc>
          <w:tcPr>
            <w:tcW w:w="833" w:type="dxa"/>
            <w:tcBorders>
              <w:top w:val="nil"/>
              <w:left w:val="nil"/>
              <w:bottom w:val="single" w:sz="4" w:space="0" w:color="auto"/>
              <w:right w:val="single" w:sz="4" w:space="0" w:color="auto"/>
            </w:tcBorders>
            <w:shd w:val="clear" w:color="auto" w:fill="auto"/>
            <w:noWrap/>
            <w:vAlign w:val="center"/>
            <w:hideMark/>
          </w:tcPr>
          <w:p w14:paraId="21BCE9DB" w14:textId="77777777" w:rsidR="00E5194C" w:rsidRPr="00C6712A" w:rsidRDefault="00E5194C" w:rsidP="00E5194C">
            <w:pPr>
              <w:spacing w:after="0"/>
              <w:ind w:firstLine="0"/>
              <w:contextualSpacing/>
              <w:jc w:val="right"/>
              <w:rPr>
                <w:color w:val="000000"/>
                <w:sz w:val="20"/>
              </w:rPr>
            </w:pPr>
            <w:r w:rsidRPr="00C6712A">
              <w:rPr>
                <w:color w:val="000000"/>
                <w:sz w:val="20"/>
              </w:rPr>
              <w:t>4.8%</w:t>
            </w:r>
          </w:p>
        </w:tc>
        <w:tc>
          <w:tcPr>
            <w:tcW w:w="833" w:type="dxa"/>
            <w:tcBorders>
              <w:top w:val="nil"/>
              <w:left w:val="nil"/>
              <w:bottom w:val="single" w:sz="4" w:space="0" w:color="auto"/>
              <w:right w:val="single" w:sz="4" w:space="0" w:color="auto"/>
            </w:tcBorders>
            <w:shd w:val="clear" w:color="auto" w:fill="auto"/>
            <w:noWrap/>
            <w:vAlign w:val="center"/>
            <w:hideMark/>
          </w:tcPr>
          <w:p w14:paraId="67644D06" w14:textId="77777777" w:rsidR="00E5194C" w:rsidRPr="00C6712A" w:rsidRDefault="00E5194C" w:rsidP="00E5194C">
            <w:pPr>
              <w:spacing w:after="0"/>
              <w:ind w:firstLine="0"/>
              <w:contextualSpacing/>
              <w:jc w:val="right"/>
              <w:rPr>
                <w:color w:val="000000"/>
                <w:sz w:val="20"/>
              </w:rPr>
            </w:pPr>
            <w:r w:rsidRPr="00C6712A">
              <w:rPr>
                <w:color w:val="000000"/>
                <w:sz w:val="20"/>
              </w:rPr>
              <w:t>0.6%</w:t>
            </w:r>
          </w:p>
        </w:tc>
        <w:tc>
          <w:tcPr>
            <w:tcW w:w="833" w:type="dxa"/>
            <w:tcBorders>
              <w:top w:val="nil"/>
              <w:left w:val="nil"/>
              <w:bottom w:val="single" w:sz="4" w:space="0" w:color="auto"/>
              <w:right w:val="double" w:sz="6" w:space="0" w:color="auto"/>
            </w:tcBorders>
            <w:shd w:val="clear" w:color="auto" w:fill="auto"/>
            <w:noWrap/>
            <w:vAlign w:val="center"/>
            <w:hideMark/>
          </w:tcPr>
          <w:p w14:paraId="0DEBD08D" w14:textId="77777777" w:rsidR="00E5194C" w:rsidRPr="00C6712A" w:rsidRDefault="00E5194C" w:rsidP="00E5194C">
            <w:pPr>
              <w:spacing w:after="0"/>
              <w:ind w:firstLine="0"/>
              <w:contextualSpacing/>
              <w:jc w:val="right"/>
              <w:rPr>
                <w:color w:val="000000"/>
                <w:sz w:val="20"/>
              </w:rPr>
            </w:pPr>
            <w:r w:rsidRPr="00C6712A">
              <w:rPr>
                <w:color w:val="000000"/>
                <w:sz w:val="20"/>
              </w:rPr>
              <w:t>4.4%</w:t>
            </w:r>
          </w:p>
        </w:tc>
        <w:tc>
          <w:tcPr>
            <w:tcW w:w="833" w:type="dxa"/>
            <w:tcBorders>
              <w:top w:val="nil"/>
              <w:left w:val="nil"/>
              <w:bottom w:val="single" w:sz="4" w:space="0" w:color="auto"/>
              <w:right w:val="single" w:sz="4" w:space="0" w:color="auto"/>
            </w:tcBorders>
            <w:shd w:val="clear" w:color="auto" w:fill="auto"/>
            <w:noWrap/>
            <w:vAlign w:val="center"/>
            <w:hideMark/>
          </w:tcPr>
          <w:p w14:paraId="2AAC5DE2" w14:textId="77777777" w:rsidR="00E5194C" w:rsidRPr="00C6712A" w:rsidRDefault="00E5194C" w:rsidP="00E5194C">
            <w:pPr>
              <w:spacing w:after="0"/>
              <w:ind w:firstLine="0"/>
              <w:contextualSpacing/>
              <w:jc w:val="right"/>
              <w:rPr>
                <w:color w:val="000000"/>
                <w:sz w:val="20"/>
              </w:rPr>
            </w:pPr>
            <w:r w:rsidRPr="00C6712A">
              <w:rPr>
                <w:color w:val="000000"/>
                <w:sz w:val="20"/>
              </w:rPr>
              <w:t>3.3%</w:t>
            </w:r>
          </w:p>
        </w:tc>
        <w:tc>
          <w:tcPr>
            <w:tcW w:w="833" w:type="dxa"/>
            <w:tcBorders>
              <w:top w:val="nil"/>
              <w:left w:val="nil"/>
              <w:bottom w:val="single" w:sz="4" w:space="0" w:color="auto"/>
              <w:right w:val="single" w:sz="4" w:space="0" w:color="auto"/>
            </w:tcBorders>
            <w:shd w:val="clear" w:color="auto" w:fill="auto"/>
            <w:noWrap/>
            <w:vAlign w:val="center"/>
            <w:hideMark/>
          </w:tcPr>
          <w:p w14:paraId="319A6478" w14:textId="77777777" w:rsidR="00E5194C" w:rsidRPr="00C6712A" w:rsidRDefault="00E5194C" w:rsidP="00E5194C">
            <w:pPr>
              <w:spacing w:after="0"/>
              <w:ind w:firstLine="0"/>
              <w:contextualSpacing/>
              <w:jc w:val="right"/>
              <w:rPr>
                <w:color w:val="000000"/>
                <w:sz w:val="20"/>
              </w:rPr>
            </w:pPr>
            <w:r w:rsidRPr="00C6712A">
              <w:rPr>
                <w:color w:val="000000"/>
                <w:sz w:val="20"/>
              </w:rPr>
              <w:t>0.2%</w:t>
            </w:r>
          </w:p>
        </w:tc>
        <w:tc>
          <w:tcPr>
            <w:tcW w:w="833" w:type="dxa"/>
            <w:tcBorders>
              <w:top w:val="nil"/>
              <w:left w:val="nil"/>
              <w:bottom w:val="single" w:sz="4" w:space="0" w:color="auto"/>
              <w:right w:val="double" w:sz="6" w:space="0" w:color="auto"/>
            </w:tcBorders>
            <w:shd w:val="clear" w:color="auto" w:fill="auto"/>
            <w:noWrap/>
            <w:vAlign w:val="center"/>
            <w:hideMark/>
          </w:tcPr>
          <w:p w14:paraId="0B0D205F" w14:textId="77777777" w:rsidR="00E5194C" w:rsidRPr="00C6712A" w:rsidRDefault="00E5194C" w:rsidP="00E5194C">
            <w:pPr>
              <w:spacing w:after="0"/>
              <w:ind w:firstLine="0"/>
              <w:contextualSpacing/>
              <w:jc w:val="right"/>
              <w:rPr>
                <w:color w:val="000000"/>
                <w:sz w:val="20"/>
              </w:rPr>
            </w:pPr>
            <w:r w:rsidRPr="00C6712A">
              <w:rPr>
                <w:color w:val="000000"/>
                <w:sz w:val="20"/>
              </w:rPr>
              <w:t>2.8%</w:t>
            </w:r>
          </w:p>
        </w:tc>
      </w:tr>
      <w:tr w:rsidR="00E5194C" w:rsidRPr="00C6712A" w14:paraId="12930E56" w14:textId="77777777" w:rsidTr="00453931">
        <w:trPr>
          <w:cantSplit/>
          <w:trHeight w:val="20"/>
          <w:jc w:val="center"/>
        </w:trPr>
        <w:tc>
          <w:tcPr>
            <w:tcW w:w="682" w:type="dxa"/>
            <w:vMerge/>
            <w:tcBorders>
              <w:top w:val="nil"/>
              <w:left w:val="double" w:sz="6" w:space="0" w:color="auto"/>
              <w:bottom w:val="double" w:sz="6" w:space="0" w:color="000000"/>
              <w:right w:val="double" w:sz="6" w:space="0" w:color="auto"/>
            </w:tcBorders>
            <w:vAlign w:val="center"/>
            <w:hideMark/>
          </w:tcPr>
          <w:p w14:paraId="3049FB42" w14:textId="77777777" w:rsidR="00E5194C" w:rsidRPr="00C6712A" w:rsidRDefault="00E5194C" w:rsidP="00E5194C">
            <w:pPr>
              <w:spacing w:after="0"/>
              <w:ind w:firstLine="0"/>
              <w:contextualSpacing/>
              <w:rPr>
                <w:b/>
                <w:bCs/>
                <w:color w:val="000000"/>
                <w:sz w:val="20"/>
              </w:rPr>
            </w:pPr>
          </w:p>
        </w:tc>
        <w:tc>
          <w:tcPr>
            <w:tcW w:w="2288" w:type="dxa"/>
            <w:tcBorders>
              <w:top w:val="nil"/>
              <w:left w:val="nil"/>
              <w:bottom w:val="single" w:sz="4" w:space="0" w:color="auto"/>
              <w:right w:val="double" w:sz="6" w:space="0" w:color="auto"/>
            </w:tcBorders>
            <w:shd w:val="clear" w:color="auto" w:fill="auto"/>
            <w:vAlign w:val="center"/>
            <w:hideMark/>
          </w:tcPr>
          <w:p w14:paraId="2138DA3C" w14:textId="77777777" w:rsidR="00E5194C" w:rsidRPr="00C6712A" w:rsidRDefault="00E5194C" w:rsidP="00E5194C">
            <w:pPr>
              <w:spacing w:after="0"/>
              <w:ind w:firstLine="0"/>
              <w:contextualSpacing/>
              <w:rPr>
                <w:color w:val="000000"/>
                <w:sz w:val="20"/>
              </w:rPr>
            </w:pPr>
            <w:r w:rsidRPr="00C6712A">
              <w:rPr>
                <w:color w:val="000000"/>
                <w:sz w:val="20"/>
              </w:rPr>
              <w:t>5 days per week</w:t>
            </w:r>
          </w:p>
        </w:tc>
        <w:tc>
          <w:tcPr>
            <w:tcW w:w="833" w:type="dxa"/>
            <w:tcBorders>
              <w:top w:val="nil"/>
              <w:left w:val="nil"/>
              <w:bottom w:val="single" w:sz="4" w:space="0" w:color="auto"/>
              <w:right w:val="single" w:sz="4" w:space="0" w:color="auto"/>
            </w:tcBorders>
            <w:shd w:val="clear" w:color="auto" w:fill="auto"/>
            <w:noWrap/>
            <w:vAlign w:val="center"/>
            <w:hideMark/>
          </w:tcPr>
          <w:p w14:paraId="1D18FFAC" w14:textId="77777777" w:rsidR="00E5194C" w:rsidRPr="00C6712A" w:rsidRDefault="00E5194C" w:rsidP="00E5194C">
            <w:pPr>
              <w:spacing w:after="0"/>
              <w:ind w:firstLine="0"/>
              <w:contextualSpacing/>
              <w:jc w:val="right"/>
              <w:rPr>
                <w:color w:val="000000"/>
                <w:sz w:val="20"/>
              </w:rPr>
            </w:pPr>
            <w:r w:rsidRPr="00C6712A">
              <w:rPr>
                <w:color w:val="000000"/>
                <w:sz w:val="20"/>
              </w:rPr>
              <w:t>0.1%</w:t>
            </w:r>
          </w:p>
        </w:tc>
        <w:tc>
          <w:tcPr>
            <w:tcW w:w="833" w:type="dxa"/>
            <w:tcBorders>
              <w:top w:val="nil"/>
              <w:left w:val="nil"/>
              <w:bottom w:val="single" w:sz="4" w:space="0" w:color="auto"/>
              <w:right w:val="single" w:sz="4" w:space="0" w:color="auto"/>
            </w:tcBorders>
            <w:shd w:val="clear" w:color="auto" w:fill="auto"/>
            <w:noWrap/>
            <w:vAlign w:val="center"/>
            <w:hideMark/>
          </w:tcPr>
          <w:p w14:paraId="63153516" w14:textId="77777777" w:rsidR="00E5194C" w:rsidRPr="00C6712A" w:rsidRDefault="00E5194C" w:rsidP="00E5194C">
            <w:pPr>
              <w:spacing w:after="0"/>
              <w:ind w:firstLine="0"/>
              <w:contextualSpacing/>
              <w:jc w:val="right"/>
              <w:rPr>
                <w:color w:val="000000"/>
                <w:sz w:val="20"/>
              </w:rPr>
            </w:pPr>
            <w:r w:rsidRPr="00C6712A">
              <w:rPr>
                <w:color w:val="000000"/>
                <w:sz w:val="20"/>
              </w:rPr>
              <w:t>0.0%</w:t>
            </w:r>
          </w:p>
        </w:tc>
        <w:tc>
          <w:tcPr>
            <w:tcW w:w="833" w:type="dxa"/>
            <w:tcBorders>
              <w:top w:val="nil"/>
              <w:left w:val="nil"/>
              <w:bottom w:val="single" w:sz="4" w:space="0" w:color="auto"/>
              <w:right w:val="double" w:sz="6" w:space="0" w:color="auto"/>
            </w:tcBorders>
            <w:shd w:val="clear" w:color="auto" w:fill="auto"/>
            <w:noWrap/>
            <w:vAlign w:val="center"/>
            <w:hideMark/>
          </w:tcPr>
          <w:p w14:paraId="3FA27165" w14:textId="77777777" w:rsidR="00E5194C" w:rsidRPr="00C6712A" w:rsidRDefault="00E5194C" w:rsidP="00E5194C">
            <w:pPr>
              <w:spacing w:after="0"/>
              <w:ind w:firstLine="0"/>
              <w:contextualSpacing/>
              <w:jc w:val="right"/>
              <w:rPr>
                <w:color w:val="000000"/>
                <w:sz w:val="20"/>
              </w:rPr>
            </w:pPr>
            <w:r w:rsidRPr="00C6712A">
              <w:rPr>
                <w:color w:val="000000"/>
                <w:sz w:val="20"/>
              </w:rPr>
              <w:t>0.1%</w:t>
            </w:r>
          </w:p>
        </w:tc>
        <w:tc>
          <w:tcPr>
            <w:tcW w:w="833" w:type="dxa"/>
            <w:tcBorders>
              <w:top w:val="nil"/>
              <w:left w:val="nil"/>
              <w:bottom w:val="single" w:sz="4" w:space="0" w:color="auto"/>
              <w:right w:val="single" w:sz="4" w:space="0" w:color="auto"/>
            </w:tcBorders>
            <w:shd w:val="clear" w:color="auto" w:fill="auto"/>
            <w:noWrap/>
            <w:vAlign w:val="center"/>
            <w:hideMark/>
          </w:tcPr>
          <w:p w14:paraId="55E518D1" w14:textId="77777777" w:rsidR="00E5194C" w:rsidRPr="00C6712A" w:rsidRDefault="00E5194C" w:rsidP="00E5194C">
            <w:pPr>
              <w:spacing w:after="0"/>
              <w:ind w:firstLine="0"/>
              <w:contextualSpacing/>
              <w:jc w:val="right"/>
              <w:rPr>
                <w:color w:val="000000"/>
                <w:sz w:val="20"/>
              </w:rPr>
            </w:pPr>
            <w:r w:rsidRPr="00C6712A">
              <w:rPr>
                <w:color w:val="000000"/>
                <w:sz w:val="20"/>
              </w:rPr>
              <w:t>0.6%</w:t>
            </w:r>
          </w:p>
        </w:tc>
        <w:tc>
          <w:tcPr>
            <w:tcW w:w="833" w:type="dxa"/>
            <w:tcBorders>
              <w:top w:val="nil"/>
              <w:left w:val="nil"/>
              <w:bottom w:val="single" w:sz="4" w:space="0" w:color="auto"/>
              <w:right w:val="single" w:sz="4" w:space="0" w:color="auto"/>
            </w:tcBorders>
            <w:shd w:val="clear" w:color="auto" w:fill="auto"/>
            <w:noWrap/>
            <w:vAlign w:val="center"/>
            <w:hideMark/>
          </w:tcPr>
          <w:p w14:paraId="50F5DDB2" w14:textId="77777777" w:rsidR="00E5194C" w:rsidRPr="00C6712A" w:rsidRDefault="00E5194C" w:rsidP="00E5194C">
            <w:pPr>
              <w:spacing w:after="0"/>
              <w:ind w:firstLine="0"/>
              <w:contextualSpacing/>
              <w:jc w:val="right"/>
              <w:rPr>
                <w:color w:val="000000"/>
                <w:sz w:val="20"/>
              </w:rPr>
            </w:pPr>
            <w:r w:rsidRPr="00C6712A">
              <w:rPr>
                <w:color w:val="000000"/>
                <w:sz w:val="20"/>
              </w:rPr>
              <w:t>0.2%</w:t>
            </w:r>
          </w:p>
        </w:tc>
        <w:tc>
          <w:tcPr>
            <w:tcW w:w="833" w:type="dxa"/>
            <w:tcBorders>
              <w:top w:val="nil"/>
              <w:left w:val="nil"/>
              <w:bottom w:val="single" w:sz="4" w:space="0" w:color="auto"/>
              <w:right w:val="double" w:sz="6" w:space="0" w:color="auto"/>
            </w:tcBorders>
            <w:shd w:val="clear" w:color="auto" w:fill="auto"/>
            <w:noWrap/>
            <w:vAlign w:val="center"/>
            <w:hideMark/>
          </w:tcPr>
          <w:p w14:paraId="0346D25B" w14:textId="77777777" w:rsidR="00E5194C" w:rsidRPr="00C6712A" w:rsidRDefault="00E5194C" w:rsidP="00E5194C">
            <w:pPr>
              <w:spacing w:after="0"/>
              <w:ind w:firstLine="0"/>
              <w:contextualSpacing/>
              <w:jc w:val="right"/>
              <w:rPr>
                <w:color w:val="000000"/>
                <w:sz w:val="20"/>
              </w:rPr>
            </w:pPr>
            <w:r w:rsidRPr="00C6712A">
              <w:rPr>
                <w:color w:val="000000"/>
                <w:sz w:val="20"/>
              </w:rPr>
              <w:t>0.6%</w:t>
            </w:r>
          </w:p>
        </w:tc>
        <w:tc>
          <w:tcPr>
            <w:tcW w:w="833" w:type="dxa"/>
            <w:tcBorders>
              <w:top w:val="nil"/>
              <w:left w:val="nil"/>
              <w:bottom w:val="single" w:sz="4" w:space="0" w:color="auto"/>
              <w:right w:val="single" w:sz="4" w:space="0" w:color="auto"/>
            </w:tcBorders>
            <w:shd w:val="clear" w:color="auto" w:fill="auto"/>
            <w:noWrap/>
            <w:vAlign w:val="center"/>
            <w:hideMark/>
          </w:tcPr>
          <w:p w14:paraId="4F00949F" w14:textId="77777777" w:rsidR="00E5194C" w:rsidRPr="00C6712A" w:rsidRDefault="00E5194C" w:rsidP="00E5194C">
            <w:pPr>
              <w:spacing w:after="0"/>
              <w:ind w:firstLine="0"/>
              <w:contextualSpacing/>
              <w:jc w:val="right"/>
              <w:rPr>
                <w:color w:val="000000"/>
                <w:sz w:val="20"/>
              </w:rPr>
            </w:pPr>
            <w:r w:rsidRPr="00C6712A">
              <w:rPr>
                <w:color w:val="000000"/>
                <w:sz w:val="20"/>
              </w:rPr>
              <w:t>0.4%</w:t>
            </w:r>
          </w:p>
        </w:tc>
        <w:tc>
          <w:tcPr>
            <w:tcW w:w="833" w:type="dxa"/>
            <w:tcBorders>
              <w:top w:val="nil"/>
              <w:left w:val="nil"/>
              <w:bottom w:val="single" w:sz="4" w:space="0" w:color="auto"/>
              <w:right w:val="single" w:sz="4" w:space="0" w:color="auto"/>
            </w:tcBorders>
            <w:shd w:val="clear" w:color="auto" w:fill="auto"/>
            <w:noWrap/>
            <w:vAlign w:val="center"/>
            <w:hideMark/>
          </w:tcPr>
          <w:p w14:paraId="64526E01" w14:textId="77777777" w:rsidR="00E5194C" w:rsidRPr="00C6712A" w:rsidRDefault="00E5194C" w:rsidP="00E5194C">
            <w:pPr>
              <w:spacing w:after="0"/>
              <w:ind w:firstLine="0"/>
              <w:contextualSpacing/>
              <w:jc w:val="right"/>
              <w:rPr>
                <w:color w:val="000000"/>
                <w:sz w:val="20"/>
              </w:rPr>
            </w:pPr>
            <w:r w:rsidRPr="00C6712A">
              <w:rPr>
                <w:color w:val="000000"/>
                <w:sz w:val="20"/>
              </w:rPr>
              <w:t>0.1%</w:t>
            </w:r>
          </w:p>
        </w:tc>
        <w:tc>
          <w:tcPr>
            <w:tcW w:w="833" w:type="dxa"/>
            <w:tcBorders>
              <w:top w:val="nil"/>
              <w:left w:val="nil"/>
              <w:bottom w:val="single" w:sz="4" w:space="0" w:color="auto"/>
              <w:right w:val="double" w:sz="6" w:space="0" w:color="auto"/>
            </w:tcBorders>
            <w:shd w:val="clear" w:color="auto" w:fill="auto"/>
            <w:noWrap/>
            <w:vAlign w:val="center"/>
            <w:hideMark/>
          </w:tcPr>
          <w:p w14:paraId="49530FD4" w14:textId="77777777" w:rsidR="00E5194C" w:rsidRPr="00C6712A" w:rsidRDefault="00E5194C" w:rsidP="00E5194C">
            <w:pPr>
              <w:spacing w:after="0"/>
              <w:ind w:firstLine="0"/>
              <w:contextualSpacing/>
              <w:jc w:val="right"/>
              <w:rPr>
                <w:color w:val="000000"/>
                <w:sz w:val="20"/>
              </w:rPr>
            </w:pPr>
            <w:r w:rsidRPr="00C6712A">
              <w:rPr>
                <w:color w:val="000000"/>
                <w:sz w:val="20"/>
              </w:rPr>
              <w:t>0.4%</w:t>
            </w:r>
          </w:p>
        </w:tc>
      </w:tr>
      <w:tr w:rsidR="00E5194C" w:rsidRPr="00C6712A" w14:paraId="5DD0AAE9" w14:textId="77777777" w:rsidTr="00453931">
        <w:trPr>
          <w:cantSplit/>
          <w:trHeight w:val="20"/>
          <w:jc w:val="center"/>
        </w:trPr>
        <w:tc>
          <w:tcPr>
            <w:tcW w:w="682" w:type="dxa"/>
            <w:vMerge/>
            <w:tcBorders>
              <w:top w:val="nil"/>
              <w:left w:val="double" w:sz="6" w:space="0" w:color="auto"/>
              <w:bottom w:val="double" w:sz="6" w:space="0" w:color="000000"/>
              <w:right w:val="double" w:sz="6" w:space="0" w:color="auto"/>
            </w:tcBorders>
            <w:vAlign w:val="center"/>
            <w:hideMark/>
          </w:tcPr>
          <w:p w14:paraId="2E99B64F" w14:textId="77777777" w:rsidR="00E5194C" w:rsidRPr="00C6712A" w:rsidRDefault="00E5194C" w:rsidP="00E5194C">
            <w:pPr>
              <w:spacing w:after="0"/>
              <w:ind w:firstLine="0"/>
              <w:contextualSpacing/>
              <w:rPr>
                <w:b/>
                <w:bCs/>
                <w:color w:val="000000"/>
                <w:sz w:val="20"/>
              </w:rPr>
            </w:pPr>
          </w:p>
        </w:tc>
        <w:tc>
          <w:tcPr>
            <w:tcW w:w="2288" w:type="dxa"/>
            <w:tcBorders>
              <w:top w:val="nil"/>
              <w:left w:val="nil"/>
              <w:bottom w:val="single" w:sz="4" w:space="0" w:color="auto"/>
              <w:right w:val="double" w:sz="6" w:space="0" w:color="auto"/>
            </w:tcBorders>
            <w:shd w:val="clear" w:color="auto" w:fill="auto"/>
            <w:vAlign w:val="center"/>
            <w:hideMark/>
          </w:tcPr>
          <w:p w14:paraId="59F3CFF6" w14:textId="77777777" w:rsidR="00E5194C" w:rsidRPr="00C6712A" w:rsidRDefault="00E5194C" w:rsidP="00E5194C">
            <w:pPr>
              <w:spacing w:after="0"/>
              <w:ind w:firstLine="0"/>
              <w:contextualSpacing/>
              <w:rPr>
                <w:color w:val="000000"/>
                <w:sz w:val="20"/>
              </w:rPr>
            </w:pPr>
            <w:r w:rsidRPr="00C6712A">
              <w:rPr>
                <w:color w:val="000000"/>
                <w:sz w:val="20"/>
              </w:rPr>
              <w:t>6-7 days per week</w:t>
            </w:r>
          </w:p>
        </w:tc>
        <w:tc>
          <w:tcPr>
            <w:tcW w:w="833" w:type="dxa"/>
            <w:tcBorders>
              <w:top w:val="nil"/>
              <w:left w:val="nil"/>
              <w:bottom w:val="single" w:sz="4" w:space="0" w:color="auto"/>
              <w:right w:val="single" w:sz="4" w:space="0" w:color="auto"/>
            </w:tcBorders>
            <w:shd w:val="clear" w:color="auto" w:fill="auto"/>
            <w:noWrap/>
            <w:vAlign w:val="center"/>
            <w:hideMark/>
          </w:tcPr>
          <w:p w14:paraId="797DF358" w14:textId="77777777" w:rsidR="00E5194C" w:rsidRPr="00C6712A" w:rsidRDefault="00E5194C" w:rsidP="00E5194C">
            <w:pPr>
              <w:spacing w:after="0"/>
              <w:ind w:firstLine="0"/>
              <w:contextualSpacing/>
              <w:jc w:val="right"/>
              <w:rPr>
                <w:color w:val="000000"/>
                <w:sz w:val="20"/>
              </w:rPr>
            </w:pPr>
            <w:r w:rsidRPr="00C6712A">
              <w:rPr>
                <w:color w:val="000000"/>
                <w:sz w:val="20"/>
              </w:rPr>
              <w:t>0.2%</w:t>
            </w:r>
          </w:p>
        </w:tc>
        <w:tc>
          <w:tcPr>
            <w:tcW w:w="833" w:type="dxa"/>
            <w:tcBorders>
              <w:top w:val="nil"/>
              <w:left w:val="nil"/>
              <w:bottom w:val="single" w:sz="4" w:space="0" w:color="auto"/>
              <w:right w:val="single" w:sz="4" w:space="0" w:color="auto"/>
            </w:tcBorders>
            <w:shd w:val="clear" w:color="auto" w:fill="auto"/>
            <w:noWrap/>
            <w:vAlign w:val="center"/>
            <w:hideMark/>
          </w:tcPr>
          <w:p w14:paraId="6FED7525" w14:textId="77777777" w:rsidR="00E5194C" w:rsidRPr="00C6712A" w:rsidRDefault="00E5194C" w:rsidP="00E5194C">
            <w:pPr>
              <w:spacing w:after="0"/>
              <w:ind w:firstLine="0"/>
              <w:contextualSpacing/>
              <w:jc w:val="right"/>
              <w:rPr>
                <w:color w:val="000000"/>
                <w:sz w:val="20"/>
              </w:rPr>
            </w:pPr>
            <w:r w:rsidRPr="00C6712A">
              <w:rPr>
                <w:color w:val="000000"/>
                <w:sz w:val="20"/>
              </w:rPr>
              <w:t>0.0%</w:t>
            </w:r>
          </w:p>
        </w:tc>
        <w:tc>
          <w:tcPr>
            <w:tcW w:w="833" w:type="dxa"/>
            <w:tcBorders>
              <w:top w:val="nil"/>
              <w:left w:val="nil"/>
              <w:bottom w:val="single" w:sz="4" w:space="0" w:color="auto"/>
              <w:right w:val="double" w:sz="6" w:space="0" w:color="auto"/>
            </w:tcBorders>
            <w:shd w:val="clear" w:color="auto" w:fill="auto"/>
            <w:noWrap/>
            <w:vAlign w:val="center"/>
            <w:hideMark/>
          </w:tcPr>
          <w:p w14:paraId="03B40827" w14:textId="77777777" w:rsidR="00E5194C" w:rsidRPr="00C6712A" w:rsidRDefault="00E5194C" w:rsidP="00E5194C">
            <w:pPr>
              <w:spacing w:after="0"/>
              <w:ind w:firstLine="0"/>
              <w:contextualSpacing/>
              <w:jc w:val="right"/>
              <w:rPr>
                <w:color w:val="000000"/>
                <w:sz w:val="20"/>
              </w:rPr>
            </w:pPr>
            <w:r w:rsidRPr="00C6712A">
              <w:rPr>
                <w:color w:val="000000"/>
                <w:sz w:val="20"/>
              </w:rPr>
              <w:t>0.1%</w:t>
            </w:r>
          </w:p>
        </w:tc>
        <w:tc>
          <w:tcPr>
            <w:tcW w:w="833" w:type="dxa"/>
            <w:tcBorders>
              <w:top w:val="nil"/>
              <w:left w:val="nil"/>
              <w:bottom w:val="single" w:sz="4" w:space="0" w:color="auto"/>
              <w:right w:val="single" w:sz="4" w:space="0" w:color="auto"/>
            </w:tcBorders>
            <w:shd w:val="clear" w:color="auto" w:fill="auto"/>
            <w:noWrap/>
            <w:vAlign w:val="center"/>
            <w:hideMark/>
          </w:tcPr>
          <w:p w14:paraId="2CA96F73" w14:textId="77777777" w:rsidR="00E5194C" w:rsidRPr="00C6712A" w:rsidRDefault="00E5194C" w:rsidP="00E5194C">
            <w:pPr>
              <w:spacing w:after="0"/>
              <w:ind w:firstLine="0"/>
              <w:contextualSpacing/>
              <w:jc w:val="right"/>
              <w:rPr>
                <w:color w:val="000000"/>
                <w:sz w:val="20"/>
              </w:rPr>
            </w:pPr>
            <w:r w:rsidRPr="00C6712A">
              <w:rPr>
                <w:color w:val="000000"/>
                <w:sz w:val="20"/>
              </w:rPr>
              <w:t>0.3%</w:t>
            </w:r>
          </w:p>
        </w:tc>
        <w:tc>
          <w:tcPr>
            <w:tcW w:w="833" w:type="dxa"/>
            <w:tcBorders>
              <w:top w:val="nil"/>
              <w:left w:val="nil"/>
              <w:bottom w:val="single" w:sz="4" w:space="0" w:color="auto"/>
              <w:right w:val="single" w:sz="4" w:space="0" w:color="auto"/>
            </w:tcBorders>
            <w:shd w:val="clear" w:color="auto" w:fill="auto"/>
            <w:noWrap/>
            <w:vAlign w:val="center"/>
            <w:hideMark/>
          </w:tcPr>
          <w:p w14:paraId="7B2559DA" w14:textId="77777777" w:rsidR="00E5194C" w:rsidRPr="00C6712A" w:rsidRDefault="00E5194C" w:rsidP="00E5194C">
            <w:pPr>
              <w:spacing w:after="0"/>
              <w:ind w:firstLine="0"/>
              <w:contextualSpacing/>
              <w:jc w:val="right"/>
              <w:rPr>
                <w:color w:val="000000"/>
                <w:sz w:val="20"/>
              </w:rPr>
            </w:pPr>
            <w:r w:rsidRPr="00C6712A">
              <w:rPr>
                <w:color w:val="000000"/>
                <w:sz w:val="20"/>
              </w:rPr>
              <w:t>0.2%</w:t>
            </w:r>
          </w:p>
        </w:tc>
        <w:tc>
          <w:tcPr>
            <w:tcW w:w="833" w:type="dxa"/>
            <w:tcBorders>
              <w:top w:val="nil"/>
              <w:left w:val="nil"/>
              <w:bottom w:val="single" w:sz="4" w:space="0" w:color="auto"/>
              <w:right w:val="double" w:sz="6" w:space="0" w:color="auto"/>
            </w:tcBorders>
            <w:shd w:val="clear" w:color="auto" w:fill="auto"/>
            <w:noWrap/>
            <w:vAlign w:val="center"/>
            <w:hideMark/>
          </w:tcPr>
          <w:p w14:paraId="62F5008C" w14:textId="77777777" w:rsidR="00E5194C" w:rsidRPr="00C6712A" w:rsidRDefault="00E5194C" w:rsidP="00E5194C">
            <w:pPr>
              <w:spacing w:after="0"/>
              <w:ind w:firstLine="0"/>
              <w:contextualSpacing/>
              <w:jc w:val="right"/>
              <w:rPr>
                <w:color w:val="000000"/>
                <w:sz w:val="20"/>
              </w:rPr>
            </w:pPr>
            <w:r w:rsidRPr="00C6712A">
              <w:rPr>
                <w:color w:val="000000"/>
                <w:sz w:val="20"/>
              </w:rPr>
              <w:t>0.3%</w:t>
            </w:r>
          </w:p>
        </w:tc>
        <w:tc>
          <w:tcPr>
            <w:tcW w:w="833" w:type="dxa"/>
            <w:tcBorders>
              <w:top w:val="nil"/>
              <w:left w:val="nil"/>
              <w:bottom w:val="single" w:sz="4" w:space="0" w:color="auto"/>
              <w:right w:val="single" w:sz="4" w:space="0" w:color="auto"/>
            </w:tcBorders>
            <w:shd w:val="clear" w:color="auto" w:fill="auto"/>
            <w:noWrap/>
            <w:vAlign w:val="center"/>
            <w:hideMark/>
          </w:tcPr>
          <w:p w14:paraId="6C22DA8A" w14:textId="77777777" w:rsidR="00E5194C" w:rsidRPr="00C6712A" w:rsidRDefault="00E5194C" w:rsidP="00E5194C">
            <w:pPr>
              <w:spacing w:after="0"/>
              <w:ind w:firstLine="0"/>
              <w:contextualSpacing/>
              <w:jc w:val="right"/>
              <w:rPr>
                <w:color w:val="000000"/>
                <w:sz w:val="20"/>
              </w:rPr>
            </w:pPr>
            <w:r w:rsidRPr="00C6712A">
              <w:rPr>
                <w:color w:val="000000"/>
                <w:sz w:val="20"/>
              </w:rPr>
              <w:t>0.3%</w:t>
            </w:r>
          </w:p>
        </w:tc>
        <w:tc>
          <w:tcPr>
            <w:tcW w:w="833" w:type="dxa"/>
            <w:tcBorders>
              <w:top w:val="nil"/>
              <w:left w:val="nil"/>
              <w:bottom w:val="single" w:sz="4" w:space="0" w:color="auto"/>
              <w:right w:val="single" w:sz="4" w:space="0" w:color="auto"/>
            </w:tcBorders>
            <w:shd w:val="clear" w:color="auto" w:fill="auto"/>
            <w:noWrap/>
            <w:vAlign w:val="center"/>
            <w:hideMark/>
          </w:tcPr>
          <w:p w14:paraId="1026DE9D" w14:textId="77777777" w:rsidR="00E5194C" w:rsidRPr="00C6712A" w:rsidRDefault="00E5194C" w:rsidP="00E5194C">
            <w:pPr>
              <w:spacing w:after="0"/>
              <w:ind w:firstLine="0"/>
              <w:contextualSpacing/>
              <w:jc w:val="right"/>
              <w:rPr>
                <w:color w:val="000000"/>
                <w:sz w:val="20"/>
              </w:rPr>
            </w:pPr>
            <w:r w:rsidRPr="00C6712A">
              <w:rPr>
                <w:color w:val="000000"/>
                <w:sz w:val="20"/>
              </w:rPr>
              <w:t>0.1%</w:t>
            </w:r>
          </w:p>
        </w:tc>
        <w:tc>
          <w:tcPr>
            <w:tcW w:w="833" w:type="dxa"/>
            <w:tcBorders>
              <w:top w:val="nil"/>
              <w:left w:val="nil"/>
              <w:bottom w:val="single" w:sz="4" w:space="0" w:color="auto"/>
              <w:right w:val="double" w:sz="6" w:space="0" w:color="auto"/>
            </w:tcBorders>
            <w:shd w:val="clear" w:color="auto" w:fill="auto"/>
            <w:noWrap/>
            <w:vAlign w:val="center"/>
            <w:hideMark/>
          </w:tcPr>
          <w:p w14:paraId="3E36F7E4" w14:textId="77777777" w:rsidR="00E5194C" w:rsidRPr="00C6712A" w:rsidRDefault="00E5194C" w:rsidP="00E5194C">
            <w:pPr>
              <w:spacing w:after="0"/>
              <w:ind w:firstLine="0"/>
              <w:contextualSpacing/>
              <w:jc w:val="right"/>
              <w:rPr>
                <w:color w:val="000000"/>
                <w:sz w:val="20"/>
              </w:rPr>
            </w:pPr>
            <w:r w:rsidRPr="00C6712A">
              <w:rPr>
                <w:color w:val="000000"/>
                <w:sz w:val="20"/>
              </w:rPr>
              <w:t>0.2%</w:t>
            </w:r>
          </w:p>
        </w:tc>
      </w:tr>
      <w:tr w:rsidR="00E5194C" w:rsidRPr="00C6712A" w14:paraId="5BA2B675" w14:textId="77777777" w:rsidTr="00453931">
        <w:trPr>
          <w:cantSplit/>
          <w:trHeight w:val="20"/>
          <w:jc w:val="center"/>
        </w:trPr>
        <w:tc>
          <w:tcPr>
            <w:tcW w:w="682" w:type="dxa"/>
            <w:vMerge/>
            <w:tcBorders>
              <w:top w:val="nil"/>
              <w:left w:val="double" w:sz="6" w:space="0" w:color="auto"/>
              <w:bottom w:val="double" w:sz="6" w:space="0" w:color="000000"/>
              <w:right w:val="double" w:sz="6" w:space="0" w:color="auto"/>
            </w:tcBorders>
            <w:vAlign w:val="center"/>
            <w:hideMark/>
          </w:tcPr>
          <w:p w14:paraId="2939989E" w14:textId="77777777" w:rsidR="00E5194C" w:rsidRPr="00C6712A" w:rsidRDefault="00E5194C" w:rsidP="00E5194C">
            <w:pPr>
              <w:spacing w:after="0"/>
              <w:ind w:firstLine="0"/>
              <w:contextualSpacing/>
              <w:rPr>
                <w:b/>
                <w:bCs/>
                <w:color w:val="000000"/>
                <w:sz w:val="20"/>
              </w:rPr>
            </w:pPr>
          </w:p>
        </w:tc>
        <w:tc>
          <w:tcPr>
            <w:tcW w:w="2288" w:type="dxa"/>
            <w:tcBorders>
              <w:top w:val="nil"/>
              <w:left w:val="nil"/>
              <w:bottom w:val="double" w:sz="6" w:space="0" w:color="auto"/>
              <w:right w:val="double" w:sz="6" w:space="0" w:color="auto"/>
            </w:tcBorders>
            <w:shd w:val="clear" w:color="auto" w:fill="auto"/>
            <w:vAlign w:val="center"/>
            <w:hideMark/>
          </w:tcPr>
          <w:p w14:paraId="21A0B56D" w14:textId="77777777" w:rsidR="00E5194C" w:rsidRPr="00C6712A" w:rsidRDefault="00E5194C" w:rsidP="00E5194C">
            <w:pPr>
              <w:spacing w:after="0"/>
              <w:ind w:firstLine="0"/>
              <w:contextualSpacing/>
              <w:rPr>
                <w:color w:val="000000"/>
                <w:sz w:val="20"/>
              </w:rPr>
            </w:pPr>
            <w:r w:rsidRPr="00C6712A">
              <w:rPr>
                <w:color w:val="000000"/>
                <w:sz w:val="20"/>
              </w:rPr>
              <w:t>Total</w:t>
            </w:r>
          </w:p>
        </w:tc>
        <w:tc>
          <w:tcPr>
            <w:tcW w:w="833" w:type="dxa"/>
            <w:tcBorders>
              <w:top w:val="nil"/>
              <w:left w:val="nil"/>
              <w:bottom w:val="double" w:sz="6" w:space="0" w:color="auto"/>
              <w:right w:val="single" w:sz="4" w:space="0" w:color="auto"/>
            </w:tcBorders>
            <w:shd w:val="clear" w:color="auto" w:fill="auto"/>
            <w:noWrap/>
            <w:vAlign w:val="center"/>
            <w:hideMark/>
          </w:tcPr>
          <w:p w14:paraId="2D5CC9C6" w14:textId="77777777" w:rsidR="00E5194C" w:rsidRPr="00C6712A" w:rsidRDefault="00E5194C" w:rsidP="00E5194C">
            <w:pPr>
              <w:spacing w:after="0"/>
              <w:ind w:firstLine="0"/>
              <w:contextualSpacing/>
              <w:jc w:val="right"/>
              <w:rPr>
                <w:color w:val="000000"/>
                <w:sz w:val="20"/>
              </w:rPr>
            </w:pPr>
            <w:r w:rsidRPr="00C6712A">
              <w:rPr>
                <w:color w:val="000000"/>
                <w:sz w:val="20"/>
              </w:rPr>
              <w:t>100.0%</w:t>
            </w:r>
          </w:p>
        </w:tc>
        <w:tc>
          <w:tcPr>
            <w:tcW w:w="833" w:type="dxa"/>
            <w:tcBorders>
              <w:top w:val="nil"/>
              <w:left w:val="nil"/>
              <w:bottom w:val="double" w:sz="6" w:space="0" w:color="auto"/>
              <w:right w:val="single" w:sz="4" w:space="0" w:color="auto"/>
            </w:tcBorders>
            <w:shd w:val="clear" w:color="auto" w:fill="auto"/>
            <w:noWrap/>
            <w:vAlign w:val="center"/>
            <w:hideMark/>
          </w:tcPr>
          <w:p w14:paraId="5BB58D17" w14:textId="77777777" w:rsidR="00E5194C" w:rsidRPr="00C6712A" w:rsidRDefault="00E5194C" w:rsidP="00E5194C">
            <w:pPr>
              <w:spacing w:after="0"/>
              <w:ind w:firstLine="0"/>
              <w:contextualSpacing/>
              <w:jc w:val="right"/>
              <w:rPr>
                <w:color w:val="000000"/>
                <w:sz w:val="20"/>
              </w:rPr>
            </w:pPr>
            <w:r w:rsidRPr="00C6712A">
              <w:rPr>
                <w:color w:val="000000"/>
                <w:sz w:val="20"/>
              </w:rPr>
              <w:t>100.0%</w:t>
            </w:r>
          </w:p>
        </w:tc>
        <w:tc>
          <w:tcPr>
            <w:tcW w:w="833" w:type="dxa"/>
            <w:tcBorders>
              <w:top w:val="nil"/>
              <w:left w:val="nil"/>
              <w:bottom w:val="double" w:sz="6" w:space="0" w:color="auto"/>
              <w:right w:val="double" w:sz="6" w:space="0" w:color="auto"/>
            </w:tcBorders>
            <w:shd w:val="clear" w:color="auto" w:fill="auto"/>
            <w:noWrap/>
            <w:vAlign w:val="center"/>
            <w:hideMark/>
          </w:tcPr>
          <w:p w14:paraId="5EF2953A" w14:textId="77777777" w:rsidR="00E5194C" w:rsidRPr="00C6712A" w:rsidRDefault="00E5194C" w:rsidP="00E5194C">
            <w:pPr>
              <w:spacing w:after="0"/>
              <w:ind w:firstLine="0"/>
              <w:contextualSpacing/>
              <w:jc w:val="right"/>
              <w:rPr>
                <w:color w:val="000000"/>
                <w:sz w:val="20"/>
              </w:rPr>
            </w:pPr>
            <w:r w:rsidRPr="00C6712A">
              <w:rPr>
                <w:color w:val="000000"/>
                <w:sz w:val="20"/>
              </w:rPr>
              <w:t>100.0%</w:t>
            </w:r>
          </w:p>
        </w:tc>
        <w:tc>
          <w:tcPr>
            <w:tcW w:w="833" w:type="dxa"/>
            <w:tcBorders>
              <w:top w:val="nil"/>
              <w:left w:val="nil"/>
              <w:bottom w:val="double" w:sz="6" w:space="0" w:color="auto"/>
              <w:right w:val="single" w:sz="4" w:space="0" w:color="auto"/>
            </w:tcBorders>
            <w:shd w:val="clear" w:color="auto" w:fill="auto"/>
            <w:noWrap/>
            <w:vAlign w:val="center"/>
            <w:hideMark/>
          </w:tcPr>
          <w:p w14:paraId="1B53C52A" w14:textId="77777777" w:rsidR="00E5194C" w:rsidRPr="00C6712A" w:rsidRDefault="00E5194C" w:rsidP="00E5194C">
            <w:pPr>
              <w:spacing w:after="0"/>
              <w:ind w:firstLine="0"/>
              <w:contextualSpacing/>
              <w:jc w:val="right"/>
              <w:rPr>
                <w:color w:val="000000"/>
                <w:sz w:val="20"/>
              </w:rPr>
            </w:pPr>
            <w:r w:rsidRPr="00C6712A">
              <w:rPr>
                <w:color w:val="000000"/>
                <w:sz w:val="20"/>
              </w:rPr>
              <w:t>100.0%</w:t>
            </w:r>
          </w:p>
        </w:tc>
        <w:tc>
          <w:tcPr>
            <w:tcW w:w="833" w:type="dxa"/>
            <w:tcBorders>
              <w:top w:val="nil"/>
              <w:left w:val="nil"/>
              <w:bottom w:val="double" w:sz="6" w:space="0" w:color="auto"/>
              <w:right w:val="single" w:sz="4" w:space="0" w:color="auto"/>
            </w:tcBorders>
            <w:shd w:val="clear" w:color="auto" w:fill="auto"/>
            <w:noWrap/>
            <w:vAlign w:val="center"/>
            <w:hideMark/>
          </w:tcPr>
          <w:p w14:paraId="77BF8FBB" w14:textId="77777777" w:rsidR="00E5194C" w:rsidRPr="00C6712A" w:rsidRDefault="00E5194C" w:rsidP="00E5194C">
            <w:pPr>
              <w:spacing w:after="0"/>
              <w:ind w:firstLine="0"/>
              <w:contextualSpacing/>
              <w:jc w:val="right"/>
              <w:rPr>
                <w:color w:val="000000"/>
                <w:sz w:val="20"/>
              </w:rPr>
            </w:pPr>
            <w:r w:rsidRPr="00C6712A">
              <w:rPr>
                <w:color w:val="000000"/>
                <w:sz w:val="20"/>
              </w:rPr>
              <w:t>100.0%</w:t>
            </w:r>
          </w:p>
        </w:tc>
        <w:tc>
          <w:tcPr>
            <w:tcW w:w="833" w:type="dxa"/>
            <w:tcBorders>
              <w:top w:val="nil"/>
              <w:left w:val="nil"/>
              <w:bottom w:val="double" w:sz="6" w:space="0" w:color="auto"/>
              <w:right w:val="double" w:sz="6" w:space="0" w:color="auto"/>
            </w:tcBorders>
            <w:shd w:val="clear" w:color="auto" w:fill="auto"/>
            <w:noWrap/>
            <w:vAlign w:val="center"/>
            <w:hideMark/>
          </w:tcPr>
          <w:p w14:paraId="0AF9F0F9" w14:textId="77777777" w:rsidR="00E5194C" w:rsidRPr="00C6712A" w:rsidRDefault="00E5194C" w:rsidP="00E5194C">
            <w:pPr>
              <w:spacing w:after="0"/>
              <w:ind w:firstLine="0"/>
              <w:contextualSpacing/>
              <w:jc w:val="right"/>
              <w:rPr>
                <w:color w:val="000000"/>
                <w:sz w:val="20"/>
              </w:rPr>
            </w:pPr>
            <w:r w:rsidRPr="00C6712A">
              <w:rPr>
                <w:color w:val="000000"/>
                <w:sz w:val="20"/>
              </w:rPr>
              <w:t>100.0%</w:t>
            </w:r>
          </w:p>
        </w:tc>
        <w:tc>
          <w:tcPr>
            <w:tcW w:w="833" w:type="dxa"/>
            <w:tcBorders>
              <w:top w:val="nil"/>
              <w:left w:val="nil"/>
              <w:bottom w:val="double" w:sz="6" w:space="0" w:color="auto"/>
              <w:right w:val="single" w:sz="4" w:space="0" w:color="auto"/>
            </w:tcBorders>
            <w:shd w:val="clear" w:color="auto" w:fill="auto"/>
            <w:noWrap/>
            <w:vAlign w:val="center"/>
            <w:hideMark/>
          </w:tcPr>
          <w:p w14:paraId="319E33A2" w14:textId="77777777" w:rsidR="00E5194C" w:rsidRPr="00C6712A" w:rsidRDefault="00E5194C" w:rsidP="00E5194C">
            <w:pPr>
              <w:spacing w:after="0"/>
              <w:ind w:firstLine="0"/>
              <w:contextualSpacing/>
              <w:jc w:val="right"/>
              <w:rPr>
                <w:color w:val="000000"/>
                <w:sz w:val="20"/>
              </w:rPr>
            </w:pPr>
            <w:r w:rsidRPr="00C6712A">
              <w:rPr>
                <w:color w:val="000000"/>
                <w:sz w:val="20"/>
              </w:rPr>
              <w:t>100.0%</w:t>
            </w:r>
          </w:p>
        </w:tc>
        <w:tc>
          <w:tcPr>
            <w:tcW w:w="833" w:type="dxa"/>
            <w:tcBorders>
              <w:top w:val="nil"/>
              <w:left w:val="nil"/>
              <w:bottom w:val="double" w:sz="6" w:space="0" w:color="auto"/>
              <w:right w:val="single" w:sz="4" w:space="0" w:color="auto"/>
            </w:tcBorders>
            <w:shd w:val="clear" w:color="auto" w:fill="auto"/>
            <w:noWrap/>
            <w:vAlign w:val="center"/>
            <w:hideMark/>
          </w:tcPr>
          <w:p w14:paraId="1D2FAA04" w14:textId="77777777" w:rsidR="00E5194C" w:rsidRPr="00C6712A" w:rsidRDefault="00E5194C" w:rsidP="00E5194C">
            <w:pPr>
              <w:spacing w:after="0"/>
              <w:ind w:firstLine="0"/>
              <w:contextualSpacing/>
              <w:jc w:val="right"/>
              <w:rPr>
                <w:color w:val="000000"/>
                <w:sz w:val="20"/>
              </w:rPr>
            </w:pPr>
            <w:r w:rsidRPr="00C6712A">
              <w:rPr>
                <w:color w:val="000000"/>
                <w:sz w:val="20"/>
              </w:rPr>
              <w:t>100.0%</w:t>
            </w:r>
          </w:p>
        </w:tc>
        <w:tc>
          <w:tcPr>
            <w:tcW w:w="833" w:type="dxa"/>
            <w:tcBorders>
              <w:top w:val="nil"/>
              <w:left w:val="nil"/>
              <w:bottom w:val="double" w:sz="6" w:space="0" w:color="auto"/>
              <w:right w:val="double" w:sz="6" w:space="0" w:color="auto"/>
            </w:tcBorders>
            <w:shd w:val="clear" w:color="auto" w:fill="auto"/>
            <w:noWrap/>
            <w:vAlign w:val="center"/>
            <w:hideMark/>
          </w:tcPr>
          <w:p w14:paraId="489A1EF7" w14:textId="77777777" w:rsidR="00E5194C" w:rsidRPr="00C6712A" w:rsidRDefault="00E5194C" w:rsidP="00E5194C">
            <w:pPr>
              <w:spacing w:after="0"/>
              <w:ind w:firstLine="0"/>
              <w:contextualSpacing/>
              <w:jc w:val="right"/>
              <w:rPr>
                <w:color w:val="000000"/>
                <w:sz w:val="20"/>
              </w:rPr>
            </w:pPr>
            <w:r w:rsidRPr="00C6712A">
              <w:rPr>
                <w:color w:val="000000"/>
                <w:sz w:val="20"/>
              </w:rPr>
              <w:t>100.0%</w:t>
            </w:r>
          </w:p>
        </w:tc>
      </w:tr>
      <w:tr w:rsidR="00E5194C" w:rsidRPr="00C6712A" w14:paraId="4D346812" w14:textId="77777777" w:rsidTr="00453931">
        <w:trPr>
          <w:cantSplit/>
          <w:trHeight w:val="20"/>
          <w:jc w:val="center"/>
        </w:trPr>
        <w:tc>
          <w:tcPr>
            <w:tcW w:w="682" w:type="dxa"/>
            <w:vMerge w:val="restart"/>
            <w:tcBorders>
              <w:top w:val="nil"/>
              <w:left w:val="double" w:sz="6" w:space="0" w:color="auto"/>
              <w:bottom w:val="double" w:sz="6" w:space="0" w:color="000000"/>
              <w:right w:val="double" w:sz="6" w:space="0" w:color="auto"/>
            </w:tcBorders>
            <w:shd w:val="clear" w:color="auto" w:fill="auto"/>
            <w:textDirection w:val="btLr"/>
            <w:vAlign w:val="center"/>
            <w:hideMark/>
          </w:tcPr>
          <w:p w14:paraId="0C3E8059" w14:textId="77777777" w:rsidR="00E5194C" w:rsidRPr="00C6712A" w:rsidRDefault="00E5194C" w:rsidP="00E5194C">
            <w:pPr>
              <w:spacing w:after="0"/>
              <w:ind w:firstLine="0"/>
              <w:contextualSpacing/>
              <w:jc w:val="center"/>
              <w:rPr>
                <w:b/>
                <w:bCs/>
                <w:color w:val="000000"/>
                <w:sz w:val="20"/>
              </w:rPr>
            </w:pPr>
            <w:r w:rsidRPr="00C6712A">
              <w:rPr>
                <w:b/>
                <w:bCs/>
                <w:color w:val="000000"/>
                <w:sz w:val="20"/>
              </w:rPr>
              <w:t>Column-wise</w:t>
            </w:r>
            <w:r w:rsidRPr="00C6712A">
              <w:rPr>
                <w:b/>
                <w:bCs/>
                <w:color w:val="000000"/>
                <w:sz w:val="20"/>
              </w:rPr>
              <w:br/>
              <w:t>percentages</w:t>
            </w:r>
          </w:p>
        </w:tc>
        <w:tc>
          <w:tcPr>
            <w:tcW w:w="2288" w:type="dxa"/>
            <w:tcBorders>
              <w:top w:val="nil"/>
              <w:left w:val="nil"/>
              <w:bottom w:val="single" w:sz="4" w:space="0" w:color="auto"/>
              <w:right w:val="double" w:sz="6" w:space="0" w:color="auto"/>
            </w:tcBorders>
            <w:shd w:val="clear" w:color="auto" w:fill="auto"/>
            <w:vAlign w:val="center"/>
            <w:hideMark/>
          </w:tcPr>
          <w:p w14:paraId="54CE81A4" w14:textId="77777777" w:rsidR="00E5194C" w:rsidRPr="00C6712A" w:rsidRDefault="00E5194C" w:rsidP="00E5194C">
            <w:pPr>
              <w:spacing w:after="0"/>
              <w:ind w:firstLine="0"/>
              <w:contextualSpacing/>
              <w:rPr>
                <w:color w:val="000000"/>
                <w:sz w:val="20"/>
              </w:rPr>
            </w:pPr>
            <w:r w:rsidRPr="00C6712A">
              <w:rPr>
                <w:color w:val="000000"/>
                <w:sz w:val="20"/>
              </w:rPr>
              <w:t>Never</w:t>
            </w:r>
          </w:p>
        </w:tc>
        <w:tc>
          <w:tcPr>
            <w:tcW w:w="833" w:type="dxa"/>
            <w:tcBorders>
              <w:top w:val="nil"/>
              <w:left w:val="nil"/>
              <w:bottom w:val="single" w:sz="4" w:space="0" w:color="auto"/>
              <w:right w:val="single" w:sz="4" w:space="0" w:color="auto"/>
            </w:tcBorders>
            <w:shd w:val="clear" w:color="auto" w:fill="auto"/>
            <w:noWrap/>
            <w:vAlign w:val="center"/>
            <w:hideMark/>
          </w:tcPr>
          <w:p w14:paraId="115049F9" w14:textId="77777777" w:rsidR="00E5194C" w:rsidRPr="00C6712A" w:rsidRDefault="00E5194C" w:rsidP="00E5194C">
            <w:pPr>
              <w:spacing w:after="0"/>
              <w:ind w:firstLine="0"/>
              <w:contextualSpacing/>
              <w:jc w:val="right"/>
              <w:rPr>
                <w:color w:val="000000"/>
                <w:sz w:val="20"/>
              </w:rPr>
            </w:pPr>
            <w:r w:rsidRPr="00C6712A">
              <w:rPr>
                <w:color w:val="000000"/>
                <w:sz w:val="20"/>
              </w:rPr>
              <w:t>66.7%</w:t>
            </w:r>
          </w:p>
        </w:tc>
        <w:tc>
          <w:tcPr>
            <w:tcW w:w="833" w:type="dxa"/>
            <w:tcBorders>
              <w:top w:val="nil"/>
              <w:left w:val="nil"/>
              <w:bottom w:val="single" w:sz="4" w:space="0" w:color="auto"/>
              <w:right w:val="single" w:sz="4" w:space="0" w:color="auto"/>
            </w:tcBorders>
            <w:shd w:val="clear" w:color="auto" w:fill="auto"/>
            <w:noWrap/>
            <w:vAlign w:val="center"/>
            <w:hideMark/>
          </w:tcPr>
          <w:p w14:paraId="50327D51" w14:textId="77777777" w:rsidR="00E5194C" w:rsidRPr="00C6712A" w:rsidRDefault="00E5194C" w:rsidP="00E5194C">
            <w:pPr>
              <w:spacing w:after="0"/>
              <w:ind w:firstLine="0"/>
              <w:contextualSpacing/>
              <w:jc w:val="right"/>
              <w:rPr>
                <w:color w:val="000000"/>
                <w:sz w:val="20"/>
              </w:rPr>
            </w:pPr>
            <w:r w:rsidRPr="00C6712A">
              <w:rPr>
                <w:color w:val="000000"/>
                <w:sz w:val="20"/>
              </w:rPr>
              <w:t>33.3%</w:t>
            </w:r>
          </w:p>
        </w:tc>
        <w:tc>
          <w:tcPr>
            <w:tcW w:w="833" w:type="dxa"/>
            <w:tcBorders>
              <w:top w:val="nil"/>
              <w:left w:val="nil"/>
              <w:bottom w:val="single" w:sz="4" w:space="0" w:color="auto"/>
              <w:right w:val="double" w:sz="6" w:space="0" w:color="auto"/>
            </w:tcBorders>
            <w:shd w:val="clear" w:color="auto" w:fill="auto"/>
            <w:noWrap/>
            <w:vAlign w:val="center"/>
            <w:hideMark/>
          </w:tcPr>
          <w:p w14:paraId="3BFE7E8B" w14:textId="77777777" w:rsidR="00E5194C" w:rsidRPr="00C6712A" w:rsidRDefault="00E5194C" w:rsidP="00E5194C">
            <w:pPr>
              <w:spacing w:after="0"/>
              <w:ind w:firstLine="0"/>
              <w:contextualSpacing/>
              <w:jc w:val="right"/>
              <w:rPr>
                <w:color w:val="000000"/>
                <w:sz w:val="20"/>
              </w:rPr>
            </w:pPr>
            <w:r w:rsidRPr="00C6712A">
              <w:rPr>
                <w:color w:val="000000"/>
                <w:sz w:val="20"/>
              </w:rPr>
              <w:t>100.0%</w:t>
            </w:r>
          </w:p>
        </w:tc>
        <w:tc>
          <w:tcPr>
            <w:tcW w:w="833" w:type="dxa"/>
            <w:tcBorders>
              <w:top w:val="nil"/>
              <w:left w:val="nil"/>
              <w:bottom w:val="single" w:sz="4" w:space="0" w:color="auto"/>
              <w:right w:val="single" w:sz="4" w:space="0" w:color="auto"/>
            </w:tcBorders>
            <w:shd w:val="clear" w:color="auto" w:fill="auto"/>
            <w:noWrap/>
            <w:vAlign w:val="center"/>
            <w:hideMark/>
          </w:tcPr>
          <w:p w14:paraId="2D49667A" w14:textId="77777777" w:rsidR="00E5194C" w:rsidRPr="00C6712A" w:rsidRDefault="00E5194C" w:rsidP="00E5194C">
            <w:pPr>
              <w:spacing w:after="0"/>
              <w:ind w:firstLine="0"/>
              <w:contextualSpacing/>
              <w:jc w:val="right"/>
              <w:rPr>
                <w:color w:val="000000"/>
                <w:sz w:val="20"/>
              </w:rPr>
            </w:pPr>
            <w:r w:rsidRPr="00C6712A">
              <w:rPr>
                <w:color w:val="000000"/>
                <w:sz w:val="20"/>
              </w:rPr>
              <w:t>83.0%</w:t>
            </w:r>
          </w:p>
        </w:tc>
        <w:tc>
          <w:tcPr>
            <w:tcW w:w="833" w:type="dxa"/>
            <w:tcBorders>
              <w:top w:val="nil"/>
              <w:left w:val="nil"/>
              <w:bottom w:val="single" w:sz="4" w:space="0" w:color="auto"/>
              <w:right w:val="single" w:sz="4" w:space="0" w:color="auto"/>
            </w:tcBorders>
            <w:shd w:val="clear" w:color="auto" w:fill="auto"/>
            <w:noWrap/>
            <w:vAlign w:val="center"/>
            <w:hideMark/>
          </w:tcPr>
          <w:p w14:paraId="73ED10D6" w14:textId="77777777" w:rsidR="00E5194C" w:rsidRPr="00C6712A" w:rsidRDefault="00E5194C" w:rsidP="00E5194C">
            <w:pPr>
              <w:spacing w:after="0"/>
              <w:ind w:firstLine="0"/>
              <w:contextualSpacing/>
              <w:jc w:val="right"/>
              <w:rPr>
                <w:color w:val="000000"/>
                <w:sz w:val="20"/>
              </w:rPr>
            </w:pPr>
            <w:r w:rsidRPr="00C6712A">
              <w:rPr>
                <w:color w:val="000000"/>
                <w:sz w:val="20"/>
              </w:rPr>
              <w:t>17.0%</w:t>
            </w:r>
          </w:p>
        </w:tc>
        <w:tc>
          <w:tcPr>
            <w:tcW w:w="833" w:type="dxa"/>
            <w:tcBorders>
              <w:top w:val="nil"/>
              <w:left w:val="nil"/>
              <w:bottom w:val="single" w:sz="4" w:space="0" w:color="auto"/>
              <w:right w:val="double" w:sz="6" w:space="0" w:color="auto"/>
            </w:tcBorders>
            <w:shd w:val="clear" w:color="auto" w:fill="auto"/>
            <w:noWrap/>
            <w:vAlign w:val="center"/>
            <w:hideMark/>
          </w:tcPr>
          <w:p w14:paraId="68ABDC9F" w14:textId="77777777" w:rsidR="00E5194C" w:rsidRPr="00C6712A" w:rsidRDefault="00E5194C" w:rsidP="00E5194C">
            <w:pPr>
              <w:spacing w:after="0"/>
              <w:ind w:firstLine="0"/>
              <w:contextualSpacing/>
              <w:jc w:val="right"/>
              <w:rPr>
                <w:color w:val="000000"/>
                <w:sz w:val="20"/>
              </w:rPr>
            </w:pPr>
            <w:r w:rsidRPr="00C6712A">
              <w:rPr>
                <w:color w:val="000000"/>
                <w:sz w:val="20"/>
              </w:rPr>
              <w:t>100.0%</w:t>
            </w:r>
          </w:p>
        </w:tc>
        <w:tc>
          <w:tcPr>
            <w:tcW w:w="833" w:type="dxa"/>
            <w:tcBorders>
              <w:top w:val="nil"/>
              <w:left w:val="nil"/>
              <w:bottom w:val="single" w:sz="4" w:space="0" w:color="auto"/>
              <w:right w:val="single" w:sz="4" w:space="0" w:color="auto"/>
            </w:tcBorders>
            <w:shd w:val="clear" w:color="auto" w:fill="auto"/>
            <w:noWrap/>
            <w:vAlign w:val="center"/>
            <w:hideMark/>
          </w:tcPr>
          <w:p w14:paraId="243BBBC5" w14:textId="77777777" w:rsidR="00E5194C" w:rsidRPr="00C6712A" w:rsidRDefault="00E5194C" w:rsidP="00E5194C">
            <w:pPr>
              <w:spacing w:after="0"/>
              <w:ind w:firstLine="0"/>
              <w:contextualSpacing/>
              <w:jc w:val="right"/>
              <w:rPr>
                <w:color w:val="000000"/>
                <w:sz w:val="20"/>
              </w:rPr>
            </w:pPr>
            <w:r w:rsidRPr="00C6712A">
              <w:rPr>
                <w:color w:val="000000"/>
                <w:sz w:val="20"/>
              </w:rPr>
              <w:t>73.6%</w:t>
            </w:r>
          </w:p>
        </w:tc>
        <w:tc>
          <w:tcPr>
            <w:tcW w:w="833" w:type="dxa"/>
            <w:tcBorders>
              <w:top w:val="nil"/>
              <w:left w:val="nil"/>
              <w:bottom w:val="single" w:sz="4" w:space="0" w:color="auto"/>
              <w:right w:val="single" w:sz="4" w:space="0" w:color="auto"/>
            </w:tcBorders>
            <w:shd w:val="clear" w:color="auto" w:fill="auto"/>
            <w:noWrap/>
            <w:vAlign w:val="center"/>
            <w:hideMark/>
          </w:tcPr>
          <w:p w14:paraId="229F3FA6" w14:textId="77777777" w:rsidR="00E5194C" w:rsidRPr="00C6712A" w:rsidRDefault="00E5194C" w:rsidP="00E5194C">
            <w:pPr>
              <w:spacing w:after="0"/>
              <w:ind w:firstLine="0"/>
              <w:contextualSpacing/>
              <w:jc w:val="right"/>
              <w:rPr>
                <w:color w:val="000000"/>
                <w:sz w:val="20"/>
              </w:rPr>
            </w:pPr>
            <w:r w:rsidRPr="00C6712A">
              <w:rPr>
                <w:color w:val="000000"/>
                <w:sz w:val="20"/>
              </w:rPr>
              <w:t>26.4%</w:t>
            </w:r>
          </w:p>
        </w:tc>
        <w:tc>
          <w:tcPr>
            <w:tcW w:w="833" w:type="dxa"/>
            <w:tcBorders>
              <w:top w:val="nil"/>
              <w:left w:val="nil"/>
              <w:bottom w:val="single" w:sz="4" w:space="0" w:color="auto"/>
              <w:right w:val="double" w:sz="6" w:space="0" w:color="auto"/>
            </w:tcBorders>
            <w:shd w:val="clear" w:color="auto" w:fill="auto"/>
            <w:noWrap/>
            <w:vAlign w:val="center"/>
            <w:hideMark/>
          </w:tcPr>
          <w:p w14:paraId="525976EE" w14:textId="77777777" w:rsidR="00E5194C" w:rsidRPr="00C6712A" w:rsidRDefault="00E5194C" w:rsidP="00E5194C">
            <w:pPr>
              <w:spacing w:after="0"/>
              <w:ind w:firstLine="0"/>
              <w:contextualSpacing/>
              <w:jc w:val="right"/>
              <w:rPr>
                <w:color w:val="000000"/>
                <w:sz w:val="20"/>
              </w:rPr>
            </w:pPr>
            <w:r w:rsidRPr="00C6712A">
              <w:rPr>
                <w:color w:val="000000"/>
                <w:sz w:val="20"/>
              </w:rPr>
              <w:t>100.0%</w:t>
            </w:r>
          </w:p>
        </w:tc>
      </w:tr>
      <w:tr w:rsidR="00E5194C" w:rsidRPr="00C6712A" w14:paraId="20AD88ED" w14:textId="77777777" w:rsidTr="00453931">
        <w:trPr>
          <w:cantSplit/>
          <w:trHeight w:val="20"/>
          <w:jc w:val="center"/>
        </w:trPr>
        <w:tc>
          <w:tcPr>
            <w:tcW w:w="682" w:type="dxa"/>
            <w:vMerge/>
            <w:tcBorders>
              <w:top w:val="nil"/>
              <w:left w:val="double" w:sz="6" w:space="0" w:color="auto"/>
              <w:bottom w:val="double" w:sz="6" w:space="0" w:color="000000"/>
              <w:right w:val="double" w:sz="6" w:space="0" w:color="auto"/>
            </w:tcBorders>
            <w:vAlign w:val="center"/>
            <w:hideMark/>
          </w:tcPr>
          <w:p w14:paraId="6E894BAF" w14:textId="77777777" w:rsidR="00E5194C" w:rsidRPr="00C6712A" w:rsidRDefault="00E5194C" w:rsidP="00E5194C">
            <w:pPr>
              <w:spacing w:after="0"/>
              <w:ind w:firstLine="0"/>
              <w:contextualSpacing/>
              <w:rPr>
                <w:b/>
                <w:bCs/>
                <w:color w:val="000000"/>
                <w:sz w:val="20"/>
              </w:rPr>
            </w:pPr>
          </w:p>
        </w:tc>
        <w:tc>
          <w:tcPr>
            <w:tcW w:w="2288" w:type="dxa"/>
            <w:tcBorders>
              <w:top w:val="nil"/>
              <w:left w:val="nil"/>
              <w:bottom w:val="single" w:sz="4" w:space="0" w:color="auto"/>
              <w:right w:val="double" w:sz="6" w:space="0" w:color="auto"/>
            </w:tcBorders>
            <w:shd w:val="clear" w:color="auto" w:fill="auto"/>
            <w:vAlign w:val="center"/>
            <w:hideMark/>
          </w:tcPr>
          <w:p w14:paraId="24296DEA" w14:textId="77777777" w:rsidR="00E5194C" w:rsidRPr="00C6712A" w:rsidRDefault="00E5194C" w:rsidP="00E5194C">
            <w:pPr>
              <w:spacing w:after="0"/>
              <w:ind w:firstLine="0"/>
              <w:contextualSpacing/>
              <w:rPr>
                <w:color w:val="000000"/>
                <w:sz w:val="20"/>
              </w:rPr>
            </w:pPr>
            <w:r w:rsidRPr="00C6712A">
              <w:rPr>
                <w:color w:val="000000"/>
                <w:sz w:val="20"/>
              </w:rPr>
              <w:t>Less than 1 day per month</w:t>
            </w:r>
          </w:p>
        </w:tc>
        <w:tc>
          <w:tcPr>
            <w:tcW w:w="833" w:type="dxa"/>
            <w:tcBorders>
              <w:top w:val="nil"/>
              <w:left w:val="nil"/>
              <w:bottom w:val="single" w:sz="4" w:space="0" w:color="auto"/>
              <w:right w:val="single" w:sz="4" w:space="0" w:color="auto"/>
            </w:tcBorders>
            <w:shd w:val="clear" w:color="auto" w:fill="auto"/>
            <w:noWrap/>
            <w:vAlign w:val="center"/>
            <w:hideMark/>
          </w:tcPr>
          <w:p w14:paraId="646A6EDD" w14:textId="77777777" w:rsidR="00E5194C" w:rsidRPr="00C6712A" w:rsidRDefault="00E5194C" w:rsidP="00E5194C">
            <w:pPr>
              <w:spacing w:after="0"/>
              <w:ind w:firstLine="0"/>
              <w:contextualSpacing/>
              <w:jc w:val="right"/>
              <w:rPr>
                <w:color w:val="000000"/>
                <w:sz w:val="20"/>
              </w:rPr>
            </w:pPr>
            <w:r w:rsidRPr="00C6712A">
              <w:rPr>
                <w:color w:val="000000"/>
                <w:sz w:val="20"/>
              </w:rPr>
              <w:t>96.6%</w:t>
            </w:r>
          </w:p>
        </w:tc>
        <w:tc>
          <w:tcPr>
            <w:tcW w:w="833" w:type="dxa"/>
            <w:tcBorders>
              <w:top w:val="nil"/>
              <w:left w:val="nil"/>
              <w:bottom w:val="single" w:sz="4" w:space="0" w:color="auto"/>
              <w:right w:val="single" w:sz="4" w:space="0" w:color="auto"/>
            </w:tcBorders>
            <w:shd w:val="clear" w:color="auto" w:fill="auto"/>
            <w:noWrap/>
            <w:vAlign w:val="center"/>
            <w:hideMark/>
          </w:tcPr>
          <w:p w14:paraId="622C11B7" w14:textId="77777777" w:rsidR="00E5194C" w:rsidRPr="00C6712A" w:rsidRDefault="00E5194C" w:rsidP="00E5194C">
            <w:pPr>
              <w:spacing w:after="0"/>
              <w:ind w:firstLine="0"/>
              <w:contextualSpacing/>
              <w:jc w:val="right"/>
              <w:rPr>
                <w:color w:val="000000"/>
                <w:sz w:val="20"/>
              </w:rPr>
            </w:pPr>
            <w:r w:rsidRPr="00C6712A">
              <w:rPr>
                <w:color w:val="000000"/>
                <w:sz w:val="20"/>
              </w:rPr>
              <w:t>3.4%</w:t>
            </w:r>
          </w:p>
        </w:tc>
        <w:tc>
          <w:tcPr>
            <w:tcW w:w="833" w:type="dxa"/>
            <w:tcBorders>
              <w:top w:val="nil"/>
              <w:left w:val="nil"/>
              <w:bottom w:val="single" w:sz="4" w:space="0" w:color="auto"/>
              <w:right w:val="double" w:sz="6" w:space="0" w:color="auto"/>
            </w:tcBorders>
            <w:shd w:val="clear" w:color="auto" w:fill="auto"/>
            <w:noWrap/>
            <w:vAlign w:val="center"/>
            <w:hideMark/>
          </w:tcPr>
          <w:p w14:paraId="4FB075DE" w14:textId="77777777" w:rsidR="00E5194C" w:rsidRPr="00C6712A" w:rsidRDefault="00E5194C" w:rsidP="00E5194C">
            <w:pPr>
              <w:spacing w:after="0"/>
              <w:ind w:firstLine="0"/>
              <w:contextualSpacing/>
              <w:jc w:val="right"/>
              <w:rPr>
                <w:color w:val="000000"/>
                <w:sz w:val="20"/>
              </w:rPr>
            </w:pPr>
            <w:r w:rsidRPr="00C6712A">
              <w:rPr>
                <w:color w:val="000000"/>
                <w:sz w:val="20"/>
              </w:rPr>
              <w:t>100.0%</w:t>
            </w:r>
          </w:p>
        </w:tc>
        <w:tc>
          <w:tcPr>
            <w:tcW w:w="833" w:type="dxa"/>
            <w:tcBorders>
              <w:top w:val="nil"/>
              <w:left w:val="nil"/>
              <w:bottom w:val="single" w:sz="4" w:space="0" w:color="auto"/>
              <w:right w:val="single" w:sz="4" w:space="0" w:color="auto"/>
            </w:tcBorders>
            <w:shd w:val="clear" w:color="auto" w:fill="auto"/>
            <w:noWrap/>
            <w:vAlign w:val="center"/>
            <w:hideMark/>
          </w:tcPr>
          <w:p w14:paraId="3FA69E10" w14:textId="77777777" w:rsidR="00E5194C" w:rsidRPr="00C6712A" w:rsidRDefault="00E5194C" w:rsidP="00E5194C">
            <w:pPr>
              <w:spacing w:after="0"/>
              <w:ind w:firstLine="0"/>
              <w:contextualSpacing/>
              <w:jc w:val="right"/>
              <w:rPr>
                <w:color w:val="000000"/>
                <w:sz w:val="20"/>
              </w:rPr>
            </w:pPr>
            <w:r w:rsidRPr="00C6712A">
              <w:rPr>
                <w:color w:val="000000"/>
                <w:sz w:val="20"/>
              </w:rPr>
              <w:t>97.6%</w:t>
            </w:r>
          </w:p>
        </w:tc>
        <w:tc>
          <w:tcPr>
            <w:tcW w:w="833" w:type="dxa"/>
            <w:tcBorders>
              <w:top w:val="nil"/>
              <w:left w:val="nil"/>
              <w:bottom w:val="single" w:sz="4" w:space="0" w:color="auto"/>
              <w:right w:val="single" w:sz="4" w:space="0" w:color="auto"/>
            </w:tcBorders>
            <w:shd w:val="clear" w:color="auto" w:fill="auto"/>
            <w:noWrap/>
            <w:vAlign w:val="center"/>
            <w:hideMark/>
          </w:tcPr>
          <w:p w14:paraId="760AB289" w14:textId="77777777" w:rsidR="00E5194C" w:rsidRPr="00C6712A" w:rsidRDefault="00E5194C" w:rsidP="00E5194C">
            <w:pPr>
              <w:spacing w:after="0"/>
              <w:ind w:firstLine="0"/>
              <w:contextualSpacing/>
              <w:jc w:val="right"/>
              <w:rPr>
                <w:color w:val="000000"/>
                <w:sz w:val="20"/>
              </w:rPr>
            </w:pPr>
            <w:r w:rsidRPr="00C6712A">
              <w:rPr>
                <w:color w:val="000000"/>
                <w:sz w:val="20"/>
              </w:rPr>
              <w:t>2.4%</w:t>
            </w:r>
          </w:p>
        </w:tc>
        <w:tc>
          <w:tcPr>
            <w:tcW w:w="833" w:type="dxa"/>
            <w:tcBorders>
              <w:top w:val="nil"/>
              <w:left w:val="nil"/>
              <w:bottom w:val="single" w:sz="4" w:space="0" w:color="auto"/>
              <w:right w:val="double" w:sz="6" w:space="0" w:color="auto"/>
            </w:tcBorders>
            <w:shd w:val="clear" w:color="auto" w:fill="auto"/>
            <w:noWrap/>
            <w:vAlign w:val="center"/>
            <w:hideMark/>
          </w:tcPr>
          <w:p w14:paraId="13703319" w14:textId="77777777" w:rsidR="00E5194C" w:rsidRPr="00C6712A" w:rsidRDefault="00E5194C" w:rsidP="00E5194C">
            <w:pPr>
              <w:spacing w:after="0"/>
              <w:ind w:firstLine="0"/>
              <w:contextualSpacing/>
              <w:jc w:val="right"/>
              <w:rPr>
                <w:color w:val="000000"/>
                <w:sz w:val="20"/>
              </w:rPr>
            </w:pPr>
            <w:r w:rsidRPr="00C6712A">
              <w:rPr>
                <w:color w:val="000000"/>
                <w:sz w:val="20"/>
              </w:rPr>
              <w:t>100.0%</w:t>
            </w:r>
          </w:p>
        </w:tc>
        <w:tc>
          <w:tcPr>
            <w:tcW w:w="833" w:type="dxa"/>
            <w:tcBorders>
              <w:top w:val="nil"/>
              <w:left w:val="nil"/>
              <w:bottom w:val="single" w:sz="4" w:space="0" w:color="auto"/>
              <w:right w:val="single" w:sz="4" w:space="0" w:color="auto"/>
            </w:tcBorders>
            <w:shd w:val="clear" w:color="auto" w:fill="auto"/>
            <w:noWrap/>
            <w:vAlign w:val="center"/>
            <w:hideMark/>
          </w:tcPr>
          <w:p w14:paraId="52650D57" w14:textId="77777777" w:rsidR="00E5194C" w:rsidRPr="00C6712A" w:rsidRDefault="00E5194C" w:rsidP="00E5194C">
            <w:pPr>
              <w:spacing w:after="0"/>
              <w:ind w:firstLine="0"/>
              <w:contextualSpacing/>
              <w:jc w:val="right"/>
              <w:rPr>
                <w:color w:val="000000"/>
                <w:sz w:val="20"/>
              </w:rPr>
            </w:pPr>
            <w:r w:rsidRPr="00C6712A">
              <w:rPr>
                <w:color w:val="000000"/>
                <w:sz w:val="20"/>
              </w:rPr>
              <w:t>97.4%</w:t>
            </w:r>
          </w:p>
        </w:tc>
        <w:tc>
          <w:tcPr>
            <w:tcW w:w="833" w:type="dxa"/>
            <w:tcBorders>
              <w:top w:val="nil"/>
              <w:left w:val="nil"/>
              <w:bottom w:val="single" w:sz="4" w:space="0" w:color="auto"/>
              <w:right w:val="single" w:sz="4" w:space="0" w:color="auto"/>
            </w:tcBorders>
            <w:shd w:val="clear" w:color="auto" w:fill="auto"/>
            <w:noWrap/>
            <w:vAlign w:val="center"/>
            <w:hideMark/>
          </w:tcPr>
          <w:p w14:paraId="09BD927C" w14:textId="77777777" w:rsidR="00E5194C" w:rsidRPr="00C6712A" w:rsidRDefault="00E5194C" w:rsidP="00E5194C">
            <w:pPr>
              <w:spacing w:after="0"/>
              <w:ind w:firstLine="0"/>
              <w:contextualSpacing/>
              <w:jc w:val="right"/>
              <w:rPr>
                <w:color w:val="000000"/>
                <w:sz w:val="20"/>
              </w:rPr>
            </w:pPr>
            <w:r w:rsidRPr="00C6712A">
              <w:rPr>
                <w:color w:val="000000"/>
                <w:sz w:val="20"/>
              </w:rPr>
              <w:t>2.6%</w:t>
            </w:r>
          </w:p>
        </w:tc>
        <w:tc>
          <w:tcPr>
            <w:tcW w:w="833" w:type="dxa"/>
            <w:tcBorders>
              <w:top w:val="nil"/>
              <w:left w:val="nil"/>
              <w:bottom w:val="single" w:sz="4" w:space="0" w:color="auto"/>
              <w:right w:val="double" w:sz="6" w:space="0" w:color="auto"/>
            </w:tcBorders>
            <w:shd w:val="clear" w:color="auto" w:fill="auto"/>
            <w:noWrap/>
            <w:vAlign w:val="center"/>
            <w:hideMark/>
          </w:tcPr>
          <w:p w14:paraId="48A94449" w14:textId="77777777" w:rsidR="00E5194C" w:rsidRPr="00C6712A" w:rsidRDefault="00E5194C" w:rsidP="00E5194C">
            <w:pPr>
              <w:spacing w:after="0"/>
              <w:ind w:firstLine="0"/>
              <w:contextualSpacing/>
              <w:jc w:val="right"/>
              <w:rPr>
                <w:color w:val="000000"/>
                <w:sz w:val="20"/>
              </w:rPr>
            </w:pPr>
            <w:r w:rsidRPr="00C6712A">
              <w:rPr>
                <w:color w:val="000000"/>
                <w:sz w:val="20"/>
              </w:rPr>
              <w:t>100.0%</w:t>
            </w:r>
          </w:p>
        </w:tc>
      </w:tr>
      <w:tr w:rsidR="00E5194C" w:rsidRPr="00C6712A" w14:paraId="01886953" w14:textId="77777777" w:rsidTr="00453931">
        <w:trPr>
          <w:cantSplit/>
          <w:trHeight w:val="20"/>
          <w:jc w:val="center"/>
        </w:trPr>
        <w:tc>
          <w:tcPr>
            <w:tcW w:w="682" w:type="dxa"/>
            <w:vMerge/>
            <w:tcBorders>
              <w:top w:val="nil"/>
              <w:left w:val="double" w:sz="6" w:space="0" w:color="auto"/>
              <w:bottom w:val="double" w:sz="6" w:space="0" w:color="000000"/>
              <w:right w:val="double" w:sz="6" w:space="0" w:color="auto"/>
            </w:tcBorders>
            <w:vAlign w:val="center"/>
            <w:hideMark/>
          </w:tcPr>
          <w:p w14:paraId="3C6AAEDC" w14:textId="77777777" w:rsidR="00E5194C" w:rsidRPr="00C6712A" w:rsidRDefault="00E5194C" w:rsidP="00E5194C">
            <w:pPr>
              <w:spacing w:after="0"/>
              <w:ind w:firstLine="0"/>
              <w:contextualSpacing/>
              <w:rPr>
                <w:b/>
                <w:bCs/>
                <w:color w:val="000000"/>
                <w:sz w:val="20"/>
              </w:rPr>
            </w:pPr>
          </w:p>
        </w:tc>
        <w:tc>
          <w:tcPr>
            <w:tcW w:w="2288" w:type="dxa"/>
            <w:tcBorders>
              <w:top w:val="nil"/>
              <w:left w:val="nil"/>
              <w:bottom w:val="single" w:sz="4" w:space="0" w:color="auto"/>
              <w:right w:val="double" w:sz="6" w:space="0" w:color="auto"/>
            </w:tcBorders>
            <w:shd w:val="clear" w:color="auto" w:fill="auto"/>
            <w:vAlign w:val="center"/>
            <w:hideMark/>
          </w:tcPr>
          <w:p w14:paraId="63C301B1" w14:textId="77777777" w:rsidR="00E5194C" w:rsidRPr="00C6712A" w:rsidRDefault="00E5194C" w:rsidP="00E5194C">
            <w:pPr>
              <w:spacing w:after="0"/>
              <w:ind w:firstLine="0"/>
              <w:contextualSpacing/>
              <w:rPr>
                <w:color w:val="000000"/>
                <w:sz w:val="20"/>
              </w:rPr>
            </w:pPr>
            <w:r w:rsidRPr="00C6712A">
              <w:rPr>
                <w:color w:val="000000"/>
                <w:sz w:val="20"/>
              </w:rPr>
              <w:t>1-3 times per month</w:t>
            </w:r>
          </w:p>
        </w:tc>
        <w:tc>
          <w:tcPr>
            <w:tcW w:w="833" w:type="dxa"/>
            <w:tcBorders>
              <w:top w:val="nil"/>
              <w:left w:val="nil"/>
              <w:bottom w:val="single" w:sz="4" w:space="0" w:color="auto"/>
              <w:right w:val="single" w:sz="4" w:space="0" w:color="auto"/>
            </w:tcBorders>
            <w:shd w:val="clear" w:color="auto" w:fill="auto"/>
            <w:noWrap/>
            <w:vAlign w:val="center"/>
            <w:hideMark/>
          </w:tcPr>
          <w:p w14:paraId="4B24BFFD" w14:textId="77777777" w:rsidR="00E5194C" w:rsidRPr="00C6712A" w:rsidRDefault="00E5194C" w:rsidP="00E5194C">
            <w:pPr>
              <w:spacing w:after="0"/>
              <w:ind w:firstLine="0"/>
              <w:contextualSpacing/>
              <w:jc w:val="right"/>
              <w:rPr>
                <w:color w:val="000000"/>
                <w:sz w:val="20"/>
              </w:rPr>
            </w:pPr>
            <w:r w:rsidRPr="00C6712A">
              <w:rPr>
                <w:color w:val="000000"/>
                <w:sz w:val="20"/>
              </w:rPr>
              <w:t>97.8%</w:t>
            </w:r>
          </w:p>
        </w:tc>
        <w:tc>
          <w:tcPr>
            <w:tcW w:w="833" w:type="dxa"/>
            <w:tcBorders>
              <w:top w:val="nil"/>
              <w:left w:val="nil"/>
              <w:bottom w:val="single" w:sz="4" w:space="0" w:color="auto"/>
              <w:right w:val="single" w:sz="4" w:space="0" w:color="auto"/>
            </w:tcBorders>
            <w:shd w:val="clear" w:color="auto" w:fill="auto"/>
            <w:noWrap/>
            <w:vAlign w:val="center"/>
            <w:hideMark/>
          </w:tcPr>
          <w:p w14:paraId="5BE61AD6" w14:textId="77777777" w:rsidR="00E5194C" w:rsidRPr="00C6712A" w:rsidRDefault="00E5194C" w:rsidP="00E5194C">
            <w:pPr>
              <w:spacing w:after="0"/>
              <w:ind w:firstLine="0"/>
              <w:contextualSpacing/>
              <w:jc w:val="right"/>
              <w:rPr>
                <w:color w:val="000000"/>
                <w:sz w:val="20"/>
              </w:rPr>
            </w:pPr>
            <w:r w:rsidRPr="00C6712A">
              <w:rPr>
                <w:color w:val="000000"/>
                <w:sz w:val="20"/>
              </w:rPr>
              <w:t>2.2%</w:t>
            </w:r>
          </w:p>
        </w:tc>
        <w:tc>
          <w:tcPr>
            <w:tcW w:w="833" w:type="dxa"/>
            <w:tcBorders>
              <w:top w:val="nil"/>
              <w:left w:val="nil"/>
              <w:bottom w:val="single" w:sz="4" w:space="0" w:color="auto"/>
              <w:right w:val="double" w:sz="6" w:space="0" w:color="auto"/>
            </w:tcBorders>
            <w:shd w:val="clear" w:color="auto" w:fill="auto"/>
            <w:noWrap/>
            <w:vAlign w:val="center"/>
            <w:hideMark/>
          </w:tcPr>
          <w:p w14:paraId="25A059FD" w14:textId="77777777" w:rsidR="00E5194C" w:rsidRPr="00C6712A" w:rsidRDefault="00E5194C" w:rsidP="00E5194C">
            <w:pPr>
              <w:spacing w:after="0"/>
              <w:ind w:firstLine="0"/>
              <w:contextualSpacing/>
              <w:jc w:val="right"/>
              <w:rPr>
                <w:color w:val="000000"/>
                <w:sz w:val="20"/>
              </w:rPr>
            </w:pPr>
            <w:r w:rsidRPr="00C6712A">
              <w:rPr>
                <w:color w:val="000000"/>
                <w:sz w:val="20"/>
              </w:rPr>
              <w:t>100.0%</w:t>
            </w:r>
          </w:p>
        </w:tc>
        <w:tc>
          <w:tcPr>
            <w:tcW w:w="833" w:type="dxa"/>
            <w:tcBorders>
              <w:top w:val="nil"/>
              <w:left w:val="nil"/>
              <w:bottom w:val="single" w:sz="4" w:space="0" w:color="auto"/>
              <w:right w:val="single" w:sz="4" w:space="0" w:color="auto"/>
            </w:tcBorders>
            <w:shd w:val="clear" w:color="auto" w:fill="auto"/>
            <w:noWrap/>
            <w:vAlign w:val="center"/>
            <w:hideMark/>
          </w:tcPr>
          <w:p w14:paraId="13A8F503" w14:textId="77777777" w:rsidR="00E5194C" w:rsidRPr="00C6712A" w:rsidRDefault="00E5194C" w:rsidP="00E5194C">
            <w:pPr>
              <w:spacing w:after="0"/>
              <w:ind w:firstLine="0"/>
              <w:contextualSpacing/>
              <w:jc w:val="right"/>
              <w:rPr>
                <w:color w:val="000000"/>
                <w:sz w:val="20"/>
              </w:rPr>
            </w:pPr>
            <w:r w:rsidRPr="00C6712A">
              <w:rPr>
                <w:color w:val="000000"/>
                <w:sz w:val="20"/>
              </w:rPr>
              <w:t>98.3%</w:t>
            </w:r>
          </w:p>
        </w:tc>
        <w:tc>
          <w:tcPr>
            <w:tcW w:w="833" w:type="dxa"/>
            <w:tcBorders>
              <w:top w:val="nil"/>
              <w:left w:val="nil"/>
              <w:bottom w:val="single" w:sz="4" w:space="0" w:color="auto"/>
              <w:right w:val="single" w:sz="4" w:space="0" w:color="auto"/>
            </w:tcBorders>
            <w:shd w:val="clear" w:color="auto" w:fill="auto"/>
            <w:noWrap/>
            <w:vAlign w:val="center"/>
            <w:hideMark/>
          </w:tcPr>
          <w:p w14:paraId="53CC2D1C" w14:textId="77777777" w:rsidR="00E5194C" w:rsidRPr="00C6712A" w:rsidRDefault="00E5194C" w:rsidP="00E5194C">
            <w:pPr>
              <w:spacing w:after="0"/>
              <w:ind w:firstLine="0"/>
              <w:contextualSpacing/>
              <w:jc w:val="right"/>
              <w:rPr>
                <w:color w:val="000000"/>
                <w:sz w:val="20"/>
              </w:rPr>
            </w:pPr>
            <w:r w:rsidRPr="00C6712A">
              <w:rPr>
                <w:color w:val="000000"/>
                <w:sz w:val="20"/>
              </w:rPr>
              <w:t>1.7%</w:t>
            </w:r>
          </w:p>
        </w:tc>
        <w:tc>
          <w:tcPr>
            <w:tcW w:w="833" w:type="dxa"/>
            <w:tcBorders>
              <w:top w:val="nil"/>
              <w:left w:val="nil"/>
              <w:bottom w:val="single" w:sz="4" w:space="0" w:color="auto"/>
              <w:right w:val="double" w:sz="6" w:space="0" w:color="auto"/>
            </w:tcBorders>
            <w:shd w:val="clear" w:color="auto" w:fill="auto"/>
            <w:noWrap/>
            <w:vAlign w:val="center"/>
            <w:hideMark/>
          </w:tcPr>
          <w:p w14:paraId="5AEB6DC7" w14:textId="77777777" w:rsidR="00E5194C" w:rsidRPr="00C6712A" w:rsidRDefault="00E5194C" w:rsidP="00E5194C">
            <w:pPr>
              <w:spacing w:after="0"/>
              <w:ind w:firstLine="0"/>
              <w:contextualSpacing/>
              <w:jc w:val="right"/>
              <w:rPr>
                <w:color w:val="000000"/>
                <w:sz w:val="20"/>
              </w:rPr>
            </w:pPr>
            <w:r w:rsidRPr="00C6712A">
              <w:rPr>
                <w:color w:val="000000"/>
                <w:sz w:val="20"/>
              </w:rPr>
              <w:t>100.0%</w:t>
            </w:r>
          </w:p>
        </w:tc>
        <w:tc>
          <w:tcPr>
            <w:tcW w:w="833" w:type="dxa"/>
            <w:tcBorders>
              <w:top w:val="nil"/>
              <w:left w:val="nil"/>
              <w:bottom w:val="single" w:sz="4" w:space="0" w:color="auto"/>
              <w:right w:val="single" w:sz="4" w:space="0" w:color="auto"/>
            </w:tcBorders>
            <w:shd w:val="clear" w:color="auto" w:fill="auto"/>
            <w:noWrap/>
            <w:vAlign w:val="center"/>
            <w:hideMark/>
          </w:tcPr>
          <w:p w14:paraId="14DF46A2" w14:textId="77777777" w:rsidR="00E5194C" w:rsidRPr="00C6712A" w:rsidRDefault="00E5194C" w:rsidP="00E5194C">
            <w:pPr>
              <w:spacing w:after="0"/>
              <w:ind w:firstLine="0"/>
              <w:contextualSpacing/>
              <w:jc w:val="right"/>
              <w:rPr>
                <w:color w:val="000000"/>
                <w:sz w:val="20"/>
              </w:rPr>
            </w:pPr>
            <w:r w:rsidRPr="00C6712A">
              <w:rPr>
                <w:color w:val="000000"/>
                <w:sz w:val="20"/>
              </w:rPr>
              <w:t>98.2%</w:t>
            </w:r>
          </w:p>
        </w:tc>
        <w:tc>
          <w:tcPr>
            <w:tcW w:w="833" w:type="dxa"/>
            <w:tcBorders>
              <w:top w:val="nil"/>
              <w:left w:val="nil"/>
              <w:bottom w:val="single" w:sz="4" w:space="0" w:color="auto"/>
              <w:right w:val="single" w:sz="4" w:space="0" w:color="auto"/>
            </w:tcBorders>
            <w:shd w:val="clear" w:color="auto" w:fill="auto"/>
            <w:noWrap/>
            <w:vAlign w:val="center"/>
            <w:hideMark/>
          </w:tcPr>
          <w:p w14:paraId="54A57870" w14:textId="77777777" w:rsidR="00E5194C" w:rsidRPr="00C6712A" w:rsidRDefault="00E5194C" w:rsidP="00E5194C">
            <w:pPr>
              <w:spacing w:after="0"/>
              <w:ind w:firstLine="0"/>
              <w:contextualSpacing/>
              <w:jc w:val="right"/>
              <w:rPr>
                <w:color w:val="000000"/>
                <w:sz w:val="20"/>
              </w:rPr>
            </w:pPr>
            <w:r w:rsidRPr="00C6712A">
              <w:rPr>
                <w:color w:val="000000"/>
                <w:sz w:val="20"/>
              </w:rPr>
              <w:t>1.8%</w:t>
            </w:r>
          </w:p>
        </w:tc>
        <w:tc>
          <w:tcPr>
            <w:tcW w:w="833" w:type="dxa"/>
            <w:tcBorders>
              <w:top w:val="nil"/>
              <w:left w:val="nil"/>
              <w:bottom w:val="single" w:sz="4" w:space="0" w:color="auto"/>
              <w:right w:val="double" w:sz="6" w:space="0" w:color="auto"/>
            </w:tcBorders>
            <w:shd w:val="clear" w:color="auto" w:fill="auto"/>
            <w:noWrap/>
            <w:vAlign w:val="center"/>
            <w:hideMark/>
          </w:tcPr>
          <w:p w14:paraId="6B0A3461" w14:textId="77777777" w:rsidR="00E5194C" w:rsidRPr="00C6712A" w:rsidRDefault="00E5194C" w:rsidP="00E5194C">
            <w:pPr>
              <w:spacing w:after="0"/>
              <w:ind w:firstLine="0"/>
              <w:contextualSpacing/>
              <w:jc w:val="right"/>
              <w:rPr>
                <w:color w:val="000000"/>
                <w:sz w:val="20"/>
              </w:rPr>
            </w:pPr>
            <w:r w:rsidRPr="00C6712A">
              <w:rPr>
                <w:color w:val="000000"/>
                <w:sz w:val="20"/>
              </w:rPr>
              <w:t>100.0%</w:t>
            </w:r>
          </w:p>
        </w:tc>
      </w:tr>
      <w:tr w:rsidR="00E5194C" w:rsidRPr="00C6712A" w14:paraId="78362CF4" w14:textId="77777777" w:rsidTr="00453931">
        <w:trPr>
          <w:cantSplit/>
          <w:trHeight w:val="20"/>
          <w:jc w:val="center"/>
        </w:trPr>
        <w:tc>
          <w:tcPr>
            <w:tcW w:w="682" w:type="dxa"/>
            <w:vMerge/>
            <w:tcBorders>
              <w:top w:val="nil"/>
              <w:left w:val="double" w:sz="6" w:space="0" w:color="auto"/>
              <w:bottom w:val="double" w:sz="6" w:space="0" w:color="000000"/>
              <w:right w:val="double" w:sz="6" w:space="0" w:color="auto"/>
            </w:tcBorders>
            <w:vAlign w:val="center"/>
            <w:hideMark/>
          </w:tcPr>
          <w:p w14:paraId="693D40D5" w14:textId="77777777" w:rsidR="00E5194C" w:rsidRPr="00C6712A" w:rsidRDefault="00E5194C" w:rsidP="00E5194C">
            <w:pPr>
              <w:spacing w:after="0"/>
              <w:ind w:firstLine="0"/>
              <w:contextualSpacing/>
              <w:rPr>
                <w:b/>
                <w:bCs/>
                <w:color w:val="000000"/>
                <w:sz w:val="20"/>
              </w:rPr>
            </w:pPr>
          </w:p>
        </w:tc>
        <w:tc>
          <w:tcPr>
            <w:tcW w:w="2288" w:type="dxa"/>
            <w:tcBorders>
              <w:top w:val="nil"/>
              <w:left w:val="nil"/>
              <w:bottom w:val="single" w:sz="4" w:space="0" w:color="auto"/>
              <w:right w:val="double" w:sz="6" w:space="0" w:color="auto"/>
            </w:tcBorders>
            <w:shd w:val="clear" w:color="auto" w:fill="auto"/>
            <w:vAlign w:val="center"/>
            <w:hideMark/>
          </w:tcPr>
          <w:p w14:paraId="6DED279C" w14:textId="77777777" w:rsidR="00E5194C" w:rsidRPr="00C6712A" w:rsidRDefault="00E5194C" w:rsidP="00E5194C">
            <w:pPr>
              <w:spacing w:after="0"/>
              <w:ind w:firstLine="0"/>
              <w:contextualSpacing/>
              <w:rPr>
                <w:color w:val="000000"/>
                <w:sz w:val="20"/>
              </w:rPr>
            </w:pPr>
            <w:r w:rsidRPr="00C6712A">
              <w:rPr>
                <w:color w:val="000000"/>
                <w:sz w:val="20"/>
              </w:rPr>
              <w:t>1 day per week</w:t>
            </w:r>
          </w:p>
        </w:tc>
        <w:tc>
          <w:tcPr>
            <w:tcW w:w="833" w:type="dxa"/>
            <w:tcBorders>
              <w:top w:val="nil"/>
              <w:left w:val="nil"/>
              <w:bottom w:val="single" w:sz="4" w:space="0" w:color="auto"/>
              <w:right w:val="single" w:sz="4" w:space="0" w:color="auto"/>
            </w:tcBorders>
            <w:shd w:val="clear" w:color="auto" w:fill="auto"/>
            <w:noWrap/>
            <w:vAlign w:val="center"/>
            <w:hideMark/>
          </w:tcPr>
          <w:p w14:paraId="3E15771F" w14:textId="77777777" w:rsidR="00E5194C" w:rsidRPr="00C6712A" w:rsidRDefault="00E5194C" w:rsidP="00E5194C">
            <w:pPr>
              <w:spacing w:after="0"/>
              <w:ind w:firstLine="0"/>
              <w:contextualSpacing/>
              <w:jc w:val="right"/>
              <w:rPr>
                <w:color w:val="000000"/>
                <w:sz w:val="20"/>
              </w:rPr>
            </w:pPr>
            <w:r w:rsidRPr="00C6712A">
              <w:rPr>
                <w:color w:val="000000"/>
                <w:sz w:val="20"/>
              </w:rPr>
              <w:t>98.5%</w:t>
            </w:r>
          </w:p>
        </w:tc>
        <w:tc>
          <w:tcPr>
            <w:tcW w:w="833" w:type="dxa"/>
            <w:tcBorders>
              <w:top w:val="nil"/>
              <w:left w:val="nil"/>
              <w:bottom w:val="single" w:sz="4" w:space="0" w:color="auto"/>
              <w:right w:val="single" w:sz="4" w:space="0" w:color="auto"/>
            </w:tcBorders>
            <w:shd w:val="clear" w:color="auto" w:fill="auto"/>
            <w:noWrap/>
            <w:vAlign w:val="center"/>
            <w:hideMark/>
          </w:tcPr>
          <w:p w14:paraId="5887A605" w14:textId="77777777" w:rsidR="00E5194C" w:rsidRPr="00C6712A" w:rsidRDefault="00E5194C" w:rsidP="00E5194C">
            <w:pPr>
              <w:spacing w:after="0"/>
              <w:ind w:firstLine="0"/>
              <w:contextualSpacing/>
              <w:jc w:val="right"/>
              <w:rPr>
                <w:color w:val="000000"/>
                <w:sz w:val="20"/>
              </w:rPr>
            </w:pPr>
            <w:r w:rsidRPr="00C6712A">
              <w:rPr>
                <w:color w:val="000000"/>
                <w:sz w:val="20"/>
              </w:rPr>
              <w:t>1.5%</w:t>
            </w:r>
          </w:p>
        </w:tc>
        <w:tc>
          <w:tcPr>
            <w:tcW w:w="833" w:type="dxa"/>
            <w:tcBorders>
              <w:top w:val="nil"/>
              <w:left w:val="nil"/>
              <w:bottom w:val="single" w:sz="4" w:space="0" w:color="auto"/>
              <w:right w:val="double" w:sz="6" w:space="0" w:color="auto"/>
            </w:tcBorders>
            <w:shd w:val="clear" w:color="auto" w:fill="auto"/>
            <w:noWrap/>
            <w:vAlign w:val="center"/>
            <w:hideMark/>
          </w:tcPr>
          <w:p w14:paraId="66F8EBC6" w14:textId="77777777" w:rsidR="00E5194C" w:rsidRPr="00C6712A" w:rsidRDefault="00E5194C" w:rsidP="00E5194C">
            <w:pPr>
              <w:spacing w:after="0"/>
              <w:ind w:firstLine="0"/>
              <w:contextualSpacing/>
              <w:jc w:val="right"/>
              <w:rPr>
                <w:color w:val="000000"/>
                <w:sz w:val="20"/>
              </w:rPr>
            </w:pPr>
            <w:r w:rsidRPr="00C6712A">
              <w:rPr>
                <w:color w:val="000000"/>
                <w:sz w:val="20"/>
              </w:rPr>
              <w:t>100.0%</w:t>
            </w:r>
          </w:p>
        </w:tc>
        <w:tc>
          <w:tcPr>
            <w:tcW w:w="833" w:type="dxa"/>
            <w:tcBorders>
              <w:top w:val="nil"/>
              <w:left w:val="nil"/>
              <w:bottom w:val="single" w:sz="4" w:space="0" w:color="auto"/>
              <w:right w:val="single" w:sz="4" w:space="0" w:color="auto"/>
            </w:tcBorders>
            <w:shd w:val="clear" w:color="auto" w:fill="auto"/>
            <w:noWrap/>
            <w:vAlign w:val="center"/>
            <w:hideMark/>
          </w:tcPr>
          <w:p w14:paraId="767A0296" w14:textId="77777777" w:rsidR="00E5194C" w:rsidRPr="00C6712A" w:rsidRDefault="00E5194C" w:rsidP="00E5194C">
            <w:pPr>
              <w:spacing w:after="0"/>
              <w:ind w:firstLine="0"/>
              <w:contextualSpacing/>
              <w:jc w:val="right"/>
              <w:rPr>
                <w:color w:val="000000"/>
                <w:sz w:val="20"/>
              </w:rPr>
            </w:pPr>
            <w:r w:rsidRPr="00C6712A">
              <w:rPr>
                <w:color w:val="000000"/>
                <w:sz w:val="20"/>
              </w:rPr>
              <w:t>98.8%</w:t>
            </w:r>
          </w:p>
        </w:tc>
        <w:tc>
          <w:tcPr>
            <w:tcW w:w="833" w:type="dxa"/>
            <w:tcBorders>
              <w:top w:val="nil"/>
              <w:left w:val="nil"/>
              <w:bottom w:val="single" w:sz="4" w:space="0" w:color="auto"/>
              <w:right w:val="single" w:sz="4" w:space="0" w:color="auto"/>
            </w:tcBorders>
            <w:shd w:val="clear" w:color="auto" w:fill="auto"/>
            <w:noWrap/>
            <w:vAlign w:val="center"/>
            <w:hideMark/>
          </w:tcPr>
          <w:p w14:paraId="41C237C4" w14:textId="77777777" w:rsidR="00E5194C" w:rsidRPr="00C6712A" w:rsidRDefault="00E5194C" w:rsidP="00E5194C">
            <w:pPr>
              <w:spacing w:after="0"/>
              <w:ind w:firstLine="0"/>
              <w:contextualSpacing/>
              <w:jc w:val="right"/>
              <w:rPr>
                <w:color w:val="000000"/>
                <w:sz w:val="20"/>
              </w:rPr>
            </w:pPr>
            <w:r w:rsidRPr="00C6712A">
              <w:rPr>
                <w:color w:val="000000"/>
                <w:sz w:val="20"/>
              </w:rPr>
              <w:t>1.2%</w:t>
            </w:r>
          </w:p>
        </w:tc>
        <w:tc>
          <w:tcPr>
            <w:tcW w:w="833" w:type="dxa"/>
            <w:tcBorders>
              <w:top w:val="nil"/>
              <w:left w:val="nil"/>
              <w:bottom w:val="single" w:sz="4" w:space="0" w:color="auto"/>
              <w:right w:val="double" w:sz="6" w:space="0" w:color="auto"/>
            </w:tcBorders>
            <w:shd w:val="clear" w:color="auto" w:fill="auto"/>
            <w:noWrap/>
            <w:vAlign w:val="center"/>
            <w:hideMark/>
          </w:tcPr>
          <w:p w14:paraId="52E23D08" w14:textId="77777777" w:rsidR="00E5194C" w:rsidRPr="00C6712A" w:rsidRDefault="00E5194C" w:rsidP="00E5194C">
            <w:pPr>
              <w:spacing w:after="0"/>
              <w:ind w:firstLine="0"/>
              <w:contextualSpacing/>
              <w:jc w:val="right"/>
              <w:rPr>
                <w:color w:val="000000"/>
                <w:sz w:val="20"/>
              </w:rPr>
            </w:pPr>
            <w:r w:rsidRPr="00C6712A">
              <w:rPr>
                <w:color w:val="000000"/>
                <w:sz w:val="20"/>
              </w:rPr>
              <w:t>100.0%</w:t>
            </w:r>
          </w:p>
        </w:tc>
        <w:tc>
          <w:tcPr>
            <w:tcW w:w="833" w:type="dxa"/>
            <w:tcBorders>
              <w:top w:val="nil"/>
              <w:left w:val="nil"/>
              <w:bottom w:val="single" w:sz="4" w:space="0" w:color="auto"/>
              <w:right w:val="single" w:sz="4" w:space="0" w:color="auto"/>
            </w:tcBorders>
            <w:shd w:val="clear" w:color="auto" w:fill="auto"/>
            <w:noWrap/>
            <w:vAlign w:val="center"/>
            <w:hideMark/>
          </w:tcPr>
          <w:p w14:paraId="4C4C4C26" w14:textId="77777777" w:rsidR="00E5194C" w:rsidRPr="00C6712A" w:rsidRDefault="00E5194C" w:rsidP="00E5194C">
            <w:pPr>
              <w:spacing w:after="0"/>
              <w:ind w:firstLine="0"/>
              <w:contextualSpacing/>
              <w:jc w:val="right"/>
              <w:rPr>
                <w:color w:val="000000"/>
                <w:sz w:val="20"/>
              </w:rPr>
            </w:pPr>
            <w:r w:rsidRPr="00C6712A">
              <w:rPr>
                <w:color w:val="000000"/>
                <w:sz w:val="20"/>
              </w:rPr>
              <w:t>98.7%</w:t>
            </w:r>
          </w:p>
        </w:tc>
        <w:tc>
          <w:tcPr>
            <w:tcW w:w="833" w:type="dxa"/>
            <w:tcBorders>
              <w:top w:val="nil"/>
              <w:left w:val="nil"/>
              <w:bottom w:val="single" w:sz="4" w:space="0" w:color="auto"/>
              <w:right w:val="single" w:sz="4" w:space="0" w:color="auto"/>
            </w:tcBorders>
            <w:shd w:val="clear" w:color="auto" w:fill="auto"/>
            <w:noWrap/>
            <w:vAlign w:val="center"/>
            <w:hideMark/>
          </w:tcPr>
          <w:p w14:paraId="26122B64" w14:textId="77777777" w:rsidR="00E5194C" w:rsidRPr="00C6712A" w:rsidRDefault="00E5194C" w:rsidP="00E5194C">
            <w:pPr>
              <w:spacing w:after="0"/>
              <w:ind w:firstLine="0"/>
              <w:contextualSpacing/>
              <w:jc w:val="right"/>
              <w:rPr>
                <w:color w:val="000000"/>
                <w:sz w:val="20"/>
              </w:rPr>
            </w:pPr>
            <w:r w:rsidRPr="00C6712A">
              <w:rPr>
                <w:color w:val="000000"/>
                <w:sz w:val="20"/>
              </w:rPr>
              <w:t>1.3%</w:t>
            </w:r>
          </w:p>
        </w:tc>
        <w:tc>
          <w:tcPr>
            <w:tcW w:w="833" w:type="dxa"/>
            <w:tcBorders>
              <w:top w:val="nil"/>
              <w:left w:val="nil"/>
              <w:bottom w:val="single" w:sz="4" w:space="0" w:color="auto"/>
              <w:right w:val="double" w:sz="6" w:space="0" w:color="auto"/>
            </w:tcBorders>
            <w:shd w:val="clear" w:color="auto" w:fill="auto"/>
            <w:noWrap/>
            <w:vAlign w:val="center"/>
            <w:hideMark/>
          </w:tcPr>
          <w:p w14:paraId="22177026" w14:textId="77777777" w:rsidR="00E5194C" w:rsidRPr="00C6712A" w:rsidRDefault="00E5194C" w:rsidP="00E5194C">
            <w:pPr>
              <w:spacing w:after="0"/>
              <w:ind w:firstLine="0"/>
              <w:contextualSpacing/>
              <w:jc w:val="right"/>
              <w:rPr>
                <w:color w:val="000000"/>
                <w:sz w:val="20"/>
              </w:rPr>
            </w:pPr>
            <w:r w:rsidRPr="00C6712A">
              <w:rPr>
                <w:color w:val="000000"/>
                <w:sz w:val="20"/>
              </w:rPr>
              <w:t>100.0%</w:t>
            </w:r>
          </w:p>
        </w:tc>
      </w:tr>
      <w:tr w:rsidR="00E5194C" w:rsidRPr="00C6712A" w14:paraId="7ADA48EC" w14:textId="77777777" w:rsidTr="00453931">
        <w:trPr>
          <w:cantSplit/>
          <w:trHeight w:val="20"/>
          <w:jc w:val="center"/>
        </w:trPr>
        <w:tc>
          <w:tcPr>
            <w:tcW w:w="682" w:type="dxa"/>
            <w:vMerge/>
            <w:tcBorders>
              <w:top w:val="nil"/>
              <w:left w:val="double" w:sz="6" w:space="0" w:color="auto"/>
              <w:bottom w:val="double" w:sz="6" w:space="0" w:color="000000"/>
              <w:right w:val="double" w:sz="6" w:space="0" w:color="auto"/>
            </w:tcBorders>
            <w:vAlign w:val="center"/>
            <w:hideMark/>
          </w:tcPr>
          <w:p w14:paraId="516793F6" w14:textId="77777777" w:rsidR="00E5194C" w:rsidRPr="00C6712A" w:rsidRDefault="00E5194C" w:rsidP="00E5194C">
            <w:pPr>
              <w:spacing w:after="0"/>
              <w:ind w:firstLine="0"/>
              <w:contextualSpacing/>
              <w:rPr>
                <w:b/>
                <w:bCs/>
                <w:color w:val="000000"/>
                <w:sz w:val="20"/>
              </w:rPr>
            </w:pPr>
          </w:p>
        </w:tc>
        <w:tc>
          <w:tcPr>
            <w:tcW w:w="2288" w:type="dxa"/>
            <w:tcBorders>
              <w:top w:val="nil"/>
              <w:left w:val="nil"/>
              <w:bottom w:val="single" w:sz="4" w:space="0" w:color="auto"/>
              <w:right w:val="double" w:sz="6" w:space="0" w:color="auto"/>
            </w:tcBorders>
            <w:shd w:val="clear" w:color="auto" w:fill="auto"/>
            <w:vAlign w:val="center"/>
            <w:hideMark/>
          </w:tcPr>
          <w:p w14:paraId="0DA42002" w14:textId="77777777" w:rsidR="00E5194C" w:rsidRPr="00C6712A" w:rsidRDefault="00E5194C" w:rsidP="00E5194C">
            <w:pPr>
              <w:spacing w:after="0"/>
              <w:ind w:firstLine="0"/>
              <w:contextualSpacing/>
              <w:rPr>
                <w:color w:val="000000"/>
                <w:sz w:val="20"/>
              </w:rPr>
            </w:pPr>
            <w:r w:rsidRPr="00C6712A">
              <w:rPr>
                <w:color w:val="000000"/>
                <w:sz w:val="20"/>
              </w:rPr>
              <w:t>2-4 days per week</w:t>
            </w:r>
          </w:p>
        </w:tc>
        <w:tc>
          <w:tcPr>
            <w:tcW w:w="833" w:type="dxa"/>
            <w:tcBorders>
              <w:top w:val="nil"/>
              <w:left w:val="nil"/>
              <w:bottom w:val="single" w:sz="4" w:space="0" w:color="auto"/>
              <w:right w:val="single" w:sz="4" w:space="0" w:color="auto"/>
            </w:tcBorders>
            <w:shd w:val="clear" w:color="auto" w:fill="auto"/>
            <w:noWrap/>
            <w:vAlign w:val="center"/>
            <w:hideMark/>
          </w:tcPr>
          <w:p w14:paraId="6C6CA5D2" w14:textId="77777777" w:rsidR="00E5194C" w:rsidRPr="00C6712A" w:rsidRDefault="00E5194C" w:rsidP="00E5194C">
            <w:pPr>
              <w:spacing w:after="0"/>
              <w:ind w:firstLine="0"/>
              <w:contextualSpacing/>
              <w:jc w:val="right"/>
              <w:rPr>
                <w:color w:val="000000"/>
                <w:sz w:val="20"/>
              </w:rPr>
            </w:pPr>
            <w:r w:rsidRPr="00C6712A">
              <w:rPr>
                <w:color w:val="000000"/>
                <w:sz w:val="20"/>
              </w:rPr>
              <w:t>100.0%</w:t>
            </w:r>
          </w:p>
        </w:tc>
        <w:tc>
          <w:tcPr>
            <w:tcW w:w="833" w:type="dxa"/>
            <w:tcBorders>
              <w:top w:val="nil"/>
              <w:left w:val="nil"/>
              <w:bottom w:val="single" w:sz="4" w:space="0" w:color="auto"/>
              <w:right w:val="single" w:sz="4" w:space="0" w:color="auto"/>
            </w:tcBorders>
            <w:shd w:val="clear" w:color="auto" w:fill="auto"/>
            <w:noWrap/>
            <w:vAlign w:val="center"/>
            <w:hideMark/>
          </w:tcPr>
          <w:p w14:paraId="1F2252DE" w14:textId="77777777" w:rsidR="00E5194C" w:rsidRPr="00C6712A" w:rsidRDefault="00E5194C" w:rsidP="00E5194C">
            <w:pPr>
              <w:spacing w:after="0"/>
              <w:ind w:firstLine="0"/>
              <w:contextualSpacing/>
              <w:jc w:val="right"/>
              <w:rPr>
                <w:color w:val="000000"/>
                <w:sz w:val="20"/>
              </w:rPr>
            </w:pPr>
            <w:r w:rsidRPr="00C6712A">
              <w:rPr>
                <w:color w:val="000000"/>
                <w:sz w:val="20"/>
              </w:rPr>
              <w:t>0.0%</w:t>
            </w:r>
          </w:p>
        </w:tc>
        <w:tc>
          <w:tcPr>
            <w:tcW w:w="833" w:type="dxa"/>
            <w:tcBorders>
              <w:top w:val="nil"/>
              <w:left w:val="nil"/>
              <w:bottom w:val="single" w:sz="4" w:space="0" w:color="auto"/>
              <w:right w:val="double" w:sz="6" w:space="0" w:color="auto"/>
            </w:tcBorders>
            <w:shd w:val="clear" w:color="auto" w:fill="auto"/>
            <w:noWrap/>
            <w:vAlign w:val="center"/>
            <w:hideMark/>
          </w:tcPr>
          <w:p w14:paraId="02D1BF95" w14:textId="77777777" w:rsidR="00E5194C" w:rsidRPr="00C6712A" w:rsidRDefault="00E5194C" w:rsidP="00E5194C">
            <w:pPr>
              <w:spacing w:after="0"/>
              <w:ind w:firstLine="0"/>
              <w:contextualSpacing/>
              <w:jc w:val="right"/>
              <w:rPr>
                <w:color w:val="000000"/>
                <w:sz w:val="20"/>
              </w:rPr>
            </w:pPr>
            <w:r w:rsidRPr="00C6712A">
              <w:rPr>
                <w:color w:val="000000"/>
                <w:sz w:val="20"/>
              </w:rPr>
              <w:t>100.0%</w:t>
            </w:r>
          </w:p>
        </w:tc>
        <w:tc>
          <w:tcPr>
            <w:tcW w:w="833" w:type="dxa"/>
            <w:tcBorders>
              <w:top w:val="nil"/>
              <w:left w:val="nil"/>
              <w:bottom w:val="single" w:sz="4" w:space="0" w:color="auto"/>
              <w:right w:val="single" w:sz="4" w:space="0" w:color="auto"/>
            </w:tcBorders>
            <w:shd w:val="clear" w:color="auto" w:fill="auto"/>
            <w:noWrap/>
            <w:vAlign w:val="center"/>
            <w:hideMark/>
          </w:tcPr>
          <w:p w14:paraId="43AF5BB2" w14:textId="77777777" w:rsidR="00E5194C" w:rsidRPr="00C6712A" w:rsidRDefault="00E5194C" w:rsidP="00E5194C">
            <w:pPr>
              <w:spacing w:after="0"/>
              <w:ind w:firstLine="0"/>
              <w:contextualSpacing/>
              <w:jc w:val="right"/>
              <w:rPr>
                <w:color w:val="000000"/>
                <w:sz w:val="20"/>
              </w:rPr>
            </w:pPr>
            <w:r w:rsidRPr="00C6712A">
              <w:rPr>
                <w:color w:val="000000"/>
                <w:sz w:val="20"/>
              </w:rPr>
              <w:t>98.6%</w:t>
            </w:r>
          </w:p>
        </w:tc>
        <w:tc>
          <w:tcPr>
            <w:tcW w:w="833" w:type="dxa"/>
            <w:tcBorders>
              <w:top w:val="nil"/>
              <w:left w:val="nil"/>
              <w:bottom w:val="single" w:sz="4" w:space="0" w:color="auto"/>
              <w:right w:val="single" w:sz="4" w:space="0" w:color="auto"/>
            </w:tcBorders>
            <w:shd w:val="clear" w:color="auto" w:fill="auto"/>
            <w:noWrap/>
            <w:vAlign w:val="center"/>
            <w:hideMark/>
          </w:tcPr>
          <w:p w14:paraId="395D87B8" w14:textId="77777777" w:rsidR="00E5194C" w:rsidRPr="00C6712A" w:rsidRDefault="00E5194C" w:rsidP="00E5194C">
            <w:pPr>
              <w:spacing w:after="0"/>
              <w:ind w:firstLine="0"/>
              <w:contextualSpacing/>
              <w:jc w:val="right"/>
              <w:rPr>
                <w:color w:val="000000"/>
                <w:sz w:val="20"/>
              </w:rPr>
            </w:pPr>
            <w:r w:rsidRPr="00C6712A">
              <w:rPr>
                <w:color w:val="000000"/>
                <w:sz w:val="20"/>
              </w:rPr>
              <w:t>1.4%</w:t>
            </w:r>
          </w:p>
        </w:tc>
        <w:tc>
          <w:tcPr>
            <w:tcW w:w="833" w:type="dxa"/>
            <w:tcBorders>
              <w:top w:val="nil"/>
              <w:left w:val="nil"/>
              <w:bottom w:val="single" w:sz="4" w:space="0" w:color="auto"/>
              <w:right w:val="double" w:sz="6" w:space="0" w:color="auto"/>
            </w:tcBorders>
            <w:shd w:val="clear" w:color="auto" w:fill="auto"/>
            <w:noWrap/>
            <w:vAlign w:val="center"/>
            <w:hideMark/>
          </w:tcPr>
          <w:p w14:paraId="542C7655" w14:textId="77777777" w:rsidR="00E5194C" w:rsidRPr="00C6712A" w:rsidRDefault="00E5194C" w:rsidP="00E5194C">
            <w:pPr>
              <w:spacing w:after="0"/>
              <w:ind w:firstLine="0"/>
              <w:contextualSpacing/>
              <w:jc w:val="right"/>
              <w:rPr>
                <w:color w:val="000000"/>
                <w:sz w:val="20"/>
              </w:rPr>
            </w:pPr>
            <w:r w:rsidRPr="00C6712A">
              <w:rPr>
                <w:color w:val="000000"/>
                <w:sz w:val="20"/>
              </w:rPr>
              <w:t>100.0%</w:t>
            </w:r>
          </w:p>
        </w:tc>
        <w:tc>
          <w:tcPr>
            <w:tcW w:w="833" w:type="dxa"/>
            <w:tcBorders>
              <w:top w:val="nil"/>
              <w:left w:val="nil"/>
              <w:bottom w:val="single" w:sz="4" w:space="0" w:color="auto"/>
              <w:right w:val="single" w:sz="4" w:space="0" w:color="auto"/>
            </w:tcBorders>
            <w:shd w:val="clear" w:color="auto" w:fill="auto"/>
            <w:noWrap/>
            <w:vAlign w:val="center"/>
            <w:hideMark/>
          </w:tcPr>
          <w:p w14:paraId="48C48893" w14:textId="77777777" w:rsidR="00E5194C" w:rsidRPr="00C6712A" w:rsidRDefault="00E5194C" w:rsidP="00E5194C">
            <w:pPr>
              <w:spacing w:after="0"/>
              <w:ind w:firstLine="0"/>
              <w:contextualSpacing/>
              <w:jc w:val="right"/>
              <w:rPr>
                <w:color w:val="000000"/>
                <w:sz w:val="20"/>
              </w:rPr>
            </w:pPr>
            <w:r w:rsidRPr="00C6712A">
              <w:rPr>
                <w:color w:val="000000"/>
                <w:sz w:val="20"/>
              </w:rPr>
              <w:t>98.7%</w:t>
            </w:r>
          </w:p>
        </w:tc>
        <w:tc>
          <w:tcPr>
            <w:tcW w:w="833" w:type="dxa"/>
            <w:tcBorders>
              <w:top w:val="nil"/>
              <w:left w:val="nil"/>
              <w:bottom w:val="single" w:sz="4" w:space="0" w:color="auto"/>
              <w:right w:val="single" w:sz="4" w:space="0" w:color="auto"/>
            </w:tcBorders>
            <w:shd w:val="clear" w:color="auto" w:fill="auto"/>
            <w:noWrap/>
            <w:vAlign w:val="center"/>
            <w:hideMark/>
          </w:tcPr>
          <w:p w14:paraId="36B8463F" w14:textId="77777777" w:rsidR="00E5194C" w:rsidRPr="00C6712A" w:rsidRDefault="00E5194C" w:rsidP="00E5194C">
            <w:pPr>
              <w:spacing w:after="0"/>
              <w:ind w:firstLine="0"/>
              <w:contextualSpacing/>
              <w:jc w:val="right"/>
              <w:rPr>
                <w:color w:val="000000"/>
                <w:sz w:val="20"/>
              </w:rPr>
            </w:pPr>
            <w:r w:rsidRPr="00C6712A">
              <w:rPr>
                <w:color w:val="000000"/>
                <w:sz w:val="20"/>
              </w:rPr>
              <w:t>1.3%</w:t>
            </w:r>
          </w:p>
        </w:tc>
        <w:tc>
          <w:tcPr>
            <w:tcW w:w="833" w:type="dxa"/>
            <w:tcBorders>
              <w:top w:val="nil"/>
              <w:left w:val="nil"/>
              <w:bottom w:val="single" w:sz="4" w:space="0" w:color="auto"/>
              <w:right w:val="double" w:sz="6" w:space="0" w:color="auto"/>
            </w:tcBorders>
            <w:shd w:val="clear" w:color="auto" w:fill="auto"/>
            <w:noWrap/>
            <w:vAlign w:val="center"/>
            <w:hideMark/>
          </w:tcPr>
          <w:p w14:paraId="566BA65E" w14:textId="77777777" w:rsidR="00E5194C" w:rsidRPr="00C6712A" w:rsidRDefault="00E5194C" w:rsidP="00E5194C">
            <w:pPr>
              <w:spacing w:after="0"/>
              <w:ind w:firstLine="0"/>
              <w:contextualSpacing/>
              <w:jc w:val="right"/>
              <w:rPr>
                <w:color w:val="000000"/>
                <w:sz w:val="20"/>
              </w:rPr>
            </w:pPr>
            <w:r w:rsidRPr="00C6712A">
              <w:rPr>
                <w:color w:val="000000"/>
                <w:sz w:val="20"/>
              </w:rPr>
              <w:t>100.0%</w:t>
            </w:r>
          </w:p>
        </w:tc>
      </w:tr>
      <w:tr w:rsidR="00E5194C" w:rsidRPr="00C6712A" w14:paraId="762169E7" w14:textId="77777777" w:rsidTr="00453931">
        <w:trPr>
          <w:cantSplit/>
          <w:trHeight w:val="20"/>
          <w:jc w:val="center"/>
        </w:trPr>
        <w:tc>
          <w:tcPr>
            <w:tcW w:w="682" w:type="dxa"/>
            <w:vMerge/>
            <w:tcBorders>
              <w:top w:val="nil"/>
              <w:left w:val="double" w:sz="6" w:space="0" w:color="auto"/>
              <w:bottom w:val="double" w:sz="6" w:space="0" w:color="000000"/>
              <w:right w:val="double" w:sz="6" w:space="0" w:color="auto"/>
            </w:tcBorders>
            <w:vAlign w:val="center"/>
            <w:hideMark/>
          </w:tcPr>
          <w:p w14:paraId="232C91B4" w14:textId="77777777" w:rsidR="00E5194C" w:rsidRPr="00C6712A" w:rsidRDefault="00E5194C" w:rsidP="00E5194C">
            <w:pPr>
              <w:spacing w:after="0"/>
              <w:ind w:firstLine="0"/>
              <w:contextualSpacing/>
              <w:rPr>
                <w:b/>
                <w:bCs/>
                <w:color w:val="000000"/>
                <w:sz w:val="20"/>
              </w:rPr>
            </w:pPr>
          </w:p>
        </w:tc>
        <w:tc>
          <w:tcPr>
            <w:tcW w:w="2288" w:type="dxa"/>
            <w:tcBorders>
              <w:top w:val="nil"/>
              <w:left w:val="nil"/>
              <w:bottom w:val="single" w:sz="4" w:space="0" w:color="auto"/>
              <w:right w:val="double" w:sz="6" w:space="0" w:color="auto"/>
            </w:tcBorders>
            <w:shd w:val="clear" w:color="auto" w:fill="auto"/>
            <w:vAlign w:val="center"/>
            <w:hideMark/>
          </w:tcPr>
          <w:p w14:paraId="7FDE658D" w14:textId="77777777" w:rsidR="00E5194C" w:rsidRPr="00C6712A" w:rsidRDefault="00E5194C" w:rsidP="00E5194C">
            <w:pPr>
              <w:spacing w:after="0"/>
              <w:ind w:firstLine="0"/>
              <w:contextualSpacing/>
              <w:rPr>
                <w:color w:val="000000"/>
                <w:sz w:val="20"/>
              </w:rPr>
            </w:pPr>
            <w:r w:rsidRPr="00C6712A">
              <w:rPr>
                <w:color w:val="000000"/>
                <w:sz w:val="20"/>
              </w:rPr>
              <w:t>5 days per week</w:t>
            </w:r>
          </w:p>
        </w:tc>
        <w:tc>
          <w:tcPr>
            <w:tcW w:w="833" w:type="dxa"/>
            <w:tcBorders>
              <w:top w:val="nil"/>
              <w:left w:val="nil"/>
              <w:bottom w:val="single" w:sz="4" w:space="0" w:color="auto"/>
              <w:right w:val="single" w:sz="4" w:space="0" w:color="auto"/>
            </w:tcBorders>
            <w:shd w:val="clear" w:color="auto" w:fill="auto"/>
            <w:noWrap/>
            <w:vAlign w:val="center"/>
            <w:hideMark/>
          </w:tcPr>
          <w:p w14:paraId="11EAD726" w14:textId="77777777" w:rsidR="00E5194C" w:rsidRPr="00C6712A" w:rsidRDefault="00E5194C" w:rsidP="00E5194C">
            <w:pPr>
              <w:spacing w:after="0"/>
              <w:ind w:firstLine="0"/>
              <w:contextualSpacing/>
              <w:jc w:val="right"/>
              <w:rPr>
                <w:color w:val="000000"/>
                <w:sz w:val="20"/>
              </w:rPr>
            </w:pPr>
            <w:r w:rsidRPr="00C6712A">
              <w:rPr>
                <w:color w:val="000000"/>
                <w:sz w:val="20"/>
              </w:rPr>
              <w:t>100.0%</w:t>
            </w:r>
          </w:p>
        </w:tc>
        <w:tc>
          <w:tcPr>
            <w:tcW w:w="833" w:type="dxa"/>
            <w:tcBorders>
              <w:top w:val="nil"/>
              <w:left w:val="nil"/>
              <w:bottom w:val="single" w:sz="4" w:space="0" w:color="auto"/>
              <w:right w:val="single" w:sz="4" w:space="0" w:color="auto"/>
            </w:tcBorders>
            <w:shd w:val="clear" w:color="auto" w:fill="auto"/>
            <w:noWrap/>
            <w:vAlign w:val="center"/>
            <w:hideMark/>
          </w:tcPr>
          <w:p w14:paraId="794C8945" w14:textId="77777777" w:rsidR="00E5194C" w:rsidRPr="00C6712A" w:rsidRDefault="00E5194C" w:rsidP="00E5194C">
            <w:pPr>
              <w:spacing w:after="0"/>
              <w:ind w:firstLine="0"/>
              <w:contextualSpacing/>
              <w:jc w:val="right"/>
              <w:rPr>
                <w:color w:val="000000"/>
                <w:sz w:val="20"/>
              </w:rPr>
            </w:pPr>
            <w:r w:rsidRPr="00C6712A">
              <w:rPr>
                <w:color w:val="000000"/>
                <w:sz w:val="20"/>
              </w:rPr>
              <w:t>0.0%</w:t>
            </w:r>
          </w:p>
        </w:tc>
        <w:tc>
          <w:tcPr>
            <w:tcW w:w="833" w:type="dxa"/>
            <w:tcBorders>
              <w:top w:val="nil"/>
              <w:left w:val="nil"/>
              <w:bottom w:val="single" w:sz="4" w:space="0" w:color="auto"/>
              <w:right w:val="double" w:sz="6" w:space="0" w:color="auto"/>
            </w:tcBorders>
            <w:shd w:val="clear" w:color="auto" w:fill="auto"/>
            <w:noWrap/>
            <w:vAlign w:val="center"/>
            <w:hideMark/>
          </w:tcPr>
          <w:p w14:paraId="083B0C50" w14:textId="77777777" w:rsidR="00E5194C" w:rsidRPr="00C6712A" w:rsidRDefault="00E5194C" w:rsidP="00E5194C">
            <w:pPr>
              <w:spacing w:after="0"/>
              <w:ind w:firstLine="0"/>
              <w:contextualSpacing/>
              <w:jc w:val="right"/>
              <w:rPr>
                <w:color w:val="000000"/>
                <w:sz w:val="20"/>
              </w:rPr>
            </w:pPr>
            <w:r w:rsidRPr="00C6712A">
              <w:rPr>
                <w:color w:val="000000"/>
                <w:sz w:val="20"/>
              </w:rPr>
              <w:t>100.0%</w:t>
            </w:r>
          </w:p>
        </w:tc>
        <w:tc>
          <w:tcPr>
            <w:tcW w:w="833" w:type="dxa"/>
            <w:tcBorders>
              <w:top w:val="nil"/>
              <w:left w:val="nil"/>
              <w:bottom w:val="single" w:sz="4" w:space="0" w:color="auto"/>
              <w:right w:val="single" w:sz="4" w:space="0" w:color="auto"/>
            </w:tcBorders>
            <w:shd w:val="clear" w:color="auto" w:fill="auto"/>
            <w:noWrap/>
            <w:vAlign w:val="center"/>
            <w:hideMark/>
          </w:tcPr>
          <w:p w14:paraId="5C54106F" w14:textId="77777777" w:rsidR="00E5194C" w:rsidRPr="00C6712A" w:rsidRDefault="00E5194C" w:rsidP="00E5194C">
            <w:pPr>
              <w:spacing w:after="0"/>
              <w:ind w:firstLine="0"/>
              <w:contextualSpacing/>
              <w:jc w:val="right"/>
              <w:rPr>
                <w:color w:val="000000"/>
                <w:sz w:val="20"/>
              </w:rPr>
            </w:pPr>
            <w:r w:rsidRPr="00C6712A">
              <w:rPr>
                <w:color w:val="000000"/>
                <w:sz w:val="20"/>
              </w:rPr>
              <w:t>96.4%</w:t>
            </w:r>
          </w:p>
        </w:tc>
        <w:tc>
          <w:tcPr>
            <w:tcW w:w="833" w:type="dxa"/>
            <w:tcBorders>
              <w:top w:val="nil"/>
              <w:left w:val="nil"/>
              <w:bottom w:val="single" w:sz="4" w:space="0" w:color="auto"/>
              <w:right w:val="single" w:sz="4" w:space="0" w:color="auto"/>
            </w:tcBorders>
            <w:shd w:val="clear" w:color="auto" w:fill="auto"/>
            <w:noWrap/>
            <w:vAlign w:val="center"/>
            <w:hideMark/>
          </w:tcPr>
          <w:p w14:paraId="20075515" w14:textId="77777777" w:rsidR="00E5194C" w:rsidRPr="00C6712A" w:rsidRDefault="00E5194C" w:rsidP="00E5194C">
            <w:pPr>
              <w:spacing w:after="0"/>
              <w:ind w:firstLine="0"/>
              <w:contextualSpacing/>
              <w:jc w:val="right"/>
              <w:rPr>
                <w:color w:val="000000"/>
                <w:sz w:val="20"/>
              </w:rPr>
            </w:pPr>
            <w:r w:rsidRPr="00C6712A">
              <w:rPr>
                <w:color w:val="000000"/>
                <w:sz w:val="20"/>
              </w:rPr>
              <w:t>3.6%</w:t>
            </w:r>
          </w:p>
        </w:tc>
        <w:tc>
          <w:tcPr>
            <w:tcW w:w="833" w:type="dxa"/>
            <w:tcBorders>
              <w:top w:val="nil"/>
              <w:left w:val="nil"/>
              <w:bottom w:val="single" w:sz="4" w:space="0" w:color="auto"/>
              <w:right w:val="double" w:sz="6" w:space="0" w:color="auto"/>
            </w:tcBorders>
            <w:shd w:val="clear" w:color="auto" w:fill="auto"/>
            <w:noWrap/>
            <w:vAlign w:val="center"/>
            <w:hideMark/>
          </w:tcPr>
          <w:p w14:paraId="5457C98A" w14:textId="77777777" w:rsidR="00E5194C" w:rsidRPr="00C6712A" w:rsidRDefault="00E5194C" w:rsidP="00E5194C">
            <w:pPr>
              <w:spacing w:after="0"/>
              <w:ind w:firstLine="0"/>
              <w:contextualSpacing/>
              <w:jc w:val="right"/>
              <w:rPr>
                <w:color w:val="000000"/>
                <w:sz w:val="20"/>
              </w:rPr>
            </w:pPr>
            <w:r w:rsidRPr="00C6712A">
              <w:rPr>
                <w:color w:val="000000"/>
                <w:sz w:val="20"/>
              </w:rPr>
              <w:t>100.0%</w:t>
            </w:r>
          </w:p>
        </w:tc>
        <w:tc>
          <w:tcPr>
            <w:tcW w:w="833" w:type="dxa"/>
            <w:tcBorders>
              <w:top w:val="nil"/>
              <w:left w:val="nil"/>
              <w:bottom w:val="single" w:sz="4" w:space="0" w:color="auto"/>
              <w:right w:val="single" w:sz="4" w:space="0" w:color="auto"/>
            </w:tcBorders>
            <w:shd w:val="clear" w:color="auto" w:fill="auto"/>
            <w:noWrap/>
            <w:vAlign w:val="center"/>
            <w:hideMark/>
          </w:tcPr>
          <w:p w14:paraId="46DB94D7" w14:textId="77777777" w:rsidR="00E5194C" w:rsidRPr="00C6712A" w:rsidRDefault="00E5194C" w:rsidP="00E5194C">
            <w:pPr>
              <w:spacing w:after="0"/>
              <w:ind w:firstLine="0"/>
              <w:contextualSpacing/>
              <w:jc w:val="right"/>
              <w:rPr>
                <w:color w:val="000000"/>
                <w:sz w:val="20"/>
              </w:rPr>
            </w:pPr>
            <w:r w:rsidRPr="00C6712A">
              <w:rPr>
                <w:color w:val="000000"/>
                <w:sz w:val="20"/>
              </w:rPr>
              <w:t>96.8%</w:t>
            </w:r>
          </w:p>
        </w:tc>
        <w:tc>
          <w:tcPr>
            <w:tcW w:w="833" w:type="dxa"/>
            <w:tcBorders>
              <w:top w:val="nil"/>
              <w:left w:val="nil"/>
              <w:bottom w:val="single" w:sz="4" w:space="0" w:color="auto"/>
              <w:right w:val="single" w:sz="4" w:space="0" w:color="auto"/>
            </w:tcBorders>
            <w:shd w:val="clear" w:color="auto" w:fill="auto"/>
            <w:noWrap/>
            <w:vAlign w:val="center"/>
            <w:hideMark/>
          </w:tcPr>
          <w:p w14:paraId="70E9D08C" w14:textId="77777777" w:rsidR="00E5194C" w:rsidRPr="00C6712A" w:rsidRDefault="00E5194C" w:rsidP="00E5194C">
            <w:pPr>
              <w:spacing w:after="0"/>
              <w:ind w:firstLine="0"/>
              <w:contextualSpacing/>
              <w:jc w:val="right"/>
              <w:rPr>
                <w:color w:val="000000"/>
                <w:sz w:val="20"/>
              </w:rPr>
            </w:pPr>
            <w:r w:rsidRPr="00C6712A">
              <w:rPr>
                <w:color w:val="000000"/>
                <w:sz w:val="20"/>
              </w:rPr>
              <w:t>3.2%</w:t>
            </w:r>
          </w:p>
        </w:tc>
        <w:tc>
          <w:tcPr>
            <w:tcW w:w="833" w:type="dxa"/>
            <w:tcBorders>
              <w:top w:val="nil"/>
              <w:left w:val="nil"/>
              <w:bottom w:val="single" w:sz="4" w:space="0" w:color="auto"/>
              <w:right w:val="double" w:sz="6" w:space="0" w:color="auto"/>
            </w:tcBorders>
            <w:shd w:val="clear" w:color="auto" w:fill="auto"/>
            <w:noWrap/>
            <w:vAlign w:val="center"/>
            <w:hideMark/>
          </w:tcPr>
          <w:p w14:paraId="54F27FE5" w14:textId="77777777" w:rsidR="00E5194C" w:rsidRPr="00C6712A" w:rsidRDefault="00E5194C" w:rsidP="00E5194C">
            <w:pPr>
              <w:spacing w:after="0"/>
              <w:ind w:firstLine="0"/>
              <w:contextualSpacing/>
              <w:jc w:val="right"/>
              <w:rPr>
                <w:color w:val="000000"/>
                <w:sz w:val="20"/>
              </w:rPr>
            </w:pPr>
            <w:r w:rsidRPr="00C6712A">
              <w:rPr>
                <w:color w:val="000000"/>
                <w:sz w:val="20"/>
              </w:rPr>
              <w:t>100.0%</w:t>
            </w:r>
          </w:p>
        </w:tc>
      </w:tr>
      <w:tr w:rsidR="00E5194C" w:rsidRPr="00C6712A" w14:paraId="741D94D1" w14:textId="77777777" w:rsidTr="00453931">
        <w:trPr>
          <w:cantSplit/>
          <w:trHeight w:val="20"/>
          <w:jc w:val="center"/>
        </w:trPr>
        <w:tc>
          <w:tcPr>
            <w:tcW w:w="682" w:type="dxa"/>
            <w:vMerge/>
            <w:tcBorders>
              <w:top w:val="nil"/>
              <w:left w:val="double" w:sz="6" w:space="0" w:color="auto"/>
              <w:bottom w:val="double" w:sz="6" w:space="0" w:color="000000"/>
              <w:right w:val="double" w:sz="6" w:space="0" w:color="auto"/>
            </w:tcBorders>
            <w:vAlign w:val="center"/>
            <w:hideMark/>
          </w:tcPr>
          <w:p w14:paraId="7AE8AA77" w14:textId="77777777" w:rsidR="00E5194C" w:rsidRPr="00C6712A" w:rsidRDefault="00E5194C" w:rsidP="00E5194C">
            <w:pPr>
              <w:spacing w:after="0"/>
              <w:ind w:firstLine="0"/>
              <w:contextualSpacing/>
              <w:rPr>
                <w:b/>
                <w:bCs/>
                <w:color w:val="000000"/>
                <w:sz w:val="20"/>
              </w:rPr>
            </w:pPr>
          </w:p>
        </w:tc>
        <w:tc>
          <w:tcPr>
            <w:tcW w:w="2288" w:type="dxa"/>
            <w:tcBorders>
              <w:top w:val="nil"/>
              <w:left w:val="nil"/>
              <w:bottom w:val="single" w:sz="4" w:space="0" w:color="auto"/>
              <w:right w:val="double" w:sz="6" w:space="0" w:color="auto"/>
            </w:tcBorders>
            <w:shd w:val="clear" w:color="auto" w:fill="auto"/>
            <w:vAlign w:val="center"/>
            <w:hideMark/>
          </w:tcPr>
          <w:p w14:paraId="4AE098A2" w14:textId="77777777" w:rsidR="00E5194C" w:rsidRPr="00C6712A" w:rsidRDefault="00E5194C" w:rsidP="00E5194C">
            <w:pPr>
              <w:spacing w:after="0"/>
              <w:ind w:firstLine="0"/>
              <w:contextualSpacing/>
              <w:rPr>
                <w:color w:val="000000"/>
                <w:sz w:val="20"/>
              </w:rPr>
            </w:pPr>
            <w:r w:rsidRPr="00C6712A">
              <w:rPr>
                <w:color w:val="000000"/>
                <w:sz w:val="20"/>
              </w:rPr>
              <w:t>6-7 days per week</w:t>
            </w:r>
          </w:p>
        </w:tc>
        <w:tc>
          <w:tcPr>
            <w:tcW w:w="833" w:type="dxa"/>
            <w:tcBorders>
              <w:top w:val="nil"/>
              <w:left w:val="nil"/>
              <w:bottom w:val="single" w:sz="4" w:space="0" w:color="auto"/>
              <w:right w:val="single" w:sz="4" w:space="0" w:color="auto"/>
            </w:tcBorders>
            <w:shd w:val="clear" w:color="auto" w:fill="auto"/>
            <w:noWrap/>
            <w:vAlign w:val="center"/>
            <w:hideMark/>
          </w:tcPr>
          <w:p w14:paraId="254C4D01" w14:textId="77777777" w:rsidR="00E5194C" w:rsidRPr="00C6712A" w:rsidRDefault="00E5194C" w:rsidP="00E5194C">
            <w:pPr>
              <w:spacing w:after="0"/>
              <w:ind w:firstLine="0"/>
              <w:contextualSpacing/>
              <w:jc w:val="right"/>
              <w:rPr>
                <w:color w:val="000000"/>
                <w:sz w:val="20"/>
              </w:rPr>
            </w:pPr>
            <w:r w:rsidRPr="00C6712A">
              <w:rPr>
                <w:color w:val="000000"/>
                <w:sz w:val="20"/>
              </w:rPr>
              <w:t>100.0%</w:t>
            </w:r>
          </w:p>
        </w:tc>
        <w:tc>
          <w:tcPr>
            <w:tcW w:w="833" w:type="dxa"/>
            <w:tcBorders>
              <w:top w:val="nil"/>
              <w:left w:val="nil"/>
              <w:bottom w:val="single" w:sz="4" w:space="0" w:color="auto"/>
              <w:right w:val="single" w:sz="4" w:space="0" w:color="auto"/>
            </w:tcBorders>
            <w:shd w:val="clear" w:color="auto" w:fill="auto"/>
            <w:noWrap/>
            <w:vAlign w:val="center"/>
            <w:hideMark/>
          </w:tcPr>
          <w:p w14:paraId="7B32E425" w14:textId="77777777" w:rsidR="00E5194C" w:rsidRPr="00C6712A" w:rsidRDefault="00E5194C" w:rsidP="00E5194C">
            <w:pPr>
              <w:spacing w:after="0"/>
              <w:ind w:firstLine="0"/>
              <w:contextualSpacing/>
              <w:jc w:val="right"/>
              <w:rPr>
                <w:color w:val="000000"/>
                <w:sz w:val="20"/>
              </w:rPr>
            </w:pPr>
            <w:r w:rsidRPr="00C6712A">
              <w:rPr>
                <w:color w:val="000000"/>
                <w:sz w:val="20"/>
              </w:rPr>
              <w:t>0.0%</w:t>
            </w:r>
          </w:p>
        </w:tc>
        <w:tc>
          <w:tcPr>
            <w:tcW w:w="833" w:type="dxa"/>
            <w:tcBorders>
              <w:top w:val="nil"/>
              <w:left w:val="nil"/>
              <w:bottom w:val="single" w:sz="4" w:space="0" w:color="auto"/>
              <w:right w:val="double" w:sz="6" w:space="0" w:color="auto"/>
            </w:tcBorders>
            <w:shd w:val="clear" w:color="auto" w:fill="auto"/>
            <w:noWrap/>
            <w:vAlign w:val="center"/>
            <w:hideMark/>
          </w:tcPr>
          <w:p w14:paraId="6A6755E7" w14:textId="77777777" w:rsidR="00E5194C" w:rsidRPr="00C6712A" w:rsidRDefault="00E5194C" w:rsidP="00E5194C">
            <w:pPr>
              <w:spacing w:after="0"/>
              <w:ind w:firstLine="0"/>
              <w:contextualSpacing/>
              <w:jc w:val="right"/>
              <w:rPr>
                <w:color w:val="000000"/>
                <w:sz w:val="20"/>
              </w:rPr>
            </w:pPr>
            <w:r w:rsidRPr="00C6712A">
              <w:rPr>
                <w:color w:val="000000"/>
                <w:sz w:val="20"/>
              </w:rPr>
              <w:t>100.0%</w:t>
            </w:r>
          </w:p>
        </w:tc>
        <w:tc>
          <w:tcPr>
            <w:tcW w:w="833" w:type="dxa"/>
            <w:tcBorders>
              <w:top w:val="nil"/>
              <w:left w:val="nil"/>
              <w:bottom w:val="single" w:sz="4" w:space="0" w:color="auto"/>
              <w:right w:val="single" w:sz="4" w:space="0" w:color="auto"/>
            </w:tcBorders>
            <w:shd w:val="clear" w:color="auto" w:fill="auto"/>
            <w:noWrap/>
            <w:vAlign w:val="center"/>
            <w:hideMark/>
          </w:tcPr>
          <w:p w14:paraId="19575F81" w14:textId="77777777" w:rsidR="00E5194C" w:rsidRPr="00C6712A" w:rsidRDefault="00E5194C" w:rsidP="00E5194C">
            <w:pPr>
              <w:spacing w:after="0"/>
              <w:ind w:firstLine="0"/>
              <w:contextualSpacing/>
              <w:jc w:val="right"/>
              <w:rPr>
                <w:color w:val="000000"/>
                <w:sz w:val="20"/>
              </w:rPr>
            </w:pPr>
            <w:r w:rsidRPr="00C6712A">
              <w:rPr>
                <w:color w:val="000000"/>
                <w:sz w:val="20"/>
              </w:rPr>
              <w:t>92.9%</w:t>
            </w:r>
          </w:p>
        </w:tc>
        <w:tc>
          <w:tcPr>
            <w:tcW w:w="833" w:type="dxa"/>
            <w:tcBorders>
              <w:top w:val="nil"/>
              <w:left w:val="nil"/>
              <w:bottom w:val="single" w:sz="4" w:space="0" w:color="auto"/>
              <w:right w:val="single" w:sz="4" w:space="0" w:color="auto"/>
            </w:tcBorders>
            <w:shd w:val="clear" w:color="auto" w:fill="auto"/>
            <w:noWrap/>
            <w:vAlign w:val="center"/>
            <w:hideMark/>
          </w:tcPr>
          <w:p w14:paraId="47F79082" w14:textId="77777777" w:rsidR="00E5194C" w:rsidRPr="00C6712A" w:rsidRDefault="00E5194C" w:rsidP="00E5194C">
            <w:pPr>
              <w:spacing w:after="0"/>
              <w:ind w:firstLine="0"/>
              <w:contextualSpacing/>
              <w:jc w:val="right"/>
              <w:rPr>
                <w:color w:val="000000"/>
                <w:sz w:val="20"/>
              </w:rPr>
            </w:pPr>
            <w:r w:rsidRPr="00C6712A">
              <w:rPr>
                <w:color w:val="000000"/>
                <w:sz w:val="20"/>
              </w:rPr>
              <w:t>7.1%</w:t>
            </w:r>
          </w:p>
        </w:tc>
        <w:tc>
          <w:tcPr>
            <w:tcW w:w="833" w:type="dxa"/>
            <w:tcBorders>
              <w:top w:val="nil"/>
              <w:left w:val="nil"/>
              <w:bottom w:val="single" w:sz="4" w:space="0" w:color="auto"/>
              <w:right w:val="double" w:sz="6" w:space="0" w:color="auto"/>
            </w:tcBorders>
            <w:shd w:val="clear" w:color="auto" w:fill="auto"/>
            <w:noWrap/>
            <w:vAlign w:val="center"/>
            <w:hideMark/>
          </w:tcPr>
          <w:p w14:paraId="7F6FB15A" w14:textId="77777777" w:rsidR="00E5194C" w:rsidRPr="00C6712A" w:rsidRDefault="00E5194C" w:rsidP="00E5194C">
            <w:pPr>
              <w:spacing w:after="0"/>
              <w:ind w:firstLine="0"/>
              <w:contextualSpacing/>
              <w:jc w:val="right"/>
              <w:rPr>
                <w:color w:val="000000"/>
                <w:sz w:val="20"/>
              </w:rPr>
            </w:pPr>
            <w:r w:rsidRPr="00C6712A">
              <w:rPr>
                <w:color w:val="000000"/>
                <w:sz w:val="20"/>
              </w:rPr>
              <w:t>100.0%</w:t>
            </w:r>
          </w:p>
        </w:tc>
        <w:tc>
          <w:tcPr>
            <w:tcW w:w="833" w:type="dxa"/>
            <w:tcBorders>
              <w:top w:val="nil"/>
              <w:left w:val="nil"/>
              <w:bottom w:val="single" w:sz="4" w:space="0" w:color="auto"/>
              <w:right w:val="single" w:sz="4" w:space="0" w:color="auto"/>
            </w:tcBorders>
            <w:shd w:val="clear" w:color="auto" w:fill="auto"/>
            <w:noWrap/>
            <w:vAlign w:val="center"/>
            <w:hideMark/>
          </w:tcPr>
          <w:p w14:paraId="7AF3B9A3" w14:textId="77777777" w:rsidR="00E5194C" w:rsidRPr="00C6712A" w:rsidRDefault="00E5194C" w:rsidP="00E5194C">
            <w:pPr>
              <w:spacing w:after="0"/>
              <w:ind w:firstLine="0"/>
              <w:contextualSpacing/>
              <w:jc w:val="right"/>
              <w:rPr>
                <w:color w:val="000000"/>
                <w:sz w:val="20"/>
              </w:rPr>
            </w:pPr>
            <w:r w:rsidRPr="00C6712A">
              <w:rPr>
                <w:color w:val="000000"/>
                <w:sz w:val="20"/>
              </w:rPr>
              <w:t>94.7%</w:t>
            </w:r>
          </w:p>
        </w:tc>
        <w:tc>
          <w:tcPr>
            <w:tcW w:w="833" w:type="dxa"/>
            <w:tcBorders>
              <w:top w:val="nil"/>
              <w:left w:val="nil"/>
              <w:bottom w:val="single" w:sz="4" w:space="0" w:color="auto"/>
              <w:right w:val="single" w:sz="4" w:space="0" w:color="auto"/>
            </w:tcBorders>
            <w:shd w:val="clear" w:color="auto" w:fill="auto"/>
            <w:noWrap/>
            <w:vAlign w:val="center"/>
            <w:hideMark/>
          </w:tcPr>
          <w:p w14:paraId="73258A70" w14:textId="77777777" w:rsidR="00E5194C" w:rsidRPr="00C6712A" w:rsidRDefault="00E5194C" w:rsidP="00E5194C">
            <w:pPr>
              <w:spacing w:after="0"/>
              <w:ind w:firstLine="0"/>
              <w:contextualSpacing/>
              <w:jc w:val="right"/>
              <w:rPr>
                <w:color w:val="000000"/>
                <w:sz w:val="20"/>
              </w:rPr>
            </w:pPr>
            <w:r w:rsidRPr="00C6712A">
              <w:rPr>
                <w:color w:val="000000"/>
                <w:sz w:val="20"/>
              </w:rPr>
              <w:t>5.3%</w:t>
            </w:r>
          </w:p>
        </w:tc>
        <w:tc>
          <w:tcPr>
            <w:tcW w:w="833" w:type="dxa"/>
            <w:tcBorders>
              <w:top w:val="nil"/>
              <w:left w:val="nil"/>
              <w:bottom w:val="single" w:sz="4" w:space="0" w:color="auto"/>
              <w:right w:val="double" w:sz="6" w:space="0" w:color="auto"/>
            </w:tcBorders>
            <w:shd w:val="clear" w:color="auto" w:fill="auto"/>
            <w:noWrap/>
            <w:vAlign w:val="center"/>
            <w:hideMark/>
          </w:tcPr>
          <w:p w14:paraId="023CDE02" w14:textId="77777777" w:rsidR="00E5194C" w:rsidRPr="00C6712A" w:rsidRDefault="00E5194C" w:rsidP="00E5194C">
            <w:pPr>
              <w:spacing w:after="0"/>
              <w:ind w:firstLine="0"/>
              <w:contextualSpacing/>
              <w:jc w:val="right"/>
              <w:rPr>
                <w:color w:val="000000"/>
                <w:sz w:val="20"/>
              </w:rPr>
            </w:pPr>
            <w:r w:rsidRPr="00C6712A">
              <w:rPr>
                <w:color w:val="000000"/>
                <w:sz w:val="20"/>
              </w:rPr>
              <w:t>100.0%</w:t>
            </w:r>
          </w:p>
        </w:tc>
      </w:tr>
      <w:tr w:rsidR="00E5194C" w:rsidRPr="00C6712A" w14:paraId="54A0C096" w14:textId="77777777" w:rsidTr="00453931">
        <w:trPr>
          <w:cantSplit/>
          <w:trHeight w:val="20"/>
          <w:jc w:val="center"/>
        </w:trPr>
        <w:tc>
          <w:tcPr>
            <w:tcW w:w="682" w:type="dxa"/>
            <w:vMerge/>
            <w:tcBorders>
              <w:top w:val="nil"/>
              <w:left w:val="double" w:sz="6" w:space="0" w:color="auto"/>
              <w:bottom w:val="double" w:sz="6" w:space="0" w:color="000000"/>
              <w:right w:val="double" w:sz="6" w:space="0" w:color="auto"/>
            </w:tcBorders>
            <w:vAlign w:val="center"/>
            <w:hideMark/>
          </w:tcPr>
          <w:p w14:paraId="2DE30892" w14:textId="77777777" w:rsidR="00E5194C" w:rsidRPr="00C6712A" w:rsidRDefault="00E5194C" w:rsidP="00E5194C">
            <w:pPr>
              <w:spacing w:after="0"/>
              <w:ind w:firstLine="0"/>
              <w:contextualSpacing/>
              <w:rPr>
                <w:b/>
                <w:bCs/>
                <w:color w:val="000000"/>
                <w:sz w:val="20"/>
              </w:rPr>
            </w:pPr>
          </w:p>
        </w:tc>
        <w:tc>
          <w:tcPr>
            <w:tcW w:w="2288" w:type="dxa"/>
            <w:tcBorders>
              <w:top w:val="nil"/>
              <w:left w:val="nil"/>
              <w:bottom w:val="double" w:sz="6" w:space="0" w:color="auto"/>
              <w:right w:val="double" w:sz="6" w:space="0" w:color="auto"/>
            </w:tcBorders>
            <w:shd w:val="clear" w:color="auto" w:fill="auto"/>
            <w:vAlign w:val="center"/>
            <w:hideMark/>
          </w:tcPr>
          <w:p w14:paraId="79CC9025" w14:textId="77777777" w:rsidR="00E5194C" w:rsidRPr="00C6712A" w:rsidRDefault="00E5194C" w:rsidP="00E5194C">
            <w:pPr>
              <w:spacing w:after="0"/>
              <w:ind w:firstLine="0"/>
              <w:contextualSpacing/>
              <w:rPr>
                <w:color w:val="000000"/>
                <w:sz w:val="20"/>
              </w:rPr>
            </w:pPr>
            <w:r w:rsidRPr="00C6712A">
              <w:rPr>
                <w:color w:val="000000"/>
                <w:sz w:val="20"/>
              </w:rPr>
              <w:t>Total</w:t>
            </w:r>
          </w:p>
        </w:tc>
        <w:tc>
          <w:tcPr>
            <w:tcW w:w="833" w:type="dxa"/>
            <w:tcBorders>
              <w:top w:val="nil"/>
              <w:left w:val="nil"/>
              <w:bottom w:val="double" w:sz="6" w:space="0" w:color="auto"/>
              <w:right w:val="single" w:sz="4" w:space="0" w:color="auto"/>
            </w:tcBorders>
            <w:shd w:val="clear" w:color="auto" w:fill="auto"/>
            <w:noWrap/>
            <w:vAlign w:val="center"/>
            <w:hideMark/>
          </w:tcPr>
          <w:p w14:paraId="37C2C3BE" w14:textId="77777777" w:rsidR="00E5194C" w:rsidRPr="00C6712A" w:rsidRDefault="00E5194C" w:rsidP="00E5194C">
            <w:pPr>
              <w:spacing w:after="0"/>
              <w:ind w:firstLine="0"/>
              <w:contextualSpacing/>
              <w:jc w:val="right"/>
              <w:rPr>
                <w:color w:val="000000"/>
                <w:sz w:val="20"/>
              </w:rPr>
            </w:pPr>
            <w:r w:rsidRPr="00C6712A">
              <w:rPr>
                <w:color w:val="000000"/>
                <w:sz w:val="20"/>
              </w:rPr>
              <w:t>70.6%</w:t>
            </w:r>
          </w:p>
        </w:tc>
        <w:tc>
          <w:tcPr>
            <w:tcW w:w="833" w:type="dxa"/>
            <w:tcBorders>
              <w:top w:val="nil"/>
              <w:left w:val="nil"/>
              <w:bottom w:val="double" w:sz="6" w:space="0" w:color="auto"/>
              <w:right w:val="single" w:sz="4" w:space="0" w:color="auto"/>
            </w:tcBorders>
            <w:shd w:val="clear" w:color="auto" w:fill="auto"/>
            <w:noWrap/>
            <w:vAlign w:val="center"/>
            <w:hideMark/>
          </w:tcPr>
          <w:p w14:paraId="45DC23DE" w14:textId="77777777" w:rsidR="00E5194C" w:rsidRPr="00C6712A" w:rsidRDefault="00E5194C" w:rsidP="00E5194C">
            <w:pPr>
              <w:spacing w:after="0"/>
              <w:ind w:firstLine="0"/>
              <w:contextualSpacing/>
              <w:jc w:val="right"/>
              <w:rPr>
                <w:color w:val="000000"/>
                <w:sz w:val="20"/>
              </w:rPr>
            </w:pPr>
            <w:r w:rsidRPr="00C6712A">
              <w:rPr>
                <w:color w:val="000000"/>
                <w:sz w:val="20"/>
              </w:rPr>
              <w:t>29.4%</w:t>
            </w:r>
          </w:p>
        </w:tc>
        <w:tc>
          <w:tcPr>
            <w:tcW w:w="833" w:type="dxa"/>
            <w:tcBorders>
              <w:top w:val="nil"/>
              <w:left w:val="nil"/>
              <w:bottom w:val="double" w:sz="6" w:space="0" w:color="auto"/>
              <w:right w:val="double" w:sz="6" w:space="0" w:color="auto"/>
            </w:tcBorders>
            <w:shd w:val="clear" w:color="auto" w:fill="auto"/>
            <w:noWrap/>
            <w:vAlign w:val="center"/>
            <w:hideMark/>
          </w:tcPr>
          <w:p w14:paraId="2958DF4E" w14:textId="77777777" w:rsidR="00E5194C" w:rsidRPr="00C6712A" w:rsidRDefault="00E5194C" w:rsidP="00E5194C">
            <w:pPr>
              <w:spacing w:after="0"/>
              <w:ind w:firstLine="0"/>
              <w:contextualSpacing/>
              <w:jc w:val="right"/>
              <w:rPr>
                <w:color w:val="000000"/>
                <w:sz w:val="20"/>
              </w:rPr>
            </w:pPr>
            <w:r w:rsidRPr="00C6712A">
              <w:rPr>
                <w:color w:val="000000"/>
                <w:sz w:val="20"/>
              </w:rPr>
              <w:t>100.0%</w:t>
            </w:r>
          </w:p>
        </w:tc>
        <w:tc>
          <w:tcPr>
            <w:tcW w:w="833" w:type="dxa"/>
            <w:tcBorders>
              <w:top w:val="nil"/>
              <w:left w:val="nil"/>
              <w:bottom w:val="double" w:sz="6" w:space="0" w:color="auto"/>
              <w:right w:val="single" w:sz="4" w:space="0" w:color="auto"/>
            </w:tcBorders>
            <w:shd w:val="clear" w:color="auto" w:fill="auto"/>
            <w:noWrap/>
            <w:vAlign w:val="center"/>
            <w:hideMark/>
          </w:tcPr>
          <w:p w14:paraId="517B7D24" w14:textId="77777777" w:rsidR="00E5194C" w:rsidRPr="00C6712A" w:rsidRDefault="00E5194C" w:rsidP="00E5194C">
            <w:pPr>
              <w:spacing w:after="0"/>
              <w:ind w:firstLine="0"/>
              <w:contextualSpacing/>
              <w:jc w:val="right"/>
              <w:rPr>
                <w:color w:val="000000"/>
                <w:sz w:val="20"/>
              </w:rPr>
            </w:pPr>
            <w:r w:rsidRPr="00C6712A">
              <w:rPr>
                <w:color w:val="000000"/>
                <w:sz w:val="20"/>
              </w:rPr>
              <w:t>90.2%</w:t>
            </w:r>
          </w:p>
        </w:tc>
        <w:tc>
          <w:tcPr>
            <w:tcW w:w="833" w:type="dxa"/>
            <w:tcBorders>
              <w:top w:val="nil"/>
              <w:left w:val="nil"/>
              <w:bottom w:val="double" w:sz="6" w:space="0" w:color="auto"/>
              <w:right w:val="single" w:sz="4" w:space="0" w:color="auto"/>
            </w:tcBorders>
            <w:shd w:val="clear" w:color="auto" w:fill="auto"/>
            <w:noWrap/>
            <w:vAlign w:val="center"/>
            <w:hideMark/>
          </w:tcPr>
          <w:p w14:paraId="097CA4B3" w14:textId="77777777" w:rsidR="00E5194C" w:rsidRPr="00C6712A" w:rsidRDefault="00E5194C" w:rsidP="00E5194C">
            <w:pPr>
              <w:spacing w:after="0"/>
              <w:ind w:firstLine="0"/>
              <w:contextualSpacing/>
              <w:jc w:val="right"/>
              <w:rPr>
                <w:color w:val="000000"/>
                <w:sz w:val="20"/>
              </w:rPr>
            </w:pPr>
            <w:r w:rsidRPr="00C6712A">
              <w:rPr>
                <w:color w:val="000000"/>
                <w:sz w:val="20"/>
              </w:rPr>
              <w:t>9.8%</w:t>
            </w:r>
          </w:p>
        </w:tc>
        <w:tc>
          <w:tcPr>
            <w:tcW w:w="833" w:type="dxa"/>
            <w:tcBorders>
              <w:top w:val="nil"/>
              <w:left w:val="nil"/>
              <w:bottom w:val="double" w:sz="6" w:space="0" w:color="auto"/>
              <w:right w:val="double" w:sz="6" w:space="0" w:color="auto"/>
            </w:tcBorders>
            <w:shd w:val="clear" w:color="auto" w:fill="auto"/>
            <w:noWrap/>
            <w:vAlign w:val="center"/>
            <w:hideMark/>
          </w:tcPr>
          <w:p w14:paraId="0DC7199B" w14:textId="77777777" w:rsidR="00E5194C" w:rsidRPr="00C6712A" w:rsidRDefault="00E5194C" w:rsidP="00E5194C">
            <w:pPr>
              <w:spacing w:after="0"/>
              <w:ind w:firstLine="0"/>
              <w:contextualSpacing/>
              <w:jc w:val="right"/>
              <w:rPr>
                <w:color w:val="000000"/>
                <w:sz w:val="20"/>
              </w:rPr>
            </w:pPr>
            <w:r w:rsidRPr="00C6712A">
              <w:rPr>
                <w:color w:val="000000"/>
                <w:sz w:val="20"/>
              </w:rPr>
              <w:t>100.0%</w:t>
            </w:r>
          </w:p>
        </w:tc>
        <w:tc>
          <w:tcPr>
            <w:tcW w:w="833" w:type="dxa"/>
            <w:tcBorders>
              <w:top w:val="nil"/>
              <w:left w:val="nil"/>
              <w:bottom w:val="double" w:sz="6" w:space="0" w:color="auto"/>
              <w:right w:val="single" w:sz="4" w:space="0" w:color="auto"/>
            </w:tcBorders>
            <w:shd w:val="clear" w:color="auto" w:fill="auto"/>
            <w:noWrap/>
            <w:vAlign w:val="center"/>
            <w:hideMark/>
          </w:tcPr>
          <w:p w14:paraId="2A2E1A17" w14:textId="77777777" w:rsidR="00E5194C" w:rsidRPr="00C6712A" w:rsidRDefault="00E5194C" w:rsidP="00E5194C">
            <w:pPr>
              <w:spacing w:after="0"/>
              <w:ind w:firstLine="0"/>
              <w:contextualSpacing/>
              <w:jc w:val="right"/>
              <w:rPr>
                <w:color w:val="000000"/>
                <w:sz w:val="20"/>
              </w:rPr>
            </w:pPr>
            <w:r w:rsidRPr="00C6712A">
              <w:rPr>
                <w:color w:val="000000"/>
                <w:sz w:val="20"/>
              </w:rPr>
              <w:t>81.5%</w:t>
            </w:r>
          </w:p>
        </w:tc>
        <w:tc>
          <w:tcPr>
            <w:tcW w:w="833" w:type="dxa"/>
            <w:tcBorders>
              <w:top w:val="nil"/>
              <w:left w:val="nil"/>
              <w:bottom w:val="double" w:sz="6" w:space="0" w:color="auto"/>
              <w:right w:val="single" w:sz="4" w:space="0" w:color="auto"/>
            </w:tcBorders>
            <w:shd w:val="clear" w:color="auto" w:fill="auto"/>
            <w:noWrap/>
            <w:vAlign w:val="center"/>
            <w:hideMark/>
          </w:tcPr>
          <w:p w14:paraId="45ABA279" w14:textId="77777777" w:rsidR="00E5194C" w:rsidRPr="00C6712A" w:rsidRDefault="00E5194C" w:rsidP="00E5194C">
            <w:pPr>
              <w:spacing w:after="0"/>
              <w:ind w:firstLine="0"/>
              <w:contextualSpacing/>
              <w:jc w:val="right"/>
              <w:rPr>
                <w:color w:val="000000"/>
                <w:sz w:val="20"/>
              </w:rPr>
            </w:pPr>
            <w:r w:rsidRPr="00C6712A">
              <w:rPr>
                <w:color w:val="000000"/>
                <w:sz w:val="20"/>
              </w:rPr>
              <w:t>18.5%</w:t>
            </w:r>
          </w:p>
        </w:tc>
        <w:tc>
          <w:tcPr>
            <w:tcW w:w="833" w:type="dxa"/>
            <w:tcBorders>
              <w:top w:val="nil"/>
              <w:left w:val="nil"/>
              <w:bottom w:val="double" w:sz="6" w:space="0" w:color="auto"/>
              <w:right w:val="double" w:sz="6" w:space="0" w:color="auto"/>
            </w:tcBorders>
            <w:shd w:val="clear" w:color="auto" w:fill="auto"/>
            <w:noWrap/>
            <w:vAlign w:val="center"/>
            <w:hideMark/>
          </w:tcPr>
          <w:p w14:paraId="6484C5AF" w14:textId="77777777" w:rsidR="00E5194C" w:rsidRPr="00C6712A" w:rsidRDefault="00E5194C" w:rsidP="00E5194C">
            <w:pPr>
              <w:spacing w:after="0"/>
              <w:ind w:firstLine="0"/>
              <w:contextualSpacing/>
              <w:jc w:val="right"/>
              <w:rPr>
                <w:color w:val="000000"/>
                <w:sz w:val="20"/>
              </w:rPr>
            </w:pPr>
            <w:r w:rsidRPr="00C6712A">
              <w:rPr>
                <w:color w:val="000000"/>
                <w:sz w:val="20"/>
              </w:rPr>
              <w:t>100.0%</w:t>
            </w:r>
          </w:p>
        </w:tc>
      </w:tr>
    </w:tbl>
    <w:p w14:paraId="17772880" w14:textId="51EE13A2" w:rsidR="00E5194C" w:rsidRPr="00C6712A" w:rsidRDefault="00E5194C" w:rsidP="00994F96"/>
    <w:p w14:paraId="3573FF86" w14:textId="3B532AC0" w:rsidR="00E5194C" w:rsidRPr="00C6712A" w:rsidRDefault="00E5194C">
      <w:pPr>
        <w:spacing w:after="200" w:line="276" w:lineRule="auto"/>
        <w:ind w:firstLine="0"/>
        <w:jc w:val="left"/>
      </w:pPr>
      <w:r w:rsidRPr="00C6712A">
        <w:br w:type="page"/>
      </w:r>
    </w:p>
    <w:p w14:paraId="563B6531" w14:textId="284199B1" w:rsidR="00646FCE" w:rsidRPr="00C6712A" w:rsidRDefault="00D36E59" w:rsidP="007356FF">
      <w:pPr>
        <w:pStyle w:val="Heading1"/>
        <w:spacing w:before="0" w:after="0"/>
      </w:pPr>
      <w:bookmarkStart w:id="6" w:name="_Ref1571955"/>
      <w:r w:rsidRPr="00C6712A">
        <w:lastRenderedPageBreak/>
        <w:t>Methodology</w:t>
      </w:r>
      <w:bookmarkEnd w:id="6"/>
    </w:p>
    <w:p w14:paraId="3BFFDA1C" w14:textId="29D0F1B4" w:rsidR="003B012E" w:rsidRPr="00C6712A" w:rsidRDefault="000A4F2A" w:rsidP="007356FF">
      <w:pPr>
        <w:spacing w:after="0"/>
        <w:ind w:firstLine="0"/>
      </w:pPr>
      <w:r w:rsidRPr="00C6712A">
        <w:t xml:space="preserve">In </w:t>
      </w:r>
      <w:r w:rsidR="00514716" w:rsidRPr="00C6712A">
        <w:t>this study</w:t>
      </w:r>
      <w:r w:rsidRPr="00C6712A">
        <w:t xml:space="preserve">, </w:t>
      </w:r>
      <w:r w:rsidR="0005747C" w:rsidRPr="00C6712A">
        <w:t xml:space="preserve">changes in </w:t>
      </w:r>
      <w:r w:rsidRPr="00C6712A">
        <w:t xml:space="preserve">ride-hailing </w:t>
      </w:r>
      <w:r w:rsidR="0005747C" w:rsidRPr="00C6712A">
        <w:t xml:space="preserve">frequencies over time </w:t>
      </w:r>
      <w:r w:rsidR="00514716" w:rsidRPr="00C6712A">
        <w:t xml:space="preserve">are considered to be driven by </w:t>
      </w:r>
      <w:r w:rsidR="0005747C" w:rsidRPr="00C6712A">
        <w:t xml:space="preserve">three main </w:t>
      </w:r>
      <w:r w:rsidR="00514716" w:rsidRPr="00C6712A">
        <w:t>factors</w:t>
      </w:r>
      <w:r w:rsidR="0005747C" w:rsidRPr="00C6712A">
        <w:t>: (a) economic changes (</w:t>
      </w:r>
      <w:r w:rsidR="0005747C" w:rsidRPr="00C6712A">
        <w:rPr>
          <w:i/>
        </w:rPr>
        <w:t>i.e.</w:t>
      </w:r>
      <w:r w:rsidR="00514716" w:rsidRPr="00C6712A">
        <w:rPr>
          <w:iCs/>
        </w:rPr>
        <w:t>,</w:t>
      </w:r>
      <w:r w:rsidR="0005747C" w:rsidRPr="00C6712A">
        <w:t xml:space="preserve"> changes in living expenses, </w:t>
      </w:r>
      <w:r w:rsidR="008F2351" w:rsidRPr="00C6712A">
        <w:t>inflation, true purchasing power</w:t>
      </w:r>
      <w:r w:rsidR="0005747C" w:rsidRPr="00C6712A">
        <w:t xml:space="preserve">, </w:t>
      </w:r>
      <w:r w:rsidR="00514716" w:rsidRPr="00C6712A">
        <w:t>technology pricing</w:t>
      </w:r>
      <w:r w:rsidR="0005747C" w:rsidRPr="00C6712A">
        <w:t xml:space="preserve">), (b) changes in </w:t>
      </w:r>
      <w:r w:rsidR="00514716" w:rsidRPr="00C6712A">
        <w:t>population socio-economic and demographic</w:t>
      </w:r>
      <w:r w:rsidR="0005747C" w:rsidRPr="00C6712A">
        <w:t xml:space="preserve"> characteristics, and (c) the “true”</w:t>
      </w:r>
      <w:r w:rsidR="00514716" w:rsidRPr="00C6712A">
        <w:t xml:space="preserve"> intrinsic</w:t>
      </w:r>
      <w:r w:rsidR="0005747C" w:rsidRPr="00C6712A">
        <w:t xml:space="preserve"> change in the willingness to adopt and use ride-hailing services. </w:t>
      </w:r>
      <w:r w:rsidR="00F252DF" w:rsidRPr="00C6712A">
        <w:t xml:space="preserve">For </w:t>
      </w:r>
      <w:r w:rsidR="00514716" w:rsidRPr="00C6712A">
        <w:t xml:space="preserve">this </w:t>
      </w:r>
      <w:r w:rsidR="00F252DF" w:rsidRPr="00C6712A">
        <w:t xml:space="preserve">analysis, </w:t>
      </w:r>
      <w:r w:rsidR="00514716" w:rsidRPr="00C6712A">
        <w:t xml:space="preserve">it is </w:t>
      </w:r>
      <w:r w:rsidR="00F252DF" w:rsidRPr="00C6712A">
        <w:t>assume</w:t>
      </w:r>
      <w:r w:rsidR="00514716" w:rsidRPr="00C6712A">
        <w:t>d</w:t>
      </w:r>
      <w:r w:rsidR="00F252DF" w:rsidRPr="00C6712A">
        <w:t xml:space="preserve"> </w:t>
      </w:r>
      <w:r w:rsidR="0005747C" w:rsidRPr="00C6712A">
        <w:t xml:space="preserve">that there </w:t>
      </w:r>
      <w:r w:rsidR="00514716" w:rsidRPr="00C6712A">
        <w:t>are</w:t>
      </w:r>
      <w:r w:rsidR="0005747C" w:rsidRPr="00C6712A">
        <w:t xml:space="preserve"> no significant economic changes</w:t>
      </w:r>
      <w:r w:rsidR="00514716" w:rsidRPr="00C6712A">
        <w:t xml:space="preserve"> </w:t>
      </w:r>
      <w:r w:rsidR="00EF2239" w:rsidRPr="00C6712A">
        <w:t xml:space="preserve">in the Puget Sound Region </w:t>
      </w:r>
      <w:r w:rsidR="0005747C" w:rsidRPr="00C6712A">
        <w:t>between 2015 and 2017</w:t>
      </w:r>
      <w:r w:rsidR="00514716" w:rsidRPr="00C6712A">
        <w:t>,</w:t>
      </w:r>
      <w:r w:rsidR="0005747C" w:rsidRPr="00C6712A">
        <w:t xml:space="preserve"> given the short time span</w:t>
      </w:r>
      <w:r w:rsidR="005C7760" w:rsidRPr="00C6712A">
        <w:t xml:space="preserve"> between the two survey</w:t>
      </w:r>
      <w:r w:rsidR="00514716" w:rsidRPr="00C6712A">
        <w:t>s</w:t>
      </w:r>
      <w:r w:rsidR="00F252DF" w:rsidRPr="00C6712A">
        <w:t>.</w:t>
      </w:r>
      <w:r w:rsidR="00001219" w:rsidRPr="00C6712A">
        <w:t xml:space="preserve"> </w:t>
      </w:r>
      <w:r w:rsidR="00F252DF" w:rsidRPr="00C6712A">
        <w:t xml:space="preserve">Further, </w:t>
      </w:r>
      <w:r w:rsidR="00685748" w:rsidRPr="00C6712A">
        <w:t>to accurately quantify changes in ride-hailing due to</w:t>
      </w:r>
      <w:r w:rsidR="009D0A25" w:rsidRPr="00C6712A">
        <w:t xml:space="preserve"> respondent’s characteristics and the passage of time, </w:t>
      </w:r>
      <w:r w:rsidR="00514716" w:rsidRPr="00C6712A">
        <w:t>the modeling approach teases</w:t>
      </w:r>
      <w:r w:rsidR="00F252DF" w:rsidRPr="00C6712A">
        <w:t xml:space="preserve"> out any potential confounding effects </w:t>
      </w:r>
      <w:r w:rsidR="00514716" w:rsidRPr="00C6712A">
        <w:t>due to</w:t>
      </w:r>
      <w:r w:rsidR="00F252DF" w:rsidRPr="00C6712A">
        <w:t xml:space="preserve"> sampling differences </w:t>
      </w:r>
      <w:r w:rsidR="00514716" w:rsidRPr="00C6712A">
        <w:t>between</w:t>
      </w:r>
      <w:r w:rsidR="00F252DF" w:rsidRPr="00C6712A">
        <w:t xml:space="preserve"> the years and </w:t>
      </w:r>
      <w:r w:rsidR="00D477E6" w:rsidRPr="00C6712A">
        <w:t>isolate</w:t>
      </w:r>
      <w:r w:rsidR="00514716" w:rsidRPr="00C6712A">
        <w:t>s</w:t>
      </w:r>
      <w:r w:rsidR="00F252DF" w:rsidRPr="00C6712A">
        <w:t xml:space="preserve"> effects </w:t>
      </w:r>
      <w:r w:rsidR="00514716" w:rsidRPr="00C6712A">
        <w:t>of</w:t>
      </w:r>
      <w:r w:rsidR="00F252DF" w:rsidRPr="00C6712A">
        <w:t xml:space="preserve"> respondent characteristics</w:t>
      </w:r>
      <w:r w:rsidR="009D0A25" w:rsidRPr="00C6712A">
        <w:t xml:space="preserve"> </w:t>
      </w:r>
      <w:r w:rsidR="00514716" w:rsidRPr="00C6712A">
        <w:t>from the</w:t>
      </w:r>
      <w:r w:rsidR="00F252DF" w:rsidRPr="00C6712A">
        <w:t xml:space="preserve"> “true” change over time. </w:t>
      </w:r>
    </w:p>
    <w:p w14:paraId="4DA8727E" w14:textId="08858ED9" w:rsidR="007356FF" w:rsidRDefault="006929F7" w:rsidP="007356FF">
      <w:pPr>
        <w:spacing w:after="0"/>
      </w:pPr>
      <w:r>
        <w:t>T</w:t>
      </w:r>
      <w:r w:rsidR="00F252DF" w:rsidRPr="00C6712A">
        <w:t>h</w:t>
      </w:r>
      <w:r w:rsidR="00514716" w:rsidRPr="00C6712A">
        <w:t>e</w:t>
      </w:r>
      <w:r w:rsidR="00F252DF" w:rsidRPr="00C6712A">
        <w:t xml:space="preserve"> </w:t>
      </w:r>
      <w:r w:rsidR="00372D1D" w:rsidRPr="00C6712A">
        <w:t xml:space="preserve">third factor – the </w:t>
      </w:r>
      <w:r w:rsidR="00F252DF" w:rsidRPr="00C6712A">
        <w:t>“true” change</w:t>
      </w:r>
      <w:r w:rsidR="007B52FC" w:rsidRPr="00C6712A">
        <w:t xml:space="preserve"> over time</w:t>
      </w:r>
      <w:r>
        <w:t xml:space="preserve"> – may be due to three causes</w:t>
      </w:r>
      <w:r w:rsidR="00F252DF" w:rsidRPr="00C6712A">
        <w:t xml:space="preserve">. The first </w:t>
      </w:r>
      <w:r w:rsidR="00D1209D" w:rsidRPr="00C6712A">
        <w:t>c</w:t>
      </w:r>
      <w:r w:rsidR="002633AD" w:rsidRPr="00C6712A">
        <w:t>ause</w:t>
      </w:r>
      <w:r w:rsidR="00F252DF" w:rsidRPr="00C6712A">
        <w:t xml:space="preserve"> </w:t>
      </w:r>
      <w:r w:rsidR="002633AD" w:rsidRPr="00C6712A">
        <w:t>is</w:t>
      </w:r>
      <w:r w:rsidR="00D1209D" w:rsidRPr="00C6712A">
        <w:t xml:space="preserve"> </w:t>
      </w:r>
      <w:r w:rsidR="00F252DF" w:rsidRPr="00C6712A">
        <w:t>related to marketing strategies employed by ride-hailing companies</w:t>
      </w:r>
      <w:r w:rsidR="00D1209D" w:rsidRPr="00C6712A">
        <w:t>.</w:t>
      </w:r>
      <w:r w:rsidR="00F252DF" w:rsidRPr="00C6712A">
        <w:t xml:space="preserve"> </w:t>
      </w:r>
      <w:r w:rsidR="00D1209D" w:rsidRPr="00C6712A">
        <w:t>A</w:t>
      </w:r>
      <w:r w:rsidR="00F252DF" w:rsidRPr="00C6712A">
        <w:t xml:space="preserve">s </w:t>
      </w:r>
      <w:r w:rsidR="00514716" w:rsidRPr="00C6712A">
        <w:t>companies such as Uber and Lyft</w:t>
      </w:r>
      <w:r w:rsidR="00F252DF" w:rsidRPr="00C6712A">
        <w:t xml:space="preserve"> try to increase</w:t>
      </w:r>
      <w:r w:rsidR="00F44AF1" w:rsidRPr="00C6712A">
        <w:t xml:space="preserve"> their</w:t>
      </w:r>
      <w:r w:rsidR="00F252DF" w:rsidRPr="00C6712A">
        <w:t xml:space="preserve"> </w:t>
      </w:r>
      <w:r w:rsidR="00D1209D" w:rsidRPr="00C6712A">
        <w:t xml:space="preserve">client bases, </w:t>
      </w:r>
      <w:r w:rsidR="00514716" w:rsidRPr="00C6712A">
        <w:t>they</w:t>
      </w:r>
      <w:r w:rsidR="00F252DF" w:rsidRPr="00C6712A">
        <w:t xml:space="preserve"> </w:t>
      </w:r>
      <w:r w:rsidR="00D1209D" w:rsidRPr="00C6712A">
        <w:t xml:space="preserve">use marketing strategies to </w:t>
      </w:r>
      <w:r w:rsidR="000E22C3" w:rsidRPr="00C6712A">
        <w:t xml:space="preserve">make their product </w:t>
      </w:r>
      <w:r w:rsidR="00E04194" w:rsidRPr="00C6712A">
        <w:t>more</w:t>
      </w:r>
      <w:r w:rsidR="000E22C3" w:rsidRPr="00C6712A">
        <w:t xml:space="preserve"> known to an ever-growing </w:t>
      </w:r>
      <w:r w:rsidR="00E04194" w:rsidRPr="00C6712A">
        <w:t>segment of the population</w:t>
      </w:r>
      <w:r w:rsidR="00B400A2" w:rsidRPr="00C6712A">
        <w:t xml:space="preserve">. </w:t>
      </w:r>
      <w:r w:rsidR="002633AD" w:rsidRPr="00C6712A">
        <w:t>The second cause is related to service expansion</w:t>
      </w:r>
      <w:r w:rsidR="00E04194" w:rsidRPr="00C6712A">
        <w:t xml:space="preserve"> and enhancement</w:t>
      </w:r>
      <w:r w:rsidR="002633AD" w:rsidRPr="00C6712A">
        <w:t xml:space="preserve"> in ride-hailing. </w:t>
      </w:r>
      <w:r w:rsidR="00B400A2" w:rsidRPr="00C6712A">
        <w:t xml:space="preserve">In the Puget Sound Region, one important service </w:t>
      </w:r>
      <w:r w:rsidR="00E04194" w:rsidRPr="00C6712A">
        <w:t xml:space="preserve">change </w:t>
      </w:r>
      <w:r w:rsidR="00B400A2" w:rsidRPr="00C6712A">
        <w:t xml:space="preserve">that happened between the two survey years was the </w:t>
      </w:r>
      <w:r w:rsidR="00E04194" w:rsidRPr="00C6712A">
        <w:t>launch</w:t>
      </w:r>
      <w:r w:rsidR="00B400A2" w:rsidRPr="00C6712A">
        <w:t xml:space="preserve"> of pooled ride-hailing services, where ride-hailing </w:t>
      </w:r>
      <w:r w:rsidR="00D477E6" w:rsidRPr="00C6712A">
        <w:t>users</w:t>
      </w:r>
      <w:r w:rsidR="00B400A2" w:rsidRPr="00C6712A">
        <w:t xml:space="preserve"> were </w:t>
      </w:r>
      <w:r w:rsidR="00B400A2" w:rsidRPr="00564669">
        <w:t xml:space="preserve">offered a discount </w:t>
      </w:r>
      <w:r w:rsidR="002805A6" w:rsidRPr="00564669">
        <w:t>for</w:t>
      </w:r>
      <w:r w:rsidR="00B400A2" w:rsidRPr="00564669">
        <w:t xml:space="preserve"> sharing a ride with other passengers</w:t>
      </w:r>
      <w:r w:rsidR="00F126D0" w:rsidRPr="00564669">
        <w:t xml:space="preserve"> </w:t>
      </w:r>
      <w:r w:rsidR="00D477E6" w:rsidRPr="00564669">
        <w:t>who had</w:t>
      </w:r>
      <w:r w:rsidR="00F126D0" w:rsidRPr="00564669">
        <w:t xml:space="preserve"> similar pick-up and drop-off </w:t>
      </w:r>
      <w:r w:rsidR="00F126D0" w:rsidRPr="00A34FC7">
        <w:t>locations</w:t>
      </w:r>
      <w:r w:rsidR="00B400A2" w:rsidRPr="00A34FC7">
        <w:t xml:space="preserve"> (</w:t>
      </w:r>
      <w:r w:rsidR="00374974" w:rsidRPr="00A34FC7">
        <w:rPr>
          <w:i/>
        </w:rPr>
        <w:t>37</w:t>
      </w:r>
      <w:r w:rsidR="00374974" w:rsidRPr="00A34FC7">
        <w:t xml:space="preserve">, </w:t>
      </w:r>
      <w:r w:rsidR="00374974" w:rsidRPr="00A34FC7">
        <w:rPr>
          <w:i/>
        </w:rPr>
        <w:t>38</w:t>
      </w:r>
      <w:r w:rsidR="00B400A2" w:rsidRPr="00A34FC7">
        <w:t>).</w:t>
      </w:r>
      <w:r w:rsidR="00B400A2" w:rsidRPr="00564669">
        <w:t xml:space="preserve"> </w:t>
      </w:r>
      <w:r w:rsidR="008A184E" w:rsidRPr="00C6712A">
        <w:t xml:space="preserve">The third and last reason behind this “true” change in ride-hailing behavior is the increased familiarity and comfort people might </w:t>
      </w:r>
      <w:r w:rsidR="002805A6" w:rsidRPr="00C6712A">
        <w:t>feel</w:t>
      </w:r>
      <w:r w:rsidR="008A184E" w:rsidRPr="00C6712A">
        <w:t xml:space="preserve"> as these services bec</w:t>
      </w:r>
      <w:r w:rsidR="002805A6" w:rsidRPr="00C6712A">
        <w:t>ome increasingly commonplace</w:t>
      </w:r>
      <w:r w:rsidR="008A184E" w:rsidRPr="00C6712A">
        <w:t xml:space="preserve">. </w:t>
      </w:r>
      <w:r w:rsidR="002805A6" w:rsidRPr="00C6712A">
        <w:t xml:space="preserve">The analysis presented in this paper </w:t>
      </w:r>
      <w:r w:rsidR="00EF2239" w:rsidRPr="00C6712A">
        <w:t xml:space="preserve">cannot tease out the </w:t>
      </w:r>
      <w:r w:rsidR="00713EA0" w:rsidRPr="00C6712A">
        <w:t xml:space="preserve">independent </w:t>
      </w:r>
      <w:r w:rsidR="00EF2239" w:rsidRPr="00C6712A">
        <w:t>effect</w:t>
      </w:r>
      <w:r w:rsidR="00713EA0" w:rsidRPr="00C6712A">
        <w:t>s</w:t>
      </w:r>
      <w:r w:rsidR="00EF2239" w:rsidRPr="00C6712A">
        <w:t xml:space="preserve"> of each one of these three </w:t>
      </w:r>
      <w:r w:rsidR="00713EA0" w:rsidRPr="00C6712A">
        <w:t>factors</w:t>
      </w:r>
      <w:r w:rsidR="00EF2239" w:rsidRPr="00C6712A">
        <w:t xml:space="preserve">: they are all captured </w:t>
      </w:r>
      <w:r w:rsidR="002805A6" w:rsidRPr="00C6712A">
        <w:t>together as a composite</w:t>
      </w:r>
      <w:r w:rsidR="00EF2239" w:rsidRPr="00C6712A">
        <w:t xml:space="preserve"> “true” effect of </w:t>
      </w:r>
      <w:r w:rsidR="002805A6" w:rsidRPr="00C6712A">
        <w:t xml:space="preserve">the passage of </w:t>
      </w:r>
      <w:r w:rsidR="00EF2239" w:rsidRPr="00C6712A">
        <w:t>time.</w:t>
      </w:r>
    </w:p>
    <w:p w14:paraId="29384944" w14:textId="3E65422C" w:rsidR="00F252DF" w:rsidRDefault="00EF2239" w:rsidP="007356FF">
      <w:pPr>
        <w:spacing w:after="0"/>
      </w:pPr>
      <w:r w:rsidRPr="00C6712A">
        <w:t xml:space="preserve"> </w:t>
      </w:r>
    </w:p>
    <w:p w14:paraId="79720219" w14:textId="30928FF8" w:rsidR="005C187B" w:rsidRPr="00453931" w:rsidRDefault="005C187B" w:rsidP="007356FF">
      <w:pPr>
        <w:spacing w:after="0"/>
        <w:ind w:firstLine="0"/>
        <w:rPr>
          <w:b/>
        </w:rPr>
      </w:pPr>
      <w:r w:rsidRPr="00453931">
        <w:rPr>
          <w:b/>
        </w:rPr>
        <w:t>4.1. Motivation for Modeling Structure</w:t>
      </w:r>
    </w:p>
    <w:p w14:paraId="0F3BB1D2" w14:textId="15213848" w:rsidR="005C187B" w:rsidRPr="00564669" w:rsidRDefault="005C187B" w:rsidP="007356FF">
      <w:pPr>
        <w:spacing w:after="0"/>
        <w:ind w:firstLine="0"/>
      </w:pPr>
      <w:r w:rsidRPr="00C6712A">
        <w:t xml:space="preserve">This section presents the modeling methodology and the approach to computing average treatment effects (ATEs) for quantifying the influence of various factors on ride-hailing service adoption and use. As discussed in the sample description section, respondents in 2017 were generally from households with higher income, more educated, and younger than those in 2015. If the differences between 2015 and 2017 respondents can be completely attributed to such observed variables </w:t>
      </w:r>
      <w:r w:rsidR="00A65652">
        <w:t xml:space="preserve">(that is, observed heterogeneity in the two pools of respondents) </w:t>
      </w:r>
      <w:r w:rsidRPr="00C6712A">
        <w:t>in the surveys, and if there were no other substantial environmental changes between 2015 and 2017, then the “true” change in ride-hailing use may be teased out by combining data from both 2015 and 2017 and estimating a single equation model of ride-hailing use (including a dummy variable for 2017, as well as interactions of this dummy variable with demographics to accommodate observed heterogeneity in the change across demographic groups). However, this approach is not appropriate if there are unobserved individual/household/environment characteristics (that is, characteristics that are not observed in the survey</w:t>
      </w:r>
      <w:r w:rsidR="00A65652">
        <w:t xml:space="preserve">) </w:t>
      </w:r>
      <w:r w:rsidRPr="00C6712A">
        <w:t>that influence ride-hailing use and intrinsically differentiate the pools of 2017 and 2015 respondents</w:t>
      </w:r>
      <w:r w:rsidR="00A65652">
        <w:t xml:space="preserve"> (we will refer to this as unobserved heterogeneity in the two pools of respondents</w:t>
      </w:r>
      <w:r w:rsidR="00A65652" w:rsidRPr="00C6712A">
        <w:t>)</w:t>
      </w:r>
      <w:r w:rsidRPr="00C6712A">
        <w:t xml:space="preserve">. As indicated earlier, for example, the 2017 survey allowed the use of a smartphone app for entering travel diary information. This may have triggered a higher response from tech-savvy individuals in 2017. This unobserved variable (tech-savviness) may contribute, at least in part, to the differences in ride-hailing use between the 2015 and 2017 survey years. If this self-selection effect is not adequately controlled, then the single equation model would yield an inflated estimate on the 2017 dummy variable, as well as inconsistent estimates of the 2017 dummy variable interactions with other demographic variables, leading to inflated estimates of the “true” change </w:t>
      </w:r>
      <w:r w:rsidRPr="00C6712A">
        <w:lastRenderedPageBreak/>
        <w:t xml:space="preserve">in willingness to adopt and use ride-hailing. Similarly, the 2017 survey was accompanied by a Facebook ad drive, which could also have contributed to an intrinsically more tech-savvy sample in 2017. This discussion considered tech-savviness as an example to motivate controlling for potential unobserved factors that render 2017 respondents different from 2015 respondents in a manner that impacts ride-hailing use. However, it is conceivable that there are a number of other such factors or combinations of factors that are unobserved and affect ride-hailing </w:t>
      </w:r>
      <w:r w:rsidRPr="00A34FC7">
        <w:t>usage (</w:t>
      </w:r>
      <w:r w:rsidR="0066399E" w:rsidRPr="00A34FC7">
        <w:rPr>
          <w:i/>
        </w:rPr>
        <w:t>13</w:t>
      </w:r>
      <w:r w:rsidRPr="00A34FC7">
        <w:t>).</w:t>
      </w:r>
      <w:r w:rsidRPr="00564669">
        <w:t xml:space="preserve"> </w:t>
      </w:r>
    </w:p>
    <w:p w14:paraId="0E93CCD0" w14:textId="77777777" w:rsidR="007356FF" w:rsidRPr="00C6712A" w:rsidRDefault="007356FF" w:rsidP="007356FF">
      <w:pPr>
        <w:spacing w:after="0"/>
        <w:ind w:firstLine="0"/>
      </w:pPr>
    </w:p>
    <w:p w14:paraId="22964D5C" w14:textId="0BB6CD9A" w:rsidR="007C4B2E" w:rsidRPr="005A30E3" w:rsidRDefault="00A10F66" w:rsidP="007356FF">
      <w:pPr>
        <w:pStyle w:val="Heading2"/>
        <w:spacing w:before="0" w:after="0"/>
      </w:pPr>
      <w:bookmarkStart w:id="7" w:name="_Ref33006973"/>
      <w:r>
        <w:t xml:space="preserve">The </w:t>
      </w:r>
      <w:r w:rsidR="007356FF">
        <w:t>M</w:t>
      </w:r>
      <w:r>
        <w:t>odel</w:t>
      </w:r>
      <w:bookmarkEnd w:id="7"/>
    </w:p>
    <w:p w14:paraId="5896E9C5" w14:textId="53C9CF67" w:rsidR="007C4B2E" w:rsidRDefault="00341470" w:rsidP="007356FF">
      <w:pPr>
        <w:spacing w:after="0"/>
        <w:ind w:firstLine="0"/>
      </w:pPr>
      <w:r w:rsidRPr="00C6712A">
        <w:t xml:space="preserve">To </w:t>
      </w:r>
      <w:r w:rsidR="003A1681" w:rsidRPr="00C6712A">
        <w:t>control for</w:t>
      </w:r>
      <w:r w:rsidRPr="00C6712A">
        <w:t xml:space="preserve"> </w:t>
      </w:r>
      <w:r w:rsidR="006D42BF" w:rsidRPr="00C6712A">
        <w:t xml:space="preserve">observed and unobserved </w:t>
      </w:r>
      <w:r w:rsidR="00965EB9" w:rsidRPr="00C6712A">
        <w:t xml:space="preserve">changes </w:t>
      </w:r>
      <w:r w:rsidR="003E4FB4" w:rsidRPr="00C6712A">
        <w:t>between</w:t>
      </w:r>
      <w:r w:rsidR="00C21CC7" w:rsidRPr="00C6712A">
        <w:t xml:space="preserve"> survey years</w:t>
      </w:r>
      <w:r w:rsidR="003A1681" w:rsidRPr="00C6712A">
        <w:t xml:space="preserve">, </w:t>
      </w:r>
      <w:r w:rsidR="003E4FB4" w:rsidRPr="00C6712A">
        <w:t>the</w:t>
      </w:r>
      <w:r w:rsidR="00240D77" w:rsidRPr="00C6712A">
        <w:t xml:space="preserve"> </w:t>
      </w:r>
      <w:r w:rsidR="00501427" w:rsidRPr="00C6712A">
        <w:t xml:space="preserve">evolution </w:t>
      </w:r>
      <w:r w:rsidR="00421A9D" w:rsidRPr="00C6712A">
        <w:t xml:space="preserve">of ride-hailing usage </w:t>
      </w:r>
      <w:r w:rsidR="003E4FB4" w:rsidRPr="00C6712A">
        <w:t>is modeled using</w:t>
      </w:r>
      <w:r w:rsidR="00421A9D" w:rsidRPr="00C6712A">
        <w:t xml:space="preserve"> a </w:t>
      </w:r>
      <w:r w:rsidR="00864810" w:rsidRPr="00C6712A">
        <w:t xml:space="preserve">joint binary </w:t>
      </w:r>
      <w:proofErr w:type="spellStart"/>
      <w:r w:rsidR="00864810" w:rsidRPr="00C6712A">
        <w:t>probit</w:t>
      </w:r>
      <w:proofErr w:type="spellEnd"/>
      <w:r w:rsidR="00864810" w:rsidRPr="00C6712A">
        <w:t>-</w:t>
      </w:r>
      <w:r w:rsidR="00501427" w:rsidRPr="00C6712A">
        <w:t xml:space="preserve">ordered </w:t>
      </w:r>
      <w:proofErr w:type="spellStart"/>
      <w:r w:rsidR="00501427" w:rsidRPr="00C6712A">
        <w:t>probit</w:t>
      </w:r>
      <w:proofErr w:type="spellEnd"/>
      <w:r w:rsidR="00501427" w:rsidRPr="00C6712A">
        <w:t xml:space="preserve"> model.</w:t>
      </w:r>
      <w:r w:rsidR="003A1681" w:rsidRPr="00C6712A">
        <w:t xml:space="preserve"> </w:t>
      </w:r>
      <w:r w:rsidR="00F9473A" w:rsidRPr="00C6712A">
        <w:t xml:space="preserve">The first dependent </w:t>
      </w:r>
      <w:r w:rsidR="00E4533E" w:rsidRPr="00C6712A">
        <w:t xml:space="preserve">binary </w:t>
      </w:r>
      <w:r w:rsidR="00F9473A" w:rsidRPr="00C6712A">
        <w:t xml:space="preserve">outcome </w:t>
      </w:r>
      <w:r w:rsidR="00F57FBD" w:rsidRPr="00C6712A">
        <w:t xml:space="preserve">in </w:t>
      </w:r>
      <w:r w:rsidR="00C67E63" w:rsidRPr="00C6712A">
        <w:t xml:space="preserve">the </w:t>
      </w:r>
      <w:r w:rsidR="00F57FBD" w:rsidRPr="00C6712A">
        <w:t>model</w:t>
      </w:r>
      <w:r w:rsidR="00A65652">
        <w:t xml:space="preserve">, </w:t>
      </w:r>
      <w:r w:rsidR="00A65652" w:rsidRPr="002F1266">
        <w:rPr>
          <w:position w:val="-14"/>
        </w:rPr>
        <w:object w:dxaOrig="340" w:dyaOrig="380" w14:anchorId="160C1A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pt;height:18pt" o:ole="">
            <v:imagedata r:id="rId18" o:title=""/>
          </v:shape>
          <o:OLEObject Type="Embed" ProgID="Equation.DSMT4" ShapeID="_x0000_i1025" DrawAspect="Content" ObjectID="_1661610031" r:id="rId19"/>
        </w:object>
      </w:r>
      <w:r w:rsidR="00042DBD">
        <w:t>,</w:t>
      </w:r>
      <w:r w:rsidR="00F57FBD" w:rsidRPr="00C6712A">
        <w:t xml:space="preserve"> </w:t>
      </w:r>
      <w:r w:rsidR="00C67E63" w:rsidRPr="00C6712A">
        <w:t xml:space="preserve">corresponds to </w:t>
      </w:r>
      <w:r w:rsidR="00F9473A" w:rsidRPr="00C6712A">
        <w:t xml:space="preserve">whether </w:t>
      </w:r>
      <w:r w:rsidR="00A65652">
        <w:t xml:space="preserve">an individual </w:t>
      </w:r>
      <w:r w:rsidR="00A65652" w:rsidRPr="00453931">
        <w:rPr>
          <w:i/>
        </w:rPr>
        <w:t>q</w:t>
      </w:r>
      <w:r w:rsidR="00A65652">
        <w:t xml:space="preserve"> belongs to the 2017 dataset </w:t>
      </w:r>
      <w:r w:rsidR="00A65652" w:rsidRPr="00760217">
        <w:rPr>
          <w:position w:val="-14"/>
        </w:rPr>
        <w:object w:dxaOrig="840" w:dyaOrig="380" w14:anchorId="6B5844CC">
          <v:shape id="_x0000_i1026" type="#_x0000_t75" style="width:42pt;height:18pt" o:ole="">
            <v:imagedata r:id="rId20" o:title=""/>
          </v:shape>
          <o:OLEObject Type="Embed" ProgID="Equation.DSMT4" ShapeID="_x0000_i1026" DrawAspect="Content" ObjectID="_1661610032" r:id="rId21"/>
        </w:object>
      </w:r>
      <w:r w:rsidR="00A65652">
        <w:t xml:space="preserve"> </w:t>
      </w:r>
      <w:r w:rsidR="00F9473A" w:rsidRPr="00C6712A">
        <w:t xml:space="preserve">or </w:t>
      </w:r>
      <w:r w:rsidR="00A65652">
        <w:t xml:space="preserve">the 2015 dataset </w:t>
      </w:r>
      <w:r w:rsidR="00A65652" w:rsidRPr="00A65652">
        <w:rPr>
          <w:position w:val="-14"/>
        </w:rPr>
        <w:object w:dxaOrig="880" w:dyaOrig="380" w14:anchorId="3A4676AC">
          <v:shape id="_x0000_i1027" type="#_x0000_t75" style="width:43.7pt;height:18pt" o:ole="">
            <v:imagedata r:id="rId22" o:title=""/>
          </v:shape>
          <o:OLEObject Type="Embed" ProgID="Equation.DSMT4" ShapeID="_x0000_i1027" DrawAspect="Content" ObjectID="_1661610033" r:id="rId23"/>
        </w:object>
      </w:r>
      <w:r w:rsidR="00A65652">
        <w:t xml:space="preserve">, with </w:t>
      </w:r>
      <w:r w:rsidR="007C4B2E">
        <w:t xml:space="preserve">a latent propensity of belonging to the 2017 dataset (denoted by </w:t>
      </w:r>
      <w:r w:rsidR="007C4B2E" w:rsidRPr="00760217">
        <w:rPr>
          <w:position w:val="-14"/>
        </w:rPr>
        <w:object w:dxaOrig="340" w:dyaOrig="400" w14:anchorId="23F11217">
          <v:shape id="_x0000_i1028" type="#_x0000_t75" style="width:16.7pt;height:20.55pt" o:ole="">
            <v:imagedata r:id="rId24" o:title=""/>
          </v:shape>
          <o:OLEObject Type="Embed" ProgID="Equation.DSMT4" ShapeID="_x0000_i1028" DrawAspect="Content" ObjectID="_1661610034" r:id="rId25"/>
        </w:object>
      </w:r>
      <w:r w:rsidR="007C4B2E">
        <w:t xml:space="preserve">) mapping to the observed outcome </w:t>
      </w:r>
      <w:r w:rsidR="007C4B2E" w:rsidRPr="00760217">
        <w:rPr>
          <w:position w:val="-14"/>
        </w:rPr>
        <w:object w:dxaOrig="340" w:dyaOrig="380" w14:anchorId="2561B8B6">
          <v:shape id="_x0000_i1029" type="#_x0000_t75" style="width:16.7pt;height:18pt" o:ole="">
            <v:imagedata r:id="rId18" o:title=""/>
          </v:shape>
          <o:OLEObject Type="Embed" ProgID="Equation.DSMT4" ShapeID="_x0000_i1029" DrawAspect="Content" ObjectID="_1661610035" r:id="rId26"/>
        </w:object>
      </w:r>
      <w:r w:rsidR="006929F7">
        <w:t xml:space="preserve"> </w:t>
      </w:r>
      <w:r w:rsidR="007C4B2E">
        <w:t>in the usual binary choice framework:</w:t>
      </w:r>
    </w:p>
    <w:p w14:paraId="641E13AF" w14:textId="27E17205" w:rsidR="007C4B2E" w:rsidRDefault="00DC7B11" w:rsidP="007356FF">
      <w:pPr>
        <w:spacing w:after="0"/>
        <w:ind w:firstLine="0"/>
      </w:pPr>
      <w:r w:rsidRPr="00453D94">
        <w:rPr>
          <w:position w:val="-34"/>
        </w:rPr>
        <w:object w:dxaOrig="4120" w:dyaOrig="800" w14:anchorId="61A234AA">
          <v:shape id="_x0000_i1030" type="#_x0000_t75" style="width:207pt;height:40.7pt" o:ole="">
            <v:imagedata r:id="rId27" o:title=""/>
          </v:shape>
          <o:OLEObject Type="Embed" ProgID="Equation.DSMT4" ShapeID="_x0000_i1030" DrawAspect="Content" ObjectID="_1661610036" r:id="rId28"/>
        </w:object>
      </w:r>
      <w:r w:rsidR="00E86249">
        <w:tab/>
      </w:r>
      <w:r w:rsidR="00E86249">
        <w:tab/>
      </w:r>
      <w:r w:rsidR="00E86249">
        <w:tab/>
      </w:r>
      <w:r w:rsidR="00E86249">
        <w:tab/>
      </w:r>
      <w:r w:rsidR="00E86249">
        <w:tab/>
      </w:r>
      <w:r w:rsidR="00E86249">
        <w:tab/>
      </w:r>
      <w:r w:rsidR="00E86249">
        <w:tab/>
        <w:t>(1)</w:t>
      </w:r>
    </w:p>
    <w:p w14:paraId="641A11BD" w14:textId="519A18D6" w:rsidR="00E41DC1" w:rsidRDefault="007C4B2E" w:rsidP="007356FF">
      <w:pPr>
        <w:spacing w:after="0"/>
      </w:pPr>
      <w:r>
        <w:t xml:space="preserve">In the above equation, the vector </w:t>
      </w:r>
      <w:r w:rsidRPr="002F1266">
        <w:rPr>
          <w:position w:val="-14"/>
        </w:rPr>
        <w:object w:dxaOrig="340" w:dyaOrig="380" w14:anchorId="0253C70D">
          <v:shape id="_x0000_i1031" type="#_x0000_t75" style="width:16.7pt;height:18pt" o:ole="">
            <v:imagedata r:id="rId29" o:title=""/>
          </v:shape>
          <o:OLEObject Type="Embed" ProgID="Equation.DSMT4" ShapeID="_x0000_i1031" DrawAspect="Content" ObjectID="_1661610037" r:id="rId30"/>
        </w:object>
      </w:r>
      <w:r w:rsidR="007356FF">
        <w:t xml:space="preserve"> </w:t>
      </w:r>
      <w:r>
        <w:t xml:space="preserve">represents a set of observed exogenous individual-level (demographic and other) variables, and the corresponding vector of coefficients </w:t>
      </w:r>
      <w:r w:rsidR="007356FF" w:rsidRPr="00453D94">
        <w:rPr>
          <w:position w:val="-12"/>
        </w:rPr>
        <w:object w:dxaOrig="300" w:dyaOrig="380" w14:anchorId="019DE83A">
          <v:shape id="_x0000_i1032" type="#_x0000_t75" style="width:15pt;height:19.3pt" o:ole="">
            <v:imagedata r:id="rId31" o:title=""/>
          </v:shape>
          <o:OLEObject Type="Embed" ProgID="Equation.DSMT4" ShapeID="_x0000_i1032" DrawAspect="Content" ObjectID="_1661610038" r:id="rId32"/>
        </w:object>
      </w:r>
      <w:r>
        <w:t xml:space="preserve"> captures the </w:t>
      </w:r>
      <w:r w:rsidR="005342C7" w:rsidRPr="00C6712A">
        <w:t xml:space="preserve">differences in </w:t>
      </w:r>
      <w:r>
        <w:t xml:space="preserve">observed individual characteristics </w:t>
      </w:r>
      <w:r w:rsidR="005342C7" w:rsidRPr="00C6712A">
        <w:t>between the pool</w:t>
      </w:r>
      <w:r>
        <w:t>s</w:t>
      </w:r>
      <w:r w:rsidR="005342C7" w:rsidRPr="00C6712A">
        <w:t xml:space="preserve"> of respondents in 2017 </w:t>
      </w:r>
      <w:r>
        <w:t xml:space="preserve">and </w:t>
      </w:r>
      <w:r w:rsidR="005342C7" w:rsidRPr="00C6712A">
        <w:t>2015. T</w:t>
      </w:r>
      <w:r w:rsidR="006D42BF" w:rsidRPr="00C6712A">
        <w:t xml:space="preserve">he error term </w:t>
      </w:r>
      <w:r w:rsidR="007356FF" w:rsidRPr="002F1266">
        <w:rPr>
          <w:position w:val="-14"/>
        </w:rPr>
        <w:object w:dxaOrig="300" w:dyaOrig="380" w14:anchorId="6EA35892">
          <v:shape id="_x0000_i1033" type="#_x0000_t75" style="width:15pt;height:19.3pt" o:ole="">
            <v:imagedata r:id="rId33" o:title=""/>
          </v:shape>
          <o:OLEObject Type="Embed" ProgID="Equation.DSMT4" ShapeID="_x0000_i1033" DrawAspect="Content" ObjectID="_1661610039" r:id="rId34"/>
        </w:object>
      </w:r>
      <w:r w:rsidR="00DC7B11">
        <w:t xml:space="preserve"> </w:t>
      </w:r>
      <w:r w:rsidR="005342C7" w:rsidRPr="00C6712A">
        <w:t xml:space="preserve">in this binary dependent variable equation </w:t>
      </w:r>
      <w:r w:rsidR="006D42BF" w:rsidRPr="00C6712A">
        <w:t xml:space="preserve">captures </w:t>
      </w:r>
      <w:r w:rsidR="005342C7" w:rsidRPr="00C6712A">
        <w:t>difference</w:t>
      </w:r>
      <w:r w:rsidR="007D3414">
        <w:t>s</w:t>
      </w:r>
      <w:r w:rsidR="005342C7" w:rsidRPr="00C6712A">
        <w:t xml:space="preserve"> in </w:t>
      </w:r>
      <w:r w:rsidR="006D42BF" w:rsidRPr="00C6712A">
        <w:t>unobserved characteristics</w:t>
      </w:r>
      <w:r w:rsidR="00497223" w:rsidRPr="00C6712A">
        <w:t xml:space="preserve"> </w:t>
      </w:r>
      <w:r w:rsidR="005342C7" w:rsidRPr="00C6712A">
        <w:t xml:space="preserve">between 2017 respondents and 2015 respondents </w:t>
      </w:r>
      <w:r w:rsidR="00497223" w:rsidRPr="00C6712A">
        <w:t>(</w:t>
      </w:r>
      <w:r>
        <w:t xml:space="preserve">as indicated in the previous section, </w:t>
      </w:r>
      <w:r w:rsidR="007D3414">
        <w:t xml:space="preserve">one of the reasons for this difference may be attributed to </w:t>
      </w:r>
      <w:r>
        <w:t xml:space="preserve">the 2017 pool </w:t>
      </w:r>
      <w:r w:rsidR="007D3414">
        <w:t>comprising</w:t>
      </w:r>
      <w:r>
        <w:t xml:space="preserve"> a higher share of </w:t>
      </w:r>
      <w:r w:rsidR="007D3414">
        <w:t>individuals who are very</w:t>
      </w:r>
      <w:r>
        <w:t xml:space="preserve"> </w:t>
      </w:r>
      <w:r w:rsidR="00497223" w:rsidRPr="00C6712A">
        <w:t>tech-savvy</w:t>
      </w:r>
      <w:r>
        <w:t xml:space="preserve">, </w:t>
      </w:r>
      <w:r w:rsidR="00B55C91" w:rsidRPr="00C6712A">
        <w:t xml:space="preserve">given the potential to use </w:t>
      </w:r>
      <w:r w:rsidR="00DB4A40" w:rsidRPr="00C6712A">
        <w:t>a smartphone app</w:t>
      </w:r>
      <w:r w:rsidR="00B55C91" w:rsidRPr="00C6712A">
        <w:t xml:space="preserve"> for the trip diary section</w:t>
      </w:r>
      <w:r w:rsidR="00497223" w:rsidRPr="00C6712A">
        <w:t>)</w:t>
      </w:r>
      <w:r w:rsidR="006D42BF" w:rsidRPr="00C6712A">
        <w:t xml:space="preserve">. </w:t>
      </w:r>
    </w:p>
    <w:p w14:paraId="240BDCFF" w14:textId="1817FD77" w:rsidR="00E41DC1" w:rsidRPr="00E91B47" w:rsidRDefault="0068271F" w:rsidP="00E91B47">
      <w:pPr>
        <w:pStyle w:val="FootnoteText"/>
        <w:spacing w:after="0"/>
        <w:jc w:val="both"/>
        <w:rPr>
          <w:sz w:val="24"/>
          <w:szCs w:val="24"/>
          <w:lang w:val="en-US"/>
        </w:rPr>
      </w:pPr>
      <w:r w:rsidRPr="00E91B47">
        <w:rPr>
          <w:sz w:val="24"/>
          <w:szCs w:val="24"/>
        </w:rPr>
        <w:t>T</w:t>
      </w:r>
      <w:r w:rsidR="00501427" w:rsidRPr="00E91B47">
        <w:rPr>
          <w:sz w:val="24"/>
          <w:szCs w:val="24"/>
        </w:rPr>
        <w:t>he</w:t>
      </w:r>
      <w:r w:rsidR="00421A9D" w:rsidRPr="00E91B47">
        <w:rPr>
          <w:sz w:val="24"/>
          <w:szCs w:val="24"/>
        </w:rPr>
        <w:t xml:space="preserve"> </w:t>
      </w:r>
      <w:r w:rsidR="00341470" w:rsidRPr="00E91B47">
        <w:rPr>
          <w:sz w:val="24"/>
          <w:szCs w:val="24"/>
        </w:rPr>
        <w:t>second</w:t>
      </w:r>
      <w:r w:rsidR="00501427" w:rsidRPr="00E91B47">
        <w:rPr>
          <w:sz w:val="24"/>
          <w:szCs w:val="24"/>
        </w:rPr>
        <w:t xml:space="preserve"> dependent outcome </w:t>
      </w:r>
      <w:r w:rsidR="005029B7" w:rsidRPr="00E91B47">
        <w:rPr>
          <w:sz w:val="24"/>
          <w:szCs w:val="24"/>
        </w:rPr>
        <w:t>is</w:t>
      </w:r>
      <w:r w:rsidR="00501427" w:rsidRPr="00E91B47">
        <w:rPr>
          <w:sz w:val="24"/>
          <w:szCs w:val="24"/>
        </w:rPr>
        <w:t xml:space="preserve"> </w:t>
      </w:r>
      <w:r w:rsidR="00240D77" w:rsidRPr="00E91B47">
        <w:rPr>
          <w:sz w:val="24"/>
          <w:szCs w:val="24"/>
        </w:rPr>
        <w:t xml:space="preserve">the </w:t>
      </w:r>
      <w:r w:rsidR="00501427" w:rsidRPr="00E91B47">
        <w:rPr>
          <w:sz w:val="24"/>
          <w:szCs w:val="24"/>
        </w:rPr>
        <w:t>individuals</w:t>
      </w:r>
      <w:r w:rsidR="00374974" w:rsidRPr="00E91B47">
        <w:rPr>
          <w:sz w:val="24"/>
          <w:szCs w:val="24"/>
        </w:rPr>
        <w:t>’</w:t>
      </w:r>
      <w:r w:rsidR="00501427" w:rsidRPr="00E91B47">
        <w:rPr>
          <w:sz w:val="24"/>
          <w:szCs w:val="24"/>
        </w:rPr>
        <w:t xml:space="preserve"> frequency of ride-hailing</w:t>
      </w:r>
      <w:r w:rsidR="00EB6219" w:rsidRPr="00E91B47">
        <w:rPr>
          <w:sz w:val="24"/>
          <w:szCs w:val="24"/>
        </w:rPr>
        <w:t xml:space="preserve">, aggregated to five categories from the original seven-category variable depicted in </w:t>
      </w:r>
      <w:r w:rsidR="007F06C1" w:rsidRPr="00A34FC7">
        <w:rPr>
          <w:sz w:val="24"/>
          <w:szCs w:val="24"/>
        </w:rPr>
        <w:fldChar w:fldCharType="begin"/>
      </w:r>
      <w:r w:rsidR="007F06C1" w:rsidRPr="00A34FC7">
        <w:rPr>
          <w:sz w:val="24"/>
          <w:szCs w:val="24"/>
        </w:rPr>
        <w:instrText xml:space="preserve"> REF _Ref33010370 \h </w:instrText>
      </w:r>
      <w:r w:rsidR="00E91B47" w:rsidRPr="00A34FC7">
        <w:rPr>
          <w:sz w:val="24"/>
          <w:szCs w:val="24"/>
        </w:rPr>
        <w:instrText xml:space="preserve"> \* MERGEFORMAT </w:instrText>
      </w:r>
      <w:r w:rsidR="007F06C1" w:rsidRPr="00A34FC7">
        <w:rPr>
          <w:sz w:val="24"/>
          <w:szCs w:val="24"/>
        </w:rPr>
      </w:r>
      <w:r w:rsidR="007F06C1" w:rsidRPr="00A34FC7">
        <w:rPr>
          <w:sz w:val="24"/>
          <w:szCs w:val="24"/>
        </w:rPr>
        <w:fldChar w:fldCharType="separate"/>
      </w:r>
      <w:r w:rsidR="00453931" w:rsidRPr="00A34FC7">
        <w:rPr>
          <w:sz w:val="24"/>
          <w:szCs w:val="24"/>
        </w:rPr>
        <w:t xml:space="preserve">Table </w:t>
      </w:r>
      <w:r w:rsidR="00453931" w:rsidRPr="00A34FC7">
        <w:rPr>
          <w:noProof/>
          <w:sz w:val="24"/>
          <w:szCs w:val="24"/>
        </w:rPr>
        <w:t>1</w:t>
      </w:r>
      <w:r w:rsidR="007F06C1" w:rsidRPr="00A34FC7">
        <w:rPr>
          <w:sz w:val="24"/>
          <w:szCs w:val="24"/>
        </w:rPr>
        <w:fldChar w:fldCharType="end"/>
      </w:r>
      <w:r w:rsidR="00E91B47" w:rsidRPr="00A34FC7">
        <w:rPr>
          <w:sz w:val="24"/>
          <w:szCs w:val="24"/>
        </w:rPr>
        <w:t xml:space="preserve"> (</w:t>
      </w:r>
      <w:r w:rsidR="00E91B47" w:rsidRPr="00A34FC7">
        <w:rPr>
          <w:sz w:val="24"/>
          <w:szCs w:val="24"/>
          <w:lang w:val="en-US"/>
        </w:rPr>
        <w:t>the five aggregated frequency categories are</w:t>
      </w:r>
      <w:r w:rsidR="00E91B47" w:rsidRPr="00A34FC7">
        <w:rPr>
          <w:sz w:val="24"/>
          <w:szCs w:val="24"/>
        </w:rPr>
        <w:t xml:space="preserve">: </w:t>
      </w:r>
      <w:r w:rsidR="00E91B47" w:rsidRPr="00A34FC7">
        <w:rPr>
          <w:sz w:val="24"/>
          <w:szCs w:val="24"/>
          <w:lang w:val="en-US"/>
        </w:rPr>
        <w:t>“</w:t>
      </w:r>
      <w:r w:rsidR="00E91B47" w:rsidRPr="00A34FC7">
        <w:rPr>
          <w:sz w:val="24"/>
          <w:szCs w:val="24"/>
        </w:rPr>
        <w:t>Never</w:t>
      </w:r>
      <w:r w:rsidR="00E91B47" w:rsidRPr="00A34FC7">
        <w:rPr>
          <w:sz w:val="24"/>
          <w:szCs w:val="24"/>
          <w:lang w:val="en-US"/>
        </w:rPr>
        <w:t>”</w:t>
      </w:r>
      <w:r w:rsidR="00E91B47" w:rsidRPr="00A34FC7">
        <w:rPr>
          <w:sz w:val="24"/>
          <w:szCs w:val="24"/>
        </w:rPr>
        <w:t xml:space="preserve">, </w:t>
      </w:r>
      <w:r w:rsidR="00E91B47" w:rsidRPr="00A34FC7">
        <w:rPr>
          <w:sz w:val="24"/>
          <w:szCs w:val="24"/>
          <w:lang w:val="en-US"/>
        </w:rPr>
        <w:t>“</w:t>
      </w:r>
      <w:r w:rsidR="00E91B47" w:rsidRPr="00A34FC7">
        <w:rPr>
          <w:sz w:val="24"/>
          <w:szCs w:val="24"/>
        </w:rPr>
        <w:t>Less than 1 day per month</w:t>
      </w:r>
      <w:r w:rsidR="00E91B47" w:rsidRPr="00A34FC7">
        <w:rPr>
          <w:sz w:val="24"/>
          <w:szCs w:val="24"/>
          <w:lang w:val="en-US"/>
        </w:rPr>
        <w:t>”</w:t>
      </w:r>
      <w:r w:rsidR="00E91B47" w:rsidRPr="00A34FC7">
        <w:rPr>
          <w:sz w:val="24"/>
          <w:szCs w:val="24"/>
        </w:rPr>
        <w:t xml:space="preserve">, </w:t>
      </w:r>
      <w:r w:rsidR="00E91B47" w:rsidRPr="00A34FC7">
        <w:rPr>
          <w:sz w:val="24"/>
          <w:szCs w:val="24"/>
          <w:lang w:val="en-US"/>
        </w:rPr>
        <w:t>“</w:t>
      </w:r>
      <w:r w:rsidR="00E91B47" w:rsidRPr="00A34FC7">
        <w:rPr>
          <w:sz w:val="24"/>
          <w:szCs w:val="24"/>
        </w:rPr>
        <w:t>1-3 days per month</w:t>
      </w:r>
      <w:r w:rsidR="00E91B47" w:rsidRPr="00A34FC7">
        <w:rPr>
          <w:sz w:val="24"/>
          <w:szCs w:val="24"/>
          <w:lang w:val="en-US"/>
        </w:rPr>
        <w:t>”</w:t>
      </w:r>
      <w:r w:rsidR="00E91B47" w:rsidRPr="00A34FC7">
        <w:rPr>
          <w:sz w:val="24"/>
          <w:szCs w:val="24"/>
        </w:rPr>
        <w:t xml:space="preserve">, </w:t>
      </w:r>
      <w:r w:rsidR="00E91B47" w:rsidRPr="00A34FC7">
        <w:rPr>
          <w:sz w:val="24"/>
          <w:szCs w:val="24"/>
          <w:lang w:val="en-US"/>
        </w:rPr>
        <w:t>“</w:t>
      </w:r>
      <w:r w:rsidR="00E91B47" w:rsidRPr="00A34FC7">
        <w:rPr>
          <w:sz w:val="24"/>
          <w:szCs w:val="24"/>
        </w:rPr>
        <w:t>1 day per week</w:t>
      </w:r>
      <w:r w:rsidR="00E91B47" w:rsidRPr="00A34FC7">
        <w:rPr>
          <w:sz w:val="24"/>
          <w:szCs w:val="24"/>
          <w:lang w:val="en-US"/>
        </w:rPr>
        <w:t>”</w:t>
      </w:r>
      <w:r w:rsidR="00E91B47" w:rsidRPr="00A34FC7">
        <w:rPr>
          <w:sz w:val="24"/>
          <w:szCs w:val="24"/>
        </w:rPr>
        <w:t xml:space="preserve">, </w:t>
      </w:r>
      <w:r w:rsidR="00E91B47" w:rsidRPr="00A34FC7">
        <w:rPr>
          <w:sz w:val="24"/>
          <w:szCs w:val="24"/>
          <w:lang w:val="en-US"/>
        </w:rPr>
        <w:t>“</w:t>
      </w:r>
      <w:r w:rsidR="00E91B47" w:rsidRPr="00A34FC7">
        <w:rPr>
          <w:sz w:val="24"/>
          <w:szCs w:val="24"/>
        </w:rPr>
        <w:t>2 or more days per week</w:t>
      </w:r>
      <w:r w:rsidR="00E91B47" w:rsidRPr="00A34FC7">
        <w:rPr>
          <w:sz w:val="24"/>
          <w:szCs w:val="24"/>
          <w:lang w:val="en-US"/>
        </w:rPr>
        <w:t xml:space="preserve">”; </w:t>
      </w:r>
      <w:proofErr w:type="spellStart"/>
      <w:r w:rsidR="00E91B47" w:rsidRPr="00A34FC7">
        <w:rPr>
          <w:sz w:val="24"/>
          <w:szCs w:val="24"/>
          <w:lang w:val="en-US"/>
        </w:rPr>
        <w:t>t</w:t>
      </w:r>
      <w:r w:rsidR="00E91B47" w:rsidRPr="00A34FC7">
        <w:rPr>
          <w:sz w:val="24"/>
          <w:szCs w:val="24"/>
        </w:rPr>
        <w:t>his</w:t>
      </w:r>
      <w:proofErr w:type="spellEnd"/>
      <w:r w:rsidR="00E91B47" w:rsidRPr="00A34FC7">
        <w:rPr>
          <w:sz w:val="24"/>
          <w:szCs w:val="24"/>
        </w:rPr>
        <w:t xml:space="preserve"> </w:t>
      </w:r>
      <w:r w:rsidR="00E91B47" w:rsidRPr="00A34FC7">
        <w:rPr>
          <w:sz w:val="24"/>
          <w:szCs w:val="24"/>
          <w:lang w:val="en-US"/>
        </w:rPr>
        <w:t xml:space="preserve">was done </w:t>
      </w:r>
      <w:r w:rsidR="00E91B47" w:rsidRPr="00A34FC7">
        <w:rPr>
          <w:sz w:val="24"/>
          <w:szCs w:val="24"/>
        </w:rPr>
        <w:t xml:space="preserve">because the number of </w:t>
      </w:r>
      <w:r w:rsidR="00E91B47" w:rsidRPr="00A34FC7">
        <w:rPr>
          <w:sz w:val="24"/>
          <w:szCs w:val="24"/>
          <w:lang w:val="en-US"/>
        </w:rPr>
        <w:t>individuals</w:t>
      </w:r>
      <w:r w:rsidR="00E91B47" w:rsidRPr="00A34FC7">
        <w:rPr>
          <w:sz w:val="24"/>
          <w:szCs w:val="24"/>
        </w:rPr>
        <w:t xml:space="preserve"> who reported using ride-hailing services 5 days per week and 6-7 days per week were too few to retain </w:t>
      </w:r>
      <w:r w:rsidR="00E91B47" w:rsidRPr="00A34FC7">
        <w:rPr>
          <w:sz w:val="24"/>
          <w:szCs w:val="24"/>
          <w:lang w:val="en-US"/>
        </w:rPr>
        <w:t>them</w:t>
      </w:r>
      <w:r w:rsidR="00E91B47" w:rsidRPr="00A34FC7">
        <w:rPr>
          <w:sz w:val="24"/>
          <w:szCs w:val="24"/>
        </w:rPr>
        <w:t xml:space="preserve"> separately</w:t>
      </w:r>
      <w:r w:rsidR="00E91B47" w:rsidRPr="00A34FC7">
        <w:rPr>
          <w:sz w:val="24"/>
          <w:szCs w:val="24"/>
          <w:lang w:val="en-US"/>
        </w:rPr>
        <w:t>).</w:t>
      </w:r>
      <w:r w:rsidR="00E91B47">
        <w:rPr>
          <w:sz w:val="24"/>
          <w:szCs w:val="24"/>
          <w:lang w:val="en-US"/>
        </w:rPr>
        <w:t xml:space="preserve"> </w:t>
      </w:r>
      <w:r w:rsidR="00463B8B" w:rsidRPr="00E91B47">
        <w:rPr>
          <w:sz w:val="24"/>
          <w:szCs w:val="24"/>
        </w:rPr>
        <w:t>Wh</w:t>
      </w:r>
      <w:r w:rsidR="00F65752" w:rsidRPr="00E91B47">
        <w:rPr>
          <w:sz w:val="24"/>
          <w:szCs w:val="24"/>
        </w:rPr>
        <w:t>en</w:t>
      </w:r>
      <w:r w:rsidR="00463B8B" w:rsidRPr="00E91B47">
        <w:rPr>
          <w:sz w:val="24"/>
          <w:szCs w:val="24"/>
        </w:rPr>
        <w:t xml:space="preserve"> modeling this second outcome, </w:t>
      </w:r>
      <w:r w:rsidR="007D38B6" w:rsidRPr="00E91B47">
        <w:rPr>
          <w:sz w:val="24"/>
          <w:szCs w:val="24"/>
        </w:rPr>
        <w:t xml:space="preserve">in the usual framework of an ordered-response equation, we consider an underlying continuous propensity </w:t>
      </w:r>
      <w:r w:rsidR="007D3414" w:rsidRPr="00E91B47">
        <w:rPr>
          <w:sz w:val="24"/>
          <w:szCs w:val="24"/>
        </w:rPr>
        <w:t>(</w:t>
      </w:r>
      <w:r w:rsidR="007D3414" w:rsidRPr="00E91B47">
        <w:rPr>
          <w:position w:val="-14"/>
          <w:sz w:val="24"/>
          <w:szCs w:val="24"/>
        </w:rPr>
        <w:object w:dxaOrig="360" w:dyaOrig="400" w14:anchorId="40339F17">
          <v:shape id="_x0000_i1034" type="#_x0000_t75" style="width:18pt;height:20.55pt" o:ole="">
            <v:imagedata r:id="rId35" o:title=""/>
          </v:shape>
          <o:OLEObject Type="Embed" ProgID="Equation.DSMT4" ShapeID="_x0000_i1034" DrawAspect="Content" ObjectID="_1661610040" r:id="rId36"/>
        </w:object>
      </w:r>
      <w:r w:rsidR="007D3414" w:rsidRPr="00E91B47">
        <w:rPr>
          <w:sz w:val="24"/>
          <w:szCs w:val="24"/>
        </w:rPr>
        <w:t xml:space="preserve">) </w:t>
      </w:r>
      <w:r w:rsidR="007D38B6" w:rsidRPr="00E91B47">
        <w:rPr>
          <w:sz w:val="24"/>
          <w:szCs w:val="24"/>
        </w:rPr>
        <w:t xml:space="preserve">for ride-hailing that gets mapped </w:t>
      </w:r>
      <w:r w:rsidR="00A10F66" w:rsidRPr="00E91B47">
        <w:rPr>
          <w:sz w:val="24"/>
          <w:szCs w:val="24"/>
        </w:rPr>
        <w:t xml:space="preserve">onto </w:t>
      </w:r>
      <w:r w:rsidR="006929F7" w:rsidRPr="00E91B47">
        <w:rPr>
          <w:sz w:val="24"/>
          <w:szCs w:val="24"/>
        </w:rPr>
        <w:t xml:space="preserve">the </w:t>
      </w:r>
      <w:r w:rsidR="007D38B6" w:rsidRPr="00E91B47">
        <w:rPr>
          <w:sz w:val="24"/>
          <w:szCs w:val="24"/>
        </w:rPr>
        <w:t xml:space="preserve">observed ordinal category of the frequency of ride-hailing </w:t>
      </w:r>
      <w:r w:rsidR="007D3414" w:rsidRPr="00E91B47">
        <w:rPr>
          <w:position w:val="-14"/>
          <w:sz w:val="24"/>
          <w:szCs w:val="24"/>
        </w:rPr>
        <w:object w:dxaOrig="360" w:dyaOrig="380" w14:anchorId="0CAFCC8F">
          <v:shape id="_x0000_i1035" type="#_x0000_t75" style="width:18pt;height:18pt" o:ole="">
            <v:imagedata r:id="rId37" o:title=""/>
          </v:shape>
          <o:OLEObject Type="Embed" ProgID="Equation.DSMT4" ShapeID="_x0000_i1035" DrawAspect="Content" ObjectID="_1661610041" r:id="rId38"/>
        </w:object>
      </w:r>
      <w:r w:rsidR="007D3414" w:rsidRPr="00E91B47">
        <w:rPr>
          <w:sz w:val="24"/>
          <w:szCs w:val="24"/>
        </w:rPr>
        <w:t xml:space="preserve"> </w:t>
      </w:r>
      <w:r w:rsidR="007D38B6" w:rsidRPr="00E91B47">
        <w:rPr>
          <w:sz w:val="24"/>
          <w:szCs w:val="24"/>
        </w:rPr>
        <w:t xml:space="preserve">through a set </w:t>
      </w:r>
      <w:r w:rsidR="00A43BA6" w:rsidRPr="00E91B47">
        <w:rPr>
          <w:sz w:val="24"/>
          <w:szCs w:val="24"/>
        </w:rPr>
        <w:t xml:space="preserve">a </w:t>
      </w:r>
      <w:r w:rsidR="007D38B6" w:rsidRPr="00E91B47">
        <w:rPr>
          <w:sz w:val="24"/>
          <w:szCs w:val="24"/>
        </w:rPr>
        <w:t>thresholds</w:t>
      </w:r>
      <w:r w:rsidR="007D3414" w:rsidRPr="00E91B47">
        <w:rPr>
          <w:sz w:val="24"/>
          <w:szCs w:val="24"/>
        </w:rPr>
        <w:t xml:space="preserve"> </w:t>
      </w:r>
      <w:r w:rsidR="007D3414" w:rsidRPr="00E91B47">
        <w:rPr>
          <w:position w:val="-12"/>
          <w:sz w:val="24"/>
          <w:szCs w:val="24"/>
        </w:rPr>
        <w:object w:dxaOrig="320" w:dyaOrig="360" w14:anchorId="5D0843C2">
          <v:shape id="_x0000_i1036" type="#_x0000_t75" style="width:15.45pt;height:18pt" o:ole="">
            <v:imagedata r:id="rId39" o:title=""/>
          </v:shape>
          <o:OLEObject Type="Embed" ProgID="Equation.DSMT4" ShapeID="_x0000_i1036" DrawAspect="Content" ObjectID="_1661610042" r:id="rId40"/>
        </w:object>
      </w:r>
      <w:r w:rsidR="007D38B6" w:rsidRPr="00E91B47">
        <w:rPr>
          <w:sz w:val="24"/>
          <w:szCs w:val="24"/>
        </w:rPr>
        <w:t xml:space="preserve"> </w:t>
      </w:r>
      <w:r w:rsidR="007D3414" w:rsidRPr="00E91B47">
        <w:rPr>
          <w:sz w:val="24"/>
          <w:szCs w:val="24"/>
        </w:rPr>
        <w:t>(</w:t>
      </w:r>
      <w:r w:rsidR="007D3414" w:rsidRPr="00E91B47">
        <w:rPr>
          <w:i/>
          <w:sz w:val="24"/>
          <w:szCs w:val="24"/>
        </w:rPr>
        <w:t>n</w:t>
      </w:r>
      <w:r w:rsidR="007D3414" w:rsidRPr="00E91B47">
        <w:rPr>
          <w:sz w:val="24"/>
          <w:szCs w:val="24"/>
        </w:rPr>
        <w:t>=1,2,3,…,</w:t>
      </w:r>
      <w:r w:rsidR="007D3414" w:rsidRPr="00E91B47">
        <w:rPr>
          <w:i/>
          <w:sz w:val="24"/>
          <w:szCs w:val="24"/>
        </w:rPr>
        <w:t>N</w:t>
      </w:r>
      <w:r w:rsidR="007D3414" w:rsidRPr="00E91B47">
        <w:rPr>
          <w:sz w:val="24"/>
          <w:szCs w:val="24"/>
        </w:rPr>
        <w:t xml:space="preserve">; </w:t>
      </w:r>
      <w:r w:rsidR="007D3414" w:rsidRPr="00E91B47">
        <w:rPr>
          <w:i/>
          <w:sz w:val="24"/>
          <w:szCs w:val="24"/>
        </w:rPr>
        <w:t>N</w:t>
      </w:r>
      <w:r w:rsidR="007D3414" w:rsidRPr="00E91B47">
        <w:rPr>
          <w:sz w:val="24"/>
          <w:szCs w:val="24"/>
        </w:rPr>
        <w:t xml:space="preserve"> =</w:t>
      </w:r>
      <w:r w:rsidR="002F1266" w:rsidRPr="00E91B47">
        <w:rPr>
          <w:sz w:val="24"/>
          <w:szCs w:val="24"/>
        </w:rPr>
        <w:t xml:space="preserve"> </w:t>
      </w:r>
      <w:r w:rsidR="007D3414" w:rsidRPr="00E91B47">
        <w:rPr>
          <w:sz w:val="24"/>
          <w:szCs w:val="24"/>
        </w:rPr>
        <w:t xml:space="preserve">5 in our analysis) </w:t>
      </w:r>
      <w:r w:rsidR="007D38B6" w:rsidRPr="00E91B47">
        <w:rPr>
          <w:sz w:val="24"/>
          <w:szCs w:val="24"/>
        </w:rPr>
        <w:t xml:space="preserve">to be estimated. </w:t>
      </w:r>
      <w:r w:rsidR="007D3414" w:rsidRPr="00E91B47">
        <w:rPr>
          <w:sz w:val="24"/>
          <w:szCs w:val="24"/>
        </w:rPr>
        <w:t xml:space="preserve">For usual identification purposes, we set </w:t>
      </w:r>
      <w:r w:rsidR="007356FF" w:rsidRPr="00E91B47">
        <w:rPr>
          <w:position w:val="-12"/>
          <w:sz w:val="24"/>
          <w:szCs w:val="24"/>
        </w:rPr>
        <w:object w:dxaOrig="2079" w:dyaOrig="360" w14:anchorId="2F36F7D5">
          <v:shape id="_x0000_i1037" type="#_x0000_t75" style="width:103.7pt;height:18pt" o:ole="">
            <v:imagedata r:id="rId41" o:title=""/>
          </v:shape>
          <o:OLEObject Type="Embed" ProgID="Equation.DSMT4" ShapeID="_x0000_i1037" DrawAspect="Content" ObjectID="_1661610043" r:id="rId42"/>
        </w:object>
      </w:r>
      <w:r w:rsidR="007D3414" w:rsidRPr="00E91B47">
        <w:rPr>
          <w:sz w:val="24"/>
          <w:szCs w:val="24"/>
        </w:rPr>
        <w:t xml:space="preserve">. </w:t>
      </w:r>
      <w:r w:rsidR="007D38B6" w:rsidRPr="00E91B47">
        <w:rPr>
          <w:sz w:val="24"/>
          <w:szCs w:val="24"/>
        </w:rPr>
        <w:t>Th</w:t>
      </w:r>
      <w:r w:rsidR="007D3414" w:rsidRPr="00E91B47">
        <w:rPr>
          <w:sz w:val="24"/>
          <w:szCs w:val="24"/>
        </w:rPr>
        <w:t>e</w:t>
      </w:r>
      <w:r w:rsidR="007D38B6" w:rsidRPr="00E91B47">
        <w:rPr>
          <w:sz w:val="24"/>
          <w:szCs w:val="24"/>
        </w:rPr>
        <w:t xml:space="preserve"> </w:t>
      </w:r>
      <w:r w:rsidR="00E41DC1" w:rsidRPr="00E91B47">
        <w:rPr>
          <w:sz w:val="24"/>
          <w:szCs w:val="24"/>
        </w:rPr>
        <w:t>form of this second equation is as follows:</w:t>
      </w:r>
    </w:p>
    <w:p w14:paraId="74DAB642" w14:textId="76F11912" w:rsidR="00E41DC1" w:rsidRPr="00E91B47" w:rsidRDefault="00F21C64" w:rsidP="007356FF">
      <w:pPr>
        <w:spacing w:before="120"/>
        <w:ind w:firstLine="0"/>
        <w:rPr>
          <w:szCs w:val="24"/>
        </w:rPr>
      </w:pPr>
      <w:r w:rsidRPr="00E91B47">
        <w:rPr>
          <w:position w:val="-16"/>
          <w:szCs w:val="24"/>
        </w:rPr>
        <w:object w:dxaOrig="8059" w:dyaOrig="440" w14:anchorId="2E8D0957">
          <v:shape id="_x0000_i1038" type="#_x0000_t75" style="width:402.85pt;height:22.3pt" o:ole="" o:preferrelative="f">
            <v:imagedata r:id="rId43" o:title=""/>
            <o:lock v:ext="edit" aspectratio="f"/>
          </v:shape>
          <o:OLEObject Type="Embed" ProgID="Equation.DSMT4" ShapeID="_x0000_i1038" DrawAspect="Content" ObjectID="_1661610044" r:id="rId44"/>
        </w:object>
      </w:r>
      <w:r w:rsidR="00E86249" w:rsidRPr="00E91B47">
        <w:rPr>
          <w:szCs w:val="24"/>
        </w:rPr>
        <w:tab/>
        <w:t>(2)</w:t>
      </w:r>
    </w:p>
    <w:p w14:paraId="3B9F94A3" w14:textId="4F70FB38" w:rsidR="00E86249" w:rsidRDefault="00E41DC1" w:rsidP="007356FF">
      <w:pPr>
        <w:spacing w:after="0"/>
        <w:ind w:firstLine="0"/>
      </w:pPr>
      <w:r>
        <w:t xml:space="preserve">As can be observed from above, the </w:t>
      </w:r>
      <w:r w:rsidR="007D38B6" w:rsidRPr="00C6712A">
        <w:t xml:space="preserve">underlying propensity </w:t>
      </w:r>
      <w:r w:rsidRPr="00760217">
        <w:rPr>
          <w:position w:val="-14"/>
        </w:rPr>
        <w:object w:dxaOrig="360" w:dyaOrig="400" w14:anchorId="4A3A98FF">
          <v:shape id="_x0000_i1039" type="#_x0000_t75" style="width:18pt;height:20.55pt" o:ole="">
            <v:imagedata r:id="rId35" o:title=""/>
          </v:shape>
          <o:OLEObject Type="Embed" ProgID="Equation.DSMT4" ShapeID="_x0000_i1039" DrawAspect="Content" ObjectID="_1661610045" r:id="rId45"/>
        </w:object>
      </w:r>
      <w:r w:rsidR="007356FF">
        <w:t xml:space="preserve"> </w:t>
      </w:r>
      <w:r w:rsidR="007D38B6" w:rsidRPr="00C6712A">
        <w:t xml:space="preserve">is specified to be a </w:t>
      </w:r>
      <w:r>
        <w:t xml:space="preserve">linear </w:t>
      </w:r>
      <w:r w:rsidR="007D38B6" w:rsidRPr="00C6712A">
        <w:t xml:space="preserve">function of </w:t>
      </w:r>
      <w:r>
        <w:t xml:space="preserve">three components: </w:t>
      </w:r>
      <w:r w:rsidR="00A43BA6" w:rsidRPr="00C6712A">
        <w:t xml:space="preserve">(a) </w:t>
      </w:r>
      <w:r w:rsidR="007D3414">
        <w:t xml:space="preserve">observed </w:t>
      </w:r>
      <w:r w:rsidR="005342C7" w:rsidRPr="00C6712A">
        <w:t xml:space="preserve">individual </w:t>
      </w:r>
      <w:r w:rsidR="007D38B6" w:rsidRPr="00C6712A">
        <w:t>socio-</w:t>
      </w:r>
      <w:r w:rsidR="005342C7" w:rsidRPr="00C6712A">
        <w:t>demographics</w:t>
      </w:r>
      <w:r w:rsidR="007D3414">
        <w:t xml:space="preserve"> and </w:t>
      </w:r>
      <w:r>
        <w:t xml:space="preserve">other characteristics (represented by the </w:t>
      </w:r>
      <w:r w:rsidRPr="002F1266">
        <w:rPr>
          <w:position w:val="-14"/>
        </w:rPr>
        <w:object w:dxaOrig="360" w:dyaOrig="380" w14:anchorId="3926F456">
          <v:shape id="_x0000_i1040" type="#_x0000_t75" style="width:18pt;height:18pt" o:ole="">
            <v:imagedata r:id="rId46" o:title=""/>
          </v:shape>
          <o:OLEObject Type="Embed" ProgID="Equation.DSMT4" ShapeID="_x0000_i1040" DrawAspect="Content" ObjectID="_1661610046" r:id="rId47"/>
        </w:object>
      </w:r>
      <w:r>
        <w:t xml:space="preserve"> vector)</w:t>
      </w:r>
      <w:r w:rsidR="00A43BA6" w:rsidRPr="00C6712A">
        <w:t xml:space="preserve">, </w:t>
      </w:r>
      <w:r>
        <w:t xml:space="preserve">and whose effects are captured by the corresponding </w:t>
      </w:r>
      <w:r w:rsidRPr="00453D94">
        <w:rPr>
          <w:position w:val="-12"/>
        </w:rPr>
        <w:object w:dxaOrig="300" w:dyaOrig="380" w14:anchorId="317E2187">
          <v:shape id="_x0000_i1041" type="#_x0000_t75" style="width:15pt;height:18pt" o:ole="">
            <v:imagedata r:id="rId48" o:title=""/>
          </v:shape>
          <o:OLEObject Type="Embed" ProgID="Equation.DSMT4" ShapeID="_x0000_i1041" DrawAspect="Content" ObjectID="_1661610047" r:id="rId49"/>
        </w:object>
      </w:r>
      <w:r>
        <w:t xml:space="preserve"> vector, </w:t>
      </w:r>
      <w:r w:rsidR="00A43BA6" w:rsidRPr="00C6712A">
        <w:t xml:space="preserve">(b) a 2017 dummy variable shifter term capturing intrinsic differences in ride-hailing propensity </w:t>
      </w:r>
      <w:r w:rsidR="00A43BA6" w:rsidRPr="00C6712A">
        <w:lastRenderedPageBreak/>
        <w:t>between 2017 respondents and 2015 respondents</w:t>
      </w:r>
      <w:r>
        <w:t xml:space="preserve">, captured by the </w:t>
      </w:r>
      <w:r w:rsidRPr="002F1266">
        <w:rPr>
          <w:position w:val="-14"/>
        </w:rPr>
        <w:object w:dxaOrig="480" w:dyaOrig="380" w14:anchorId="69A56AC1">
          <v:shape id="_x0000_i1042" type="#_x0000_t75" style="width:24pt;height:18pt" o:ole="">
            <v:imagedata r:id="rId50" o:title=""/>
          </v:shape>
          <o:OLEObject Type="Embed" ProgID="Equation.DSMT4" ShapeID="_x0000_i1042" DrawAspect="Content" ObjectID="_1661610048" r:id="rId51"/>
        </w:object>
      </w:r>
      <w:r>
        <w:t xml:space="preserve"> term</w:t>
      </w:r>
      <w:r w:rsidR="00A43BA6" w:rsidRPr="00C6712A">
        <w:t xml:space="preserve">, </w:t>
      </w:r>
      <w:r w:rsidR="007D38B6" w:rsidRPr="00C6712A">
        <w:t xml:space="preserve">and </w:t>
      </w:r>
      <w:r w:rsidR="00A43BA6" w:rsidRPr="00C6712A">
        <w:t xml:space="preserve">(c) individual demographics interacted </w:t>
      </w:r>
      <w:r w:rsidR="00463B8B" w:rsidRPr="00C6712A">
        <w:t xml:space="preserve">with the 2017 dummy variable to </w:t>
      </w:r>
      <w:r>
        <w:t>accommodate</w:t>
      </w:r>
      <w:r w:rsidR="00463B8B" w:rsidRPr="00C6712A">
        <w:t xml:space="preserve"> </w:t>
      </w:r>
      <w:r w:rsidR="00A10F66">
        <w:t xml:space="preserve">for </w:t>
      </w:r>
      <w:r w:rsidR="00463B8B" w:rsidRPr="00C6712A">
        <w:t xml:space="preserve">the </w:t>
      </w:r>
      <w:r w:rsidR="00EB6219" w:rsidRPr="00C6712A">
        <w:t>differen</w:t>
      </w:r>
      <w:r w:rsidR="00A43BA6" w:rsidRPr="00C6712A">
        <w:t xml:space="preserve">ce </w:t>
      </w:r>
      <w:r w:rsidR="00463B8B" w:rsidRPr="00C6712A">
        <w:t xml:space="preserve">in ride-hailing </w:t>
      </w:r>
      <w:r w:rsidR="00A43BA6" w:rsidRPr="00C6712A">
        <w:t xml:space="preserve">propensity </w:t>
      </w:r>
      <w:r w:rsidR="00663A8B" w:rsidRPr="00C6712A">
        <w:t xml:space="preserve">across socio-demographic groups </w:t>
      </w:r>
      <w:r w:rsidR="007D38B6" w:rsidRPr="00C6712A">
        <w:t xml:space="preserve">between the two </w:t>
      </w:r>
      <w:r w:rsidR="00463B8B" w:rsidRPr="00C6712A">
        <w:t>years</w:t>
      </w:r>
      <w:r>
        <w:t xml:space="preserve">, captured by the </w:t>
      </w:r>
      <w:r w:rsidR="00A10F66" w:rsidRPr="00453D94">
        <w:rPr>
          <w:position w:val="-16"/>
        </w:rPr>
        <w:object w:dxaOrig="1040" w:dyaOrig="440" w14:anchorId="4CD9EFA2">
          <v:shape id="_x0000_i1043" type="#_x0000_t75" style="width:51.45pt;height:21.45pt" o:ole="">
            <v:imagedata r:id="rId52" o:title=""/>
          </v:shape>
          <o:OLEObject Type="Embed" ProgID="Equation.DSMT4" ShapeID="_x0000_i1043" DrawAspect="Content" ObjectID="_1661610049" r:id="rId53"/>
        </w:object>
      </w:r>
      <w:r>
        <w:t xml:space="preserve"> (</w:t>
      </w:r>
      <w:r w:rsidRPr="00453D94">
        <w:rPr>
          <w:position w:val="-10"/>
        </w:rPr>
        <w:object w:dxaOrig="220" w:dyaOrig="260" w14:anchorId="0F52F94E">
          <v:shape id="_x0000_i1044" type="#_x0000_t75" style="width:11.55pt;height:13.3pt" o:ole="">
            <v:imagedata r:id="rId54" o:title=""/>
          </v:shape>
          <o:OLEObject Type="Embed" ProgID="Equation.DSMT4" ShapeID="_x0000_i1044" DrawAspect="Content" ObjectID="_1661610050" r:id="rId55"/>
        </w:object>
      </w:r>
      <w:r>
        <w:t xml:space="preserve"> is a coefficient vector to be estimated on </w:t>
      </w:r>
      <w:r w:rsidR="00DC7B11">
        <w:t xml:space="preserve">an exogenous vector </w:t>
      </w:r>
      <w:r w:rsidR="00165042" w:rsidRPr="002F1266">
        <w:rPr>
          <w:position w:val="-14"/>
        </w:rPr>
        <w:object w:dxaOrig="360" w:dyaOrig="380" w14:anchorId="7EAF6FDA">
          <v:shape id="_x0000_i1045" type="#_x0000_t75" style="width:18pt;height:19.3pt" o:ole="">
            <v:imagedata r:id="rId56" o:title=""/>
          </v:shape>
          <o:OLEObject Type="Embed" ProgID="Equation.DSMT4" ShapeID="_x0000_i1045" DrawAspect="Content" ObjectID="_1661610051" r:id="rId57"/>
        </w:object>
      </w:r>
      <w:r w:rsidR="00DC7B11">
        <w:t xml:space="preserve">, which need not necessarily comprise the same elements as </w:t>
      </w:r>
      <w:r w:rsidR="00DC7B11" w:rsidRPr="002F1266">
        <w:rPr>
          <w:position w:val="-14"/>
        </w:rPr>
        <w:object w:dxaOrig="360" w:dyaOrig="380" w14:anchorId="5ECAFF72">
          <v:shape id="_x0000_i1046" type="#_x0000_t75" style="width:18pt;height:18pt" o:ole="">
            <v:imagedata r:id="rId58" o:title=""/>
          </v:shape>
          <o:OLEObject Type="Embed" ProgID="Equation.DSMT4" ShapeID="_x0000_i1046" DrawAspect="Content" ObjectID="_1661610052" r:id="rId59"/>
        </w:object>
      </w:r>
      <w:r w:rsidR="00DC7B11">
        <w:t>)</w:t>
      </w:r>
      <w:r w:rsidR="007D38B6" w:rsidRPr="00C6712A">
        <w:t>.</w:t>
      </w:r>
      <w:r w:rsidR="00463B8B" w:rsidRPr="00C6712A">
        <w:t xml:space="preserve"> </w:t>
      </w:r>
      <w:r w:rsidR="00DC7B11">
        <w:t xml:space="preserve">The </w:t>
      </w:r>
      <w:r w:rsidR="007D38B6" w:rsidRPr="00C6712A">
        <w:t xml:space="preserve">underlying continuous propensity is also specified to be stochastic through an error term </w:t>
      </w:r>
      <w:r w:rsidR="00DC7B11" w:rsidRPr="002F1266">
        <w:rPr>
          <w:position w:val="-14"/>
        </w:rPr>
        <w:object w:dxaOrig="320" w:dyaOrig="380" w14:anchorId="5FA700B9">
          <v:shape id="_x0000_i1047" type="#_x0000_t75" style="width:15.45pt;height:18pt" o:ole="">
            <v:imagedata r:id="rId60" o:title=""/>
          </v:shape>
          <o:OLEObject Type="Embed" ProgID="Equation.DSMT4" ShapeID="_x0000_i1047" DrawAspect="Content" ObjectID="_1661610053" r:id="rId61"/>
        </w:object>
      </w:r>
      <w:r w:rsidR="00DC7B11">
        <w:t xml:space="preserve"> </w:t>
      </w:r>
      <w:r w:rsidR="007D38B6" w:rsidRPr="00C6712A">
        <w:t xml:space="preserve">that captures </w:t>
      </w:r>
      <w:r w:rsidR="00EB6219" w:rsidRPr="00C6712A">
        <w:t xml:space="preserve">the influence of </w:t>
      </w:r>
      <w:r w:rsidR="00463B8B" w:rsidRPr="00C6712A">
        <w:t xml:space="preserve">unobserved </w:t>
      </w:r>
      <w:r w:rsidR="00E52F95" w:rsidRPr="00C6712A">
        <w:t>characteristics</w:t>
      </w:r>
      <w:r w:rsidR="00EB6219" w:rsidRPr="00C6712A">
        <w:t xml:space="preserve"> on the </w:t>
      </w:r>
      <w:r w:rsidR="007D38B6" w:rsidRPr="00C6712A">
        <w:t xml:space="preserve">propensity </w:t>
      </w:r>
      <w:r w:rsidR="00EB6219" w:rsidRPr="00C6712A">
        <w:t>of ride-hailing</w:t>
      </w:r>
      <w:r w:rsidR="00463B8B" w:rsidRPr="00C6712A">
        <w:t xml:space="preserve">. </w:t>
      </w:r>
      <w:r w:rsidR="00663A8B" w:rsidRPr="00C6712A">
        <w:t xml:space="preserve">Our </w:t>
      </w:r>
      <w:r w:rsidR="00EB6219" w:rsidRPr="00C6712A">
        <w:t xml:space="preserve">simultaneous equations model allows </w:t>
      </w:r>
      <w:r w:rsidR="00E652F0" w:rsidRPr="00C6712A">
        <w:t>t</w:t>
      </w:r>
      <w:r w:rsidR="00463B8B" w:rsidRPr="00C6712A">
        <w:t>h</w:t>
      </w:r>
      <w:r w:rsidR="007D38B6" w:rsidRPr="00C6712A">
        <w:t>is</w:t>
      </w:r>
      <w:r w:rsidR="00463B8B" w:rsidRPr="00C6712A">
        <w:t xml:space="preserve"> error term</w:t>
      </w:r>
      <w:r w:rsidR="00E652F0" w:rsidRPr="00C6712A">
        <w:t xml:space="preserve"> </w:t>
      </w:r>
      <w:r w:rsidR="00EB6219" w:rsidRPr="00C6712A">
        <w:t>to be</w:t>
      </w:r>
      <w:r w:rsidR="00463B8B" w:rsidRPr="00C6712A">
        <w:t xml:space="preserve"> </w:t>
      </w:r>
      <w:r w:rsidR="00E652F0" w:rsidRPr="00C6712A">
        <w:t>c</w:t>
      </w:r>
      <w:r w:rsidR="00463B8B" w:rsidRPr="00C6712A">
        <w:t xml:space="preserve">orrelated </w:t>
      </w:r>
      <w:r w:rsidR="00FD4ED8" w:rsidRPr="00C6712A">
        <w:t xml:space="preserve">with the error term </w:t>
      </w:r>
      <w:r w:rsidR="00DC7B11" w:rsidRPr="002F1266">
        <w:rPr>
          <w:position w:val="-14"/>
        </w:rPr>
        <w:object w:dxaOrig="300" w:dyaOrig="380" w14:anchorId="5BE9D8DC">
          <v:shape id="_x0000_i1048" type="#_x0000_t75" style="width:15pt;height:18pt" o:ole="">
            <v:imagedata r:id="rId62" o:title=""/>
          </v:shape>
          <o:OLEObject Type="Embed" ProgID="Equation.DSMT4" ShapeID="_x0000_i1048" DrawAspect="Content" ObjectID="_1661610054" r:id="rId63"/>
        </w:object>
      </w:r>
      <w:r w:rsidR="00DC7B11">
        <w:t xml:space="preserve"> </w:t>
      </w:r>
      <w:r w:rsidR="00E4533E" w:rsidRPr="00C6712A">
        <w:t xml:space="preserve">in the first binary equation. As alluded to earlier, this correlation captures unobserved individual factors that make an individual more likely to be represented in the 2017 pool relative to the 2015 pool as well as make an individual have a higher propensity for ride-hailing (such an unobserved individual effect, for example, may be tech-savviness). </w:t>
      </w:r>
    </w:p>
    <w:p w14:paraId="4D793F2A" w14:textId="422FA41D" w:rsidR="00D35796" w:rsidRDefault="001E26CE" w:rsidP="004174AE">
      <w:r w:rsidRPr="00C6712A">
        <w:t>In summary,</w:t>
      </w:r>
      <w:r w:rsidR="002C6745" w:rsidRPr="00C6712A">
        <w:t xml:space="preserve"> with this two-equation joint framework, </w:t>
      </w:r>
      <w:r w:rsidR="00642576" w:rsidRPr="00C6712A">
        <w:t>the coefficien</w:t>
      </w:r>
      <w:r w:rsidR="00253800" w:rsidRPr="00C6712A">
        <w:t>t</w:t>
      </w:r>
      <w:r w:rsidR="00E86249">
        <w:t xml:space="preserve"> vector </w:t>
      </w:r>
      <w:r w:rsidR="00E86249" w:rsidRPr="00760217">
        <w:rPr>
          <w:position w:val="-12"/>
        </w:rPr>
        <w:object w:dxaOrig="300" w:dyaOrig="380" w14:anchorId="1DC8A223">
          <v:shape id="_x0000_i1049" type="#_x0000_t75" style="width:15pt;height:18pt" o:ole="">
            <v:imagedata r:id="rId48" o:title=""/>
          </v:shape>
          <o:OLEObject Type="Embed" ProgID="Equation.DSMT4" ShapeID="_x0000_i1049" DrawAspect="Content" ObjectID="_1661610055" r:id="rId64"/>
        </w:object>
      </w:r>
      <w:r w:rsidR="00E86249">
        <w:t xml:space="preserve"> in Equation (2) </w:t>
      </w:r>
      <w:r w:rsidR="00253800" w:rsidRPr="00C6712A">
        <w:t>on individual demographics represent</w:t>
      </w:r>
      <w:r w:rsidR="00E86249">
        <w:t>s</w:t>
      </w:r>
      <w:r w:rsidR="00253800" w:rsidRPr="00C6712A">
        <w:t xml:space="preserve"> the </w:t>
      </w:r>
      <w:r w:rsidR="00E86249">
        <w:t xml:space="preserve">vector of </w:t>
      </w:r>
      <w:r w:rsidR="00CC2413" w:rsidRPr="00C6712A">
        <w:t xml:space="preserve">“true” </w:t>
      </w:r>
      <w:r w:rsidR="00253800" w:rsidRPr="00C6712A">
        <w:t xml:space="preserve">effects of demographics on ride-hailing propensity in 2015. The </w:t>
      </w:r>
      <w:r w:rsidR="00E4533E" w:rsidRPr="00C6712A">
        <w:t xml:space="preserve">2017 dummy variable shifter term </w:t>
      </w:r>
      <w:r w:rsidR="00E86249" w:rsidRPr="002F1266">
        <w:rPr>
          <w:position w:val="-6"/>
        </w:rPr>
        <w:object w:dxaOrig="220" w:dyaOrig="279" w14:anchorId="382AD5B7">
          <v:shape id="_x0000_i1050" type="#_x0000_t75" style="width:11.55pt;height:13.3pt" o:ole="">
            <v:imagedata r:id="rId65" o:title=""/>
          </v:shape>
          <o:OLEObject Type="Embed" ProgID="Equation.DSMT4" ShapeID="_x0000_i1050" DrawAspect="Content" ObjectID="_1661610056" r:id="rId66"/>
        </w:object>
      </w:r>
      <w:r w:rsidR="00E86249">
        <w:t xml:space="preserve"> </w:t>
      </w:r>
      <w:r w:rsidR="00253800" w:rsidRPr="00C6712A">
        <w:t xml:space="preserve">captures the “true” evolutionary difference in ride-hailing propensity for a base demographic group not appearing in interaction terms of the 2017 dummy variable with individual </w:t>
      </w:r>
      <w:r w:rsidR="00E86249">
        <w:t>exogenous variables</w:t>
      </w:r>
      <w:r w:rsidR="00253800" w:rsidRPr="00C6712A">
        <w:t xml:space="preserve">. </w:t>
      </w:r>
      <w:r w:rsidR="00D6180F" w:rsidRPr="00C6712A">
        <w:t>Lastly,</w:t>
      </w:r>
      <w:r w:rsidR="00253800" w:rsidRPr="00C6712A">
        <w:t xml:space="preserve"> the interaction terms of the 2017 dummy variable with individual </w:t>
      </w:r>
      <w:r w:rsidR="00E86249">
        <w:t>exogenous</w:t>
      </w:r>
      <w:r w:rsidR="00253800" w:rsidRPr="00C6712A">
        <w:t xml:space="preserve"> </w:t>
      </w:r>
      <w:r w:rsidR="00E86249">
        <w:t xml:space="preserve">variables, </w:t>
      </w:r>
      <w:r w:rsidR="002F1266" w:rsidRPr="002F1266">
        <w:rPr>
          <w:position w:val="-14"/>
        </w:rPr>
        <w:object w:dxaOrig="540" w:dyaOrig="380" w14:anchorId="5E8EEF01">
          <v:shape id="_x0000_i1051" type="#_x0000_t75" style="width:27pt;height:18pt" o:ole="">
            <v:imagedata r:id="rId67" o:title=""/>
          </v:shape>
          <o:OLEObject Type="Embed" ProgID="Equation.DSMT4" ShapeID="_x0000_i1051" DrawAspect="Content" ObjectID="_1661610057" r:id="rId68"/>
        </w:object>
      </w:r>
      <w:r w:rsidR="00E86249">
        <w:t xml:space="preserve">, </w:t>
      </w:r>
      <w:r w:rsidR="00253800" w:rsidRPr="00C6712A">
        <w:t xml:space="preserve">essentially capture heterogeneity </w:t>
      </w:r>
      <w:r w:rsidR="00CC2413" w:rsidRPr="00C6712A">
        <w:t xml:space="preserve">(across demographic groups) </w:t>
      </w:r>
      <w:r w:rsidR="00253800" w:rsidRPr="00C6712A">
        <w:t xml:space="preserve">in the </w:t>
      </w:r>
      <w:r w:rsidR="00CC2413" w:rsidRPr="00C6712A">
        <w:t xml:space="preserve">“true” evolutionary shifts in ride-hailing propensity between 2015 and 2017. All these effects are “cleansed” and “true” effects because we recognize associative effects due to the correlation in unobserved factors between the first binary and second ordinal equations. Our approach </w:t>
      </w:r>
      <w:r w:rsidR="00F65752" w:rsidRPr="00C6712A">
        <w:t xml:space="preserve">is a </w:t>
      </w:r>
      <w:r w:rsidRPr="00C6712A">
        <w:t>rather novel</w:t>
      </w:r>
      <w:r w:rsidR="00F65752" w:rsidRPr="00C6712A">
        <w:t xml:space="preserve">, simple and elegant way </w:t>
      </w:r>
      <w:r w:rsidR="00913C91" w:rsidRPr="00C6712A">
        <w:t>of</w:t>
      </w:r>
      <w:r w:rsidR="00F65752" w:rsidRPr="00C6712A">
        <w:t xml:space="preserve"> </w:t>
      </w:r>
      <w:r w:rsidR="00913C91" w:rsidRPr="00C6712A">
        <w:t xml:space="preserve">using a sample-selection framework to </w:t>
      </w:r>
      <w:r w:rsidRPr="00C6712A">
        <w:t xml:space="preserve">simultaneously </w:t>
      </w:r>
      <w:r w:rsidR="00913C91" w:rsidRPr="00C6712A">
        <w:t xml:space="preserve">control for variations in respondent characteristics across different surveys, </w:t>
      </w:r>
      <w:r w:rsidRPr="00C6712A">
        <w:t>while estimating “true”</w:t>
      </w:r>
      <w:r w:rsidR="00913C91" w:rsidRPr="00C6712A">
        <w:t xml:space="preserve"> changes in behavior over time. </w:t>
      </w:r>
      <w:r w:rsidR="000562CA" w:rsidRPr="00C6712A">
        <w:t xml:space="preserve">While earlier applications of the sample-selection model have </w:t>
      </w:r>
      <w:r w:rsidR="00F248AF" w:rsidRPr="00C6712A">
        <w:t>generally controlled</w:t>
      </w:r>
      <w:r w:rsidR="000562CA" w:rsidRPr="00C6712A">
        <w:t xml:space="preserve"> for unobserved factors in examining inter-relationships among variables </w:t>
      </w:r>
      <w:r w:rsidR="00F248AF" w:rsidRPr="00C6712A">
        <w:t xml:space="preserve">within </w:t>
      </w:r>
      <w:r w:rsidR="000562CA" w:rsidRPr="00C6712A">
        <w:t xml:space="preserve">the </w:t>
      </w:r>
      <w:r w:rsidR="000562CA" w:rsidRPr="00C6712A">
        <w:rPr>
          <w:i/>
        </w:rPr>
        <w:t>same</w:t>
      </w:r>
      <w:r w:rsidR="000562CA" w:rsidRPr="00C6712A">
        <w:t xml:space="preserve"> survey, </w:t>
      </w:r>
      <w:r w:rsidR="00913C91" w:rsidRPr="00C6712A">
        <w:t>th</w:t>
      </w:r>
      <w:r w:rsidR="000562CA" w:rsidRPr="00C6712A">
        <w:t>e current study</w:t>
      </w:r>
      <w:r w:rsidR="00913C91" w:rsidRPr="00C6712A">
        <w:t xml:space="preserve"> is </w:t>
      </w:r>
      <w:r w:rsidR="00F248AF" w:rsidRPr="00C6712A">
        <w:t xml:space="preserve">a </w:t>
      </w:r>
      <w:r w:rsidR="00CC2413" w:rsidRPr="00C6712A">
        <w:t xml:space="preserve">rather </w:t>
      </w:r>
      <w:r w:rsidR="00F248AF" w:rsidRPr="00C6712A">
        <w:t xml:space="preserve">unique application of </w:t>
      </w:r>
      <w:r w:rsidR="000562CA" w:rsidRPr="00C6712A">
        <w:t xml:space="preserve">this framework to control for unobserved factors </w:t>
      </w:r>
      <w:r w:rsidR="000562CA" w:rsidRPr="00C6712A">
        <w:rPr>
          <w:i/>
        </w:rPr>
        <w:t>across</w:t>
      </w:r>
      <w:r w:rsidR="000562CA" w:rsidRPr="00C6712A">
        <w:t xml:space="preserve"> surveys.</w:t>
      </w:r>
      <w:r w:rsidR="00D6180F" w:rsidRPr="00C6712A">
        <w:t xml:space="preserve"> </w:t>
      </w:r>
      <w:r w:rsidR="00E86249">
        <w:t xml:space="preserve">Note that, for estimation, we assume that each of the error terms </w:t>
      </w:r>
      <w:r w:rsidR="00E86249" w:rsidRPr="00760217">
        <w:rPr>
          <w:position w:val="-14"/>
        </w:rPr>
        <w:object w:dxaOrig="300" w:dyaOrig="380" w14:anchorId="1C5A9231">
          <v:shape id="_x0000_i1052" type="#_x0000_t75" style="width:15pt;height:18pt" o:ole="">
            <v:imagedata r:id="rId62" o:title=""/>
          </v:shape>
          <o:OLEObject Type="Embed" ProgID="Equation.DSMT4" ShapeID="_x0000_i1052" DrawAspect="Content" ObjectID="_1661610058" r:id="rId69"/>
        </w:object>
      </w:r>
      <w:r w:rsidR="00E86249">
        <w:t xml:space="preserve"> and </w:t>
      </w:r>
      <w:r w:rsidR="00E86249" w:rsidRPr="00760217">
        <w:rPr>
          <w:position w:val="-14"/>
        </w:rPr>
        <w:object w:dxaOrig="320" w:dyaOrig="380" w14:anchorId="1BBE03F0">
          <v:shape id="_x0000_i1053" type="#_x0000_t75" style="width:15.45pt;height:18pt" o:ole="">
            <v:imagedata r:id="rId70" o:title=""/>
          </v:shape>
          <o:OLEObject Type="Embed" ProgID="Equation.DSMT4" ShapeID="_x0000_i1053" DrawAspect="Content" ObjectID="_1661610059" r:id="rId71"/>
        </w:object>
      </w:r>
      <w:r w:rsidR="00E86249">
        <w:t xml:space="preserve"> are standard normally distributed. The model is a classic switching ordered-response model system. We refer the reader to Greene and </w:t>
      </w:r>
      <w:r w:rsidR="00E86249" w:rsidRPr="00A34FC7">
        <w:t>Hensher (</w:t>
      </w:r>
      <w:r w:rsidR="00374974" w:rsidRPr="00A34FC7">
        <w:rPr>
          <w:i/>
        </w:rPr>
        <w:t>39</w:t>
      </w:r>
      <w:r w:rsidR="00E86249" w:rsidRPr="00A34FC7">
        <w:t>) for</w:t>
      </w:r>
      <w:r w:rsidR="00E86249" w:rsidRPr="00564669">
        <w:t xml:space="preserve"> </w:t>
      </w:r>
      <w:r w:rsidR="00E86249">
        <w:t>estimation details, which is relatively straightforward using the maximum likelihood inference approach.</w:t>
      </w:r>
    </w:p>
    <w:p w14:paraId="28A442FF" w14:textId="77777777" w:rsidR="00165042" w:rsidRPr="00C6712A" w:rsidRDefault="00165042" w:rsidP="00165042">
      <w:pPr>
        <w:spacing w:after="0"/>
      </w:pPr>
    </w:p>
    <w:p w14:paraId="15DBE1F0" w14:textId="501874FB" w:rsidR="00B76592" w:rsidRPr="00C6712A" w:rsidRDefault="00514716" w:rsidP="00165042">
      <w:pPr>
        <w:pStyle w:val="Heading2"/>
        <w:spacing w:before="0" w:after="0"/>
      </w:pPr>
      <w:r w:rsidRPr="005D61D8">
        <w:t>Computing</w:t>
      </w:r>
      <w:r w:rsidRPr="00C6712A">
        <w:t xml:space="preserve"> </w:t>
      </w:r>
      <w:r w:rsidR="00165042">
        <w:t>A</w:t>
      </w:r>
      <w:r w:rsidR="00B76592" w:rsidRPr="00C6712A">
        <w:t xml:space="preserve">verage </w:t>
      </w:r>
      <w:r w:rsidR="00165042">
        <w:t>T</w:t>
      </w:r>
      <w:r w:rsidR="00B76592" w:rsidRPr="00C6712A">
        <w:t xml:space="preserve">reatment </w:t>
      </w:r>
      <w:r w:rsidR="00165042">
        <w:t>E</w:t>
      </w:r>
      <w:r w:rsidR="00B76592" w:rsidRPr="00C6712A">
        <w:t>ffects (ATE</w:t>
      </w:r>
      <w:r w:rsidR="00E17F6E" w:rsidRPr="00C6712A">
        <w:t>s</w:t>
      </w:r>
      <w:r w:rsidR="00B76592" w:rsidRPr="00C6712A">
        <w:t>)</w:t>
      </w:r>
    </w:p>
    <w:p w14:paraId="51401292" w14:textId="794E1292" w:rsidR="00757405" w:rsidRPr="00C6712A" w:rsidRDefault="00FF7F63" w:rsidP="00165042">
      <w:pPr>
        <w:spacing w:after="0"/>
        <w:ind w:firstLine="0"/>
      </w:pPr>
      <w:r w:rsidRPr="00C6712A">
        <w:t xml:space="preserve">After </w:t>
      </w:r>
      <w:r w:rsidR="00F31D5D" w:rsidRPr="00C6712A">
        <w:t>estimating the model</w:t>
      </w:r>
      <w:r w:rsidRPr="00C6712A">
        <w:t xml:space="preserve">, </w:t>
      </w:r>
      <w:r w:rsidR="00435C46" w:rsidRPr="00C6712A">
        <w:t>it is possible to</w:t>
      </w:r>
      <w:r w:rsidRPr="00C6712A">
        <w:t xml:space="preserve"> </w:t>
      </w:r>
      <w:r w:rsidR="00AE66F8" w:rsidRPr="00C6712A">
        <w:t>analyze</w:t>
      </w:r>
      <w:r w:rsidRPr="00C6712A">
        <w:t xml:space="preserve"> each variable</w:t>
      </w:r>
      <w:r w:rsidR="00374974">
        <w:t>’</w:t>
      </w:r>
      <w:r w:rsidRPr="00C6712A">
        <w:t xml:space="preserve">s </w:t>
      </w:r>
      <w:r w:rsidR="00075BBB" w:rsidRPr="00C6712A">
        <w:t>average treatment effect</w:t>
      </w:r>
      <w:r w:rsidR="00982FEB" w:rsidRPr="00C6712A">
        <w:t xml:space="preserve"> (ATE)</w:t>
      </w:r>
      <w:r w:rsidR="00435C46" w:rsidRPr="00C6712A">
        <w:t xml:space="preserve">, </w:t>
      </w:r>
      <w:r w:rsidR="00435C46" w:rsidRPr="00C6712A">
        <w:rPr>
          <w:i/>
          <w:iCs/>
        </w:rPr>
        <w:t>i.e.</w:t>
      </w:r>
      <w:r w:rsidR="00435C46" w:rsidRPr="00C6712A">
        <w:t xml:space="preserve">, </w:t>
      </w:r>
      <w:r w:rsidRPr="00C6712A">
        <w:t xml:space="preserve">the </w:t>
      </w:r>
      <w:r w:rsidR="00B3150C" w:rsidRPr="00C6712A">
        <w:t xml:space="preserve">direct </w:t>
      </w:r>
      <w:r w:rsidRPr="00C6712A">
        <w:t>impact</w:t>
      </w:r>
      <w:r w:rsidR="00312BD3" w:rsidRPr="00C6712A">
        <w:t>s</w:t>
      </w:r>
      <w:r w:rsidRPr="00C6712A">
        <w:t xml:space="preserve"> of </w:t>
      </w:r>
      <w:r w:rsidR="00435C46" w:rsidRPr="00C6712A">
        <w:t xml:space="preserve">the </w:t>
      </w:r>
      <w:r w:rsidR="00842B8C" w:rsidRPr="00C6712A">
        <w:t>exogenous variables</w:t>
      </w:r>
      <w:r w:rsidRPr="00C6712A">
        <w:t xml:space="preserve"> </w:t>
      </w:r>
      <w:r w:rsidR="00435C46" w:rsidRPr="00C6712A">
        <w:t xml:space="preserve">on the frequency of </w:t>
      </w:r>
      <w:r w:rsidR="00C13A47" w:rsidRPr="00C6712A">
        <w:t xml:space="preserve">ride-hailing </w:t>
      </w:r>
      <w:r w:rsidR="00435C46" w:rsidRPr="00C6712A">
        <w:t>use</w:t>
      </w:r>
      <w:r w:rsidRPr="00C6712A">
        <w:t>.</w:t>
      </w:r>
      <w:r w:rsidR="00757405" w:rsidRPr="00C6712A">
        <w:t xml:space="preserve"> Note that only ATEs for the “frequency of ride-hailing” outcome</w:t>
      </w:r>
      <w:r w:rsidR="00435C46" w:rsidRPr="00C6712A">
        <w:t xml:space="preserve"> are presented in this paper</w:t>
      </w:r>
      <w:r w:rsidR="00757405" w:rsidRPr="00C6712A">
        <w:t xml:space="preserve">, since </w:t>
      </w:r>
      <w:r w:rsidR="00435C46" w:rsidRPr="00C6712A">
        <w:t>that constitutes</w:t>
      </w:r>
      <w:r w:rsidR="00757405" w:rsidRPr="00C6712A">
        <w:t xml:space="preserve"> </w:t>
      </w:r>
      <w:r w:rsidR="00435C46" w:rsidRPr="00C6712A">
        <w:t xml:space="preserve">the </w:t>
      </w:r>
      <w:r w:rsidR="00757405" w:rsidRPr="00C6712A">
        <w:t xml:space="preserve">main outcome of interest. The “belongs to 2017” </w:t>
      </w:r>
      <w:r w:rsidR="00435C46" w:rsidRPr="00C6712A">
        <w:t xml:space="preserve">sample-selection </w:t>
      </w:r>
      <w:r w:rsidR="00757405" w:rsidRPr="00C6712A">
        <w:t>outcome is simply used to control for unobserved effects</w:t>
      </w:r>
      <w:r w:rsidR="00C4147E" w:rsidRPr="00C6712A">
        <w:t xml:space="preserve"> during estimation to obtain “true” variable effects on the “frequency of ride-hailing” ordinal outcome</w:t>
      </w:r>
      <w:r w:rsidR="00435C46" w:rsidRPr="00C6712A">
        <w:t>,</w:t>
      </w:r>
      <w:r w:rsidR="00757405" w:rsidRPr="00C6712A">
        <w:t xml:space="preserve"> and therefore </w:t>
      </w:r>
      <w:r w:rsidR="00C4147E" w:rsidRPr="00C6712A">
        <w:t xml:space="preserve">the </w:t>
      </w:r>
      <w:r w:rsidR="00757405" w:rsidRPr="00C6712A">
        <w:t>ATE</w:t>
      </w:r>
      <w:r w:rsidR="00C4147E" w:rsidRPr="00C6712A">
        <w:t xml:space="preserve"> effects from the first binary equation </w:t>
      </w:r>
      <w:r w:rsidR="00757405" w:rsidRPr="00C6712A">
        <w:t xml:space="preserve">are not </w:t>
      </w:r>
      <w:r w:rsidR="00435C46" w:rsidRPr="00C6712A">
        <w:t xml:space="preserve">directly </w:t>
      </w:r>
      <w:r w:rsidR="00757405" w:rsidRPr="00C6712A">
        <w:t>relevant</w:t>
      </w:r>
      <w:r w:rsidR="00435C46" w:rsidRPr="00C6712A">
        <w:t xml:space="preserve"> to the question of interest</w:t>
      </w:r>
      <w:r w:rsidR="00757405" w:rsidRPr="00C6712A">
        <w:t>.</w:t>
      </w:r>
    </w:p>
    <w:p w14:paraId="459183E1" w14:textId="7A8D3A21" w:rsidR="00075BBB" w:rsidRPr="00C6712A" w:rsidRDefault="00075BBB" w:rsidP="006E6706">
      <w:r w:rsidRPr="00C6712A">
        <w:t xml:space="preserve">To obtain </w:t>
      </w:r>
      <w:r w:rsidR="00757405" w:rsidRPr="00C6712A">
        <w:t xml:space="preserve">the desired </w:t>
      </w:r>
      <w:r w:rsidRPr="00C6712A">
        <w:t>order-of-magnitude effects, cardinal values are assigned to each of the ordinal levels of ride-hailing</w:t>
      </w:r>
      <w:r w:rsidR="00066622" w:rsidRPr="00C6712A">
        <w:t>.</w:t>
      </w:r>
      <w:r w:rsidRPr="00C6712A">
        <w:t xml:space="preserve"> The cardinal value assignments </w:t>
      </w:r>
      <w:r w:rsidR="00435C46" w:rsidRPr="00C6712A">
        <w:t>corresponding to different</w:t>
      </w:r>
      <w:r w:rsidRPr="00C6712A">
        <w:t xml:space="preserve"> frequency levels in the model are as follows: </w:t>
      </w:r>
    </w:p>
    <w:p w14:paraId="0E9971F5" w14:textId="6D116CBD" w:rsidR="00075BBB" w:rsidRPr="00C6712A" w:rsidRDefault="00075BBB" w:rsidP="00047C64">
      <w:pPr>
        <w:pStyle w:val="ListParagraph"/>
        <w:numPr>
          <w:ilvl w:val="0"/>
          <w:numId w:val="17"/>
        </w:numPr>
        <w:spacing w:after="0"/>
      </w:pPr>
      <w:r w:rsidRPr="00C6712A">
        <w:lastRenderedPageBreak/>
        <w:t xml:space="preserve">“Never” = 0 trips per month, </w:t>
      </w:r>
    </w:p>
    <w:p w14:paraId="515D840B" w14:textId="18842B2E" w:rsidR="00075BBB" w:rsidRPr="00C6712A" w:rsidRDefault="00075BBB" w:rsidP="00047C64">
      <w:pPr>
        <w:pStyle w:val="ListParagraph"/>
        <w:numPr>
          <w:ilvl w:val="0"/>
          <w:numId w:val="17"/>
        </w:numPr>
        <w:spacing w:after="0"/>
      </w:pPr>
      <w:r w:rsidRPr="00C6712A">
        <w:t xml:space="preserve">“Less than 1 day per month” = 0.333 trips per month, </w:t>
      </w:r>
    </w:p>
    <w:p w14:paraId="0BB74738" w14:textId="2617DACD" w:rsidR="00075BBB" w:rsidRPr="00C6712A" w:rsidRDefault="00075BBB" w:rsidP="00047C64">
      <w:pPr>
        <w:pStyle w:val="ListParagraph"/>
        <w:numPr>
          <w:ilvl w:val="0"/>
          <w:numId w:val="17"/>
        </w:numPr>
        <w:spacing w:after="0"/>
      </w:pPr>
      <w:r w:rsidRPr="00C6712A">
        <w:t xml:space="preserve">“1-3 days per month” = 2 trips per month, </w:t>
      </w:r>
    </w:p>
    <w:p w14:paraId="0A197F22" w14:textId="05C51206" w:rsidR="00075BBB" w:rsidRPr="00C6712A" w:rsidRDefault="00075BBB" w:rsidP="00047C64">
      <w:pPr>
        <w:pStyle w:val="ListParagraph"/>
        <w:numPr>
          <w:ilvl w:val="0"/>
          <w:numId w:val="17"/>
        </w:numPr>
        <w:spacing w:after="0"/>
      </w:pPr>
      <w:r w:rsidRPr="00C6712A">
        <w:t xml:space="preserve">“1 day per week” = 4 trips per month, </w:t>
      </w:r>
    </w:p>
    <w:p w14:paraId="05ED4164" w14:textId="54DA443F" w:rsidR="00075BBB" w:rsidRPr="00C6712A" w:rsidRDefault="00075BBB" w:rsidP="006E6706">
      <w:pPr>
        <w:pStyle w:val="ListParagraph"/>
        <w:numPr>
          <w:ilvl w:val="0"/>
          <w:numId w:val="17"/>
        </w:numPr>
      </w:pPr>
      <w:r w:rsidRPr="00C6712A">
        <w:t>“2 or more days per week”</w:t>
      </w:r>
      <w:r w:rsidR="00435C46" w:rsidRPr="00C6712A">
        <w:t xml:space="preserve"> </w:t>
      </w:r>
      <w:r w:rsidRPr="00C6712A">
        <w:t xml:space="preserve">= 16 </w:t>
      </w:r>
      <w:r w:rsidR="004511C3" w:rsidRPr="00C6712A">
        <w:t xml:space="preserve">trips </w:t>
      </w:r>
      <w:r w:rsidR="009B20E0" w:rsidRPr="00C6712A">
        <w:t xml:space="preserve">per month. </w:t>
      </w:r>
    </w:p>
    <w:p w14:paraId="33D6666E" w14:textId="5997B987" w:rsidR="00075BBB" w:rsidRPr="00C6712A" w:rsidRDefault="00075BBB" w:rsidP="006E6706">
      <w:r w:rsidRPr="00C6712A">
        <w:t>With these assignments, and using the notation</w:t>
      </w:r>
      <w:r w:rsidR="004511C3" w:rsidRPr="00C6712A">
        <w:t xml:space="preserve"> </w:t>
      </w:r>
      <w:r w:rsidR="00AD6EBF" w:rsidRPr="0027118B">
        <w:rPr>
          <w:position w:val="-12"/>
        </w:rPr>
        <w:object w:dxaOrig="260" w:dyaOrig="360" w14:anchorId="6EE51492">
          <v:shape id="_x0000_i1054" type="#_x0000_t75" style="width:12.45pt;height:18pt" o:ole="">
            <v:imagedata r:id="rId72" o:title=""/>
          </v:shape>
          <o:OLEObject Type="Embed" ProgID="Equation.DSMT4" ShapeID="_x0000_i1054" DrawAspect="Content" ObjectID="_1661610060" r:id="rId73"/>
        </w:object>
      </w:r>
      <w:r w:rsidR="004511C3" w:rsidRPr="00C6712A">
        <w:t xml:space="preserve"> </w:t>
      </w:r>
      <w:r w:rsidRPr="00C6712A">
        <w:t xml:space="preserve">for the cardinal value assignment corresponding to </w:t>
      </w:r>
      <w:r w:rsidR="00E602CB" w:rsidRPr="00C6712A">
        <w:t>frequency</w:t>
      </w:r>
      <w:r w:rsidRPr="00C6712A">
        <w:t xml:space="preserve"> level </w:t>
      </w:r>
      <w:r w:rsidR="00845B8A" w:rsidRPr="00C6712A">
        <w:rPr>
          <w:i/>
        </w:rPr>
        <w:t>k</w:t>
      </w:r>
      <w:r w:rsidRPr="004573FB">
        <w:t xml:space="preserve">, </w:t>
      </w:r>
      <w:r w:rsidRPr="00C6712A">
        <w:t>the marginal expected value of the frequency of ride-</w:t>
      </w:r>
      <w:r w:rsidR="004511C3" w:rsidRPr="00C6712A">
        <w:t>hailing</w:t>
      </w:r>
      <w:r w:rsidRPr="00C6712A">
        <w:t xml:space="preserve"> for individual </w:t>
      </w:r>
      <w:r w:rsidRPr="00C6712A">
        <w:rPr>
          <w:i/>
        </w:rPr>
        <w:t>q</w:t>
      </w:r>
      <w:r w:rsidR="004B050B" w:rsidRPr="00C6712A">
        <w:rPr>
          <w:i/>
        </w:rPr>
        <w:t xml:space="preserve"> </w:t>
      </w:r>
      <w:r w:rsidR="00F21C64" w:rsidRPr="00957B5D">
        <w:rPr>
          <w:i/>
          <w:position w:val="-14"/>
        </w:rPr>
        <w:object w:dxaOrig="480" w:dyaOrig="380" w14:anchorId="43B5EC94">
          <v:shape id="_x0000_i1055" type="#_x0000_t75" style="width:23.55pt;height:18.85pt" o:ole="" o:preferrelative="f">
            <v:imagedata r:id="rId74" o:title=""/>
            <o:lock v:ext="edit" aspectratio="f"/>
          </v:shape>
          <o:OLEObject Type="Embed" ProgID="Equation.DSMT4" ShapeID="_x0000_i1055" DrawAspect="Content" ObjectID="_1661610061" r:id="rId75"/>
        </w:object>
      </w:r>
      <w:r w:rsidRPr="00C6712A">
        <w:rPr>
          <w:rFonts w:eastAsiaTheme="minorEastAsia"/>
          <w:i/>
        </w:rPr>
        <w:t xml:space="preserve"> </w:t>
      </w:r>
      <w:r w:rsidRPr="00C6712A">
        <w:t>is:</w:t>
      </w:r>
    </w:p>
    <w:p w14:paraId="07A1D9E6" w14:textId="3692EEC3" w:rsidR="00367D4A" w:rsidRPr="00C6712A" w:rsidRDefault="00F21C64" w:rsidP="009B20E0">
      <w:pPr>
        <w:tabs>
          <w:tab w:val="center" w:pos="4140"/>
          <w:tab w:val="right" w:pos="9360"/>
        </w:tabs>
      </w:pPr>
      <w:r w:rsidRPr="0027118B">
        <w:rPr>
          <w:position w:val="-28"/>
        </w:rPr>
        <w:object w:dxaOrig="2540" w:dyaOrig="680" w14:anchorId="14F3E16C">
          <v:shape id="_x0000_i1056" type="#_x0000_t75" style="width:126.85pt;height:33.85pt" o:ole="" o:preferrelative="f">
            <v:imagedata r:id="rId76" o:title=""/>
            <o:lock v:ext="edit" aspectratio="f"/>
          </v:shape>
          <o:OLEObject Type="Embed" ProgID="Equation.DSMT4" ShapeID="_x0000_i1056" DrawAspect="Content" ObjectID="_1661610062" r:id="rId77"/>
        </w:object>
      </w:r>
      <w:r w:rsidR="00367D4A" w:rsidRPr="00C6712A">
        <w:tab/>
      </w:r>
      <w:r w:rsidR="00367D4A" w:rsidRPr="00C6712A">
        <w:tab/>
        <w:t>(</w:t>
      </w:r>
      <w:r w:rsidR="008360E9">
        <w:t>3</w:t>
      </w:r>
      <w:r w:rsidR="00367D4A" w:rsidRPr="00C6712A">
        <w:t>)</w:t>
      </w:r>
    </w:p>
    <w:p w14:paraId="78CE9365" w14:textId="45EB6D68" w:rsidR="005C697D" w:rsidRPr="00C6712A" w:rsidRDefault="004B050B" w:rsidP="00040E60">
      <w:pPr>
        <w:ind w:firstLine="0"/>
      </w:pPr>
      <w:r w:rsidRPr="00C6712A">
        <w:t xml:space="preserve">where </w:t>
      </w:r>
      <w:r w:rsidR="00F21C64" w:rsidRPr="00F21C64">
        <w:rPr>
          <w:position w:val="-14"/>
        </w:rPr>
        <w:object w:dxaOrig="1060" w:dyaOrig="380" w14:anchorId="14C6B9D8">
          <v:shape id="_x0000_i1057" type="#_x0000_t75" style="width:53.55pt;height:18.85pt" o:ole="" o:preferrelative="f">
            <v:imagedata r:id="rId78" o:title=""/>
            <o:lock v:ext="edit" aspectratio="f"/>
          </v:shape>
          <o:OLEObject Type="Embed" ProgID="Equation.DSMT4" ShapeID="_x0000_i1057" DrawAspect="Content" ObjectID="_1661610063" r:id="rId79"/>
        </w:object>
      </w:r>
      <w:r w:rsidRPr="00C6712A">
        <w:t xml:space="preserve"> is </w:t>
      </w:r>
      <w:r w:rsidR="004511C3" w:rsidRPr="00C6712A">
        <w:t xml:space="preserve">the probability that individual </w:t>
      </w:r>
      <w:r w:rsidR="004511C3" w:rsidRPr="00C6712A">
        <w:rPr>
          <w:i/>
        </w:rPr>
        <w:t>q</w:t>
      </w:r>
      <w:r w:rsidR="004511C3" w:rsidRPr="00C6712A">
        <w:t xml:space="preserve"> </w:t>
      </w:r>
      <w:r w:rsidR="00435C46" w:rsidRPr="00C6712A">
        <w:t>falls into</w:t>
      </w:r>
      <w:r w:rsidR="004511C3" w:rsidRPr="00C6712A">
        <w:t xml:space="preserve"> frequency category </w:t>
      </w:r>
      <w:r w:rsidR="002C1C6E" w:rsidRPr="00C6712A">
        <w:rPr>
          <w:i/>
        </w:rPr>
        <w:t>k</w:t>
      </w:r>
      <w:r w:rsidR="00435C46" w:rsidRPr="00C6712A">
        <w:t xml:space="preserve"> and is</w:t>
      </w:r>
      <w:r w:rsidR="004511C3" w:rsidRPr="00C6712A">
        <w:t xml:space="preserve"> calculated using the </w:t>
      </w:r>
      <w:r w:rsidR="00BD40E0" w:rsidRPr="00C6712A">
        <w:t>estimated coefficients of the model.</w:t>
      </w:r>
      <w:r w:rsidR="005C697D" w:rsidRPr="00C6712A">
        <w:t xml:space="preserve"> </w:t>
      </w:r>
      <w:r w:rsidR="00435C46" w:rsidRPr="00C6712A">
        <w:t>Using this equation,</w:t>
      </w:r>
      <w:r w:rsidR="003C3018" w:rsidRPr="00C6712A">
        <w:t xml:space="preserve"> it is possible to compute the aggregate-level </w:t>
      </w:r>
      <w:r w:rsidR="00982FEB" w:rsidRPr="00C6712A">
        <w:t>ATE</w:t>
      </w:r>
      <w:r w:rsidR="00F951B2" w:rsidRPr="00C6712A">
        <w:t>s</w:t>
      </w:r>
      <w:r w:rsidR="003C3018" w:rsidRPr="00C6712A">
        <w:t xml:space="preserve"> of exogenous variables. </w:t>
      </w:r>
    </w:p>
    <w:p w14:paraId="585E5E2A" w14:textId="77777777" w:rsidR="00435C46" w:rsidRPr="00C6712A" w:rsidRDefault="00B22182" w:rsidP="006E6706">
      <w:r w:rsidRPr="00C6712A">
        <w:t xml:space="preserve">In the current analysis, </w:t>
      </w:r>
      <w:r w:rsidR="00465E82" w:rsidRPr="00C6712A">
        <w:t>four</w:t>
      </w:r>
      <w:r w:rsidRPr="00C6712A">
        <w:t xml:space="preserve"> types of ATEs</w:t>
      </w:r>
      <w:r w:rsidR="00435C46" w:rsidRPr="00C6712A">
        <w:t xml:space="preserve"> are calculated</w:t>
      </w:r>
      <w:r w:rsidRPr="00C6712A">
        <w:t xml:space="preserve">: </w:t>
      </w:r>
    </w:p>
    <w:p w14:paraId="4B4DEE75" w14:textId="77777777" w:rsidR="00435C46" w:rsidRPr="00C6712A" w:rsidRDefault="00465E82" w:rsidP="00435C46">
      <w:pPr>
        <w:pStyle w:val="ListParagraph"/>
        <w:numPr>
          <w:ilvl w:val="0"/>
          <w:numId w:val="23"/>
        </w:numPr>
        <w:spacing w:after="0"/>
      </w:pPr>
      <w:r w:rsidRPr="00C6712A">
        <w:t xml:space="preserve">Across demographics </w:t>
      </w:r>
      <w:r w:rsidR="00B22182" w:rsidRPr="00C6712A">
        <w:t>within 201</w:t>
      </w:r>
      <w:r w:rsidR="00435C46" w:rsidRPr="00C6712A">
        <w:t>5</w:t>
      </w:r>
    </w:p>
    <w:p w14:paraId="669AF1F3" w14:textId="57BA6916" w:rsidR="00435C46" w:rsidRPr="00C6712A" w:rsidRDefault="00465E82" w:rsidP="00435C46">
      <w:pPr>
        <w:pStyle w:val="ListParagraph"/>
        <w:numPr>
          <w:ilvl w:val="0"/>
          <w:numId w:val="23"/>
        </w:numPr>
        <w:spacing w:after="0"/>
      </w:pPr>
      <w:r w:rsidRPr="00C6712A">
        <w:t xml:space="preserve">Across demographics </w:t>
      </w:r>
      <w:r w:rsidR="00B22182" w:rsidRPr="00C6712A">
        <w:t>within 2017</w:t>
      </w:r>
    </w:p>
    <w:p w14:paraId="01C1B005" w14:textId="77777777" w:rsidR="00435C46" w:rsidRPr="00C6712A" w:rsidRDefault="00465E82" w:rsidP="00435C46">
      <w:pPr>
        <w:pStyle w:val="ListParagraph"/>
        <w:numPr>
          <w:ilvl w:val="0"/>
          <w:numId w:val="23"/>
        </w:numPr>
        <w:spacing w:after="0"/>
      </w:pPr>
      <w:r w:rsidRPr="00C6712A">
        <w:t>Across demographics</w:t>
      </w:r>
      <w:r w:rsidR="00B22182" w:rsidRPr="00C6712A">
        <w:t xml:space="preserve"> from 2015 to 2017</w:t>
      </w:r>
    </w:p>
    <w:p w14:paraId="26DEC5A2" w14:textId="77777777" w:rsidR="00435C46" w:rsidRPr="00C6712A" w:rsidRDefault="00465E82" w:rsidP="006E6706">
      <w:pPr>
        <w:pStyle w:val="ListParagraph"/>
        <w:numPr>
          <w:ilvl w:val="0"/>
          <w:numId w:val="23"/>
        </w:numPr>
      </w:pPr>
      <w:r w:rsidRPr="00C6712A">
        <w:t>Within demographics from 2015 to 2017</w:t>
      </w:r>
    </w:p>
    <w:p w14:paraId="2A3B38AE" w14:textId="4E2EEEE2" w:rsidR="00B3073E" w:rsidRDefault="00B95732" w:rsidP="00165042">
      <w:pPr>
        <w:spacing w:after="0"/>
      </w:pPr>
      <w:r w:rsidRPr="00C6712A">
        <w:t>Furthermore, a</w:t>
      </w:r>
      <w:r w:rsidR="003C3018" w:rsidRPr="00C6712A">
        <w:t xml:space="preserve">ll of the exogenous variables are discrete variables, </w:t>
      </w:r>
      <w:r w:rsidR="00435C46" w:rsidRPr="00C6712A">
        <w:t>including</w:t>
      </w:r>
      <w:r w:rsidR="003C3018" w:rsidRPr="00C6712A">
        <w:t xml:space="preserve"> binary variables such as education level </w:t>
      </w:r>
      <w:r w:rsidR="00DA65E7" w:rsidRPr="00C6712A">
        <w:t xml:space="preserve">and </w:t>
      </w:r>
      <w:r w:rsidR="003C3018" w:rsidRPr="00C6712A">
        <w:t xml:space="preserve">driver’s license </w:t>
      </w:r>
      <w:r w:rsidR="000C2EBC" w:rsidRPr="00C6712A">
        <w:t>owners</w:t>
      </w:r>
      <w:r w:rsidR="00383C76" w:rsidRPr="00C6712A">
        <w:t>hip</w:t>
      </w:r>
      <w:r w:rsidR="00DA65E7" w:rsidRPr="00C6712A">
        <w:t>,</w:t>
      </w:r>
      <w:r w:rsidR="003C3018" w:rsidRPr="00C6712A">
        <w:t xml:space="preserve"> and multinomial </w:t>
      </w:r>
      <w:r w:rsidR="00E37EA4" w:rsidRPr="00C6712A">
        <w:t>(</w:t>
      </w:r>
      <w:r w:rsidR="00E37EA4" w:rsidRPr="00C6712A">
        <w:rPr>
          <w:i/>
        </w:rPr>
        <w:t>i.e.</w:t>
      </w:r>
      <w:r w:rsidR="00435C46" w:rsidRPr="00C6712A">
        <w:t xml:space="preserve">, </w:t>
      </w:r>
      <w:r w:rsidR="00E37EA4" w:rsidRPr="00C6712A">
        <w:t xml:space="preserve">categorical) </w:t>
      </w:r>
      <w:r w:rsidR="003C3018" w:rsidRPr="00C6712A">
        <w:t xml:space="preserve">variables such as employment and age. </w:t>
      </w:r>
      <w:r w:rsidR="00435C46" w:rsidRPr="00C6712A">
        <w:t>Calculations are illustrated here</w:t>
      </w:r>
      <w:r w:rsidR="000219EE" w:rsidRPr="00C6712A">
        <w:t xml:space="preserve"> </w:t>
      </w:r>
      <w:r w:rsidR="00757D68" w:rsidRPr="00C6712A">
        <w:t>for the “</w:t>
      </w:r>
      <w:r w:rsidR="00B26A0D" w:rsidRPr="00C6712A">
        <w:t xml:space="preserve">Across demographics </w:t>
      </w:r>
      <w:r w:rsidR="00757D68" w:rsidRPr="00C6712A">
        <w:t>within 2015”</w:t>
      </w:r>
      <w:r w:rsidR="00812141" w:rsidRPr="00C6712A">
        <w:t xml:space="preserve"> </w:t>
      </w:r>
      <w:r w:rsidR="00435C46" w:rsidRPr="00C6712A">
        <w:t xml:space="preserve">effects </w:t>
      </w:r>
      <w:r w:rsidR="00812141" w:rsidRPr="00C6712A">
        <w:t>case</w:t>
      </w:r>
      <w:r w:rsidR="00757D68" w:rsidRPr="00C6712A">
        <w:t xml:space="preserve"> using smartphone ownership (where “No” is the base)</w:t>
      </w:r>
      <w:r w:rsidR="00435C46" w:rsidRPr="00C6712A">
        <w:t xml:space="preserve"> as the influential variable of interest</w:t>
      </w:r>
      <w:r w:rsidR="001235B2" w:rsidRPr="00C6712A">
        <w:t>.</w:t>
      </w:r>
      <w:r w:rsidR="00757D68" w:rsidRPr="00C6712A">
        <w:t xml:space="preserve"> </w:t>
      </w:r>
      <w:r w:rsidR="00435C46" w:rsidRPr="00C6712A">
        <w:t xml:space="preserve">The same approach applies </w:t>
      </w:r>
      <w:r w:rsidR="00757D68" w:rsidRPr="00C6712A">
        <w:t xml:space="preserve">to </w:t>
      </w:r>
      <w:r w:rsidR="00B26A0D" w:rsidRPr="00C6712A">
        <w:t>the three other</w:t>
      </w:r>
      <w:r w:rsidR="00455DFB" w:rsidRPr="00C6712A">
        <w:t xml:space="preserve"> cases</w:t>
      </w:r>
      <w:r w:rsidR="00757D68" w:rsidRPr="00C6712A">
        <w:t>.</w:t>
      </w:r>
      <w:r w:rsidR="00663A8B" w:rsidRPr="00C6712A">
        <w:t xml:space="preserve"> </w:t>
      </w:r>
      <w:r w:rsidR="003B53E2" w:rsidRPr="00C6712A">
        <w:t>First,</w:t>
      </w:r>
      <w:r w:rsidR="00465EAD" w:rsidRPr="00C6712A">
        <w:t xml:space="preserve"> </w:t>
      </w:r>
      <w:r w:rsidR="003B53E2" w:rsidRPr="00C6712A">
        <w:t xml:space="preserve">take the original dataset and assign zeros to the 2017 dummy variable and all of the 2017 interaction dummy variables. </w:t>
      </w:r>
      <w:r w:rsidR="00256911" w:rsidRPr="00C6712A">
        <w:t>This essentially forces all observations</w:t>
      </w:r>
      <w:r w:rsidR="00145CBA" w:rsidRPr="00C6712A">
        <w:t xml:space="preserve"> </w:t>
      </w:r>
      <w:r w:rsidR="003B53E2" w:rsidRPr="00C6712A">
        <w:t xml:space="preserve">to belong to 2015. This is called the global 2015 dataset. </w:t>
      </w:r>
      <w:r w:rsidR="00145CBA" w:rsidRPr="00C6712A">
        <w:t>Then</w:t>
      </w:r>
      <w:r w:rsidR="004F5BD5" w:rsidRPr="00C6712A">
        <w:t xml:space="preserve"> the </w:t>
      </w:r>
      <w:r w:rsidR="00F514B6" w:rsidRPr="00C6712A">
        <w:t>global 2015 dataset</w:t>
      </w:r>
      <w:r w:rsidR="004F5BD5" w:rsidRPr="00C6712A">
        <w:t xml:space="preserve"> </w:t>
      </w:r>
      <w:r w:rsidR="00145CBA" w:rsidRPr="00C6712A">
        <w:t xml:space="preserve">is modified by </w:t>
      </w:r>
      <w:r w:rsidR="00F839AB" w:rsidRPr="00C6712A">
        <w:t>assign</w:t>
      </w:r>
      <w:r w:rsidR="00145CBA" w:rsidRPr="00C6712A">
        <w:t>ing</w:t>
      </w:r>
      <w:r w:rsidR="003C3018" w:rsidRPr="00C6712A">
        <w:t xml:space="preserve"> </w:t>
      </w:r>
      <w:r w:rsidR="00145CBA" w:rsidRPr="00C6712A">
        <w:t>a</w:t>
      </w:r>
      <w:r w:rsidR="003C3018" w:rsidRPr="00C6712A">
        <w:t xml:space="preserve"> value of </w:t>
      </w:r>
      <w:r w:rsidR="001235B2" w:rsidRPr="00C6712A">
        <w:t xml:space="preserve">“0” for </w:t>
      </w:r>
      <w:r w:rsidR="00A56EFF" w:rsidRPr="00C6712A">
        <w:t>the “Smartphone Ownership – Yes” dummy variable</w:t>
      </w:r>
      <w:r w:rsidR="001235B2" w:rsidRPr="00C6712A">
        <w:t xml:space="preserve">. </w:t>
      </w:r>
      <w:r w:rsidR="00256911" w:rsidRPr="00C6712A">
        <w:t>This forces all</w:t>
      </w:r>
      <w:r w:rsidR="00875B00" w:rsidRPr="00C6712A">
        <w:t xml:space="preserve"> observations in the dataset to </w:t>
      </w:r>
      <w:r w:rsidR="00A56EFF" w:rsidRPr="00C6712A">
        <w:rPr>
          <w:i/>
          <w:iCs/>
        </w:rPr>
        <w:t>not</w:t>
      </w:r>
      <w:r w:rsidR="00A56EFF" w:rsidRPr="00C6712A">
        <w:t xml:space="preserve"> own smartphones</w:t>
      </w:r>
      <w:r w:rsidR="00875B00" w:rsidRPr="00C6712A">
        <w:t xml:space="preserve">. </w:t>
      </w:r>
      <w:r w:rsidR="003C3018" w:rsidRPr="00C6712A">
        <w:t xml:space="preserve">All other exogenous variables are </w:t>
      </w:r>
      <w:r w:rsidR="008E1893" w:rsidRPr="00C6712A">
        <w:t>kept a</w:t>
      </w:r>
      <w:r w:rsidR="0067426E">
        <w:t>t their original values from</w:t>
      </w:r>
      <w:r w:rsidR="008E1893" w:rsidRPr="00C6712A">
        <w:t xml:space="preserve"> the </w:t>
      </w:r>
      <w:r w:rsidR="00646E64" w:rsidRPr="00C6712A">
        <w:t xml:space="preserve">global 2015 </w:t>
      </w:r>
      <w:r w:rsidR="008E1893" w:rsidRPr="00C6712A">
        <w:t>dataset</w:t>
      </w:r>
      <w:r w:rsidR="009028FF" w:rsidRPr="00C6712A">
        <w:t xml:space="preserve">. </w:t>
      </w:r>
      <w:r w:rsidR="00C23D46" w:rsidRPr="00C6712A">
        <w:t>U</w:t>
      </w:r>
      <w:r w:rsidR="006D5E86" w:rsidRPr="00C6712A">
        <w:t xml:space="preserve">sing Equation </w:t>
      </w:r>
      <w:r w:rsidR="00A10F66">
        <w:t>3</w:t>
      </w:r>
      <w:r w:rsidR="00C23D46" w:rsidRPr="00C6712A">
        <w:t>,</w:t>
      </w:r>
      <w:r w:rsidR="006D5E86" w:rsidRPr="00C6712A">
        <w:t xml:space="preserve"> </w:t>
      </w:r>
      <w:r w:rsidR="00337256" w:rsidRPr="00C6712A">
        <w:t xml:space="preserve">compute </w:t>
      </w:r>
      <w:r w:rsidR="0036334A" w:rsidRPr="00C6712A">
        <w:t>the average of</w:t>
      </w:r>
      <w:r w:rsidR="003C3018" w:rsidRPr="00C6712A">
        <w:t xml:space="preserve"> the expected frequency of </w:t>
      </w:r>
      <w:r w:rsidR="005F0ED2" w:rsidRPr="00C6712A">
        <w:t>ride-hailing</w:t>
      </w:r>
      <w:r w:rsidR="00C41337" w:rsidRPr="00C6712A">
        <w:t xml:space="preserve"> </w:t>
      </w:r>
      <w:r w:rsidR="0036334A" w:rsidRPr="00C6712A">
        <w:t>across</w:t>
      </w:r>
      <w:r w:rsidR="003C3018" w:rsidRPr="00C6712A">
        <w:t xml:space="preserve"> the </w:t>
      </w:r>
      <w:r w:rsidR="00D91DEC" w:rsidRPr="00C6712A">
        <w:t xml:space="preserve">entire </w:t>
      </w:r>
      <w:r w:rsidR="003C3018" w:rsidRPr="00C6712A">
        <w:t>sample</w:t>
      </w:r>
      <w:r w:rsidR="002826AE" w:rsidRPr="00C6712A">
        <w:t xml:space="preserve"> </w:t>
      </w:r>
      <w:r w:rsidR="00D91DEC" w:rsidRPr="00C6712A">
        <w:t xml:space="preserve">and </w:t>
      </w:r>
      <w:r w:rsidR="003C3018" w:rsidRPr="00C6712A">
        <w:t xml:space="preserve">label the resulting </w:t>
      </w:r>
      <w:r w:rsidR="00D91DEC" w:rsidRPr="00C6712A">
        <w:t>value</w:t>
      </w:r>
      <w:r w:rsidR="003C3018" w:rsidRPr="00C6712A">
        <w:t xml:space="preserve"> as BASE</w:t>
      </w:r>
      <w:r w:rsidR="00C87D4D" w:rsidRPr="00C6712A">
        <w:t>_15</w:t>
      </w:r>
      <w:r w:rsidR="003C3018" w:rsidRPr="00C6712A">
        <w:t xml:space="preserve">. Subsequently, </w:t>
      </w:r>
      <w:r w:rsidR="00751EEB" w:rsidRPr="00C6712A">
        <w:t>a similar</w:t>
      </w:r>
      <w:r w:rsidR="003C3018" w:rsidRPr="00C6712A">
        <w:t xml:space="preserve"> procedure is undertaken</w:t>
      </w:r>
      <w:r w:rsidR="000446A0" w:rsidRPr="00C6712A">
        <w:t xml:space="preserve"> with one key difference:</w:t>
      </w:r>
      <w:r w:rsidR="003C3018" w:rsidRPr="00C6712A">
        <w:t xml:space="preserve"> </w:t>
      </w:r>
      <w:r w:rsidR="00256911" w:rsidRPr="00C6712A">
        <w:t>t</w:t>
      </w:r>
      <w:r w:rsidR="00F84A6C" w:rsidRPr="00C6712A">
        <w:t xml:space="preserve">he </w:t>
      </w:r>
      <w:r w:rsidR="000A70CA" w:rsidRPr="00C6712A">
        <w:t>global</w:t>
      </w:r>
      <w:r w:rsidR="00F84A6C" w:rsidRPr="00C6712A">
        <w:t xml:space="preserve"> </w:t>
      </w:r>
      <w:r w:rsidR="00256911" w:rsidRPr="00C6712A">
        <w:t xml:space="preserve">2015 </w:t>
      </w:r>
      <w:r w:rsidR="00F84A6C" w:rsidRPr="00C6712A">
        <w:t xml:space="preserve">dataset </w:t>
      </w:r>
      <w:r w:rsidR="00256911" w:rsidRPr="00C6712A">
        <w:t xml:space="preserve">is modified to </w:t>
      </w:r>
      <w:r w:rsidR="000A70CA" w:rsidRPr="00C6712A">
        <w:t>set</w:t>
      </w:r>
      <w:r w:rsidR="003C3018" w:rsidRPr="00C6712A">
        <w:t xml:space="preserve"> the value of the “</w:t>
      </w:r>
      <w:r w:rsidR="00A56EFF" w:rsidRPr="00C6712A">
        <w:t>Smartphone Ownership – Yes</w:t>
      </w:r>
      <w:r w:rsidR="003C3018" w:rsidRPr="00C6712A">
        <w:t xml:space="preserve">” dummy variable for each individual </w:t>
      </w:r>
      <w:r w:rsidR="000A70CA" w:rsidRPr="00C6712A">
        <w:t>equal</w:t>
      </w:r>
      <w:r w:rsidR="000446A0" w:rsidRPr="00C6712A">
        <w:t xml:space="preserve"> to one</w:t>
      </w:r>
      <w:r w:rsidR="00D44FF8" w:rsidRPr="00C6712A">
        <w:t>, effectively forcing all individuals in the dataset to own smartphones</w:t>
      </w:r>
      <w:r w:rsidR="000446A0" w:rsidRPr="00C6712A">
        <w:t xml:space="preserve">. </w:t>
      </w:r>
      <w:r w:rsidR="00256911" w:rsidRPr="00C6712A">
        <w:t>T</w:t>
      </w:r>
      <w:r w:rsidR="003C3018" w:rsidRPr="00C6712A">
        <w:t xml:space="preserve">he </w:t>
      </w:r>
      <w:r w:rsidR="00544ACB" w:rsidRPr="00C6712A">
        <w:t xml:space="preserve">average </w:t>
      </w:r>
      <w:r w:rsidR="003C3018" w:rsidRPr="00C6712A">
        <w:t>expected frequency of ride</w:t>
      </w:r>
      <w:r w:rsidR="00652B27" w:rsidRPr="00C6712A">
        <w:t>-hailing</w:t>
      </w:r>
      <w:r w:rsidR="003C3018" w:rsidRPr="00C6712A">
        <w:t xml:space="preserve"> </w:t>
      </w:r>
      <w:r w:rsidR="00256911" w:rsidRPr="00C6712A">
        <w:t xml:space="preserve">is computed for </w:t>
      </w:r>
      <w:r w:rsidR="00544ACB" w:rsidRPr="00C6712A">
        <w:t>th</w:t>
      </w:r>
      <w:r w:rsidR="007F5932" w:rsidRPr="00C6712A">
        <w:t>is</w:t>
      </w:r>
      <w:r w:rsidR="00544ACB" w:rsidRPr="00C6712A">
        <w:t xml:space="preserve"> </w:t>
      </w:r>
      <w:r w:rsidR="007F5932" w:rsidRPr="00C6712A">
        <w:t xml:space="preserve">new </w:t>
      </w:r>
      <w:r w:rsidR="00544ACB" w:rsidRPr="00C6712A">
        <w:t xml:space="preserve">sample </w:t>
      </w:r>
      <w:r w:rsidR="00D91DEC" w:rsidRPr="00C6712A">
        <w:t xml:space="preserve">and </w:t>
      </w:r>
      <w:r w:rsidR="003C3018" w:rsidRPr="00C6712A">
        <w:t xml:space="preserve">the resulting </w:t>
      </w:r>
      <w:r w:rsidR="00D91DEC" w:rsidRPr="00C6712A">
        <w:t>value</w:t>
      </w:r>
      <w:r w:rsidR="003C3018" w:rsidRPr="00C6712A">
        <w:t xml:space="preserve"> </w:t>
      </w:r>
      <w:r w:rsidR="00256911" w:rsidRPr="00C6712A">
        <w:t>is labeled</w:t>
      </w:r>
      <w:r w:rsidR="003C3018" w:rsidRPr="00C6712A">
        <w:t xml:space="preserve"> </w:t>
      </w:r>
      <w:r w:rsidR="00D44FF8" w:rsidRPr="00C6712A">
        <w:t>SPHNY</w:t>
      </w:r>
      <w:r w:rsidR="00C87D4D" w:rsidRPr="00C6712A">
        <w:t>_15</w:t>
      </w:r>
      <w:r w:rsidR="003C3018" w:rsidRPr="00C6712A">
        <w:t>.</w:t>
      </w:r>
      <w:r w:rsidR="00D44FF8" w:rsidRPr="00C6712A">
        <w:t xml:space="preserve"> </w:t>
      </w:r>
      <w:r w:rsidR="00256911" w:rsidRPr="00C6712A">
        <w:t>It is now possible to</w:t>
      </w:r>
      <w:r w:rsidR="00B907A9" w:rsidRPr="00C6712A">
        <w:t xml:space="preserve"> </w:t>
      </w:r>
      <w:r w:rsidR="003C3018" w:rsidRPr="00C6712A">
        <w:t xml:space="preserve">obtain an aggregate-level </w:t>
      </w:r>
      <w:r w:rsidR="00415DDB" w:rsidRPr="00C6712A">
        <w:t>ATE</w:t>
      </w:r>
      <w:r w:rsidR="003C3018" w:rsidRPr="00C6712A">
        <w:t xml:space="preserve"> of the </w:t>
      </w:r>
      <w:r w:rsidR="00CA65A4" w:rsidRPr="00C6712A">
        <w:t>“</w:t>
      </w:r>
      <w:r w:rsidR="00D44FF8" w:rsidRPr="00C6712A">
        <w:t>Smartphone Ownership – Yes</w:t>
      </w:r>
      <w:r w:rsidR="00CA65A4" w:rsidRPr="00C6712A">
        <w:t>”</w:t>
      </w:r>
      <w:r w:rsidR="003C3018" w:rsidRPr="00C6712A">
        <w:t xml:space="preserve"> dummy variable</w:t>
      </w:r>
      <w:r w:rsidR="00C87D4D" w:rsidRPr="00C6712A">
        <w:t xml:space="preserve"> for 2015</w:t>
      </w:r>
      <w:r w:rsidR="003914BA" w:rsidRPr="00C6712A">
        <w:t xml:space="preserve"> by computing</w:t>
      </w:r>
      <w:r w:rsidR="003C3018" w:rsidRPr="00C6712A">
        <w:t xml:space="preserve"> the </w:t>
      </w:r>
      <w:r w:rsidR="00FC4345" w:rsidRPr="00C6712A">
        <w:t>difference</w:t>
      </w:r>
      <w:r w:rsidR="003C3018" w:rsidRPr="00C6712A">
        <w:t xml:space="preserve"> between the </w:t>
      </w:r>
      <w:r w:rsidR="00380EF8" w:rsidRPr="00C6712A">
        <w:t>BASE_15</w:t>
      </w:r>
      <w:r w:rsidR="003C3018" w:rsidRPr="00C6712A">
        <w:t xml:space="preserve"> and </w:t>
      </w:r>
      <w:r w:rsidR="00ED0E32" w:rsidRPr="00C6712A">
        <w:t>SPHNY</w:t>
      </w:r>
      <w:r w:rsidR="00380EF8" w:rsidRPr="00C6712A">
        <w:t xml:space="preserve">_15 </w:t>
      </w:r>
      <w:r w:rsidR="00CA65A4" w:rsidRPr="00C6712A">
        <w:t>values</w:t>
      </w:r>
      <w:r w:rsidR="003C3018" w:rsidRPr="00C6712A">
        <w:t xml:space="preserve">. Finally, </w:t>
      </w:r>
      <w:r w:rsidR="00256911" w:rsidRPr="00C6712A">
        <w:t>the</w:t>
      </w:r>
      <w:r w:rsidR="003C3018" w:rsidRPr="00C6712A">
        <w:t xml:space="preserve"> mean and standard errors of the aggregate-level </w:t>
      </w:r>
      <w:r w:rsidR="007D7CF4" w:rsidRPr="00C6712A">
        <w:t>ATEs</w:t>
      </w:r>
      <w:r w:rsidR="003C3018" w:rsidRPr="00C6712A">
        <w:t xml:space="preserve"> </w:t>
      </w:r>
      <w:r w:rsidR="00256911" w:rsidRPr="00C6712A">
        <w:t xml:space="preserve">are computed </w:t>
      </w:r>
      <w:r w:rsidR="003C3018" w:rsidRPr="00C6712A">
        <w:t xml:space="preserve">across </w:t>
      </w:r>
      <w:r w:rsidR="00CB0A25" w:rsidRPr="00C6712A">
        <w:t>1</w:t>
      </w:r>
      <w:r w:rsidR="00F85F7A" w:rsidRPr="00C6712A">
        <w:t>,</w:t>
      </w:r>
      <w:r w:rsidR="00CB0A25" w:rsidRPr="00C6712A">
        <w:t>0</w:t>
      </w:r>
      <w:r w:rsidR="003C3018" w:rsidRPr="00C6712A">
        <w:t xml:space="preserve">00 bootstrap draws taken from the </w:t>
      </w:r>
      <w:r w:rsidR="00A365D4" w:rsidRPr="00C6712A">
        <w:t xml:space="preserve">estimated </w:t>
      </w:r>
      <w:r w:rsidR="003C3018" w:rsidRPr="00C6712A">
        <w:t xml:space="preserve">sampling distributions of the </w:t>
      </w:r>
      <w:r w:rsidR="00A365D4" w:rsidRPr="00C6712A">
        <w:t>model’s</w:t>
      </w:r>
      <w:r w:rsidR="003C3018" w:rsidRPr="00C6712A">
        <w:t xml:space="preserve"> parameters.</w:t>
      </w:r>
      <w:r w:rsidR="00D931CE" w:rsidRPr="00C6712A">
        <w:t xml:space="preserve"> </w:t>
      </w:r>
    </w:p>
    <w:p w14:paraId="798F32BC" w14:textId="77777777" w:rsidR="00165042" w:rsidRPr="00C6712A" w:rsidRDefault="00165042" w:rsidP="00165042">
      <w:pPr>
        <w:spacing w:after="0"/>
      </w:pPr>
    </w:p>
    <w:p w14:paraId="1F04F084" w14:textId="63833926" w:rsidR="00B76592" w:rsidRPr="00C6712A" w:rsidRDefault="00D36E59" w:rsidP="004573FB">
      <w:pPr>
        <w:pStyle w:val="Heading1"/>
        <w:keepNext/>
        <w:keepLines/>
        <w:spacing w:before="0" w:after="0"/>
      </w:pPr>
      <w:bookmarkStart w:id="8" w:name="_Ref1571993"/>
      <w:r w:rsidRPr="00C6712A">
        <w:lastRenderedPageBreak/>
        <w:t xml:space="preserve">Model results </w:t>
      </w:r>
      <w:bookmarkEnd w:id="8"/>
    </w:p>
    <w:p w14:paraId="33D46DC0" w14:textId="5E89045F" w:rsidR="008360E9" w:rsidRDefault="00453931" w:rsidP="004573FB">
      <w:pPr>
        <w:keepNext/>
        <w:keepLines/>
        <w:spacing w:after="0"/>
        <w:ind w:firstLine="0"/>
      </w:pPr>
      <w:r>
        <w:t xml:space="preserve">Model estimation results are presented in Table 3. </w:t>
      </w:r>
      <w:r w:rsidR="00F91544" w:rsidRPr="00C6712A">
        <w:t xml:space="preserve">The first equation in the </w:t>
      </w:r>
      <w:r w:rsidR="00BA4C04" w:rsidRPr="00C6712A">
        <w:t>joint</w:t>
      </w:r>
      <w:r w:rsidR="00F91544" w:rsidRPr="00C6712A">
        <w:t xml:space="preserve"> model </w:t>
      </w:r>
      <w:r w:rsidR="00AA3044" w:rsidRPr="00C6712A">
        <w:t>primarily serves as a mechanism for controlling sample selection</w:t>
      </w:r>
      <w:r w:rsidR="00F91544" w:rsidRPr="00C6712A">
        <w:t xml:space="preserve">. </w:t>
      </w:r>
      <w:r>
        <w:t xml:space="preserve">This is labeled as “Outcome 1” in Table 3, and the results for this equation are provided in the first numeric column of Table 3. </w:t>
      </w:r>
      <w:r w:rsidR="00AA3044" w:rsidRPr="00C6712A">
        <w:t>Overall, the model coefficients</w:t>
      </w:r>
      <w:r w:rsidR="00E4334A" w:rsidRPr="00C6712A">
        <w:t xml:space="preserve"> for this equation</w:t>
      </w:r>
      <w:r w:rsidR="0067426E">
        <w:t xml:space="preserve"> reflect </w:t>
      </w:r>
      <w:r w:rsidR="00AA3044" w:rsidRPr="00C6712A">
        <w:t xml:space="preserve">the </w:t>
      </w:r>
      <w:r w:rsidR="0067426E">
        <w:t xml:space="preserve">results from our </w:t>
      </w:r>
      <w:r w:rsidR="00AA3044" w:rsidRPr="00C6712A">
        <w:t>descriptive statistics.</w:t>
      </w:r>
      <w:r w:rsidR="00B3073E" w:rsidRPr="00C6712A">
        <w:t xml:space="preserve"> </w:t>
      </w:r>
      <w:r w:rsidR="00AA3044" w:rsidRPr="00C6712A">
        <w:t>The sample in 2017 tended to be comprised of individuals in higher income, lower vehicle ownership households. They tended to be younger, have a higher education, and own a smartphone relative to the 2015 sample.</w:t>
      </w:r>
      <w:r w:rsidR="00B3073E" w:rsidRPr="00C6712A">
        <w:t xml:space="preserve"> </w:t>
      </w:r>
      <w:r w:rsidR="00AA3044" w:rsidRPr="00C6712A">
        <w:t xml:space="preserve">Thus, it can be concluded that there is sample selection due to observed characteristics at play. By specifying and estimating a simultaneous equations model that accommodates error correlation, </w:t>
      </w:r>
      <w:r w:rsidR="00E86249">
        <w:t xml:space="preserve">we also </w:t>
      </w:r>
      <w:r w:rsidR="00AA3044" w:rsidRPr="00C6712A">
        <w:t xml:space="preserve">account for </w:t>
      </w:r>
      <w:r w:rsidR="00E86249">
        <w:t xml:space="preserve">possible </w:t>
      </w:r>
      <w:r w:rsidR="00AA3044" w:rsidRPr="00C6712A">
        <w:rPr>
          <w:i/>
          <w:iCs/>
        </w:rPr>
        <w:t xml:space="preserve">unobserved </w:t>
      </w:r>
      <w:r w:rsidR="00AA3044" w:rsidRPr="00C6712A">
        <w:t xml:space="preserve">sample selection effects as well. </w:t>
      </w:r>
      <w:r w:rsidR="00E86249">
        <w:t xml:space="preserve">The correlation coefficient between the two error terms is </w:t>
      </w:r>
      <w:r w:rsidR="008360E9">
        <w:t xml:space="preserve">0.431 (with a t-statistic of 8.598), indicating the clear presence of sample selection. </w:t>
      </w:r>
      <w:r w:rsidR="00453D94" w:rsidRPr="00C6712A">
        <w:t>This</w:t>
      </w:r>
      <w:r w:rsidR="00453D94">
        <w:t xml:space="preserve"> clearly shows </w:t>
      </w:r>
      <w:r w:rsidR="00453D94" w:rsidRPr="00C6712A">
        <w:t>that there are unobserved attributes that both contribute to an individual participating in the 2017 survey and using ride-hailing services. As mentioned throughout this paper, tech-savvy individuals who are comfortable using smartphone apps are more likely to use ride-hailing services. Such individuals may have had a greater propensity to participate in the 2017 version of the survey when a smartphone app (</w:t>
      </w:r>
      <w:proofErr w:type="spellStart"/>
      <w:r w:rsidR="00453D94" w:rsidRPr="00C6712A">
        <w:rPr>
          <w:i/>
          <w:iCs/>
        </w:rPr>
        <w:t>rMove</w:t>
      </w:r>
      <w:proofErr w:type="spellEnd"/>
      <w:r w:rsidR="00453D94" w:rsidRPr="00C6712A">
        <w:t>) could be used to record travel diary information in the second stage of the survey (such an option was not available in the 2015 version of the survey). Other unobserved attributes that may simultaneously impact propensity to participate in the 2017 version of the survey and adopt and use ride-hailing services include residential location choice preferences, lifestyle preferences (</w:t>
      </w:r>
      <w:r w:rsidR="00453D94" w:rsidRPr="00C6712A">
        <w:rPr>
          <w:i/>
          <w:iCs/>
        </w:rPr>
        <w:t>e.g.</w:t>
      </w:r>
      <w:r w:rsidR="00453D94" w:rsidRPr="00C6712A">
        <w:t xml:space="preserve">, desire for active mode use), and variety-seeking proclivities. The significant error correlation also serves as a justification for the adoption of a simultaneous equations model that accounts for sample selection; this ensures that estimates of coefficients in the ride-hailing frequency equation are consistent (yielding estimates of changes in ride-hailing adoption over time that are not artificially inflated). </w:t>
      </w:r>
    </w:p>
    <w:p w14:paraId="4E878E78" w14:textId="059A3FF3" w:rsidR="00F91544" w:rsidRDefault="008360E9" w:rsidP="00165042">
      <w:pPr>
        <w:spacing w:after="0"/>
        <w:ind w:firstLine="576"/>
      </w:pPr>
      <w:r>
        <w:t>In the rest of this section, and b</w:t>
      </w:r>
      <w:r w:rsidR="00704998" w:rsidRPr="00C6712A">
        <w:t xml:space="preserve">ecause it is the primary outcome of interest, </w:t>
      </w:r>
      <w:r>
        <w:t xml:space="preserve">the focus of our discussion is on the results </w:t>
      </w:r>
      <w:r w:rsidR="00AA3044" w:rsidRPr="00C6712A">
        <w:t xml:space="preserve">for </w:t>
      </w:r>
      <w:r w:rsidR="00704998" w:rsidRPr="00C6712A">
        <w:t>the frequency of ride-hailing</w:t>
      </w:r>
      <w:r w:rsidR="00AA3044" w:rsidRPr="00C6712A">
        <w:t xml:space="preserve">. </w:t>
      </w:r>
    </w:p>
    <w:p w14:paraId="09940541" w14:textId="77777777" w:rsidR="00165042" w:rsidRPr="00C6712A" w:rsidRDefault="00165042" w:rsidP="00165042">
      <w:pPr>
        <w:spacing w:after="0"/>
        <w:ind w:firstLine="576"/>
      </w:pPr>
    </w:p>
    <w:p w14:paraId="512F3970" w14:textId="6505F45C" w:rsidR="00881AF9" w:rsidRPr="00C6712A" w:rsidRDefault="00E4334A" w:rsidP="00165042">
      <w:pPr>
        <w:pStyle w:val="Heading2"/>
        <w:spacing w:before="0" w:after="0"/>
      </w:pPr>
      <w:r w:rsidRPr="00C6712A">
        <w:t xml:space="preserve">Joint </w:t>
      </w:r>
      <w:r w:rsidR="00165042">
        <w:t>M</w:t>
      </w:r>
      <w:r w:rsidRPr="00C6712A">
        <w:t xml:space="preserve">odel </w:t>
      </w:r>
      <w:r w:rsidR="00165042">
        <w:t>E</w:t>
      </w:r>
      <w:r w:rsidRPr="00C6712A">
        <w:t xml:space="preserve">stimation </w:t>
      </w:r>
      <w:r w:rsidR="00165042">
        <w:t>R</w:t>
      </w:r>
      <w:r w:rsidRPr="00C6712A">
        <w:t>esults</w:t>
      </w:r>
    </w:p>
    <w:p w14:paraId="3E89A335" w14:textId="23D8FCC4" w:rsidR="00B3073E" w:rsidRPr="00C6712A" w:rsidRDefault="00453931" w:rsidP="00165042">
      <w:pPr>
        <w:spacing w:after="0"/>
        <w:ind w:firstLine="0"/>
      </w:pPr>
      <w:r>
        <w:t>The second numeric column of</w:t>
      </w:r>
      <w:r w:rsidR="00080087" w:rsidRPr="00C6712A">
        <w:t xml:space="preserve"> </w:t>
      </w:r>
      <w:r w:rsidR="007F06C1">
        <w:fldChar w:fldCharType="begin"/>
      </w:r>
      <w:r w:rsidR="007F06C1">
        <w:instrText xml:space="preserve"> REF _Ref33010408 \h </w:instrText>
      </w:r>
      <w:r w:rsidR="007F06C1">
        <w:fldChar w:fldCharType="separate"/>
      </w:r>
      <w:r w:rsidRPr="0027118B">
        <w:t xml:space="preserve">Table </w:t>
      </w:r>
      <w:r>
        <w:rPr>
          <w:noProof/>
        </w:rPr>
        <w:t>3</w:t>
      </w:r>
      <w:r w:rsidR="007F06C1">
        <w:fldChar w:fldCharType="end"/>
      </w:r>
      <w:r>
        <w:t xml:space="preserve"> provides the results for the frequency of ride-hailing use</w:t>
      </w:r>
      <w:r w:rsidR="002A6A5A" w:rsidRPr="00C6712A">
        <w:t>.</w:t>
      </w:r>
      <w:r w:rsidR="002C6D99" w:rsidRPr="00C6712A">
        <w:t xml:space="preserve"> </w:t>
      </w:r>
      <w:r>
        <w:t xml:space="preserve">The coefficients presented provide the effect of variables on the underlying latent propensity for ride-hailing use. </w:t>
      </w:r>
      <w:r w:rsidR="00E4334A" w:rsidRPr="00C6712A">
        <w:t>The behavioral dynamics (</w:t>
      </w:r>
      <w:r w:rsidR="00E4334A" w:rsidRPr="00C6712A">
        <w:rPr>
          <w:i/>
        </w:rPr>
        <w:t>i.e.</w:t>
      </w:r>
      <w:r w:rsidR="00E4334A" w:rsidRPr="00C6712A">
        <w:rPr>
          <w:iCs/>
        </w:rPr>
        <w:t>,</w:t>
      </w:r>
      <w:r w:rsidR="00E4334A" w:rsidRPr="00C6712A">
        <w:t xml:space="preserve"> the change from 2015 to 2017) associated with the passage of time </w:t>
      </w:r>
      <w:r w:rsidR="00A770ED" w:rsidRPr="00C6712A">
        <w:t xml:space="preserve">are </w:t>
      </w:r>
      <w:r w:rsidR="00E4334A" w:rsidRPr="00C6712A">
        <w:t>reflected in the joint model</w:t>
      </w:r>
      <w:r w:rsidR="00655A1D" w:rsidRPr="00C6712A">
        <w:t xml:space="preserve"> through the use of a dummy variable </w:t>
      </w:r>
      <w:r w:rsidR="00C8108F" w:rsidRPr="00C6712A">
        <w:t>which indicates</w:t>
      </w:r>
      <w:r w:rsidR="00655A1D" w:rsidRPr="00C6712A">
        <w:t xml:space="preserve"> whether or not the observation belonged to </w:t>
      </w:r>
      <w:r w:rsidR="00A34EC8" w:rsidRPr="00C6712A">
        <w:t xml:space="preserve">the </w:t>
      </w:r>
      <w:r w:rsidR="00655A1D" w:rsidRPr="00C6712A">
        <w:t xml:space="preserve">2017 </w:t>
      </w:r>
      <w:r w:rsidR="00A34EC8" w:rsidRPr="00C6712A">
        <w:t xml:space="preserve">dataset </w:t>
      </w:r>
      <w:r w:rsidR="00655A1D" w:rsidRPr="00C6712A">
        <w:t xml:space="preserve">and by interacting this dummy </w:t>
      </w:r>
      <w:r w:rsidR="00E4334A" w:rsidRPr="00C6712A">
        <w:t xml:space="preserve">variable </w:t>
      </w:r>
      <w:r w:rsidR="00655A1D" w:rsidRPr="00C6712A">
        <w:t>with all other explanatory variables. Therefore, the “Base (2015)” column in</w:t>
      </w:r>
      <w:r w:rsidR="00080087" w:rsidRPr="00C6712A">
        <w:t xml:space="preserve"> </w:t>
      </w:r>
      <w:r w:rsidR="007F06C1">
        <w:fldChar w:fldCharType="begin"/>
      </w:r>
      <w:r w:rsidR="007F06C1">
        <w:instrText xml:space="preserve"> REF _Ref33010408 \h </w:instrText>
      </w:r>
      <w:r w:rsidR="007F06C1">
        <w:fldChar w:fldCharType="separate"/>
      </w:r>
      <w:r w:rsidRPr="0027118B">
        <w:t xml:space="preserve">Table </w:t>
      </w:r>
      <w:r>
        <w:rPr>
          <w:noProof/>
        </w:rPr>
        <w:t>3</w:t>
      </w:r>
      <w:r w:rsidR="007F06C1">
        <w:fldChar w:fldCharType="end"/>
      </w:r>
      <w:r w:rsidR="003F0963" w:rsidRPr="00C6712A">
        <w:t xml:space="preserve"> </w:t>
      </w:r>
      <w:r w:rsidR="00655A1D" w:rsidRPr="00C6712A">
        <w:t>refer</w:t>
      </w:r>
      <w:r w:rsidR="00E4334A" w:rsidRPr="00C6712A">
        <w:t>s</w:t>
      </w:r>
      <w:r w:rsidR="00655A1D" w:rsidRPr="00C6712A">
        <w:t xml:space="preserve"> to the effect</w:t>
      </w:r>
      <w:r w:rsidR="006849FD" w:rsidRPr="00C6712A">
        <w:t>s</w:t>
      </w:r>
      <w:r w:rsidR="00655A1D" w:rsidRPr="00C6712A">
        <w:t xml:space="preserve"> of the explanatory variable</w:t>
      </w:r>
      <w:r w:rsidR="00200CCD" w:rsidRPr="00C6712A">
        <w:t>s</w:t>
      </w:r>
      <w:r w:rsidR="00655A1D" w:rsidRPr="00C6712A">
        <w:t xml:space="preserve"> on the individual’s underlying propensity to use ride-hailing</w:t>
      </w:r>
      <w:r w:rsidR="0046143E" w:rsidRPr="00C6712A">
        <w:t xml:space="preserve"> in 2015</w:t>
      </w:r>
      <w:r w:rsidR="00655A1D" w:rsidRPr="00C6712A">
        <w:t>, while the “Interact</w:t>
      </w:r>
      <w:r w:rsidR="00AF49D7" w:rsidRPr="00C6712A">
        <w:t>ion</w:t>
      </w:r>
      <w:r w:rsidR="00655A1D" w:rsidRPr="00C6712A">
        <w:t xml:space="preserve"> (2017)” column </w:t>
      </w:r>
      <w:r w:rsidR="0046143E" w:rsidRPr="00C6712A">
        <w:t>represent</w:t>
      </w:r>
      <w:r w:rsidR="00E4334A" w:rsidRPr="00C6712A">
        <w:t>s</w:t>
      </w:r>
      <w:r w:rsidR="0046143E" w:rsidRPr="00C6712A">
        <w:t xml:space="preserve"> the change</w:t>
      </w:r>
      <w:r w:rsidR="006849FD" w:rsidRPr="00C6712A">
        <w:t>s</w:t>
      </w:r>
      <w:r w:rsidR="0046143E" w:rsidRPr="00C6712A">
        <w:t xml:space="preserve"> of th</w:t>
      </w:r>
      <w:r w:rsidR="006849FD" w:rsidRPr="00C6712A">
        <w:t>ose</w:t>
      </w:r>
      <w:r w:rsidR="0046143E" w:rsidRPr="00C6712A">
        <w:t xml:space="preserve"> impact</w:t>
      </w:r>
      <w:r w:rsidR="006849FD" w:rsidRPr="00C6712A">
        <w:t>s</w:t>
      </w:r>
      <w:r w:rsidR="0046143E" w:rsidRPr="00C6712A">
        <w:t xml:space="preserve"> from 2015 to 2017. </w:t>
      </w:r>
      <w:r w:rsidR="002A6A5A" w:rsidRPr="00C6712A">
        <w:t xml:space="preserve">As may be noted from </w:t>
      </w:r>
      <w:r w:rsidR="007F06C1">
        <w:fldChar w:fldCharType="begin"/>
      </w:r>
      <w:r w:rsidR="007F06C1">
        <w:instrText xml:space="preserve"> REF _Ref33010408 \h </w:instrText>
      </w:r>
      <w:r w:rsidR="007F06C1">
        <w:fldChar w:fldCharType="separate"/>
      </w:r>
      <w:r w:rsidRPr="0027118B">
        <w:t xml:space="preserve">Table </w:t>
      </w:r>
      <w:r>
        <w:rPr>
          <w:noProof/>
        </w:rPr>
        <w:t>3</w:t>
      </w:r>
      <w:r w:rsidR="007F06C1">
        <w:fldChar w:fldCharType="end"/>
      </w:r>
      <w:r w:rsidR="002A6A5A" w:rsidRPr="00C6712A">
        <w:t xml:space="preserve">, the latter column involves only interaction effects of the dummy variable with demographics, with the dummy variable </w:t>
      </w:r>
      <w:r w:rsidR="008360E9">
        <w:t xml:space="preserve">(the second component in Equation (2) in Section </w:t>
      </w:r>
      <w:r w:rsidR="00BD3653">
        <w:rPr>
          <w:highlight w:val="yellow"/>
        </w:rPr>
        <w:fldChar w:fldCharType="begin"/>
      </w:r>
      <w:r w:rsidR="00BD3653">
        <w:instrText xml:space="preserve"> REF _Ref33006973 \w \h </w:instrText>
      </w:r>
      <w:r w:rsidR="00BD3653">
        <w:rPr>
          <w:highlight w:val="yellow"/>
        </w:rPr>
      </w:r>
      <w:r w:rsidR="00BD3653">
        <w:rPr>
          <w:highlight w:val="yellow"/>
        </w:rPr>
        <w:fldChar w:fldCharType="separate"/>
      </w:r>
      <w:r>
        <w:t>4.1</w:t>
      </w:r>
      <w:r w:rsidR="00BD3653">
        <w:rPr>
          <w:highlight w:val="yellow"/>
        </w:rPr>
        <w:fldChar w:fldCharType="end"/>
      </w:r>
      <w:r w:rsidR="00F211BF">
        <w:t xml:space="preserve"> </w:t>
      </w:r>
      <w:r w:rsidR="002A6A5A" w:rsidRPr="00C6712A">
        <w:t>by itself not appearing as a separate variable</w:t>
      </w:r>
      <w:r w:rsidR="00F211BF">
        <w:t>)</w:t>
      </w:r>
      <w:r w:rsidR="002A6A5A" w:rsidRPr="00C6712A">
        <w:t>. This was because</w:t>
      </w:r>
      <w:r w:rsidR="008360E9">
        <w:t>, based on our empirical analysis,</w:t>
      </w:r>
      <w:r w:rsidR="002A6A5A" w:rsidRPr="00C6712A">
        <w:t xml:space="preserve"> the dominant effect of being in the 2017 pool (relative to the 2015 pool of respondents) on the underlying ride-hailing propensity use was captured through variations across demographic groups, not as a generic shifter in the underlying propensity across the two years. </w:t>
      </w:r>
    </w:p>
    <w:p w14:paraId="2C816DF9" w14:textId="490CF76E" w:rsidR="00576934" w:rsidRPr="00C6712A" w:rsidRDefault="00576934" w:rsidP="00165042">
      <w:pPr>
        <w:spacing w:after="0"/>
      </w:pPr>
      <w:r w:rsidRPr="00C6712A">
        <w:t xml:space="preserve">There </w:t>
      </w:r>
      <w:r w:rsidR="00A62C6A" w:rsidRPr="00C6712A">
        <w:t>is a</w:t>
      </w:r>
      <w:r w:rsidR="005F4EE0" w:rsidRPr="00C6712A">
        <w:t xml:space="preserve"> noteworthy overarching result</w:t>
      </w:r>
      <w:r w:rsidRPr="00C6712A">
        <w:t xml:space="preserve">: the impacts of most demographic variables change from 2015 to 2017, either reducing or intensifying differences in ride-hailing engagement </w:t>
      </w:r>
      <w:r w:rsidRPr="00C6712A">
        <w:lastRenderedPageBreak/>
        <w:t>for various demographic segments. In other words, the model results suggest that there is an evolution in the adoption and use of the technology, with the degree of evolution varying across demographic groups.</w:t>
      </w:r>
    </w:p>
    <w:p w14:paraId="28625C33" w14:textId="5A6B6C5D" w:rsidR="001173B4" w:rsidRPr="00C6712A" w:rsidRDefault="00576934" w:rsidP="00165042">
      <w:pPr>
        <w:spacing w:after="0"/>
      </w:pPr>
      <w:r w:rsidRPr="00C6712A">
        <w:t xml:space="preserve">Model estimation results show that higher ride-hailing trip rates in the 2015 base year are associated with younger, wealthier, more educated and employed individuals who own driver’s licenses, own smartphones, and live in single person households with fewer vehicles. These findings corroborate the results from many prior studies, including for example, </w:t>
      </w:r>
      <w:proofErr w:type="spellStart"/>
      <w:r w:rsidRPr="00A34FC7">
        <w:t>Rayle</w:t>
      </w:r>
      <w:proofErr w:type="spellEnd"/>
      <w:r w:rsidRPr="00A34FC7">
        <w:t xml:space="preserve"> </w:t>
      </w:r>
      <w:r w:rsidRPr="00A34FC7">
        <w:rPr>
          <w:i/>
        </w:rPr>
        <w:t>et al</w:t>
      </w:r>
      <w:r w:rsidRPr="00A34FC7">
        <w:t>. (</w:t>
      </w:r>
      <w:r w:rsidRPr="00A34FC7">
        <w:rPr>
          <w:i/>
        </w:rPr>
        <w:t>6</w:t>
      </w:r>
      <w:r w:rsidRPr="00A34FC7">
        <w:t xml:space="preserve">), Dias </w:t>
      </w:r>
      <w:r w:rsidRPr="00A34FC7">
        <w:rPr>
          <w:i/>
        </w:rPr>
        <w:t>et al</w:t>
      </w:r>
      <w:r w:rsidRPr="00A34FC7">
        <w:t>. (</w:t>
      </w:r>
      <w:r w:rsidR="0066399E" w:rsidRPr="00A34FC7">
        <w:rPr>
          <w:i/>
        </w:rPr>
        <w:t>1</w:t>
      </w:r>
      <w:r w:rsidRPr="00A34FC7">
        <w:t xml:space="preserve">), Lavieri </w:t>
      </w:r>
      <w:r w:rsidRPr="00A34FC7">
        <w:rPr>
          <w:i/>
        </w:rPr>
        <w:t>et al</w:t>
      </w:r>
      <w:r w:rsidRPr="00A34FC7">
        <w:t>. (</w:t>
      </w:r>
      <w:r w:rsidR="0066399E" w:rsidRPr="00A34FC7">
        <w:rPr>
          <w:i/>
        </w:rPr>
        <w:t>8</w:t>
      </w:r>
      <w:r w:rsidRPr="00A34FC7">
        <w:t xml:space="preserve">), </w:t>
      </w:r>
      <w:proofErr w:type="spellStart"/>
      <w:r w:rsidRPr="00A34FC7">
        <w:t>Kooti</w:t>
      </w:r>
      <w:proofErr w:type="spellEnd"/>
      <w:r w:rsidRPr="00A34FC7">
        <w:t xml:space="preserve"> </w:t>
      </w:r>
      <w:r w:rsidRPr="00A34FC7">
        <w:rPr>
          <w:i/>
        </w:rPr>
        <w:t>et al</w:t>
      </w:r>
      <w:r w:rsidRPr="00A34FC7">
        <w:t>. (</w:t>
      </w:r>
      <w:r w:rsidR="0066399E" w:rsidRPr="00A34FC7">
        <w:rPr>
          <w:i/>
        </w:rPr>
        <w:t>14</w:t>
      </w:r>
      <w:r w:rsidRPr="00A34FC7">
        <w:t xml:space="preserve">), Vinayak </w:t>
      </w:r>
      <w:r w:rsidRPr="00A34FC7">
        <w:rPr>
          <w:i/>
        </w:rPr>
        <w:t>et al.</w:t>
      </w:r>
      <w:r w:rsidRPr="00A34FC7">
        <w:t xml:space="preserve"> (</w:t>
      </w:r>
      <w:r w:rsidR="0066399E" w:rsidRPr="00A34FC7">
        <w:rPr>
          <w:i/>
        </w:rPr>
        <w:t>9</w:t>
      </w:r>
      <w:r w:rsidRPr="00A34FC7">
        <w:t xml:space="preserve">), Alemi </w:t>
      </w:r>
      <w:r w:rsidRPr="00A34FC7">
        <w:rPr>
          <w:i/>
        </w:rPr>
        <w:t>et al</w:t>
      </w:r>
      <w:r w:rsidRPr="00A34FC7">
        <w:t>. (</w:t>
      </w:r>
      <w:r w:rsidR="0066399E" w:rsidRPr="00A34FC7">
        <w:rPr>
          <w:i/>
        </w:rPr>
        <w:t>10</w:t>
      </w:r>
      <w:r w:rsidRPr="00A34FC7">
        <w:t>) and Lavieri and Bhat (</w:t>
      </w:r>
      <w:r w:rsidR="0066399E" w:rsidRPr="00A34FC7">
        <w:rPr>
          <w:i/>
        </w:rPr>
        <w:t>13</w:t>
      </w:r>
      <w:r w:rsidRPr="00A34FC7">
        <w:t xml:space="preserve">). </w:t>
      </w:r>
      <w:r w:rsidR="00F67F6E" w:rsidRPr="00A34FC7">
        <w:t xml:space="preserve">The extensive use of interactions complicates the interpretation of the results </w:t>
      </w:r>
      <w:r w:rsidR="00453931" w:rsidRPr="00A34FC7">
        <w:t xml:space="preserve">for the 2017 year </w:t>
      </w:r>
      <w:r w:rsidR="00F67F6E" w:rsidRPr="00A34FC7">
        <w:t xml:space="preserve">from </w:t>
      </w:r>
      <w:r w:rsidR="007F06C1" w:rsidRPr="00A34FC7">
        <w:fldChar w:fldCharType="begin"/>
      </w:r>
      <w:r w:rsidR="007F06C1" w:rsidRPr="00A34FC7">
        <w:instrText xml:space="preserve"> REF _Ref33010408 \h </w:instrText>
      </w:r>
      <w:r w:rsidR="00A34FC7">
        <w:instrText xml:space="preserve"> \* MERGEFORMAT </w:instrText>
      </w:r>
      <w:r w:rsidR="007F06C1" w:rsidRPr="00A34FC7">
        <w:fldChar w:fldCharType="separate"/>
      </w:r>
      <w:r w:rsidR="00453931" w:rsidRPr="00A34FC7">
        <w:t xml:space="preserve">Table </w:t>
      </w:r>
      <w:r w:rsidR="00453931" w:rsidRPr="00A34FC7">
        <w:rPr>
          <w:noProof/>
        </w:rPr>
        <w:t>3</w:t>
      </w:r>
      <w:r w:rsidR="007F06C1" w:rsidRPr="00A34FC7">
        <w:fldChar w:fldCharType="end"/>
      </w:r>
      <w:r w:rsidR="00F67F6E" w:rsidRPr="00A34FC7">
        <w:t>. Therefore, we leave the discussion of the tem</w:t>
      </w:r>
      <w:r w:rsidR="00F67F6E" w:rsidRPr="00C6712A">
        <w:t>poral behavioral dynamics to Section</w:t>
      </w:r>
      <w:r w:rsidR="00036465" w:rsidRPr="00C6712A">
        <w:t xml:space="preserve"> </w:t>
      </w:r>
      <w:r w:rsidR="00036465" w:rsidRPr="0027118B">
        <w:fldChar w:fldCharType="begin"/>
      </w:r>
      <w:r w:rsidR="00036465" w:rsidRPr="00C6712A">
        <w:instrText xml:space="preserve"> REF _Ref18362679 \r \h </w:instrText>
      </w:r>
      <w:r w:rsidR="00036465" w:rsidRPr="0027118B">
        <w:fldChar w:fldCharType="separate"/>
      </w:r>
      <w:r w:rsidR="00453931">
        <w:t>5.2</w:t>
      </w:r>
      <w:r w:rsidR="00036465" w:rsidRPr="0027118B">
        <w:fldChar w:fldCharType="end"/>
      </w:r>
      <w:r w:rsidR="00F67F6E" w:rsidRPr="00C6712A">
        <w:t>, where we directly analyze the impacts of each variable on individuals’ actual number of ride-hailing trips per month.</w:t>
      </w:r>
      <w:r w:rsidR="008360E9">
        <w:t xml:space="preserve"> But one important observation from the interaction effects is this. Whenever a variable appears in both the base (2015) effect column as well as the interaction (2017) effect column for the “frequency of ride-hailing” outcome variable, the signs of the coefficients are reversed between the two columns</w:t>
      </w:r>
      <w:r w:rsidR="00453D94">
        <w:t>,</w:t>
      </w:r>
      <w:r w:rsidR="008360E9">
        <w:t xml:space="preserve"> and the magnitude of</w:t>
      </w:r>
      <w:r w:rsidR="00453D94">
        <w:t xml:space="preserve"> the coefficients in the interaction (2017) column are </w:t>
      </w:r>
      <w:r w:rsidR="008360E9">
        <w:t xml:space="preserve">lower than those of the </w:t>
      </w:r>
      <w:r w:rsidR="00453D94">
        <w:t xml:space="preserve">base (2015) effect column. This has a clear implication that the differences that exist across demographics in 2015 in the context of ride-hailing frequency are being substantially tempered in 2017. That is, over time between the two years, there appears to be much less heterogeneity in the population in the use of ride-hailing. We return to this point in Section 5.2. </w:t>
      </w:r>
    </w:p>
    <w:p w14:paraId="77740ED9" w14:textId="31CA6671" w:rsidR="001173B4" w:rsidRPr="00C6712A" w:rsidRDefault="001173B4" w:rsidP="00165042">
      <w:pPr>
        <w:spacing w:after="0"/>
      </w:pPr>
      <w:r w:rsidRPr="00C6712A">
        <w:t xml:space="preserve">The improvement in model fit gained by using a joint approach is also discernible from the likelihood ratios displayed at the bottom of </w:t>
      </w:r>
      <w:r w:rsidR="007F06C1">
        <w:fldChar w:fldCharType="begin"/>
      </w:r>
      <w:r w:rsidR="007F06C1">
        <w:instrText xml:space="preserve"> REF _Ref33010408 \h </w:instrText>
      </w:r>
      <w:r w:rsidR="007F06C1">
        <w:fldChar w:fldCharType="separate"/>
      </w:r>
      <w:r w:rsidR="00453931" w:rsidRPr="0027118B">
        <w:t xml:space="preserve">Table </w:t>
      </w:r>
      <w:r w:rsidR="00453931">
        <w:rPr>
          <w:noProof/>
        </w:rPr>
        <w:t>3</w:t>
      </w:r>
      <w:r w:rsidR="007F06C1">
        <w:fldChar w:fldCharType="end"/>
      </w:r>
      <w:r w:rsidRPr="00C6712A">
        <w:t xml:space="preserve"> where the log-likelihoods are furnished for three models: the joint model, the independent model (correlation term fixed at zero) and the null model (only constants/thresholds). The log-likelihoods for these three models are, respectively </w:t>
      </w:r>
      <w:r w:rsidRPr="00C6712A">
        <w:noBreakHyphen/>
        <w:t>12,</w:t>
      </w:r>
      <w:r w:rsidR="00B53F1E" w:rsidRPr="00C6712A">
        <w:t>55</w:t>
      </w:r>
      <w:r w:rsidR="00371DFD">
        <w:t>8</w:t>
      </w:r>
      <w:r w:rsidRPr="00C6712A">
        <w:t xml:space="preserve">, </w:t>
      </w:r>
      <w:r w:rsidRPr="00C6712A">
        <w:noBreakHyphen/>
        <w:t>12,</w:t>
      </w:r>
      <w:r w:rsidR="00B53F1E" w:rsidRPr="00C6712A">
        <w:t>58</w:t>
      </w:r>
      <w:r w:rsidR="00371DFD">
        <w:t>8</w:t>
      </w:r>
      <w:r w:rsidRPr="00C6712A">
        <w:t xml:space="preserve">, and </w:t>
      </w:r>
      <w:r w:rsidRPr="00C6712A">
        <w:noBreakHyphen/>
        <w:t xml:space="preserve">15,831. The joint model yields an improved log-likelihood value and the likelihood ratio tests show that the joint model is indeed statistically superior to both the null model and the independent model. </w:t>
      </w:r>
    </w:p>
    <w:p w14:paraId="0A1DAF3D" w14:textId="1FEC1368" w:rsidR="00625049" w:rsidRDefault="00A47BC2" w:rsidP="00165042">
      <w:pPr>
        <w:spacing w:after="0"/>
      </w:pPr>
      <w:r w:rsidRPr="00C6712A">
        <w:t>For further insights on the goodness-of-fit of the joint model, several aggregate and disaggregate measures of goodness-of-fit were examined. The joint model was found to correctly predict the joint outcomes of about 29% of the observations in the dataset, which is quite high considering that there are a total of 10 combinations of outcomes. Furthermore, a comparison of true and predicted aggregate shares that belong to each combination of outcomes showed that the performance of the joint model is superior to that of the independent model (that ignores error correlation). The mean absolute percentage error (MAPE) for the joint model is lower than that for the independent model.</w:t>
      </w:r>
    </w:p>
    <w:p w14:paraId="3EB13581" w14:textId="77777777" w:rsidR="00625049" w:rsidRDefault="00625049" w:rsidP="00165042">
      <w:pPr>
        <w:spacing w:after="0" w:line="276" w:lineRule="auto"/>
        <w:ind w:firstLine="0"/>
        <w:jc w:val="left"/>
      </w:pPr>
      <w:r>
        <w:br w:type="page"/>
      </w:r>
    </w:p>
    <w:p w14:paraId="3C36DDE9" w14:textId="77777777" w:rsidR="00A47BC2" w:rsidRDefault="00A47BC2" w:rsidP="00A47BC2"/>
    <w:p w14:paraId="09400213" w14:textId="6E467E2B" w:rsidR="00625049" w:rsidRDefault="00625049" w:rsidP="00625049">
      <w:pPr>
        <w:pStyle w:val="Caption"/>
        <w:keepNext/>
      </w:pPr>
      <w:bookmarkStart w:id="9" w:name="_Ref33010408"/>
      <w:r w:rsidRPr="0027118B">
        <w:t xml:space="preserve">Table </w:t>
      </w:r>
      <w:r w:rsidRPr="00D246FB">
        <w:fldChar w:fldCharType="begin"/>
      </w:r>
      <w:r w:rsidRPr="002D5E02">
        <w:instrText xml:space="preserve"> SEQ Table \* ARABIC </w:instrText>
      </w:r>
      <w:r w:rsidRPr="00D246FB">
        <w:fldChar w:fldCharType="separate"/>
      </w:r>
      <w:r w:rsidR="00453931">
        <w:rPr>
          <w:noProof/>
        </w:rPr>
        <w:t>3</w:t>
      </w:r>
      <w:r w:rsidRPr="00D246FB">
        <w:fldChar w:fldCharType="end"/>
      </w:r>
      <w:bookmarkEnd w:id="9"/>
      <w:r w:rsidRPr="00D246FB">
        <w:t xml:space="preserve"> Joint Model Estimation Results</w:t>
      </w:r>
    </w:p>
    <w:tbl>
      <w:tblPr>
        <w:tblW w:w="9720" w:type="dxa"/>
        <w:tblInd w:w="-23" w:type="dxa"/>
        <w:tblLook w:val="04A0" w:firstRow="1" w:lastRow="0" w:firstColumn="1" w:lastColumn="0" w:noHBand="0" w:noVBand="1"/>
      </w:tblPr>
      <w:tblGrid>
        <w:gridCol w:w="4653"/>
        <w:gridCol w:w="827"/>
        <w:gridCol w:w="910"/>
        <w:gridCol w:w="827"/>
        <w:gridCol w:w="874"/>
        <w:gridCol w:w="819"/>
        <w:gridCol w:w="810"/>
      </w:tblGrid>
      <w:tr w:rsidR="00625049" w:rsidRPr="004174AE" w14:paraId="12AD882E" w14:textId="77777777" w:rsidTr="00625049">
        <w:trPr>
          <w:trHeight w:val="20"/>
        </w:trPr>
        <w:tc>
          <w:tcPr>
            <w:tcW w:w="4653" w:type="dxa"/>
            <w:vMerge w:val="restart"/>
            <w:tcBorders>
              <w:top w:val="double" w:sz="6" w:space="0" w:color="auto"/>
              <w:left w:val="double" w:sz="6" w:space="0" w:color="auto"/>
              <w:bottom w:val="double" w:sz="6" w:space="0" w:color="000000"/>
              <w:right w:val="double" w:sz="6" w:space="0" w:color="auto"/>
            </w:tcBorders>
            <w:shd w:val="clear" w:color="auto" w:fill="auto"/>
            <w:noWrap/>
            <w:vAlign w:val="center"/>
            <w:hideMark/>
          </w:tcPr>
          <w:p w14:paraId="779C366A" w14:textId="77777777" w:rsidR="00625049" w:rsidRPr="004174AE" w:rsidRDefault="00625049" w:rsidP="00625049">
            <w:pPr>
              <w:spacing w:after="0"/>
              <w:ind w:firstLine="0"/>
              <w:jc w:val="center"/>
              <w:rPr>
                <w:rFonts w:eastAsia="Times New Roman"/>
                <w:b/>
                <w:bCs/>
                <w:color w:val="000000"/>
                <w:sz w:val="20"/>
                <w:szCs w:val="20"/>
              </w:rPr>
            </w:pPr>
            <w:r w:rsidRPr="004174AE">
              <w:rPr>
                <w:rFonts w:eastAsia="Times New Roman"/>
                <w:b/>
                <w:bCs/>
                <w:color w:val="000000"/>
                <w:sz w:val="20"/>
                <w:szCs w:val="20"/>
              </w:rPr>
              <w:t>Parameter</w:t>
            </w:r>
          </w:p>
        </w:tc>
        <w:tc>
          <w:tcPr>
            <w:tcW w:w="1737" w:type="dxa"/>
            <w:gridSpan w:val="2"/>
            <w:vMerge w:val="restart"/>
            <w:tcBorders>
              <w:top w:val="double" w:sz="6" w:space="0" w:color="auto"/>
              <w:left w:val="double" w:sz="6" w:space="0" w:color="auto"/>
              <w:bottom w:val="double" w:sz="6" w:space="0" w:color="000000"/>
              <w:right w:val="double" w:sz="6" w:space="0" w:color="000000"/>
            </w:tcBorders>
            <w:shd w:val="clear" w:color="auto" w:fill="auto"/>
            <w:vAlign w:val="center"/>
            <w:hideMark/>
          </w:tcPr>
          <w:p w14:paraId="3EE08475" w14:textId="77777777" w:rsidR="00625049" w:rsidRPr="004174AE" w:rsidRDefault="00625049" w:rsidP="00625049">
            <w:pPr>
              <w:spacing w:after="0"/>
              <w:ind w:firstLine="0"/>
              <w:jc w:val="center"/>
              <w:rPr>
                <w:rFonts w:eastAsia="Times New Roman"/>
                <w:b/>
                <w:bCs/>
                <w:color w:val="000000"/>
                <w:sz w:val="20"/>
                <w:szCs w:val="20"/>
              </w:rPr>
            </w:pPr>
            <w:r w:rsidRPr="004174AE">
              <w:rPr>
                <w:rFonts w:eastAsia="Times New Roman"/>
                <w:b/>
                <w:bCs/>
                <w:color w:val="000000"/>
                <w:sz w:val="20"/>
                <w:szCs w:val="20"/>
              </w:rPr>
              <w:t>Outcome 1: Belongs to 2017</w:t>
            </w:r>
          </w:p>
        </w:tc>
        <w:tc>
          <w:tcPr>
            <w:tcW w:w="3330" w:type="dxa"/>
            <w:gridSpan w:val="4"/>
            <w:tcBorders>
              <w:top w:val="double" w:sz="6" w:space="0" w:color="auto"/>
              <w:left w:val="nil"/>
              <w:bottom w:val="double" w:sz="6" w:space="0" w:color="auto"/>
              <w:right w:val="double" w:sz="6" w:space="0" w:color="000000"/>
            </w:tcBorders>
            <w:shd w:val="clear" w:color="auto" w:fill="auto"/>
            <w:noWrap/>
            <w:vAlign w:val="center"/>
            <w:hideMark/>
          </w:tcPr>
          <w:p w14:paraId="46465166" w14:textId="77777777" w:rsidR="00625049" w:rsidRPr="004174AE" w:rsidRDefault="00625049" w:rsidP="00625049">
            <w:pPr>
              <w:spacing w:after="0"/>
              <w:ind w:firstLine="0"/>
              <w:jc w:val="center"/>
              <w:rPr>
                <w:rFonts w:eastAsia="Times New Roman"/>
                <w:b/>
                <w:bCs/>
                <w:color w:val="000000"/>
                <w:sz w:val="20"/>
                <w:szCs w:val="20"/>
              </w:rPr>
            </w:pPr>
            <w:r w:rsidRPr="004174AE">
              <w:rPr>
                <w:rFonts w:eastAsia="Times New Roman"/>
                <w:b/>
                <w:bCs/>
                <w:color w:val="000000"/>
                <w:sz w:val="20"/>
                <w:szCs w:val="20"/>
              </w:rPr>
              <w:t>Outcome 2: Freq. of Ride-Hailing</w:t>
            </w:r>
          </w:p>
        </w:tc>
      </w:tr>
      <w:tr w:rsidR="00625049" w:rsidRPr="004174AE" w14:paraId="6F376CA5" w14:textId="77777777" w:rsidTr="00625049">
        <w:trPr>
          <w:trHeight w:val="20"/>
        </w:trPr>
        <w:tc>
          <w:tcPr>
            <w:tcW w:w="4653" w:type="dxa"/>
            <w:vMerge/>
            <w:tcBorders>
              <w:top w:val="double" w:sz="6" w:space="0" w:color="auto"/>
              <w:left w:val="double" w:sz="6" w:space="0" w:color="auto"/>
              <w:bottom w:val="double" w:sz="6" w:space="0" w:color="000000"/>
              <w:right w:val="double" w:sz="6" w:space="0" w:color="auto"/>
            </w:tcBorders>
            <w:vAlign w:val="center"/>
            <w:hideMark/>
          </w:tcPr>
          <w:p w14:paraId="264E0330" w14:textId="77777777" w:rsidR="00625049" w:rsidRPr="004174AE" w:rsidRDefault="00625049" w:rsidP="00625049">
            <w:pPr>
              <w:spacing w:after="0"/>
              <w:ind w:firstLine="0"/>
              <w:jc w:val="left"/>
              <w:rPr>
                <w:rFonts w:eastAsia="Times New Roman"/>
                <w:b/>
                <w:bCs/>
                <w:color w:val="000000"/>
                <w:sz w:val="20"/>
                <w:szCs w:val="20"/>
              </w:rPr>
            </w:pPr>
          </w:p>
        </w:tc>
        <w:tc>
          <w:tcPr>
            <w:tcW w:w="1737" w:type="dxa"/>
            <w:gridSpan w:val="2"/>
            <w:vMerge/>
            <w:tcBorders>
              <w:top w:val="double" w:sz="6" w:space="0" w:color="auto"/>
              <w:left w:val="double" w:sz="6" w:space="0" w:color="auto"/>
              <w:bottom w:val="double" w:sz="6" w:space="0" w:color="000000"/>
              <w:right w:val="double" w:sz="6" w:space="0" w:color="000000"/>
            </w:tcBorders>
            <w:vAlign w:val="center"/>
            <w:hideMark/>
          </w:tcPr>
          <w:p w14:paraId="19DCFDF0" w14:textId="77777777" w:rsidR="00625049" w:rsidRPr="004174AE" w:rsidRDefault="00625049" w:rsidP="00625049">
            <w:pPr>
              <w:spacing w:after="0"/>
              <w:ind w:firstLine="0"/>
              <w:jc w:val="left"/>
              <w:rPr>
                <w:rFonts w:eastAsia="Times New Roman"/>
                <w:b/>
                <w:bCs/>
                <w:color w:val="000000"/>
                <w:sz w:val="20"/>
                <w:szCs w:val="20"/>
              </w:rPr>
            </w:pPr>
          </w:p>
        </w:tc>
        <w:tc>
          <w:tcPr>
            <w:tcW w:w="1701" w:type="dxa"/>
            <w:gridSpan w:val="2"/>
            <w:tcBorders>
              <w:top w:val="double" w:sz="6" w:space="0" w:color="auto"/>
              <w:left w:val="nil"/>
              <w:bottom w:val="single" w:sz="8" w:space="0" w:color="auto"/>
              <w:right w:val="double" w:sz="6" w:space="0" w:color="000000"/>
            </w:tcBorders>
            <w:shd w:val="clear" w:color="auto" w:fill="auto"/>
            <w:noWrap/>
            <w:vAlign w:val="center"/>
            <w:hideMark/>
          </w:tcPr>
          <w:p w14:paraId="4E06AE30" w14:textId="77777777" w:rsidR="00625049" w:rsidRPr="004174AE" w:rsidRDefault="00625049" w:rsidP="00625049">
            <w:pPr>
              <w:spacing w:after="0"/>
              <w:ind w:firstLine="0"/>
              <w:jc w:val="center"/>
              <w:rPr>
                <w:rFonts w:eastAsia="Times New Roman"/>
                <w:b/>
                <w:bCs/>
                <w:color w:val="000000"/>
                <w:sz w:val="20"/>
                <w:szCs w:val="20"/>
              </w:rPr>
            </w:pPr>
            <w:r w:rsidRPr="004174AE">
              <w:rPr>
                <w:rFonts w:eastAsia="Times New Roman"/>
                <w:b/>
                <w:bCs/>
                <w:color w:val="000000"/>
                <w:sz w:val="20"/>
                <w:szCs w:val="20"/>
              </w:rPr>
              <w:t>Base (2015)</w:t>
            </w:r>
          </w:p>
        </w:tc>
        <w:tc>
          <w:tcPr>
            <w:tcW w:w="1629" w:type="dxa"/>
            <w:gridSpan w:val="2"/>
            <w:tcBorders>
              <w:top w:val="double" w:sz="6" w:space="0" w:color="auto"/>
              <w:left w:val="nil"/>
              <w:bottom w:val="single" w:sz="8" w:space="0" w:color="auto"/>
              <w:right w:val="double" w:sz="6" w:space="0" w:color="000000"/>
            </w:tcBorders>
            <w:shd w:val="clear" w:color="auto" w:fill="auto"/>
            <w:noWrap/>
            <w:vAlign w:val="center"/>
            <w:hideMark/>
          </w:tcPr>
          <w:p w14:paraId="715544A5" w14:textId="77777777" w:rsidR="00625049" w:rsidRPr="004174AE" w:rsidRDefault="00625049" w:rsidP="00625049">
            <w:pPr>
              <w:spacing w:after="0"/>
              <w:ind w:firstLine="0"/>
              <w:jc w:val="center"/>
              <w:rPr>
                <w:rFonts w:eastAsia="Times New Roman"/>
                <w:b/>
                <w:bCs/>
                <w:color w:val="000000"/>
                <w:sz w:val="20"/>
                <w:szCs w:val="20"/>
              </w:rPr>
            </w:pPr>
            <w:r w:rsidRPr="004174AE">
              <w:rPr>
                <w:rFonts w:eastAsia="Times New Roman"/>
                <w:b/>
                <w:bCs/>
                <w:color w:val="000000"/>
                <w:sz w:val="20"/>
                <w:szCs w:val="20"/>
              </w:rPr>
              <w:t>Interactions (2017)</w:t>
            </w:r>
          </w:p>
        </w:tc>
      </w:tr>
      <w:tr w:rsidR="00625049" w:rsidRPr="004174AE" w14:paraId="1FF16DFB" w14:textId="77777777" w:rsidTr="00625049">
        <w:trPr>
          <w:trHeight w:val="20"/>
        </w:trPr>
        <w:tc>
          <w:tcPr>
            <w:tcW w:w="4653" w:type="dxa"/>
            <w:vMerge/>
            <w:tcBorders>
              <w:top w:val="double" w:sz="6" w:space="0" w:color="auto"/>
              <w:left w:val="double" w:sz="6" w:space="0" w:color="auto"/>
              <w:bottom w:val="double" w:sz="6" w:space="0" w:color="000000"/>
              <w:right w:val="double" w:sz="6" w:space="0" w:color="auto"/>
            </w:tcBorders>
            <w:vAlign w:val="center"/>
            <w:hideMark/>
          </w:tcPr>
          <w:p w14:paraId="3C4FD5C6" w14:textId="77777777" w:rsidR="00625049" w:rsidRPr="004174AE" w:rsidRDefault="00625049" w:rsidP="00625049">
            <w:pPr>
              <w:spacing w:after="0"/>
              <w:ind w:firstLine="0"/>
              <w:jc w:val="left"/>
              <w:rPr>
                <w:rFonts w:eastAsia="Times New Roman"/>
                <w:b/>
                <w:bCs/>
                <w:color w:val="000000"/>
                <w:sz w:val="20"/>
                <w:szCs w:val="20"/>
              </w:rPr>
            </w:pPr>
          </w:p>
        </w:tc>
        <w:tc>
          <w:tcPr>
            <w:tcW w:w="827" w:type="dxa"/>
            <w:tcBorders>
              <w:top w:val="nil"/>
              <w:left w:val="nil"/>
              <w:bottom w:val="double" w:sz="4" w:space="0" w:color="auto"/>
              <w:right w:val="single" w:sz="4" w:space="0" w:color="auto"/>
            </w:tcBorders>
            <w:shd w:val="clear" w:color="auto" w:fill="auto"/>
            <w:noWrap/>
            <w:vAlign w:val="center"/>
            <w:hideMark/>
          </w:tcPr>
          <w:p w14:paraId="5DC8F30E" w14:textId="77777777" w:rsidR="00625049" w:rsidRPr="004174AE" w:rsidRDefault="00625049" w:rsidP="00625049">
            <w:pPr>
              <w:spacing w:after="0"/>
              <w:ind w:firstLine="0"/>
              <w:jc w:val="center"/>
              <w:rPr>
                <w:rFonts w:eastAsia="Times New Roman"/>
                <w:b/>
                <w:bCs/>
                <w:color w:val="000000"/>
                <w:sz w:val="20"/>
                <w:szCs w:val="20"/>
              </w:rPr>
            </w:pPr>
            <w:r w:rsidRPr="004174AE">
              <w:rPr>
                <w:rFonts w:eastAsia="Times New Roman"/>
                <w:b/>
                <w:bCs/>
                <w:color w:val="000000"/>
                <w:sz w:val="20"/>
                <w:szCs w:val="20"/>
              </w:rPr>
              <w:t>Coef.</w:t>
            </w:r>
          </w:p>
        </w:tc>
        <w:tc>
          <w:tcPr>
            <w:tcW w:w="910" w:type="dxa"/>
            <w:tcBorders>
              <w:top w:val="nil"/>
              <w:left w:val="single" w:sz="4" w:space="0" w:color="auto"/>
              <w:bottom w:val="double" w:sz="4" w:space="0" w:color="auto"/>
              <w:right w:val="double" w:sz="6" w:space="0" w:color="auto"/>
            </w:tcBorders>
            <w:shd w:val="clear" w:color="auto" w:fill="auto"/>
            <w:noWrap/>
            <w:vAlign w:val="center"/>
            <w:hideMark/>
          </w:tcPr>
          <w:p w14:paraId="01215008" w14:textId="77777777" w:rsidR="00625049" w:rsidRPr="004174AE" w:rsidRDefault="00625049" w:rsidP="00625049">
            <w:pPr>
              <w:spacing w:after="0"/>
              <w:ind w:firstLine="0"/>
              <w:jc w:val="center"/>
              <w:rPr>
                <w:rFonts w:eastAsia="Times New Roman"/>
                <w:b/>
                <w:bCs/>
                <w:color w:val="000000"/>
                <w:sz w:val="20"/>
                <w:szCs w:val="20"/>
              </w:rPr>
            </w:pPr>
            <w:r w:rsidRPr="004174AE">
              <w:rPr>
                <w:rFonts w:eastAsia="Times New Roman"/>
                <w:b/>
                <w:bCs/>
                <w:color w:val="000000"/>
                <w:sz w:val="20"/>
                <w:szCs w:val="20"/>
              </w:rPr>
              <w:t>t-stat</w:t>
            </w:r>
          </w:p>
        </w:tc>
        <w:tc>
          <w:tcPr>
            <w:tcW w:w="827" w:type="dxa"/>
            <w:tcBorders>
              <w:top w:val="nil"/>
              <w:left w:val="nil"/>
              <w:bottom w:val="double" w:sz="4" w:space="0" w:color="auto"/>
              <w:right w:val="single" w:sz="4" w:space="0" w:color="auto"/>
            </w:tcBorders>
            <w:shd w:val="clear" w:color="auto" w:fill="auto"/>
            <w:noWrap/>
            <w:vAlign w:val="center"/>
            <w:hideMark/>
          </w:tcPr>
          <w:p w14:paraId="7608049E" w14:textId="77777777" w:rsidR="00625049" w:rsidRPr="004174AE" w:rsidRDefault="00625049" w:rsidP="00625049">
            <w:pPr>
              <w:spacing w:after="0"/>
              <w:ind w:firstLine="0"/>
              <w:jc w:val="center"/>
              <w:rPr>
                <w:rFonts w:eastAsia="Times New Roman"/>
                <w:b/>
                <w:bCs/>
                <w:color w:val="000000"/>
                <w:sz w:val="20"/>
                <w:szCs w:val="20"/>
              </w:rPr>
            </w:pPr>
            <w:r w:rsidRPr="004174AE">
              <w:rPr>
                <w:rFonts w:eastAsia="Times New Roman"/>
                <w:b/>
                <w:bCs/>
                <w:color w:val="000000"/>
                <w:sz w:val="20"/>
                <w:szCs w:val="20"/>
              </w:rPr>
              <w:t>Coef.</w:t>
            </w:r>
          </w:p>
        </w:tc>
        <w:tc>
          <w:tcPr>
            <w:tcW w:w="874" w:type="dxa"/>
            <w:tcBorders>
              <w:top w:val="nil"/>
              <w:left w:val="single" w:sz="4" w:space="0" w:color="auto"/>
              <w:bottom w:val="double" w:sz="4" w:space="0" w:color="auto"/>
              <w:right w:val="double" w:sz="6" w:space="0" w:color="auto"/>
            </w:tcBorders>
            <w:shd w:val="clear" w:color="auto" w:fill="auto"/>
            <w:noWrap/>
            <w:vAlign w:val="center"/>
            <w:hideMark/>
          </w:tcPr>
          <w:p w14:paraId="2CA606B4" w14:textId="77777777" w:rsidR="00625049" w:rsidRPr="004174AE" w:rsidRDefault="00625049" w:rsidP="00625049">
            <w:pPr>
              <w:spacing w:after="0"/>
              <w:ind w:firstLine="0"/>
              <w:jc w:val="center"/>
              <w:rPr>
                <w:rFonts w:eastAsia="Times New Roman"/>
                <w:b/>
                <w:bCs/>
                <w:color w:val="000000"/>
                <w:sz w:val="20"/>
                <w:szCs w:val="20"/>
              </w:rPr>
            </w:pPr>
            <w:r w:rsidRPr="004174AE">
              <w:rPr>
                <w:rFonts w:eastAsia="Times New Roman"/>
                <w:b/>
                <w:bCs/>
                <w:color w:val="000000"/>
                <w:sz w:val="20"/>
                <w:szCs w:val="20"/>
              </w:rPr>
              <w:t>t-stat</w:t>
            </w:r>
          </w:p>
        </w:tc>
        <w:tc>
          <w:tcPr>
            <w:tcW w:w="819" w:type="dxa"/>
            <w:tcBorders>
              <w:top w:val="nil"/>
              <w:left w:val="nil"/>
              <w:bottom w:val="double" w:sz="4" w:space="0" w:color="auto"/>
              <w:right w:val="single" w:sz="4" w:space="0" w:color="auto"/>
            </w:tcBorders>
            <w:shd w:val="clear" w:color="auto" w:fill="auto"/>
            <w:noWrap/>
            <w:vAlign w:val="center"/>
            <w:hideMark/>
          </w:tcPr>
          <w:p w14:paraId="785BFC95" w14:textId="77777777" w:rsidR="00625049" w:rsidRPr="004174AE" w:rsidRDefault="00625049" w:rsidP="00625049">
            <w:pPr>
              <w:spacing w:after="0"/>
              <w:ind w:firstLine="0"/>
              <w:jc w:val="center"/>
              <w:rPr>
                <w:rFonts w:eastAsia="Times New Roman"/>
                <w:b/>
                <w:bCs/>
                <w:color w:val="000000"/>
                <w:sz w:val="20"/>
                <w:szCs w:val="20"/>
              </w:rPr>
            </w:pPr>
            <w:r w:rsidRPr="004174AE">
              <w:rPr>
                <w:rFonts w:eastAsia="Times New Roman"/>
                <w:b/>
                <w:bCs/>
                <w:color w:val="000000"/>
                <w:sz w:val="20"/>
                <w:szCs w:val="20"/>
              </w:rPr>
              <w:t>Coef.</w:t>
            </w:r>
          </w:p>
        </w:tc>
        <w:tc>
          <w:tcPr>
            <w:tcW w:w="810" w:type="dxa"/>
            <w:tcBorders>
              <w:top w:val="nil"/>
              <w:left w:val="single" w:sz="4" w:space="0" w:color="auto"/>
              <w:bottom w:val="double" w:sz="4" w:space="0" w:color="auto"/>
              <w:right w:val="double" w:sz="6" w:space="0" w:color="auto"/>
            </w:tcBorders>
            <w:shd w:val="clear" w:color="auto" w:fill="auto"/>
            <w:noWrap/>
            <w:vAlign w:val="center"/>
            <w:hideMark/>
          </w:tcPr>
          <w:p w14:paraId="7BF5CE1F" w14:textId="77777777" w:rsidR="00625049" w:rsidRPr="004174AE" w:rsidRDefault="00625049" w:rsidP="00625049">
            <w:pPr>
              <w:spacing w:after="0"/>
              <w:ind w:firstLine="0"/>
              <w:jc w:val="center"/>
              <w:rPr>
                <w:rFonts w:eastAsia="Times New Roman"/>
                <w:b/>
                <w:bCs/>
                <w:color w:val="000000"/>
                <w:sz w:val="20"/>
                <w:szCs w:val="20"/>
              </w:rPr>
            </w:pPr>
            <w:r w:rsidRPr="004174AE">
              <w:rPr>
                <w:rFonts w:eastAsia="Times New Roman"/>
                <w:b/>
                <w:bCs/>
                <w:color w:val="000000"/>
                <w:sz w:val="20"/>
                <w:szCs w:val="20"/>
              </w:rPr>
              <w:t>t-stat</w:t>
            </w:r>
          </w:p>
        </w:tc>
      </w:tr>
      <w:tr w:rsidR="00625049" w:rsidRPr="004174AE" w14:paraId="4432EB94" w14:textId="77777777" w:rsidTr="00625049">
        <w:trPr>
          <w:trHeight w:val="20"/>
        </w:trPr>
        <w:tc>
          <w:tcPr>
            <w:tcW w:w="4653" w:type="dxa"/>
            <w:tcBorders>
              <w:top w:val="nil"/>
              <w:left w:val="double" w:sz="6" w:space="0" w:color="auto"/>
              <w:bottom w:val="single" w:sz="4" w:space="0" w:color="auto"/>
              <w:right w:val="double" w:sz="6" w:space="0" w:color="auto"/>
            </w:tcBorders>
            <w:shd w:val="clear" w:color="auto" w:fill="auto"/>
            <w:noWrap/>
            <w:vAlign w:val="center"/>
            <w:hideMark/>
          </w:tcPr>
          <w:p w14:paraId="0C14ED42" w14:textId="77777777" w:rsidR="00625049" w:rsidRPr="004174AE" w:rsidRDefault="00625049" w:rsidP="00625049">
            <w:pPr>
              <w:spacing w:after="0"/>
              <w:ind w:firstLine="0"/>
              <w:jc w:val="left"/>
              <w:rPr>
                <w:rFonts w:eastAsia="Times New Roman"/>
                <w:b/>
                <w:bCs/>
                <w:color w:val="000000"/>
                <w:sz w:val="20"/>
                <w:szCs w:val="20"/>
              </w:rPr>
            </w:pPr>
            <w:r>
              <w:rPr>
                <w:rFonts w:eastAsia="Times New Roman"/>
                <w:b/>
                <w:bCs/>
                <w:color w:val="000000"/>
                <w:sz w:val="20"/>
                <w:szCs w:val="20"/>
              </w:rPr>
              <w:t>Gender</w:t>
            </w:r>
            <w:r w:rsidRPr="004174AE">
              <w:rPr>
                <w:rFonts w:eastAsia="Times New Roman"/>
                <w:color w:val="000000"/>
                <w:sz w:val="20"/>
                <w:szCs w:val="20"/>
              </w:rPr>
              <w:t xml:space="preserve"> (base: Male)</w:t>
            </w:r>
          </w:p>
        </w:tc>
        <w:tc>
          <w:tcPr>
            <w:tcW w:w="827" w:type="dxa"/>
            <w:tcBorders>
              <w:top w:val="double" w:sz="4" w:space="0" w:color="auto"/>
              <w:left w:val="nil"/>
              <w:bottom w:val="single" w:sz="4" w:space="0" w:color="auto"/>
              <w:right w:val="single" w:sz="4" w:space="0" w:color="auto"/>
            </w:tcBorders>
            <w:shd w:val="clear" w:color="auto" w:fill="auto"/>
            <w:noWrap/>
            <w:vAlign w:val="center"/>
            <w:hideMark/>
          </w:tcPr>
          <w:p w14:paraId="19DEC3DD"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w:t>
            </w:r>
          </w:p>
        </w:tc>
        <w:tc>
          <w:tcPr>
            <w:tcW w:w="910" w:type="dxa"/>
            <w:tcBorders>
              <w:top w:val="double" w:sz="4" w:space="0" w:color="auto"/>
              <w:left w:val="single" w:sz="4" w:space="0" w:color="auto"/>
              <w:bottom w:val="single" w:sz="4" w:space="0" w:color="auto"/>
              <w:right w:val="double" w:sz="6" w:space="0" w:color="auto"/>
            </w:tcBorders>
            <w:shd w:val="clear" w:color="auto" w:fill="auto"/>
            <w:noWrap/>
            <w:vAlign w:val="center"/>
            <w:hideMark/>
          </w:tcPr>
          <w:p w14:paraId="120CA252"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w:t>
            </w:r>
          </w:p>
        </w:tc>
        <w:tc>
          <w:tcPr>
            <w:tcW w:w="827" w:type="dxa"/>
            <w:tcBorders>
              <w:top w:val="double" w:sz="4" w:space="0" w:color="auto"/>
              <w:left w:val="nil"/>
              <w:bottom w:val="single" w:sz="4" w:space="0" w:color="auto"/>
              <w:right w:val="single" w:sz="4" w:space="0" w:color="auto"/>
            </w:tcBorders>
            <w:shd w:val="clear" w:color="auto" w:fill="auto"/>
            <w:noWrap/>
            <w:vAlign w:val="center"/>
            <w:hideMark/>
          </w:tcPr>
          <w:p w14:paraId="09BBDDA3"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w:t>
            </w:r>
          </w:p>
        </w:tc>
        <w:tc>
          <w:tcPr>
            <w:tcW w:w="874" w:type="dxa"/>
            <w:tcBorders>
              <w:top w:val="double" w:sz="4" w:space="0" w:color="auto"/>
              <w:left w:val="single" w:sz="4" w:space="0" w:color="auto"/>
              <w:bottom w:val="single" w:sz="4" w:space="0" w:color="auto"/>
              <w:right w:val="double" w:sz="6" w:space="0" w:color="auto"/>
            </w:tcBorders>
            <w:shd w:val="clear" w:color="auto" w:fill="auto"/>
            <w:noWrap/>
            <w:vAlign w:val="center"/>
            <w:hideMark/>
          </w:tcPr>
          <w:p w14:paraId="07327263"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w:t>
            </w:r>
          </w:p>
        </w:tc>
        <w:tc>
          <w:tcPr>
            <w:tcW w:w="819" w:type="dxa"/>
            <w:tcBorders>
              <w:top w:val="double" w:sz="4" w:space="0" w:color="auto"/>
              <w:left w:val="nil"/>
              <w:bottom w:val="single" w:sz="4" w:space="0" w:color="auto"/>
              <w:right w:val="single" w:sz="4" w:space="0" w:color="auto"/>
            </w:tcBorders>
            <w:shd w:val="clear" w:color="auto" w:fill="auto"/>
            <w:noWrap/>
            <w:vAlign w:val="center"/>
            <w:hideMark/>
          </w:tcPr>
          <w:p w14:paraId="355AEDF9"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w:t>
            </w:r>
          </w:p>
        </w:tc>
        <w:tc>
          <w:tcPr>
            <w:tcW w:w="810" w:type="dxa"/>
            <w:tcBorders>
              <w:top w:val="double" w:sz="4" w:space="0" w:color="auto"/>
              <w:left w:val="single" w:sz="4" w:space="0" w:color="auto"/>
              <w:bottom w:val="single" w:sz="4" w:space="0" w:color="auto"/>
              <w:right w:val="double" w:sz="6" w:space="0" w:color="auto"/>
            </w:tcBorders>
            <w:shd w:val="clear" w:color="auto" w:fill="auto"/>
            <w:noWrap/>
            <w:vAlign w:val="center"/>
            <w:hideMark/>
          </w:tcPr>
          <w:p w14:paraId="7C683129"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w:t>
            </w:r>
          </w:p>
        </w:tc>
      </w:tr>
      <w:tr w:rsidR="00625049" w:rsidRPr="004174AE" w14:paraId="49458B8C" w14:textId="77777777" w:rsidTr="00625049">
        <w:trPr>
          <w:trHeight w:val="20"/>
        </w:trPr>
        <w:tc>
          <w:tcPr>
            <w:tcW w:w="4653" w:type="dxa"/>
            <w:tcBorders>
              <w:top w:val="single" w:sz="4" w:space="0" w:color="auto"/>
              <w:left w:val="double" w:sz="6" w:space="0" w:color="auto"/>
              <w:bottom w:val="double" w:sz="6" w:space="0" w:color="auto"/>
              <w:right w:val="double" w:sz="6" w:space="0" w:color="auto"/>
            </w:tcBorders>
            <w:shd w:val="clear" w:color="auto" w:fill="auto"/>
            <w:noWrap/>
            <w:vAlign w:val="center"/>
            <w:hideMark/>
          </w:tcPr>
          <w:p w14:paraId="70846601" w14:textId="77777777" w:rsidR="00625049" w:rsidRPr="004174AE" w:rsidRDefault="00625049" w:rsidP="00625049">
            <w:pPr>
              <w:spacing w:after="0"/>
              <w:ind w:firstLine="0"/>
              <w:jc w:val="left"/>
              <w:rPr>
                <w:rFonts w:eastAsia="Times New Roman"/>
                <w:color w:val="000000"/>
                <w:sz w:val="20"/>
                <w:szCs w:val="20"/>
              </w:rPr>
            </w:pPr>
            <w:r w:rsidRPr="004174AE">
              <w:rPr>
                <w:rFonts w:eastAsia="Times New Roman"/>
                <w:color w:val="000000"/>
                <w:sz w:val="20"/>
                <w:szCs w:val="20"/>
              </w:rPr>
              <w:t xml:space="preserve">   Female</w:t>
            </w:r>
          </w:p>
        </w:tc>
        <w:tc>
          <w:tcPr>
            <w:tcW w:w="827" w:type="dxa"/>
            <w:tcBorders>
              <w:top w:val="single" w:sz="4" w:space="0" w:color="auto"/>
              <w:left w:val="nil"/>
              <w:bottom w:val="double" w:sz="6" w:space="0" w:color="auto"/>
              <w:right w:val="single" w:sz="4" w:space="0" w:color="auto"/>
            </w:tcBorders>
            <w:shd w:val="clear" w:color="auto" w:fill="auto"/>
            <w:noWrap/>
            <w:vAlign w:val="center"/>
            <w:hideMark/>
          </w:tcPr>
          <w:p w14:paraId="224A1B04"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-0.081</w:t>
            </w:r>
          </w:p>
        </w:tc>
        <w:tc>
          <w:tcPr>
            <w:tcW w:w="910" w:type="dxa"/>
            <w:tcBorders>
              <w:top w:val="single" w:sz="4" w:space="0" w:color="auto"/>
              <w:left w:val="single" w:sz="4" w:space="0" w:color="auto"/>
              <w:bottom w:val="double" w:sz="6" w:space="0" w:color="auto"/>
              <w:right w:val="double" w:sz="6" w:space="0" w:color="auto"/>
            </w:tcBorders>
            <w:shd w:val="clear" w:color="auto" w:fill="auto"/>
            <w:noWrap/>
            <w:vAlign w:val="center"/>
            <w:hideMark/>
          </w:tcPr>
          <w:p w14:paraId="0FFB3C9A"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-2.935</w:t>
            </w:r>
          </w:p>
        </w:tc>
        <w:tc>
          <w:tcPr>
            <w:tcW w:w="827" w:type="dxa"/>
            <w:tcBorders>
              <w:top w:val="single" w:sz="4" w:space="0" w:color="auto"/>
              <w:left w:val="nil"/>
              <w:bottom w:val="double" w:sz="6" w:space="0" w:color="auto"/>
              <w:right w:val="single" w:sz="4" w:space="0" w:color="auto"/>
            </w:tcBorders>
            <w:shd w:val="clear" w:color="auto" w:fill="auto"/>
            <w:noWrap/>
            <w:vAlign w:val="center"/>
            <w:hideMark/>
          </w:tcPr>
          <w:p w14:paraId="345092BF"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w:t>
            </w:r>
          </w:p>
        </w:tc>
        <w:tc>
          <w:tcPr>
            <w:tcW w:w="874" w:type="dxa"/>
            <w:tcBorders>
              <w:top w:val="single" w:sz="4" w:space="0" w:color="auto"/>
              <w:left w:val="single" w:sz="4" w:space="0" w:color="auto"/>
              <w:bottom w:val="double" w:sz="6" w:space="0" w:color="auto"/>
              <w:right w:val="double" w:sz="6" w:space="0" w:color="auto"/>
            </w:tcBorders>
            <w:shd w:val="clear" w:color="auto" w:fill="auto"/>
            <w:noWrap/>
            <w:vAlign w:val="center"/>
            <w:hideMark/>
          </w:tcPr>
          <w:p w14:paraId="121A8913"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w:t>
            </w:r>
          </w:p>
        </w:tc>
        <w:tc>
          <w:tcPr>
            <w:tcW w:w="819" w:type="dxa"/>
            <w:tcBorders>
              <w:top w:val="single" w:sz="4" w:space="0" w:color="auto"/>
              <w:left w:val="nil"/>
              <w:bottom w:val="double" w:sz="6" w:space="0" w:color="auto"/>
              <w:right w:val="single" w:sz="4" w:space="0" w:color="auto"/>
            </w:tcBorders>
            <w:shd w:val="clear" w:color="auto" w:fill="auto"/>
            <w:noWrap/>
            <w:vAlign w:val="center"/>
            <w:hideMark/>
          </w:tcPr>
          <w:p w14:paraId="1F094FA8"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w:t>
            </w:r>
          </w:p>
        </w:tc>
        <w:tc>
          <w:tcPr>
            <w:tcW w:w="810" w:type="dxa"/>
            <w:tcBorders>
              <w:top w:val="single" w:sz="4" w:space="0" w:color="auto"/>
              <w:left w:val="single" w:sz="4" w:space="0" w:color="auto"/>
              <w:bottom w:val="double" w:sz="6" w:space="0" w:color="auto"/>
              <w:right w:val="double" w:sz="6" w:space="0" w:color="auto"/>
            </w:tcBorders>
            <w:shd w:val="clear" w:color="auto" w:fill="auto"/>
            <w:noWrap/>
            <w:vAlign w:val="center"/>
            <w:hideMark/>
          </w:tcPr>
          <w:p w14:paraId="4341AAE2"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w:t>
            </w:r>
          </w:p>
        </w:tc>
      </w:tr>
      <w:tr w:rsidR="00625049" w:rsidRPr="004174AE" w14:paraId="12AFBF7C" w14:textId="77777777" w:rsidTr="00625049">
        <w:trPr>
          <w:trHeight w:val="20"/>
        </w:trPr>
        <w:tc>
          <w:tcPr>
            <w:tcW w:w="4653" w:type="dxa"/>
            <w:tcBorders>
              <w:top w:val="nil"/>
              <w:left w:val="double" w:sz="6" w:space="0" w:color="auto"/>
              <w:bottom w:val="single" w:sz="4" w:space="0" w:color="auto"/>
              <w:right w:val="double" w:sz="6" w:space="0" w:color="auto"/>
            </w:tcBorders>
            <w:shd w:val="clear" w:color="auto" w:fill="auto"/>
            <w:noWrap/>
            <w:vAlign w:val="center"/>
            <w:hideMark/>
          </w:tcPr>
          <w:p w14:paraId="0C0765D6" w14:textId="77777777" w:rsidR="00625049" w:rsidRPr="004174AE" w:rsidRDefault="00625049" w:rsidP="00625049">
            <w:pPr>
              <w:spacing w:after="0"/>
              <w:ind w:firstLine="0"/>
              <w:jc w:val="left"/>
              <w:rPr>
                <w:rFonts w:eastAsia="Times New Roman"/>
                <w:b/>
                <w:bCs/>
                <w:color w:val="000000"/>
                <w:sz w:val="20"/>
                <w:szCs w:val="20"/>
              </w:rPr>
            </w:pPr>
            <w:r w:rsidRPr="004174AE">
              <w:rPr>
                <w:rFonts w:eastAsia="Times New Roman"/>
                <w:b/>
                <w:bCs/>
                <w:color w:val="000000"/>
                <w:sz w:val="20"/>
                <w:szCs w:val="20"/>
              </w:rPr>
              <w:t>Age</w:t>
            </w:r>
            <w:r w:rsidRPr="004174AE">
              <w:rPr>
                <w:rFonts w:eastAsia="Times New Roman"/>
                <w:color w:val="000000"/>
                <w:sz w:val="20"/>
                <w:szCs w:val="20"/>
              </w:rPr>
              <w:t xml:space="preserve"> (base: 18-34 years)</w:t>
            </w:r>
          </w:p>
        </w:tc>
        <w:tc>
          <w:tcPr>
            <w:tcW w:w="827" w:type="dxa"/>
            <w:tcBorders>
              <w:top w:val="nil"/>
              <w:left w:val="nil"/>
              <w:bottom w:val="single" w:sz="4" w:space="0" w:color="auto"/>
              <w:right w:val="single" w:sz="4" w:space="0" w:color="auto"/>
            </w:tcBorders>
            <w:shd w:val="clear" w:color="auto" w:fill="auto"/>
            <w:noWrap/>
            <w:vAlign w:val="center"/>
            <w:hideMark/>
          </w:tcPr>
          <w:p w14:paraId="12DA6C68"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w:t>
            </w:r>
          </w:p>
        </w:tc>
        <w:tc>
          <w:tcPr>
            <w:tcW w:w="910" w:type="dxa"/>
            <w:tcBorders>
              <w:top w:val="nil"/>
              <w:left w:val="single" w:sz="4" w:space="0" w:color="auto"/>
              <w:bottom w:val="single" w:sz="4" w:space="0" w:color="auto"/>
              <w:right w:val="double" w:sz="6" w:space="0" w:color="auto"/>
            </w:tcBorders>
            <w:shd w:val="clear" w:color="auto" w:fill="auto"/>
            <w:noWrap/>
            <w:vAlign w:val="center"/>
            <w:hideMark/>
          </w:tcPr>
          <w:p w14:paraId="607D84F5"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w:t>
            </w:r>
          </w:p>
        </w:tc>
        <w:tc>
          <w:tcPr>
            <w:tcW w:w="827" w:type="dxa"/>
            <w:tcBorders>
              <w:top w:val="nil"/>
              <w:left w:val="nil"/>
              <w:bottom w:val="single" w:sz="4" w:space="0" w:color="auto"/>
              <w:right w:val="single" w:sz="4" w:space="0" w:color="auto"/>
            </w:tcBorders>
            <w:shd w:val="clear" w:color="auto" w:fill="auto"/>
            <w:noWrap/>
            <w:vAlign w:val="center"/>
            <w:hideMark/>
          </w:tcPr>
          <w:p w14:paraId="4A62872A"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w:t>
            </w:r>
          </w:p>
        </w:tc>
        <w:tc>
          <w:tcPr>
            <w:tcW w:w="874" w:type="dxa"/>
            <w:tcBorders>
              <w:top w:val="nil"/>
              <w:left w:val="single" w:sz="4" w:space="0" w:color="auto"/>
              <w:bottom w:val="single" w:sz="4" w:space="0" w:color="auto"/>
              <w:right w:val="double" w:sz="6" w:space="0" w:color="auto"/>
            </w:tcBorders>
            <w:shd w:val="clear" w:color="auto" w:fill="auto"/>
            <w:noWrap/>
            <w:vAlign w:val="center"/>
            <w:hideMark/>
          </w:tcPr>
          <w:p w14:paraId="40E84022"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w:t>
            </w:r>
          </w:p>
        </w:tc>
        <w:tc>
          <w:tcPr>
            <w:tcW w:w="819" w:type="dxa"/>
            <w:tcBorders>
              <w:top w:val="nil"/>
              <w:left w:val="nil"/>
              <w:bottom w:val="single" w:sz="4" w:space="0" w:color="auto"/>
              <w:right w:val="single" w:sz="4" w:space="0" w:color="auto"/>
            </w:tcBorders>
            <w:shd w:val="clear" w:color="auto" w:fill="auto"/>
            <w:noWrap/>
            <w:vAlign w:val="center"/>
            <w:hideMark/>
          </w:tcPr>
          <w:p w14:paraId="28F12514"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w:t>
            </w:r>
          </w:p>
        </w:tc>
        <w:tc>
          <w:tcPr>
            <w:tcW w:w="810" w:type="dxa"/>
            <w:tcBorders>
              <w:top w:val="nil"/>
              <w:left w:val="single" w:sz="4" w:space="0" w:color="auto"/>
              <w:bottom w:val="single" w:sz="4" w:space="0" w:color="auto"/>
              <w:right w:val="double" w:sz="6" w:space="0" w:color="auto"/>
            </w:tcBorders>
            <w:shd w:val="clear" w:color="auto" w:fill="auto"/>
            <w:noWrap/>
            <w:vAlign w:val="center"/>
            <w:hideMark/>
          </w:tcPr>
          <w:p w14:paraId="46284A1B"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w:t>
            </w:r>
          </w:p>
        </w:tc>
      </w:tr>
      <w:tr w:rsidR="00625049" w:rsidRPr="004174AE" w14:paraId="28CC2C44" w14:textId="77777777" w:rsidTr="00625049">
        <w:trPr>
          <w:trHeight w:val="20"/>
        </w:trPr>
        <w:tc>
          <w:tcPr>
            <w:tcW w:w="4653" w:type="dxa"/>
            <w:tcBorders>
              <w:top w:val="single" w:sz="4" w:space="0" w:color="auto"/>
              <w:left w:val="double" w:sz="6" w:space="0" w:color="auto"/>
              <w:bottom w:val="single" w:sz="4" w:space="0" w:color="auto"/>
              <w:right w:val="double" w:sz="6" w:space="0" w:color="auto"/>
            </w:tcBorders>
            <w:shd w:val="clear" w:color="auto" w:fill="auto"/>
            <w:noWrap/>
            <w:vAlign w:val="center"/>
            <w:hideMark/>
          </w:tcPr>
          <w:p w14:paraId="7B51AB12" w14:textId="77777777" w:rsidR="00625049" w:rsidRPr="004174AE" w:rsidRDefault="00625049" w:rsidP="00625049">
            <w:pPr>
              <w:spacing w:after="0"/>
              <w:ind w:firstLine="0"/>
              <w:jc w:val="left"/>
              <w:rPr>
                <w:rFonts w:eastAsia="Times New Roman"/>
                <w:color w:val="000000"/>
                <w:sz w:val="20"/>
                <w:szCs w:val="20"/>
              </w:rPr>
            </w:pPr>
            <w:r w:rsidRPr="004174AE">
              <w:rPr>
                <w:rFonts w:eastAsia="Times New Roman"/>
                <w:color w:val="000000"/>
                <w:sz w:val="20"/>
                <w:szCs w:val="20"/>
              </w:rPr>
              <w:t xml:space="preserve">   35-44 years</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14:paraId="071CC622"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-0.114</w:t>
            </w:r>
          </w:p>
        </w:tc>
        <w:tc>
          <w:tcPr>
            <w:tcW w:w="910"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14:paraId="75E9ABBD"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-2.768</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14:paraId="206E6401"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-0.421</w:t>
            </w:r>
          </w:p>
        </w:tc>
        <w:tc>
          <w:tcPr>
            <w:tcW w:w="874"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14:paraId="45FF3508"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-7.171</w:t>
            </w:r>
          </w:p>
        </w:tc>
        <w:tc>
          <w:tcPr>
            <w:tcW w:w="819" w:type="dxa"/>
            <w:vMerge w:val="restart"/>
            <w:tcBorders>
              <w:top w:val="single" w:sz="4" w:space="0" w:color="auto"/>
              <w:left w:val="double" w:sz="6" w:space="0" w:color="auto"/>
              <w:bottom w:val="single" w:sz="8" w:space="0" w:color="000000"/>
              <w:right w:val="single" w:sz="4" w:space="0" w:color="auto"/>
            </w:tcBorders>
            <w:shd w:val="clear" w:color="auto" w:fill="auto"/>
            <w:noWrap/>
            <w:vAlign w:val="center"/>
            <w:hideMark/>
          </w:tcPr>
          <w:p w14:paraId="6AA2565C"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0.158</w:t>
            </w:r>
          </w:p>
        </w:tc>
        <w:tc>
          <w:tcPr>
            <w:tcW w:w="810" w:type="dxa"/>
            <w:vMerge w:val="restart"/>
            <w:tcBorders>
              <w:top w:val="single" w:sz="4" w:space="0" w:color="auto"/>
              <w:left w:val="single" w:sz="4" w:space="0" w:color="auto"/>
              <w:bottom w:val="single" w:sz="8" w:space="0" w:color="000000"/>
              <w:right w:val="double" w:sz="6" w:space="0" w:color="auto"/>
            </w:tcBorders>
            <w:shd w:val="clear" w:color="auto" w:fill="auto"/>
            <w:noWrap/>
            <w:vAlign w:val="center"/>
            <w:hideMark/>
          </w:tcPr>
          <w:p w14:paraId="70D7FB2F"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2.418</w:t>
            </w:r>
          </w:p>
        </w:tc>
      </w:tr>
      <w:tr w:rsidR="00625049" w:rsidRPr="004174AE" w14:paraId="7E1B4E66" w14:textId="77777777" w:rsidTr="00625049">
        <w:trPr>
          <w:trHeight w:val="20"/>
        </w:trPr>
        <w:tc>
          <w:tcPr>
            <w:tcW w:w="4653" w:type="dxa"/>
            <w:tcBorders>
              <w:top w:val="single" w:sz="4" w:space="0" w:color="auto"/>
              <w:left w:val="double" w:sz="6" w:space="0" w:color="auto"/>
              <w:bottom w:val="single" w:sz="4" w:space="0" w:color="auto"/>
              <w:right w:val="double" w:sz="6" w:space="0" w:color="auto"/>
            </w:tcBorders>
            <w:shd w:val="clear" w:color="auto" w:fill="auto"/>
            <w:noWrap/>
            <w:vAlign w:val="center"/>
            <w:hideMark/>
          </w:tcPr>
          <w:p w14:paraId="3BCAFFA6" w14:textId="77777777" w:rsidR="00625049" w:rsidRPr="004174AE" w:rsidRDefault="00625049" w:rsidP="00625049">
            <w:pPr>
              <w:spacing w:after="0"/>
              <w:ind w:firstLine="0"/>
              <w:jc w:val="left"/>
              <w:rPr>
                <w:rFonts w:eastAsia="Times New Roman"/>
                <w:color w:val="000000"/>
                <w:sz w:val="20"/>
                <w:szCs w:val="20"/>
              </w:rPr>
            </w:pPr>
            <w:r w:rsidRPr="004174AE">
              <w:rPr>
                <w:rFonts w:eastAsia="Times New Roman"/>
                <w:color w:val="000000"/>
                <w:sz w:val="20"/>
                <w:szCs w:val="20"/>
              </w:rPr>
              <w:t xml:space="preserve">   45-54 years</w:t>
            </w:r>
          </w:p>
        </w:tc>
        <w:tc>
          <w:tcPr>
            <w:tcW w:w="827" w:type="dxa"/>
            <w:vMerge w:val="restart"/>
            <w:tcBorders>
              <w:top w:val="single" w:sz="4" w:space="0" w:color="auto"/>
              <w:left w:val="double" w:sz="6" w:space="0" w:color="auto"/>
              <w:bottom w:val="double" w:sz="6" w:space="0" w:color="000000"/>
              <w:right w:val="single" w:sz="4" w:space="0" w:color="auto"/>
            </w:tcBorders>
            <w:shd w:val="clear" w:color="auto" w:fill="auto"/>
            <w:noWrap/>
            <w:vAlign w:val="center"/>
            <w:hideMark/>
          </w:tcPr>
          <w:p w14:paraId="75BE6010"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-0.286</w:t>
            </w:r>
          </w:p>
        </w:tc>
        <w:tc>
          <w:tcPr>
            <w:tcW w:w="910" w:type="dxa"/>
            <w:vMerge w:val="restart"/>
            <w:tcBorders>
              <w:top w:val="single" w:sz="4" w:space="0" w:color="auto"/>
              <w:left w:val="single" w:sz="4" w:space="0" w:color="auto"/>
              <w:bottom w:val="double" w:sz="6" w:space="0" w:color="000000"/>
              <w:right w:val="double" w:sz="6" w:space="0" w:color="auto"/>
            </w:tcBorders>
            <w:shd w:val="clear" w:color="auto" w:fill="auto"/>
            <w:noWrap/>
            <w:vAlign w:val="center"/>
            <w:hideMark/>
          </w:tcPr>
          <w:p w14:paraId="23784112"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-8.379</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14:paraId="576521BC"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-0.803</w:t>
            </w:r>
          </w:p>
        </w:tc>
        <w:tc>
          <w:tcPr>
            <w:tcW w:w="874"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14:paraId="5DCC0D1A"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-12.591</w:t>
            </w:r>
          </w:p>
        </w:tc>
        <w:tc>
          <w:tcPr>
            <w:tcW w:w="819" w:type="dxa"/>
            <w:vMerge/>
            <w:tcBorders>
              <w:top w:val="nil"/>
              <w:left w:val="double" w:sz="6" w:space="0" w:color="auto"/>
              <w:bottom w:val="single" w:sz="8" w:space="0" w:color="000000"/>
              <w:right w:val="single" w:sz="4" w:space="0" w:color="auto"/>
            </w:tcBorders>
            <w:vAlign w:val="center"/>
            <w:hideMark/>
          </w:tcPr>
          <w:p w14:paraId="781F762F" w14:textId="77777777" w:rsidR="00625049" w:rsidRPr="004174AE" w:rsidRDefault="00625049" w:rsidP="00625049">
            <w:pPr>
              <w:spacing w:after="0"/>
              <w:ind w:firstLine="0"/>
              <w:jc w:val="left"/>
              <w:rPr>
                <w:rFonts w:eastAsia="Times New Roman"/>
                <w:color w:val="000000"/>
                <w:sz w:val="20"/>
                <w:szCs w:val="20"/>
              </w:rPr>
            </w:pPr>
          </w:p>
        </w:tc>
        <w:tc>
          <w:tcPr>
            <w:tcW w:w="810" w:type="dxa"/>
            <w:vMerge/>
            <w:tcBorders>
              <w:top w:val="nil"/>
              <w:left w:val="single" w:sz="4" w:space="0" w:color="auto"/>
              <w:bottom w:val="single" w:sz="8" w:space="0" w:color="000000"/>
              <w:right w:val="double" w:sz="6" w:space="0" w:color="auto"/>
            </w:tcBorders>
            <w:vAlign w:val="center"/>
            <w:hideMark/>
          </w:tcPr>
          <w:p w14:paraId="6A05DDCF" w14:textId="77777777" w:rsidR="00625049" w:rsidRPr="004174AE" w:rsidRDefault="00625049" w:rsidP="00625049">
            <w:pPr>
              <w:spacing w:after="0"/>
              <w:ind w:firstLine="0"/>
              <w:jc w:val="left"/>
              <w:rPr>
                <w:rFonts w:eastAsia="Times New Roman"/>
                <w:color w:val="000000"/>
                <w:sz w:val="20"/>
                <w:szCs w:val="20"/>
              </w:rPr>
            </w:pPr>
          </w:p>
        </w:tc>
      </w:tr>
      <w:tr w:rsidR="00625049" w:rsidRPr="004174AE" w14:paraId="40BCBE6B" w14:textId="77777777" w:rsidTr="00625049">
        <w:trPr>
          <w:trHeight w:val="20"/>
        </w:trPr>
        <w:tc>
          <w:tcPr>
            <w:tcW w:w="4653" w:type="dxa"/>
            <w:tcBorders>
              <w:top w:val="single" w:sz="4" w:space="0" w:color="auto"/>
              <w:left w:val="double" w:sz="6" w:space="0" w:color="auto"/>
              <w:bottom w:val="single" w:sz="4" w:space="0" w:color="auto"/>
              <w:right w:val="double" w:sz="6" w:space="0" w:color="auto"/>
            </w:tcBorders>
            <w:shd w:val="clear" w:color="auto" w:fill="auto"/>
            <w:noWrap/>
            <w:vAlign w:val="center"/>
            <w:hideMark/>
          </w:tcPr>
          <w:p w14:paraId="789B9716" w14:textId="77777777" w:rsidR="00625049" w:rsidRPr="004174AE" w:rsidRDefault="00625049" w:rsidP="00625049">
            <w:pPr>
              <w:spacing w:after="0"/>
              <w:ind w:firstLine="0"/>
              <w:jc w:val="left"/>
              <w:rPr>
                <w:rFonts w:eastAsia="Times New Roman"/>
                <w:color w:val="000000"/>
                <w:sz w:val="20"/>
                <w:szCs w:val="20"/>
              </w:rPr>
            </w:pPr>
            <w:r w:rsidRPr="004174AE">
              <w:rPr>
                <w:rFonts w:eastAsia="Times New Roman"/>
                <w:color w:val="000000"/>
                <w:sz w:val="20"/>
                <w:szCs w:val="20"/>
              </w:rPr>
              <w:t xml:space="preserve">   55-64 years</w:t>
            </w:r>
          </w:p>
        </w:tc>
        <w:tc>
          <w:tcPr>
            <w:tcW w:w="827" w:type="dxa"/>
            <w:vMerge/>
            <w:tcBorders>
              <w:top w:val="single" w:sz="8" w:space="0" w:color="auto"/>
              <w:left w:val="double" w:sz="6" w:space="0" w:color="auto"/>
              <w:bottom w:val="double" w:sz="6" w:space="0" w:color="000000"/>
              <w:right w:val="single" w:sz="4" w:space="0" w:color="auto"/>
            </w:tcBorders>
            <w:vAlign w:val="center"/>
            <w:hideMark/>
          </w:tcPr>
          <w:p w14:paraId="040026E6" w14:textId="77777777" w:rsidR="00625049" w:rsidRPr="004174AE" w:rsidRDefault="00625049" w:rsidP="00625049">
            <w:pPr>
              <w:spacing w:after="0"/>
              <w:ind w:firstLine="0"/>
              <w:jc w:val="left"/>
              <w:rPr>
                <w:rFonts w:eastAsia="Times New Roman"/>
                <w:color w:val="000000"/>
                <w:sz w:val="20"/>
                <w:szCs w:val="20"/>
              </w:rPr>
            </w:pPr>
          </w:p>
        </w:tc>
        <w:tc>
          <w:tcPr>
            <w:tcW w:w="910" w:type="dxa"/>
            <w:vMerge/>
            <w:tcBorders>
              <w:top w:val="single" w:sz="8" w:space="0" w:color="auto"/>
              <w:left w:val="single" w:sz="4" w:space="0" w:color="auto"/>
              <w:bottom w:val="double" w:sz="6" w:space="0" w:color="000000"/>
              <w:right w:val="double" w:sz="6" w:space="0" w:color="auto"/>
            </w:tcBorders>
            <w:vAlign w:val="center"/>
            <w:hideMark/>
          </w:tcPr>
          <w:p w14:paraId="14E0FB6E" w14:textId="77777777" w:rsidR="00625049" w:rsidRPr="004174AE" w:rsidRDefault="00625049" w:rsidP="00625049">
            <w:pPr>
              <w:spacing w:after="0"/>
              <w:ind w:firstLine="0"/>
              <w:jc w:val="left"/>
              <w:rPr>
                <w:rFonts w:eastAsia="Times New Roman"/>
                <w:color w:val="000000"/>
                <w:sz w:val="20"/>
                <w:szCs w:val="20"/>
              </w:rPr>
            </w:pP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14:paraId="161A7571"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-1.073</w:t>
            </w:r>
          </w:p>
        </w:tc>
        <w:tc>
          <w:tcPr>
            <w:tcW w:w="874"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14:paraId="101838A9"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-15.505</w:t>
            </w:r>
          </w:p>
        </w:tc>
        <w:tc>
          <w:tcPr>
            <w:tcW w:w="819" w:type="dxa"/>
            <w:vMerge/>
            <w:tcBorders>
              <w:top w:val="nil"/>
              <w:left w:val="double" w:sz="6" w:space="0" w:color="auto"/>
              <w:bottom w:val="single" w:sz="4" w:space="0" w:color="auto"/>
              <w:right w:val="single" w:sz="4" w:space="0" w:color="auto"/>
            </w:tcBorders>
            <w:vAlign w:val="center"/>
            <w:hideMark/>
          </w:tcPr>
          <w:p w14:paraId="0C425F40" w14:textId="77777777" w:rsidR="00625049" w:rsidRPr="004174AE" w:rsidRDefault="00625049" w:rsidP="00625049">
            <w:pPr>
              <w:spacing w:after="0"/>
              <w:ind w:firstLine="0"/>
              <w:jc w:val="left"/>
              <w:rPr>
                <w:rFonts w:eastAsia="Times New Roman"/>
                <w:color w:val="000000"/>
                <w:sz w:val="20"/>
                <w:szCs w:val="20"/>
              </w:rPr>
            </w:pPr>
          </w:p>
        </w:tc>
        <w:tc>
          <w:tcPr>
            <w:tcW w:w="810" w:type="dxa"/>
            <w:vMerge/>
            <w:tcBorders>
              <w:top w:val="nil"/>
              <w:left w:val="single" w:sz="4" w:space="0" w:color="auto"/>
              <w:bottom w:val="single" w:sz="4" w:space="0" w:color="auto"/>
              <w:right w:val="double" w:sz="6" w:space="0" w:color="auto"/>
            </w:tcBorders>
            <w:vAlign w:val="center"/>
            <w:hideMark/>
          </w:tcPr>
          <w:p w14:paraId="694CC209" w14:textId="77777777" w:rsidR="00625049" w:rsidRPr="004174AE" w:rsidRDefault="00625049" w:rsidP="00625049">
            <w:pPr>
              <w:spacing w:after="0"/>
              <w:ind w:firstLine="0"/>
              <w:jc w:val="left"/>
              <w:rPr>
                <w:rFonts w:eastAsia="Times New Roman"/>
                <w:color w:val="000000"/>
                <w:sz w:val="20"/>
                <w:szCs w:val="20"/>
              </w:rPr>
            </w:pPr>
          </w:p>
        </w:tc>
      </w:tr>
      <w:tr w:rsidR="00625049" w:rsidRPr="004174AE" w14:paraId="6BF0FE7A" w14:textId="77777777" w:rsidTr="00625049">
        <w:trPr>
          <w:trHeight w:val="20"/>
        </w:trPr>
        <w:tc>
          <w:tcPr>
            <w:tcW w:w="4653" w:type="dxa"/>
            <w:tcBorders>
              <w:top w:val="single" w:sz="4" w:space="0" w:color="auto"/>
              <w:left w:val="double" w:sz="6" w:space="0" w:color="auto"/>
              <w:bottom w:val="double" w:sz="6" w:space="0" w:color="auto"/>
              <w:right w:val="double" w:sz="6" w:space="0" w:color="auto"/>
            </w:tcBorders>
            <w:shd w:val="clear" w:color="auto" w:fill="auto"/>
            <w:noWrap/>
            <w:vAlign w:val="center"/>
            <w:hideMark/>
          </w:tcPr>
          <w:p w14:paraId="23E1DEF9" w14:textId="77777777" w:rsidR="00625049" w:rsidRPr="004174AE" w:rsidRDefault="00625049" w:rsidP="00625049">
            <w:pPr>
              <w:spacing w:after="0"/>
              <w:ind w:firstLine="0"/>
              <w:jc w:val="left"/>
              <w:rPr>
                <w:rFonts w:eastAsia="Times New Roman"/>
                <w:color w:val="000000"/>
                <w:sz w:val="20"/>
                <w:szCs w:val="20"/>
              </w:rPr>
            </w:pPr>
            <w:r w:rsidRPr="004174AE">
              <w:rPr>
                <w:rFonts w:eastAsia="Times New Roman"/>
                <w:color w:val="000000"/>
                <w:sz w:val="20"/>
                <w:szCs w:val="20"/>
              </w:rPr>
              <w:t xml:space="preserve">   65 years or older</w:t>
            </w:r>
          </w:p>
        </w:tc>
        <w:tc>
          <w:tcPr>
            <w:tcW w:w="827" w:type="dxa"/>
            <w:vMerge/>
            <w:tcBorders>
              <w:top w:val="single" w:sz="8" w:space="0" w:color="auto"/>
              <w:left w:val="double" w:sz="6" w:space="0" w:color="auto"/>
              <w:bottom w:val="double" w:sz="6" w:space="0" w:color="000000"/>
              <w:right w:val="single" w:sz="4" w:space="0" w:color="auto"/>
            </w:tcBorders>
            <w:vAlign w:val="center"/>
            <w:hideMark/>
          </w:tcPr>
          <w:p w14:paraId="2B33B09A" w14:textId="77777777" w:rsidR="00625049" w:rsidRPr="004174AE" w:rsidRDefault="00625049" w:rsidP="00625049">
            <w:pPr>
              <w:spacing w:after="0"/>
              <w:ind w:firstLine="0"/>
              <w:jc w:val="left"/>
              <w:rPr>
                <w:rFonts w:eastAsia="Times New Roman"/>
                <w:color w:val="000000"/>
                <w:sz w:val="20"/>
                <w:szCs w:val="20"/>
              </w:rPr>
            </w:pPr>
          </w:p>
        </w:tc>
        <w:tc>
          <w:tcPr>
            <w:tcW w:w="910" w:type="dxa"/>
            <w:vMerge/>
            <w:tcBorders>
              <w:top w:val="single" w:sz="8" w:space="0" w:color="auto"/>
              <w:left w:val="single" w:sz="4" w:space="0" w:color="auto"/>
              <w:bottom w:val="double" w:sz="6" w:space="0" w:color="000000"/>
              <w:right w:val="double" w:sz="6" w:space="0" w:color="auto"/>
            </w:tcBorders>
            <w:vAlign w:val="center"/>
            <w:hideMark/>
          </w:tcPr>
          <w:p w14:paraId="790ADBFC" w14:textId="77777777" w:rsidR="00625049" w:rsidRPr="004174AE" w:rsidRDefault="00625049" w:rsidP="00625049">
            <w:pPr>
              <w:spacing w:after="0"/>
              <w:ind w:firstLine="0"/>
              <w:jc w:val="left"/>
              <w:rPr>
                <w:rFonts w:eastAsia="Times New Roman"/>
                <w:color w:val="000000"/>
                <w:sz w:val="20"/>
                <w:szCs w:val="20"/>
              </w:rPr>
            </w:pPr>
          </w:p>
        </w:tc>
        <w:tc>
          <w:tcPr>
            <w:tcW w:w="827" w:type="dxa"/>
            <w:tcBorders>
              <w:top w:val="single" w:sz="4" w:space="0" w:color="auto"/>
              <w:left w:val="nil"/>
              <w:bottom w:val="double" w:sz="6" w:space="0" w:color="auto"/>
              <w:right w:val="single" w:sz="4" w:space="0" w:color="auto"/>
            </w:tcBorders>
            <w:shd w:val="clear" w:color="auto" w:fill="auto"/>
            <w:noWrap/>
            <w:vAlign w:val="center"/>
            <w:hideMark/>
          </w:tcPr>
          <w:p w14:paraId="30A63CCC"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-1.375</w:t>
            </w:r>
          </w:p>
        </w:tc>
        <w:tc>
          <w:tcPr>
            <w:tcW w:w="874" w:type="dxa"/>
            <w:tcBorders>
              <w:top w:val="single" w:sz="4" w:space="0" w:color="auto"/>
              <w:left w:val="single" w:sz="4" w:space="0" w:color="auto"/>
              <w:bottom w:val="double" w:sz="6" w:space="0" w:color="auto"/>
              <w:right w:val="double" w:sz="6" w:space="0" w:color="auto"/>
            </w:tcBorders>
            <w:shd w:val="clear" w:color="auto" w:fill="auto"/>
            <w:noWrap/>
            <w:vAlign w:val="center"/>
            <w:hideMark/>
          </w:tcPr>
          <w:p w14:paraId="74772776"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-10.799</w:t>
            </w:r>
          </w:p>
        </w:tc>
        <w:tc>
          <w:tcPr>
            <w:tcW w:w="819" w:type="dxa"/>
            <w:tcBorders>
              <w:top w:val="single" w:sz="4" w:space="0" w:color="auto"/>
              <w:left w:val="nil"/>
              <w:bottom w:val="double" w:sz="6" w:space="0" w:color="auto"/>
              <w:right w:val="single" w:sz="4" w:space="0" w:color="auto"/>
            </w:tcBorders>
            <w:shd w:val="clear" w:color="auto" w:fill="auto"/>
            <w:noWrap/>
            <w:vAlign w:val="center"/>
            <w:hideMark/>
          </w:tcPr>
          <w:p w14:paraId="1A31D367"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0.525</w:t>
            </w:r>
          </w:p>
        </w:tc>
        <w:tc>
          <w:tcPr>
            <w:tcW w:w="810" w:type="dxa"/>
            <w:tcBorders>
              <w:top w:val="single" w:sz="4" w:space="0" w:color="auto"/>
              <w:left w:val="single" w:sz="4" w:space="0" w:color="auto"/>
              <w:bottom w:val="double" w:sz="6" w:space="0" w:color="auto"/>
              <w:right w:val="double" w:sz="6" w:space="0" w:color="auto"/>
            </w:tcBorders>
            <w:shd w:val="clear" w:color="auto" w:fill="auto"/>
            <w:noWrap/>
            <w:vAlign w:val="center"/>
            <w:hideMark/>
          </w:tcPr>
          <w:p w14:paraId="0487E1E0"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3.786</w:t>
            </w:r>
          </w:p>
        </w:tc>
      </w:tr>
      <w:tr w:rsidR="00625049" w:rsidRPr="004174AE" w14:paraId="67B739C7" w14:textId="77777777" w:rsidTr="00625049">
        <w:trPr>
          <w:trHeight w:val="20"/>
        </w:trPr>
        <w:tc>
          <w:tcPr>
            <w:tcW w:w="4653" w:type="dxa"/>
            <w:tcBorders>
              <w:top w:val="nil"/>
              <w:left w:val="double" w:sz="6" w:space="0" w:color="auto"/>
              <w:bottom w:val="single" w:sz="4" w:space="0" w:color="auto"/>
              <w:right w:val="double" w:sz="6" w:space="0" w:color="auto"/>
            </w:tcBorders>
            <w:shd w:val="clear" w:color="auto" w:fill="auto"/>
            <w:noWrap/>
            <w:vAlign w:val="center"/>
            <w:hideMark/>
          </w:tcPr>
          <w:p w14:paraId="175F7FB1" w14:textId="77777777" w:rsidR="00625049" w:rsidRPr="004174AE" w:rsidRDefault="00625049" w:rsidP="00625049">
            <w:pPr>
              <w:spacing w:after="0"/>
              <w:ind w:firstLine="0"/>
              <w:jc w:val="left"/>
              <w:rPr>
                <w:rFonts w:eastAsia="Times New Roman"/>
                <w:b/>
                <w:bCs/>
                <w:color w:val="000000"/>
                <w:sz w:val="20"/>
                <w:szCs w:val="20"/>
              </w:rPr>
            </w:pPr>
            <w:r w:rsidRPr="004174AE">
              <w:rPr>
                <w:rFonts w:eastAsia="Times New Roman"/>
                <w:b/>
                <w:bCs/>
                <w:color w:val="000000"/>
                <w:sz w:val="20"/>
                <w:szCs w:val="20"/>
              </w:rPr>
              <w:t>Has a smartphone</w:t>
            </w:r>
            <w:r w:rsidRPr="004174AE">
              <w:rPr>
                <w:rFonts w:eastAsia="Times New Roman"/>
                <w:color w:val="000000"/>
                <w:sz w:val="20"/>
                <w:szCs w:val="20"/>
              </w:rPr>
              <w:t xml:space="preserve"> (base: No)</w:t>
            </w:r>
          </w:p>
        </w:tc>
        <w:tc>
          <w:tcPr>
            <w:tcW w:w="827" w:type="dxa"/>
            <w:tcBorders>
              <w:top w:val="nil"/>
              <w:left w:val="nil"/>
              <w:bottom w:val="single" w:sz="4" w:space="0" w:color="auto"/>
              <w:right w:val="single" w:sz="4" w:space="0" w:color="auto"/>
            </w:tcBorders>
            <w:shd w:val="clear" w:color="auto" w:fill="auto"/>
            <w:noWrap/>
            <w:vAlign w:val="center"/>
            <w:hideMark/>
          </w:tcPr>
          <w:p w14:paraId="45B25608"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w:t>
            </w:r>
          </w:p>
        </w:tc>
        <w:tc>
          <w:tcPr>
            <w:tcW w:w="910" w:type="dxa"/>
            <w:tcBorders>
              <w:top w:val="nil"/>
              <w:left w:val="single" w:sz="4" w:space="0" w:color="auto"/>
              <w:bottom w:val="single" w:sz="4" w:space="0" w:color="auto"/>
              <w:right w:val="double" w:sz="6" w:space="0" w:color="auto"/>
            </w:tcBorders>
            <w:shd w:val="clear" w:color="auto" w:fill="auto"/>
            <w:noWrap/>
            <w:vAlign w:val="center"/>
            <w:hideMark/>
          </w:tcPr>
          <w:p w14:paraId="659B5B9A"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w:t>
            </w:r>
          </w:p>
        </w:tc>
        <w:tc>
          <w:tcPr>
            <w:tcW w:w="827" w:type="dxa"/>
            <w:tcBorders>
              <w:top w:val="nil"/>
              <w:left w:val="nil"/>
              <w:bottom w:val="single" w:sz="4" w:space="0" w:color="auto"/>
              <w:right w:val="single" w:sz="4" w:space="0" w:color="auto"/>
            </w:tcBorders>
            <w:shd w:val="clear" w:color="auto" w:fill="auto"/>
            <w:noWrap/>
            <w:vAlign w:val="center"/>
            <w:hideMark/>
          </w:tcPr>
          <w:p w14:paraId="141615F7"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w:t>
            </w:r>
          </w:p>
        </w:tc>
        <w:tc>
          <w:tcPr>
            <w:tcW w:w="874" w:type="dxa"/>
            <w:tcBorders>
              <w:top w:val="nil"/>
              <w:left w:val="single" w:sz="4" w:space="0" w:color="auto"/>
              <w:bottom w:val="single" w:sz="4" w:space="0" w:color="auto"/>
              <w:right w:val="double" w:sz="6" w:space="0" w:color="auto"/>
            </w:tcBorders>
            <w:shd w:val="clear" w:color="auto" w:fill="auto"/>
            <w:noWrap/>
            <w:vAlign w:val="center"/>
            <w:hideMark/>
          </w:tcPr>
          <w:p w14:paraId="2E55513D"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w:t>
            </w:r>
          </w:p>
        </w:tc>
        <w:tc>
          <w:tcPr>
            <w:tcW w:w="819" w:type="dxa"/>
            <w:tcBorders>
              <w:top w:val="nil"/>
              <w:left w:val="nil"/>
              <w:bottom w:val="single" w:sz="4" w:space="0" w:color="auto"/>
              <w:right w:val="single" w:sz="4" w:space="0" w:color="auto"/>
            </w:tcBorders>
            <w:shd w:val="clear" w:color="auto" w:fill="auto"/>
            <w:noWrap/>
            <w:vAlign w:val="center"/>
            <w:hideMark/>
          </w:tcPr>
          <w:p w14:paraId="1A1A66F5"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w:t>
            </w:r>
          </w:p>
        </w:tc>
        <w:tc>
          <w:tcPr>
            <w:tcW w:w="810" w:type="dxa"/>
            <w:tcBorders>
              <w:top w:val="nil"/>
              <w:left w:val="single" w:sz="4" w:space="0" w:color="auto"/>
              <w:bottom w:val="single" w:sz="4" w:space="0" w:color="auto"/>
              <w:right w:val="double" w:sz="6" w:space="0" w:color="auto"/>
            </w:tcBorders>
            <w:shd w:val="clear" w:color="auto" w:fill="auto"/>
            <w:noWrap/>
            <w:vAlign w:val="center"/>
            <w:hideMark/>
          </w:tcPr>
          <w:p w14:paraId="01EC77A9"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w:t>
            </w:r>
          </w:p>
        </w:tc>
      </w:tr>
      <w:tr w:rsidR="00625049" w:rsidRPr="004174AE" w14:paraId="0217D6ED" w14:textId="77777777" w:rsidTr="00625049">
        <w:trPr>
          <w:trHeight w:val="20"/>
        </w:trPr>
        <w:tc>
          <w:tcPr>
            <w:tcW w:w="4653" w:type="dxa"/>
            <w:tcBorders>
              <w:top w:val="single" w:sz="4" w:space="0" w:color="auto"/>
              <w:left w:val="double" w:sz="6" w:space="0" w:color="auto"/>
              <w:bottom w:val="double" w:sz="6" w:space="0" w:color="auto"/>
              <w:right w:val="double" w:sz="6" w:space="0" w:color="auto"/>
            </w:tcBorders>
            <w:shd w:val="clear" w:color="auto" w:fill="auto"/>
            <w:noWrap/>
            <w:vAlign w:val="center"/>
            <w:hideMark/>
          </w:tcPr>
          <w:p w14:paraId="7B3067A6" w14:textId="77777777" w:rsidR="00625049" w:rsidRPr="004174AE" w:rsidRDefault="00625049" w:rsidP="00625049">
            <w:pPr>
              <w:spacing w:after="0"/>
              <w:ind w:firstLine="0"/>
              <w:jc w:val="left"/>
              <w:rPr>
                <w:rFonts w:eastAsia="Times New Roman"/>
                <w:color w:val="000000"/>
                <w:sz w:val="20"/>
                <w:szCs w:val="20"/>
              </w:rPr>
            </w:pPr>
            <w:r w:rsidRPr="004174AE">
              <w:rPr>
                <w:rFonts w:eastAsia="Times New Roman"/>
                <w:color w:val="000000"/>
                <w:sz w:val="20"/>
                <w:szCs w:val="20"/>
              </w:rPr>
              <w:t xml:space="preserve">   Yes</w:t>
            </w:r>
          </w:p>
        </w:tc>
        <w:tc>
          <w:tcPr>
            <w:tcW w:w="827" w:type="dxa"/>
            <w:tcBorders>
              <w:top w:val="single" w:sz="4" w:space="0" w:color="auto"/>
              <w:left w:val="nil"/>
              <w:bottom w:val="double" w:sz="6" w:space="0" w:color="auto"/>
              <w:right w:val="single" w:sz="4" w:space="0" w:color="auto"/>
            </w:tcBorders>
            <w:shd w:val="clear" w:color="auto" w:fill="auto"/>
            <w:noWrap/>
            <w:vAlign w:val="center"/>
            <w:hideMark/>
          </w:tcPr>
          <w:p w14:paraId="0B0552C7"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0.693</w:t>
            </w:r>
          </w:p>
        </w:tc>
        <w:tc>
          <w:tcPr>
            <w:tcW w:w="910" w:type="dxa"/>
            <w:tcBorders>
              <w:top w:val="single" w:sz="4" w:space="0" w:color="auto"/>
              <w:left w:val="single" w:sz="4" w:space="0" w:color="auto"/>
              <w:bottom w:val="double" w:sz="6" w:space="0" w:color="auto"/>
              <w:right w:val="double" w:sz="6" w:space="0" w:color="auto"/>
            </w:tcBorders>
            <w:shd w:val="clear" w:color="auto" w:fill="auto"/>
            <w:noWrap/>
            <w:vAlign w:val="center"/>
            <w:hideMark/>
          </w:tcPr>
          <w:p w14:paraId="66455F5A"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17.068</w:t>
            </w:r>
          </w:p>
        </w:tc>
        <w:tc>
          <w:tcPr>
            <w:tcW w:w="827" w:type="dxa"/>
            <w:tcBorders>
              <w:top w:val="single" w:sz="4" w:space="0" w:color="auto"/>
              <w:left w:val="nil"/>
              <w:bottom w:val="double" w:sz="6" w:space="0" w:color="auto"/>
              <w:right w:val="single" w:sz="4" w:space="0" w:color="auto"/>
            </w:tcBorders>
            <w:shd w:val="clear" w:color="auto" w:fill="auto"/>
            <w:noWrap/>
            <w:vAlign w:val="center"/>
            <w:hideMark/>
          </w:tcPr>
          <w:p w14:paraId="0E67EF58"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1.039</w:t>
            </w:r>
          </w:p>
        </w:tc>
        <w:tc>
          <w:tcPr>
            <w:tcW w:w="874" w:type="dxa"/>
            <w:tcBorders>
              <w:top w:val="single" w:sz="4" w:space="0" w:color="auto"/>
              <w:left w:val="single" w:sz="4" w:space="0" w:color="auto"/>
              <w:bottom w:val="double" w:sz="6" w:space="0" w:color="auto"/>
              <w:right w:val="double" w:sz="6" w:space="0" w:color="auto"/>
            </w:tcBorders>
            <w:shd w:val="clear" w:color="auto" w:fill="auto"/>
            <w:noWrap/>
            <w:vAlign w:val="center"/>
            <w:hideMark/>
          </w:tcPr>
          <w:p w14:paraId="4455A8CF"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15.495</w:t>
            </w:r>
          </w:p>
        </w:tc>
        <w:tc>
          <w:tcPr>
            <w:tcW w:w="819" w:type="dxa"/>
            <w:tcBorders>
              <w:top w:val="single" w:sz="4" w:space="0" w:color="auto"/>
              <w:left w:val="nil"/>
              <w:bottom w:val="double" w:sz="6" w:space="0" w:color="auto"/>
              <w:right w:val="single" w:sz="4" w:space="0" w:color="auto"/>
            </w:tcBorders>
            <w:shd w:val="clear" w:color="auto" w:fill="auto"/>
            <w:noWrap/>
            <w:vAlign w:val="center"/>
            <w:hideMark/>
          </w:tcPr>
          <w:p w14:paraId="2539DCA0"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w:t>
            </w:r>
          </w:p>
        </w:tc>
        <w:tc>
          <w:tcPr>
            <w:tcW w:w="810" w:type="dxa"/>
            <w:tcBorders>
              <w:top w:val="single" w:sz="4" w:space="0" w:color="auto"/>
              <w:left w:val="single" w:sz="4" w:space="0" w:color="auto"/>
              <w:bottom w:val="double" w:sz="6" w:space="0" w:color="auto"/>
              <w:right w:val="double" w:sz="6" w:space="0" w:color="auto"/>
            </w:tcBorders>
            <w:shd w:val="clear" w:color="auto" w:fill="auto"/>
            <w:noWrap/>
            <w:vAlign w:val="center"/>
            <w:hideMark/>
          </w:tcPr>
          <w:p w14:paraId="37D1AE48"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w:t>
            </w:r>
          </w:p>
        </w:tc>
      </w:tr>
      <w:tr w:rsidR="00625049" w:rsidRPr="004174AE" w14:paraId="75627482" w14:textId="77777777" w:rsidTr="00625049">
        <w:trPr>
          <w:trHeight w:val="20"/>
        </w:trPr>
        <w:tc>
          <w:tcPr>
            <w:tcW w:w="4653" w:type="dxa"/>
            <w:tcBorders>
              <w:top w:val="nil"/>
              <w:left w:val="double" w:sz="6" w:space="0" w:color="auto"/>
              <w:bottom w:val="single" w:sz="4" w:space="0" w:color="auto"/>
              <w:right w:val="double" w:sz="6" w:space="0" w:color="auto"/>
            </w:tcBorders>
            <w:shd w:val="clear" w:color="auto" w:fill="auto"/>
            <w:noWrap/>
            <w:vAlign w:val="center"/>
            <w:hideMark/>
          </w:tcPr>
          <w:p w14:paraId="679D029C" w14:textId="77777777" w:rsidR="00625049" w:rsidRPr="004174AE" w:rsidRDefault="00625049" w:rsidP="00625049">
            <w:pPr>
              <w:spacing w:after="0"/>
              <w:ind w:firstLine="0"/>
              <w:jc w:val="left"/>
              <w:rPr>
                <w:rFonts w:eastAsia="Times New Roman"/>
                <w:b/>
                <w:bCs/>
                <w:color w:val="000000"/>
                <w:sz w:val="20"/>
                <w:szCs w:val="20"/>
              </w:rPr>
            </w:pPr>
            <w:r w:rsidRPr="004174AE">
              <w:rPr>
                <w:rFonts w:eastAsia="Times New Roman"/>
                <w:b/>
                <w:bCs/>
                <w:color w:val="000000"/>
                <w:sz w:val="20"/>
                <w:szCs w:val="20"/>
              </w:rPr>
              <w:t>Has valid driver's license</w:t>
            </w:r>
            <w:r w:rsidRPr="004174AE">
              <w:rPr>
                <w:rFonts w:eastAsia="Times New Roman"/>
                <w:color w:val="000000"/>
                <w:sz w:val="20"/>
                <w:szCs w:val="20"/>
              </w:rPr>
              <w:t xml:space="preserve"> (base: No)</w:t>
            </w:r>
          </w:p>
        </w:tc>
        <w:tc>
          <w:tcPr>
            <w:tcW w:w="827" w:type="dxa"/>
            <w:tcBorders>
              <w:top w:val="nil"/>
              <w:left w:val="nil"/>
              <w:bottom w:val="single" w:sz="4" w:space="0" w:color="auto"/>
              <w:right w:val="single" w:sz="4" w:space="0" w:color="auto"/>
            </w:tcBorders>
            <w:shd w:val="clear" w:color="auto" w:fill="auto"/>
            <w:noWrap/>
            <w:vAlign w:val="center"/>
            <w:hideMark/>
          </w:tcPr>
          <w:p w14:paraId="0D7A0394"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w:t>
            </w:r>
          </w:p>
        </w:tc>
        <w:tc>
          <w:tcPr>
            <w:tcW w:w="910" w:type="dxa"/>
            <w:tcBorders>
              <w:top w:val="nil"/>
              <w:left w:val="single" w:sz="4" w:space="0" w:color="auto"/>
              <w:bottom w:val="single" w:sz="4" w:space="0" w:color="auto"/>
              <w:right w:val="double" w:sz="6" w:space="0" w:color="auto"/>
            </w:tcBorders>
            <w:shd w:val="clear" w:color="auto" w:fill="auto"/>
            <w:noWrap/>
            <w:vAlign w:val="center"/>
            <w:hideMark/>
          </w:tcPr>
          <w:p w14:paraId="1CE7F446"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w:t>
            </w:r>
          </w:p>
        </w:tc>
        <w:tc>
          <w:tcPr>
            <w:tcW w:w="827" w:type="dxa"/>
            <w:tcBorders>
              <w:top w:val="nil"/>
              <w:left w:val="nil"/>
              <w:bottom w:val="single" w:sz="4" w:space="0" w:color="auto"/>
              <w:right w:val="single" w:sz="4" w:space="0" w:color="auto"/>
            </w:tcBorders>
            <w:shd w:val="clear" w:color="auto" w:fill="auto"/>
            <w:noWrap/>
            <w:vAlign w:val="center"/>
            <w:hideMark/>
          </w:tcPr>
          <w:p w14:paraId="0992DB0E"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w:t>
            </w:r>
          </w:p>
        </w:tc>
        <w:tc>
          <w:tcPr>
            <w:tcW w:w="874" w:type="dxa"/>
            <w:tcBorders>
              <w:top w:val="nil"/>
              <w:left w:val="single" w:sz="4" w:space="0" w:color="auto"/>
              <w:bottom w:val="single" w:sz="4" w:space="0" w:color="auto"/>
              <w:right w:val="double" w:sz="6" w:space="0" w:color="auto"/>
            </w:tcBorders>
            <w:shd w:val="clear" w:color="auto" w:fill="auto"/>
            <w:noWrap/>
            <w:vAlign w:val="center"/>
            <w:hideMark/>
          </w:tcPr>
          <w:p w14:paraId="61EA4F59"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w:t>
            </w:r>
          </w:p>
        </w:tc>
        <w:tc>
          <w:tcPr>
            <w:tcW w:w="819" w:type="dxa"/>
            <w:tcBorders>
              <w:top w:val="nil"/>
              <w:left w:val="nil"/>
              <w:bottom w:val="single" w:sz="4" w:space="0" w:color="auto"/>
              <w:right w:val="single" w:sz="4" w:space="0" w:color="auto"/>
            </w:tcBorders>
            <w:shd w:val="clear" w:color="auto" w:fill="auto"/>
            <w:noWrap/>
            <w:vAlign w:val="center"/>
            <w:hideMark/>
          </w:tcPr>
          <w:p w14:paraId="74F2EA10"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w:t>
            </w:r>
          </w:p>
        </w:tc>
        <w:tc>
          <w:tcPr>
            <w:tcW w:w="810" w:type="dxa"/>
            <w:tcBorders>
              <w:top w:val="nil"/>
              <w:left w:val="single" w:sz="4" w:space="0" w:color="auto"/>
              <w:bottom w:val="single" w:sz="4" w:space="0" w:color="auto"/>
              <w:right w:val="double" w:sz="6" w:space="0" w:color="auto"/>
            </w:tcBorders>
            <w:shd w:val="clear" w:color="auto" w:fill="auto"/>
            <w:noWrap/>
            <w:vAlign w:val="center"/>
            <w:hideMark/>
          </w:tcPr>
          <w:p w14:paraId="260A54C3"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w:t>
            </w:r>
          </w:p>
        </w:tc>
      </w:tr>
      <w:tr w:rsidR="00625049" w:rsidRPr="004174AE" w14:paraId="755C8480" w14:textId="77777777" w:rsidTr="00625049">
        <w:trPr>
          <w:trHeight w:val="20"/>
        </w:trPr>
        <w:tc>
          <w:tcPr>
            <w:tcW w:w="4653" w:type="dxa"/>
            <w:tcBorders>
              <w:top w:val="single" w:sz="4" w:space="0" w:color="auto"/>
              <w:left w:val="double" w:sz="6" w:space="0" w:color="auto"/>
              <w:bottom w:val="double" w:sz="6" w:space="0" w:color="auto"/>
              <w:right w:val="double" w:sz="6" w:space="0" w:color="auto"/>
            </w:tcBorders>
            <w:shd w:val="clear" w:color="auto" w:fill="auto"/>
            <w:noWrap/>
            <w:vAlign w:val="center"/>
            <w:hideMark/>
          </w:tcPr>
          <w:p w14:paraId="5D1C9DDB" w14:textId="77777777" w:rsidR="00625049" w:rsidRPr="004174AE" w:rsidRDefault="00625049" w:rsidP="00625049">
            <w:pPr>
              <w:spacing w:after="0"/>
              <w:ind w:firstLine="0"/>
              <w:jc w:val="left"/>
              <w:rPr>
                <w:rFonts w:eastAsia="Times New Roman"/>
                <w:color w:val="000000"/>
                <w:sz w:val="20"/>
                <w:szCs w:val="20"/>
              </w:rPr>
            </w:pPr>
            <w:r w:rsidRPr="004174AE">
              <w:rPr>
                <w:rFonts w:eastAsia="Times New Roman"/>
                <w:color w:val="000000"/>
                <w:sz w:val="20"/>
                <w:szCs w:val="20"/>
              </w:rPr>
              <w:t xml:space="preserve">   Yes</w:t>
            </w:r>
          </w:p>
        </w:tc>
        <w:tc>
          <w:tcPr>
            <w:tcW w:w="827" w:type="dxa"/>
            <w:tcBorders>
              <w:top w:val="single" w:sz="4" w:space="0" w:color="auto"/>
              <w:left w:val="nil"/>
              <w:bottom w:val="double" w:sz="6" w:space="0" w:color="auto"/>
              <w:right w:val="single" w:sz="4" w:space="0" w:color="auto"/>
            </w:tcBorders>
            <w:shd w:val="clear" w:color="auto" w:fill="auto"/>
            <w:noWrap/>
            <w:vAlign w:val="center"/>
            <w:hideMark/>
          </w:tcPr>
          <w:p w14:paraId="2DE0B380"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w:t>
            </w:r>
          </w:p>
        </w:tc>
        <w:tc>
          <w:tcPr>
            <w:tcW w:w="910" w:type="dxa"/>
            <w:tcBorders>
              <w:top w:val="single" w:sz="4" w:space="0" w:color="auto"/>
              <w:left w:val="single" w:sz="4" w:space="0" w:color="auto"/>
              <w:bottom w:val="double" w:sz="6" w:space="0" w:color="auto"/>
              <w:right w:val="double" w:sz="6" w:space="0" w:color="auto"/>
            </w:tcBorders>
            <w:shd w:val="clear" w:color="auto" w:fill="auto"/>
            <w:noWrap/>
            <w:vAlign w:val="center"/>
            <w:hideMark/>
          </w:tcPr>
          <w:p w14:paraId="20530048"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w:t>
            </w:r>
          </w:p>
        </w:tc>
        <w:tc>
          <w:tcPr>
            <w:tcW w:w="827" w:type="dxa"/>
            <w:tcBorders>
              <w:top w:val="single" w:sz="4" w:space="0" w:color="auto"/>
              <w:left w:val="nil"/>
              <w:bottom w:val="double" w:sz="6" w:space="0" w:color="auto"/>
              <w:right w:val="single" w:sz="4" w:space="0" w:color="auto"/>
            </w:tcBorders>
            <w:shd w:val="clear" w:color="auto" w:fill="auto"/>
            <w:noWrap/>
            <w:vAlign w:val="center"/>
            <w:hideMark/>
          </w:tcPr>
          <w:p w14:paraId="2B3E8846"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0.104</w:t>
            </w:r>
          </w:p>
        </w:tc>
        <w:tc>
          <w:tcPr>
            <w:tcW w:w="874" w:type="dxa"/>
            <w:tcBorders>
              <w:top w:val="single" w:sz="4" w:space="0" w:color="auto"/>
              <w:left w:val="single" w:sz="4" w:space="0" w:color="auto"/>
              <w:bottom w:val="double" w:sz="6" w:space="0" w:color="auto"/>
              <w:right w:val="double" w:sz="6" w:space="0" w:color="auto"/>
            </w:tcBorders>
            <w:shd w:val="clear" w:color="auto" w:fill="auto"/>
            <w:noWrap/>
            <w:vAlign w:val="center"/>
            <w:hideMark/>
          </w:tcPr>
          <w:p w14:paraId="18FEAF29"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1.809</w:t>
            </w:r>
          </w:p>
        </w:tc>
        <w:tc>
          <w:tcPr>
            <w:tcW w:w="819" w:type="dxa"/>
            <w:tcBorders>
              <w:top w:val="single" w:sz="4" w:space="0" w:color="auto"/>
              <w:left w:val="nil"/>
              <w:bottom w:val="double" w:sz="6" w:space="0" w:color="auto"/>
              <w:right w:val="single" w:sz="4" w:space="0" w:color="auto"/>
            </w:tcBorders>
            <w:shd w:val="clear" w:color="auto" w:fill="auto"/>
            <w:noWrap/>
            <w:vAlign w:val="center"/>
            <w:hideMark/>
          </w:tcPr>
          <w:p w14:paraId="7D92878A"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w:t>
            </w:r>
          </w:p>
        </w:tc>
        <w:tc>
          <w:tcPr>
            <w:tcW w:w="810" w:type="dxa"/>
            <w:tcBorders>
              <w:top w:val="single" w:sz="4" w:space="0" w:color="auto"/>
              <w:left w:val="single" w:sz="4" w:space="0" w:color="auto"/>
              <w:bottom w:val="double" w:sz="6" w:space="0" w:color="auto"/>
              <w:right w:val="double" w:sz="6" w:space="0" w:color="auto"/>
            </w:tcBorders>
            <w:shd w:val="clear" w:color="auto" w:fill="auto"/>
            <w:noWrap/>
            <w:vAlign w:val="center"/>
            <w:hideMark/>
          </w:tcPr>
          <w:p w14:paraId="7966BC8E"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w:t>
            </w:r>
          </w:p>
        </w:tc>
      </w:tr>
      <w:tr w:rsidR="00625049" w:rsidRPr="004174AE" w14:paraId="55B3B7B0" w14:textId="77777777" w:rsidTr="00625049">
        <w:trPr>
          <w:trHeight w:val="20"/>
        </w:trPr>
        <w:tc>
          <w:tcPr>
            <w:tcW w:w="4653" w:type="dxa"/>
            <w:tcBorders>
              <w:top w:val="nil"/>
              <w:left w:val="double" w:sz="6" w:space="0" w:color="auto"/>
              <w:bottom w:val="single" w:sz="4" w:space="0" w:color="auto"/>
              <w:right w:val="double" w:sz="6" w:space="0" w:color="auto"/>
            </w:tcBorders>
            <w:shd w:val="clear" w:color="auto" w:fill="auto"/>
            <w:noWrap/>
            <w:vAlign w:val="center"/>
            <w:hideMark/>
          </w:tcPr>
          <w:p w14:paraId="79541882" w14:textId="77777777" w:rsidR="00625049" w:rsidRPr="004174AE" w:rsidRDefault="00625049" w:rsidP="00625049">
            <w:pPr>
              <w:spacing w:after="0"/>
              <w:ind w:firstLine="0"/>
              <w:jc w:val="left"/>
              <w:rPr>
                <w:rFonts w:eastAsia="Times New Roman"/>
                <w:b/>
                <w:bCs/>
                <w:color w:val="000000"/>
                <w:sz w:val="20"/>
                <w:szCs w:val="20"/>
              </w:rPr>
            </w:pPr>
            <w:r w:rsidRPr="00027260">
              <w:rPr>
                <w:rFonts w:eastAsia="Times New Roman"/>
                <w:b/>
                <w:bCs/>
                <w:color w:val="000000"/>
                <w:sz w:val="20"/>
                <w:szCs w:val="20"/>
              </w:rPr>
              <w:t>Household vehicle ownership</w:t>
            </w:r>
            <w:r w:rsidRPr="004174AE">
              <w:rPr>
                <w:rFonts w:eastAsia="Times New Roman"/>
                <w:color w:val="000000"/>
                <w:sz w:val="20"/>
                <w:szCs w:val="20"/>
              </w:rPr>
              <w:t xml:space="preserve"> (base: No vehicles)</w:t>
            </w:r>
          </w:p>
        </w:tc>
        <w:tc>
          <w:tcPr>
            <w:tcW w:w="827" w:type="dxa"/>
            <w:tcBorders>
              <w:top w:val="nil"/>
              <w:left w:val="nil"/>
              <w:bottom w:val="single" w:sz="4" w:space="0" w:color="auto"/>
              <w:right w:val="single" w:sz="4" w:space="0" w:color="auto"/>
            </w:tcBorders>
            <w:shd w:val="clear" w:color="auto" w:fill="auto"/>
            <w:noWrap/>
            <w:vAlign w:val="center"/>
            <w:hideMark/>
          </w:tcPr>
          <w:p w14:paraId="2A3D36BA"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w:t>
            </w:r>
          </w:p>
        </w:tc>
        <w:tc>
          <w:tcPr>
            <w:tcW w:w="910" w:type="dxa"/>
            <w:tcBorders>
              <w:top w:val="nil"/>
              <w:left w:val="single" w:sz="4" w:space="0" w:color="auto"/>
              <w:bottom w:val="single" w:sz="4" w:space="0" w:color="auto"/>
              <w:right w:val="double" w:sz="6" w:space="0" w:color="auto"/>
            </w:tcBorders>
            <w:shd w:val="clear" w:color="auto" w:fill="auto"/>
            <w:noWrap/>
            <w:vAlign w:val="center"/>
            <w:hideMark/>
          </w:tcPr>
          <w:p w14:paraId="09694F05"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w:t>
            </w:r>
          </w:p>
        </w:tc>
        <w:tc>
          <w:tcPr>
            <w:tcW w:w="827" w:type="dxa"/>
            <w:tcBorders>
              <w:top w:val="nil"/>
              <w:left w:val="nil"/>
              <w:bottom w:val="single" w:sz="4" w:space="0" w:color="auto"/>
              <w:right w:val="single" w:sz="4" w:space="0" w:color="auto"/>
            </w:tcBorders>
            <w:shd w:val="clear" w:color="auto" w:fill="auto"/>
            <w:noWrap/>
            <w:vAlign w:val="center"/>
            <w:hideMark/>
          </w:tcPr>
          <w:p w14:paraId="2809374D"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w:t>
            </w:r>
          </w:p>
        </w:tc>
        <w:tc>
          <w:tcPr>
            <w:tcW w:w="874" w:type="dxa"/>
            <w:tcBorders>
              <w:top w:val="nil"/>
              <w:left w:val="single" w:sz="4" w:space="0" w:color="auto"/>
              <w:bottom w:val="single" w:sz="4" w:space="0" w:color="auto"/>
              <w:right w:val="double" w:sz="6" w:space="0" w:color="auto"/>
            </w:tcBorders>
            <w:shd w:val="clear" w:color="auto" w:fill="auto"/>
            <w:noWrap/>
            <w:vAlign w:val="center"/>
            <w:hideMark/>
          </w:tcPr>
          <w:p w14:paraId="049B5F91"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w:t>
            </w:r>
          </w:p>
        </w:tc>
        <w:tc>
          <w:tcPr>
            <w:tcW w:w="819" w:type="dxa"/>
            <w:tcBorders>
              <w:top w:val="nil"/>
              <w:left w:val="nil"/>
              <w:bottom w:val="single" w:sz="4" w:space="0" w:color="auto"/>
              <w:right w:val="single" w:sz="4" w:space="0" w:color="auto"/>
            </w:tcBorders>
            <w:shd w:val="clear" w:color="auto" w:fill="auto"/>
            <w:noWrap/>
            <w:vAlign w:val="center"/>
            <w:hideMark/>
          </w:tcPr>
          <w:p w14:paraId="57ADE1F1"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w:t>
            </w:r>
          </w:p>
        </w:tc>
        <w:tc>
          <w:tcPr>
            <w:tcW w:w="810" w:type="dxa"/>
            <w:tcBorders>
              <w:top w:val="nil"/>
              <w:left w:val="single" w:sz="4" w:space="0" w:color="auto"/>
              <w:bottom w:val="single" w:sz="4" w:space="0" w:color="auto"/>
              <w:right w:val="double" w:sz="6" w:space="0" w:color="auto"/>
            </w:tcBorders>
            <w:shd w:val="clear" w:color="auto" w:fill="auto"/>
            <w:noWrap/>
            <w:vAlign w:val="center"/>
            <w:hideMark/>
          </w:tcPr>
          <w:p w14:paraId="44C1B118"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w:t>
            </w:r>
          </w:p>
        </w:tc>
      </w:tr>
      <w:tr w:rsidR="00625049" w:rsidRPr="004174AE" w14:paraId="6953A495" w14:textId="77777777" w:rsidTr="00625049">
        <w:trPr>
          <w:trHeight w:val="20"/>
        </w:trPr>
        <w:tc>
          <w:tcPr>
            <w:tcW w:w="4653" w:type="dxa"/>
            <w:tcBorders>
              <w:top w:val="single" w:sz="4" w:space="0" w:color="auto"/>
              <w:left w:val="double" w:sz="6" w:space="0" w:color="auto"/>
              <w:bottom w:val="single" w:sz="4" w:space="0" w:color="auto"/>
              <w:right w:val="double" w:sz="6" w:space="0" w:color="auto"/>
            </w:tcBorders>
            <w:shd w:val="clear" w:color="auto" w:fill="auto"/>
            <w:noWrap/>
            <w:vAlign w:val="center"/>
            <w:hideMark/>
          </w:tcPr>
          <w:p w14:paraId="6A9AD033" w14:textId="77777777" w:rsidR="00625049" w:rsidRPr="004174AE" w:rsidRDefault="00625049" w:rsidP="00625049">
            <w:pPr>
              <w:spacing w:after="0"/>
              <w:ind w:firstLine="0"/>
              <w:jc w:val="left"/>
              <w:rPr>
                <w:rFonts w:eastAsia="Times New Roman"/>
                <w:color w:val="000000"/>
                <w:sz w:val="20"/>
                <w:szCs w:val="20"/>
              </w:rPr>
            </w:pPr>
            <w:r w:rsidRPr="004174AE">
              <w:rPr>
                <w:rFonts w:eastAsia="Times New Roman"/>
                <w:color w:val="000000"/>
                <w:sz w:val="20"/>
                <w:szCs w:val="20"/>
              </w:rPr>
              <w:t xml:space="preserve">   1 vehicle</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14:paraId="503218A2"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-0.174</w:t>
            </w:r>
          </w:p>
        </w:tc>
        <w:tc>
          <w:tcPr>
            <w:tcW w:w="910"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14:paraId="2CE7CC1B"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-3.551</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14:paraId="538DE5B3"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-0.463</w:t>
            </w:r>
          </w:p>
        </w:tc>
        <w:tc>
          <w:tcPr>
            <w:tcW w:w="874"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14:paraId="05B1DF38"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-9.896</w:t>
            </w:r>
          </w:p>
        </w:tc>
        <w:tc>
          <w:tcPr>
            <w:tcW w:w="819" w:type="dxa"/>
            <w:tcBorders>
              <w:top w:val="single" w:sz="4" w:space="0" w:color="auto"/>
              <w:left w:val="nil"/>
              <w:bottom w:val="single" w:sz="4" w:space="0" w:color="auto"/>
              <w:right w:val="single" w:sz="4" w:space="0" w:color="auto"/>
            </w:tcBorders>
            <w:shd w:val="clear" w:color="auto" w:fill="auto"/>
            <w:noWrap/>
            <w:vAlign w:val="center"/>
            <w:hideMark/>
          </w:tcPr>
          <w:p w14:paraId="13CD1CFF"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w:t>
            </w:r>
          </w:p>
        </w:tc>
        <w:tc>
          <w:tcPr>
            <w:tcW w:w="810"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14:paraId="3EDE1836"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w:t>
            </w:r>
          </w:p>
        </w:tc>
      </w:tr>
      <w:tr w:rsidR="00625049" w:rsidRPr="004174AE" w14:paraId="1600200A" w14:textId="77777777" w:rsidTr="00625049">
        <w:trPr>
          <w:trHeight w:val="20"/>
        </w:trPr>
        <w:tc>
          <w:tcPr>
            <w:tcW w:w="4653" w:type="dxa"/>
            <w:tcBorders>
              <w:top w:val="single" w:sz="4" w:space="0" w:color="auto"/>
              <w:left w:val="double" w:sz="6" w:space="0" w:color="auto"/>
              <w:bottom w:val="double" w:sz="6" w:space="0" w:color="auto"/>
              <w:right w:val="double" w:sz="6" w:space="0" w:color="auto"/>
            </w:tcBorders>
            <w:shd w:val="clear" w:color="auto" w:fill="auto"/>
            <w:noWrap/>
            <w:vAlign w:val="center"/>
            <w:hideMark/>
          </w:tcPr>
          <w:p w14:paraId="48DDE795" w14:textId="77777777" w:rsidR="00625049" w:rsidRPr="004174AE" w:rsidRDefault="00625049" w:rsidP="00625049">
            <w:pPr>
              <w:spacing w:after="0"/>
              <w:ind w:firstLine="0"/>
              <w:jc w:val="left"/>
              <w:rPr>
                <w:rFonts w:eastAsia="Times New Roman"/>
                <w:color w:val="000000"/>
                <w:sz w:val="20"/>
                <w:szCs w:val="20"/>
              </w:rPr>
            </w:pPr>
            <w:r w:rsidRPr="004174AE">
              <w:rPr>
                <w:rFonts w:eastAsia="Times New Roman"/>
                <w:color w:val="000000"/>
                <w:sz w:val="20"/>
                <w:szCs w:val="20"/>
              </w:rPr>
              <w:t xml:space="preserve">   2 or more vehicles</w:t>
            </w:r>
          </w:p>
        </w:tc>
        <w:tc>
          <w:tcPr>
            <w:tcW w:w="827" w:type="dxa"/>
            <w:tcBorders>
              <w:top w:val="single" w:sz="4" w:space="0" w:color="auto"/>
              <w:left w:val="nil"/>
              <w:bottom w:val="double" w:sz="6" w:space="0" w:color="auto"/>
              <w:right w:val="single" w:sz="4" w:space="0" w:color="auto"/>
            </w:tcBorders>
            <w:shd w:val="clear" w:color="auto" w:fill="auto"/>
            <w:noWrap/>
            <w:vAlign w:val="center"/>
            <w:hideMark/>
          </w:tcPr>
          <w:p w14:paraId="040A17D9"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-0.521</w:t>
            </w:r>
          </w:p>
        </w:tc>
        <w:tc>
          <w:tcPr>
            <w:tcW w:w="910" w:type="dxa"/>
            <w:tcBorders>
              <w:top w:val="single" w:sz="4" w:space="0" w:color="auto"/>
              <w:left w:val="single" w:sz="4" w:space="0" w:color="auto"/>
              <w:bottom w:val="double" w:sz="6" w:space="0" w:color="auto"/>
              <w:right w:val="double" w:sz="6" w:space="0" w:color="auto"/>
            </w:tcBorders>
            <w:shd w:val="clear" w:color="auto" w:fill="auto"/>
            <w:noWrap/>
            <w:vAlign w:val="center"/>
            <w:hideMark/>
          </w:tcPr>
          <w:p w14:paraId="124195B5"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-10.312</w:t>
            </w:r>
          </w:p>
        </w:tc>
        <w:tc>
          <w:tcPr>
            <w:tcW w:w="827" w:type="dxa"/>
            <w:tcBorders>
              <w:top w:val="single" w:sz="4" w:space="0" w:color="auto"/>
              <w:left w:val="nil"/>
              <w:bottom w:val="double" w:sz="6" w:space="0" w:color="auto"/>
              <w:right w:val="single" w:sz="4" w:space="0" w:color="auto"/>
            </w:tcBorders>
            <w:shd w:val="clear" w:color="auto" w:fill="auto"/>
            <w:noWrap/>
            <w:vAlign w:val="center"/>
            <w:hideMark/>
          </w:tcPr>
          <w:p w14:paraId="79190B3B"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-0.981</w:t>
            </w:r>
          </w:p>
        </w:tc>
        <w:tc>
          <w:tcPr>
            <w:tcW w:w="874" w:type="dxa"/>
            <w:tcBorders>
              <w:top w:val="single" w:sz="4" w:space="0" w:color="auto"/>
              <w:left w:val="single" w:sz="4" w:space="0" w:color="auto"/>
              <w:bottom w:val="double" w:sz="6" w:space="0" w:color="auto"/>
              <w:right w:val="double" w:sz="6" w:space="0" w:color="auto"/>
            </w:tcBorders>
            <w:shd w:val="clear" w:color="auto" w:fill="auto"/>
            <w:noWrap/>
            <w:vAlign w:val="center"/>
            <w:hideMark/>
          </w:tcPr>
          <w:p w14:paraId="50D0C567"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-13.676</w:t>
            </w:r>
          </w:p>
        </w:tc>
        <w:tc>
          <w:tcPr>
            <w:tcW w:w="819" w:type="dxa"/>
            <w:tcBorders>
              <w:top w:val="single" w:sz="4" w:space="0" w:color="auto"/>
              <w:left w:val="nil"/>
              <w:bottom w:val="double" w:sz="6" w:space="0" w:color="auto"/>
              <w:right w:val="single" w:sz="4" w:space="0" w:color="auto"/>
            </w:tcBorders>
            <w:shd w:val="clear" w:color="auto" w:fill="auto"/>
            <w:noWrap/>
            <w:vAlign w:val="center"/>
            <w:hideMark/>
          </w:tcPr>
          <w:p w14:paraId="7431DAB4"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0.176</w:t>
            </w:r>
          </w:p>
        </w:tc>
        <w:tc>
          <w:tcPr>
            <w:tcW w:w="810" w:type="dxa"/>
            <w:tcBorders>
              <w:top w:val="single" w:sz="4" w:space="0" w:color="auto"/>
              <w:left w:val="single" w:sz="4" w:space="0" w:color="auto"/>
              <w:bottom w:val="double" w:sz="6" w:space="0" w:color="auto"/>
              <w:right w:val="double" w:sz="6" w:space="0" w:color="auto"/>
            </w:tcBorders>
            <w:shd w:val="clear" w:color="auto" w:fill="auto"/>
            <w:noWrap/>
            <w:vAlign w:val="center"/>
            <w:hideMark/>
          </w:tcPr>
          <w:p w14:paraId="37A026E0"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2.542</w:t>
            </w:r>
          </w:p>
        </w:tc>
      </w:tr>
      <w:tr w:rsidR="00625049" w:rsidRPr="004174AE" w14:paraId="07A68BF3" w14:textId="77777777" w:rsidTr="00625049">
        <w:trPr>
          <w:trHeight w:val="20"/>
        </w:trPr>
        <w:tc>
          <w:tcPr>
            <w:tcW w:w="4653" w:type="dxa"/>
            <w:tcBorders>
              <w:top w:val="nil"/>
              <w:left w:val="double" w:sz="6" w:space="0" w:color="auto"/>
              <w:bottom w:val="single" w:sz="4" w:space="0" w:color="auto"/>
              <w:right w:val="double" w:sz="6" w:space="0" w:color="auto"/>
            </w:tcBorders>
            <w:shd w:val="clear" w:color="auto" w:fill="auto"/>
            <w:noWrap/>
            <w:vAlign w:val="center"/>
            <w:hideMark/>
          </w:tcPr>
          <w:p w14:paraId="1DD9F01C" w14:textId="77777777" w:rsidR="00625049" w:rsidRPr="004174AE" w:rsidRDefault="00625049" w:rsidP="00625049">
            <w:pPr>
              <w:spacing w:after="0"/>
              <w:ind w:firstLine="0"/>
              <w:jc w:val="left"/>
              <w:rPr>
                <w:rFonts w:eastAsia="Times New Roman"/>
                <w:b/>
                <w:bCs/>
                <w:color w:val="000000"/>
                <w:sz w:val="20"/>
                <w:szCs w:val="20"/>
              </w:rPr>
            </w:pPr>
            <w:r w:rsidRPr="004174AE">
              <w:rPr>
                <w:rFonts w:eastAsia="Times New Roman"/>
                <w:b/>
                <w:bCs/>
                <w:color w:val="000000"/>
                <w:sz w:val="20"/>
                <w:szCs w:val="20"/>
              </w:rPr>
              <w:t>Household income</w:t>
            </w:r>
            <w:r w:rsidRPr="004174AE">
              <w:rPr>
                <w:rFonts w:eastAsia="Times New Roman"/>
                <w:color w:val="000000"/>
                <w:sz w:val="20"/>
                <w:szCs w:val="20"/>
              </w:rPr>
              <w:t xml:space="preserve"> (base: Under $50,000)</w:t>
            </w:r>
          </w:p>
        </w:tc>
        <w:tc>
          <w:tcPr>
            <w:tcW w:w="827" w:type="dxa"/>
            <w:tcBorders>
              <w:top w:val="nil"/>
              <w:left w:val="nil"/>
              <w:bottom w:val="single" w:sz="4" w:space="0" w:color="auto"/>
              <w:right w:val="single" w:sz="4" w:space="0" w:color="auto"/>
            </w:tcBorders>
            <w:shd w:val="clear" w:color="auto" w:fill="auto"/>
            <w:noWrap/>
            <w:vAlign w:val="center"/>
            <w:hideMark/>
          </w:tcPr>
          <w:p w14:paraId="4CDD18CB"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w:t>
            </w:r>
          </w:p>
        </w:tc>
        <w:tc>
          <w:tcPr>
            <w:tcW w:w="910" w:type="dxa"/>
            <w:tcBorders>
              <w:top w:val="nil"/>
              <w:left w:val="single" w:sz="4" w:space="0" w:color="auto"/>
              <w:bottom w:val="single" w:sz="4" w:space="0" w:color="auto"/>
              <w:right w:val="double" w:sz="6" w:space="0" w:color="auto"/>
            </w:tcBorders>
            <w:shd w:val="clear" w:color="auto" w:fill="auto"/>
            <w:noWrap/>
            <w:vAlign w:val="center"/>
            <w:hideMark/>
          </w:tcPr>
          <w:p w14:paraId="590D0D8B"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w:t>
            </w:r>
          </w:p>
        </w:tc>
        <w:tc>
          <w:tcPr>
            <w:tcW w:w="827" w:type="dxa"/>
            <w:tcBorders>
              <w:top w:val="nil"/>
              <w:left w:val="nil"/>
              <w:bottom w:val="single" w:sz="4" w:space="0" w:color="auto"/>
              <w:right w:val="single" w:sz="4" w:space="0" w:color="auto"/>
            </w:tcBorders>
            <w:shd w:val="clear" w:color="auto" w:fill="auto"/>
            <w:noWrap/>
            <w:vAlign w:val="center"/>
            <w:hideMark/>
          </w:tcPr>
          <w:p w14:paraId="64CD799E"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w:t>
            </w:r>
          </w:p>
        </w:tc>
        <w:tc>
          <w:tcPr>
            <w:tcW w:w="874" w:type="dxa"/>
            <w:tcBorders>
              <w:top w:val="nil"/>
              <w:left w:val="single" w:sz="4" w:space="0" w:color="auto"/>
              <w:bottom w:val="single" w:sz="4" w:space="0" w:color="auto"/>
              <w:right w:val="double" w:sz="6" w:space="0" w:color="auto"/>
            </w:tcBorders>
            <w:shd w:val="clear" w:color="auto" w:fill="auto"/>
            <w:noWrap/>
            <w:vAlign w:val="center"/>
            <w:hideMark/>
          </w:tcPr>
          <w:p w14:paraId="39BF805C"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w:t>
            </w:r>
          </w:p>
        </w:tc>
        <w:tc>
          <w:tcPr>
            <w:tcW w:w="819" w:type="dxa"/>
            <w:tcBorders>
              <w:top w:val="nil"/>
              <w:left w:val="nil"/>
              <w:bottom w:val="single" w:sz="4" w:space="0" w:color="auto"/>
              <w:right w:val="single" w:sz="4" w:space="0" w:color="auto"/>
            </w:tcBorders>
            <w:shd w:val="clear" w:color="auto" w:fill="auto"/>
            <w:noWrap/>
            <w:vAlign w:val="center"/>
            <w:hideMark/>
          </w:tcPr>
          <w:p w14:paraId="02AC1AB9"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w:t>
            </w:r>
          </w:p>
        </w:tc>
        <w:tc>
          <w:tcPr>
            <w:tcW w:w="810" w:type="dxa"/>
            <w:tcBorders>
              <w:top w:val="nil"/>
              <w:left w:val="single" w:sz="4" w:space="0" w:color="auto"/>
              <w:bottom w:val="single" w:sz="4" w:space="0" w:color="auto"/>
              <w:right w:val="double" w:sz="6" w:space="0" w:color="auto"/>
            </w:tcBorders>
            <w:shd w:val="clear" w:color="auto" w:fill="auto"/>
            <w:noWrap/>
            <w:vAlign w:val="center"/>
            <w:hideMark/>
          </w:tcPr>
          <w:p w14:paraId="1F89E1C2"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w:t>
            </w:r>
          </w:p>
        </w:tc>
      </w:tr>
      <w:tr w:rsidR="00625049" w:rsidRPr="004174AE" w14:paraId="450DEE61" w14:textId="77777777" w:rsidTr="00625049">
        <w:trPr>
          <w:trHeight w:val="20"/>
        </w:trPr>
        <w:tc>
          <w:tcPr>
            <w:tcW w:w="4653" w:type="dxa"/>
            <w:tcBorders>
              <w:top w:val="single" w:sz="4" w:space="0" w:color="auto"/>
              <w:left w:val="double" w:sz="6" w:space="0" w:color="auto"/>
              <w:bottom w:val="single" w:sz="4" w:space="0" w:color="auto"/>
              <w:right w:val="double" w:sz="6" w:space="0" w:color="auto"/>
            </w:tcBorders>
            <w:shd w:val="clear" w:color="auto" w:fill="auto"/>
            <w:noWrap/>
            <w:vAlign w:val="center"/>
            <w:hideMark/>
          </w:tcPr>
          <w:p w14:paraId="1B53A3CD" w14:textId="77777777" w:rsidR="00625049" w:rsidRPr="004174AE" w:rsidRDefault="00625049" w:rsidP="00625049">
            <w:pPr>
              <w:spacing w:after="0"/>
              <w:ind w:firstLine="0"/>
              <w:jc w:val="left"/>
              <w:rPr>
                <w:rFonts w:eastAsia="Times New Roman"/>
                <w:color w:val="000000"/>
                <w:sz w:val="20"/>
                <w:szCs w:val="20"/>
              </w:rPr>
            </w:pPr>
            <w:r w:rsidRPr="004174AE">
              <w:rPr>
                <w:rFonts w:eastAsia="Times New Roman"/>
                <w:color w:val="000000"/>
                <w:sz w:val="20"/>
                <w:szCs w:val="20"/>
              </w:rPr>
              <w:t xml:space="preserve">   $50,000-$99,999</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14:paraId="72BF9DA0"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0.105</w:t>
            </w:r>
          </w:p>
        </w:tc>
        <w:tc>
          <w:tcPr>
            <w:tcW w:w="910"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14:paraId="3C0EFF22"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2.614</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14:paraId="265E8682"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0.273</w:t>
            </w:r>
          </w:p>
        </w:tc>
        <w:tc>
          <w:tcPr>
            <w:tcW w:w="874"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14:paraId="135AE3D3"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3.558</w:t>
            </w:r>
          </w:p>
        </w:tc>
        <w:tc>
          <w:tcPr>
            <w:tcW w:w="819" w:type="dxa"/>
            <w:tcBorders>
              <w:top w:val="single" w:sz="4" w:space="0" w:color="auto"/>
              <w:left w:val="nil"/>
              <w:bottom w:val="single" w:sz="4" w:space="0" w:color="auto"/>
              <w:right w:val="single" w:sz="4" w:space="0" w:color="auto"/>
            </w:tcBorders>
            <w:shd w:val="clear" w:color="auto" w:fill="auto"/>
            <w:noWrap/>
            <w:vAlign w:val="center"/>
            <w:hideMark/>
          </w:tcPr>
          <w:p w14:paraId="20E2CAC7"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-0.203</w:t>
            </w:r>
          </w:p>
        </w:tc>
        <w:tc>
          <w:tcPr>
            <w:tcW w:w="810"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14:paraId="378A05D1"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-2.294</w:t>
            </w:r>
          </w:p>
        </w:tc>
      </w:tr>
      <w:tr w:rsidR="00625049" w:rsidRPr="004174AE" w14:paraId="03063AE2" w14:textId="77777777" w:rsidTr="00625049">
        <w:trPr>
          <w:trHeight w:val="20"/>
        </w:trPr>
        <w:tc>
          <w:tcPr>
            <w:tcW w:w="4653" w:type="dxa"/>
            <w:tcBorders>
              <w:top w:val="single" w:sz="4" w:space="0" w:color="auto"/>
              <w:left w:val="double" w:sz="6" w:space="0" w:color="auto"/>
              <w:bottom w:val="double" w:sz="6" w:space="0" w:color="auto"/>
              <w:right w:val="double" w:sz="6" w:space="0" w:color="auto"/>
            </w:tcBorders>
            <w:shd w:val="clear" w:color="auto" w:fill="auto"/>
            <w:noWrap/>
            <w:vAlign w:val="center"/>
            <w:hideMark/>
          </w:tcPr>
          <w:p w14:paraId="427ED5B5" w14:textId="77777777" w:rsidR="00625049" w:rsidRPr="004174AE" w:rsidRDefault="00625049" w:rsidP="00625049">
            <w:pPr>
              <w:spacing w:after="0"/>
              <w:ind w:firstLine="0"/>
              <w:jc w:val="left"/>
              <w:rPr>
                <w:rFonts w:eastAsia="Times New Roman"/>
                <w:color w:val="000000"/>
                <w:sz w:val="20"/>
                <w:szCs w:val="20"/>
              </w:rPr>
            </w:pPr>
            <w:r w:rsidRPr="004174AE">
              <w:rPr>
                <w:rFonts w:eastAsia="Times New Roman"/>
                <w:color w:val="000000"/>
                <w:sz w:val="20"/>
                <w:szCs w:val="20"/>
              </w:rPr>
              <w:t xml:space="preserve">   $100,000 or more</w:t>
            </w:r>
          </w:p>
        </w:tc>
        <w:tc>
          <w:tcPr>
            <w:tcW w:w="827" w:type="dxa"/>
            <w:tcBorders>
              <w:top w:val="single" w:sz="4" w:space="0" w:color="auto"/>
              <w:left w:val="nil"/>
              <w:bottom w:val="double" w:sz="6" w:space="0" w:color="auto"/>
              <w:right w:val="single" w:sz="4" w:space="0" w:color="auto"/>
            </w:tcBorders>
            <w:shd w:val="clear" w:color="auto" w:fill="auto"/>
            <w:noWrap/>
            <w:vAlign w:val="center"/>
            <w:hideMark/>
          </w:tcPr>
          <w:p w14:paraId="16D94BC3"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0.237</w:t>
            </w:r>
          </w:p>
        </w:tc>
        <w:tc>
          <w:tcPr>
            <w:tcW w:w="910" w:type="dxa"/>
            <w:tcBorders>
              <w:top w:val="single" w:sz="4" w:space="0" w:color="auto"/>
              <w:left w:val="single" w:sz="4" w:space="0" w:color="auto"/>
              <w:bottom w:val="double" w:sz="6" w:space="0" w:color="auto"/>
              <w:right w:val="double" w:sz="6" w:space="0" w:color="auto"/>
            </w:tcBorders>
            <w:shd w:val="clear" w:color="auto" w:fill="auto"/>
            <w:noWrap/>
            <w:vAlign w:val="center"/>
            <w:hideMark/>
          </w:tcPr>
          <w:p w14:paraId="293C2480"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5.807</w:t>
            </w:r>
          </w:p>
        </w:tc>
        <w:tc>
          <w:tcPr>
            <w:tcW w:w="827" w:type="dxa"/>
            <w:tcBorders>
              <w:top w:val="single" w:sz="4" w:space="0" w:color="auto"/>
              <w:left w:val="nil"/>
              <w:bottom w:val="double" w:sz="6" w:space="0" w:color="auto"/>
              <w:right w:val="single" w:sz="4" w:space="0" w:color="auto"/>
            </w:tcBorders>
            <w:shd w:val="clear" w:color="auto" w:fill="auto"/>
            <w:noWrap/>
            <w:vAlign w:val="center"/>
            <w:hideMark/>
          </w:tcPr>
          <w:p w14:paraId="0350FFDF"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0.598</w:t>
            </w:r>
          </w:p>
        </w:tc>
        <w:tc>
          <w:tcPr>
            <w:tcW w:w="874" w:type="dxa"/>
            <w:tcBorders>
              <w:top w:val="single" w:sz="4" w:space="0" w:color="auto"/>
              <w:left w:val="single" w:sz="4" w:space="0" w:color="auto"/>
              <w:bottom w:val="double" w:sz="6" w:space="0" w:color="auto"/>
              <w:right w:val="double" w:sz="6" w:space="0" w:color="auto"/>
            </w:tcBorders>
            <w:shd w:val="clear" w:color="auto" w:fill="auto"/>
            <w:noWrap/>
            <w:vAlign w:val="center"/>
            <w:hideMark/>
          </w:tcPr>
          <w:p w14:paraId="5574B86C"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7.828</w:t>
            </w:r>
          </w:p>
        </w:tc>
        <w:tc>
          <w:tcPr>
            <w:tcW w:w="819" w:type="dxa"/>
            <w:tcBorders>
              <w:top w:val="single" w:sz="4" w:space="0" w:color="auto"/>
              <w:left w:val="nil"/>
              <w:bottom w:val="double" w:sz="6" w:space="0" w:color="auto"/>
              <w:right w:val="single" w:sz="4" w:space="0" w:color="auto"/>
            </w:tcBorders>
            <w:shd w:val="clear" w:color="auto" w:fill="auto"/>
            <w:noWrap/>
            <w:vAlign w:val="center"/>
            <w:hideMark/>
          </w:tcPr>
          <w:p w14:paraId="79D3D9BB"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-0.231</w:t>
            </w:r>
          </w:p>
        </w:tc>
        <w:tc>
          <w:tcPr>
            <w:tcW w:w="810" w:type="dxa"/>
            <w:tcBorders>
              <w:top w:val="single" w:sz="4" w:space="0" w:color="auto"/>
              <w:left w:val="single" w:sz="4" w:space="0" w:color="auto"/>
              <w:bottom w:val="double" w:sz="6" w:space="0" w:color="auto"/>
              <w:right w:val="double" w:sz="6" w:space="0" w:color="auto"/>
            </w:tcBorders>
            <w:shd w:val="clear" w:color="auto" w:fill="auto"/>
            <w:noWrap/>
            <w:vAlign w:val="center"/>
            <w:hideMark/>
          </w:tcPr>
          <w:p w14:paraId="4F54CB40"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-2.619</w:t>
            </w:r>
          </w:p>
        </w:tc>
      </w:tr>
      <w:tr w:rsidR="00625049" w:rsidRPr="004174AE" w14:paraId="1564EA22" w14:textId="77777777" w:rsidTr="00625049">
        <w:trPr>
          <w:trHeight w:val="20"/>
        </w:trPr>
        <w:tc>
          <w:tcPr>
            <w:tcW w:w="4653" w:type="dxa"/>
            <w:tcBorders>
              <w:top w:val="nil"/>
              <w:left w:val="double" w:sz="6" w:space="0" w:color="auto"/>
              <w:bottom w:val="single" w:sz="4" w:space="0" w:color="auto"/>
              <w:right w:val="double" w:sz="6" w:space="0" w:color="auto"/>
            </w:tcBorders>
            <w:shd w:val="clear" w:color="auto" w:fill="auto"/>
            <w:noWrap/>
            <w:vAlign w:val="center"/>
            <w:hideMark/>
          </w:tcPr>
          <w:p w14:paraId="210DA168" w14:textId="77777777" w:rsidR="00625049" w:rsidRPr="004174AE" w:rsidRDefault="00625049" w:rsidP="00625049">
            <w:pPr>
              <w:spacing w:after="0"/>
              <w:ind w:firstLine="0"/>
              <w:jc w:val="left"/>
              <w:rPr>
                <w:rFonts w:eastAsia="Times New Roman"/>
                <w:b/>
                <w:bCs/>
                <w:color w:val="000000"/>
                <w:sz w:val="20"/>
                <w:szCs w:val="20"/>
              </w:rPr>
            </w:pPr>
            <w:r w:rsidRPr="004174AE">
              <w:rPr>
                <w:rFonts w:eastAsia="Times New Roman"/>
                <w:b/>
                <w:bCs/>
                <w:color w:val="000000"/>
                <w:sz w:val="20"/>
                <w:szCs w:val="20"/>
              </w:rPr>
              <w:t xml:space="preserve">Household </w:t>
            </w:r>
            <w:r>
              <w:rPr>
                <w:rFonts w:eastAsia="Times New Roman"/>
                <w:b/>
                <w:bCs/>
                <w:color w:val="000000"/>
                <w:sz w:val="20"/>
                <w:szCs w:val="20"/>
              </w:rPr>
              <w:t>size</w:t>
            </w:r>
            <w:r w:rsidRPr="004174AE">
              <w:rPr>
                <w:rFonts w:eastAsia="Times New Roman"/>
                <w:color w:val="000000"/>
                <w:sz w:val="20"/>
                <w:szCs w:val="20"/>
              </w:rPr>
              <w:t xml:space="preserve"> (base: Single-person household)</w:t>
            </w:r>
          </w:p>
        </w:tc>
        <w:tc>
          <w:tcPr>
            <w:tcW w:w="827" w:type="dxa"/>
            <w:tcBorders>
              <w:top w:val="nil"/>
              <w:left w:val="nil"/>
              <w:bottom w:val="single" w:sz="4" w:space="0" w:color="auto"/>
              <w:right w:val="single" w:sz="4" w:space="0" w:color="auto"/>
            </w:tcBorders>
            <w:shd w:val="clear" w:color="auto" w:fill="auto"/>
            <w:noWrap/>
            <w:vAlign w:val="center"/>
            <w:hideMark/>
          </w:tcPr>
          <w:p w14:paraId="22F5DA31"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w:t>
            </w:r>
          </w:p>
        </w:tc>
        <w:tc>
          <w:tcPr>
            <w:tcW w:w="910" w:type="dxa"/>
            <w:tcBorders>
              <w:top w:val="nil"/>
              <w:left w:val="single" w:sz="4" w:space="0" w:color="auto"/>
              <w:bottom w:val="single" w:sz="4" w:space="0" w:color="auto"/>
              <w:right w:val="double" w:sz="6" w:space="0" w:color="auto"/>
            </w:tcBorders>
            <w:shd w:val="clear" w:color="auto" w:fill="auto"/>
            <w:noWrap/>
            <w:vAlign w:val="center"/>
            <w:hideMark/>
          </w:tcPr>
          <w:p w14:paraId="4CC05840"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w:t>
            </w:r>
          </w:p>
        </w:tc>
        <w:tc>
          <w:tcPr>
            <w:tcW w:w="827" w:type="dxa"/>
            <w:tcBorders>
              <w:top w:val="nil"/>
              <w:left w:val="nil"/>
              <w:bottom w:val="single" w:sz="4" w:space="0" w:color="auto"/>
              <w:right w:val="single" w:sz="4" w:space="0" w:color="auto"/>
            </w:tcBorders>
            <w:shd w:val="clear" w:color="auto" w:fill="auto"/>
            <w:noWrap/>
            <w:vAlign w:val="center"/>
            <w:hideMark/>
          </w:tcPr>
          <w:p w14:paraId="0A066FE9"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w:t>
            </w:r>
          </w:p>
        </w:tc>
        <w:tc>
          <w:tcPr>
            <w:tcW w:w="874" w:type="dxa"/>
            <w:tcBorders>
              <w:top w:val="nil"/>
              <w:left w:val="single" w:sz="4" w:space="0" w:color="auto"/>
              <w:bottom w:val="single" w:sz="4" w:space="0" w:color="auto"/>
              <w:right w:val="double" w:sz="6" w:space="0" w:color="auto"/>
            </w:tcBorders>
            <w:shd w:val="clear" w:color="auto" w:fill="auto"/>
            <w:noWrap/>
            <w:vAlign w:val="center"/>
            <w:hideMark/>
          </w:tcPr>
          <w:p w14:paraId="33FFFD42"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w:t>
            </w:r>
          </w:p>
        </w:tc>
        <w:tc>
          <w:tcPr>
            <w:tcW w:w="819" w:type="dxa"/>
            <w:tcBorders>
              <w:top w:val="nil"/>
              <w:left w:val="nil"/>
              <w:bottom w:val="single" w:sz="4" w:space="0" w:color="auto"/>
              <w:right w:val="single" w:sz="4" w:space="0" w:color="auto"/>
            </w:tcBorders>
            <w:shd w:val="clear" w:color="auto" w:fill="auto"/>
            <w:noWrap/>
            <w:vAlign w:val="center"/>
            <w:hideMark/>
          </w:tcPr>
          <w:p w14:paraId="7EA3AEFB"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w:t>
            </w:r>
          </w:p>
        </w:tc>
        <w:tc>
          <w:tcPr>
            <w:tcW w:w="810" w:type="dxa"/>
            <w:tcBorders>
              <w:top w:val="nil"/>
              <w:left w:val="single" w:sz="4" w:space="0" w:color="auto"/>
              <w:bottom w:val="single" w:sz="4" w:space="0" w:color="auto"/>
              <w:right w:val="double" w:sz="6" w:space="0" w:color="auto"/>
            </w:tcBorders>
            <w:shd w:val="clear" w:color="auto" w:fill="auto"/>
            <w:noWrap/>
            <w:vAlign w:val="center"/>
            <w:hideMark/>
          </w:tcPr>
          <w:p w14:paraId="687CC380"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w:t>
            </w:r>
          </w:p>
        </w:tc>
      </w:tr>
      <w:tr w:rsidR="00625049" w:rsidRPr="004174AE" w14:paraId="616CE506" w14:textId="77777777" w:rsidTr="00625049">
        <w:trPr>
          <w:trHeight w:val="20"/>
        </w:trPr>
        <w:tc>
          <w:tcPr>
            <w:tcW w:w="4653" w:type="dxa"/>
            <w:tcBorders>
              <w:top w:val="single" w:sz="4" w:space="0" w:color="auto"/>
              <w:left w:val="double" w:sz="6" w:space="0" w:color="auto"/>
              <w:bottom w:val="double" w:sz="6" w:space="0" w:color="auto"/>
              <w:right w:val="double" w:sz="6" w:space="0" w:color="auto"/>
            </w:tcBorders>
            <w:shd w:val="clear" w:color="auto" w:fill="auto"/>
            <w:noWrap/>
            <w:vAlign w:val="center"/>
            <w:hideMark/>
          </w:tcPr>
          <w:p w14:paraId="5B76CBA7" w14:textId="77777777" w:rsidR="00625049" w:rsidRPr="004174AE" w:rsidRDefault="00625049" w:rsidP="00625049">
            <w:pPr>
              <w:spacing w:after="0"/>
              <w:ind w:firstLine="0"/>
              <w:jc w:val="left"/>
              <w:rPr>
                <w:rFonts w:eastAsia="Times New Roman"/>
                <w:color w:val="000000"/>
                <w:sz w:val="20"/>
                <w:szCs w:val="20"/>
              </w:rPr>
            </w:pPr>
            <w:r w:rsidRPr="004174AE">
              <w:rPr>
                <w:rFonts w:eastAsia="Times New Roman"/>
                <w:color w:val="000000"/>
                <w:sz w:val="20"/>
                <w:szCs w:val="20"/>
              </w:rPr>
              <w:t xml:space="preserve">   Multi-person household</w:t>
            </w:r>
          </w:p>
        </w:tc>
        <w:tc>
          <w:tcPr>
            <w:tcW w:w="827" w:type="dxa"/>
            <w:tcBorders>
              <w:top w:val="single" w:sz="4" w:space="0" w:color="auto"/>
              <w:left w:val="nil"/>
              <w:bottom w:val="double" w:sz="6" w:space="0" w:color="auto"/>
              <w:right w:val="single" w:sz="4" w:space="0" w:color="auto"/>
            </w:tcBorders>
            <w:shd w:val="clear" w:color="auto" w:fill="auto"/>
            <w:noWrap/>
            <w:vAlign w:val="center"/>
            <w:hideMark/>
          </w:tcPr>
          <w:p w14:paraId="776FB36F"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w:t>
            </w:r>
          </w:p>
        </w:tc>
        <w:tc>
          <w:tcPr>
            <w:tcW w:w="910" w:type="dxa"/>
            <w:tcBorders>
              <w:top w:val="single" w:sz="4" w:space="0" w:color="auto"/>
              <w:left w:val="single" w:sz="4" w:space="0" w:color="auto"/>
              <w:bottom w:val="double" w:sz="6" w:space="0" w:color="auto"/>
              <w:right w:val="double" w:sz="6" w:space="0" w:color="auto"/>
            </w:tcBorders>
            <w:shd w:val="clear" w:color="auto" w:fill="auto"/>
            <w:noWrap/>
            <w:vAlign w:val="center"/>
            <w:hideMark/>
          </w:tcPr>
          <w:p w14:paraId="1343AD80"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w:t>
            </w:r>
          </w:p>
        </w:tc>
        <w:tc>
          <w:tcPr>
            <w:tcW w:w="827" w:type="dxa"/>
            <w:tcBorders>
              <w:top w:val="single" w:sz="4" w:space="0" w:color="auto"/>
              <w:left w:val="nil"/>
              <w:bottom w:val="double" w:sz="6" w:space="0" w:color="auto"/>
              <w:right w:val="single" w:sz="4" w:space="0" w:color="auto"/>
            </w:tcBorders>
            <w:shd w:val="clear" w:color="auto" w:fill="auto"/>
            <w:noWrap/>
            <w:vAlign w:val="center"/>
            <w:hideMark/>
          </w:tcPr>
          <w:p w14:paraId="2663CADD"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-0.279</w:t>
            </w:r>
          </w:p>
        </w:tc>
        <w:tc>
          <w:tcPr>
            <w:tcW w:w="874" w:type="dxa"/>
            <w:tcBorders>
              <w:top w:val="single" w:sz="4" w:space="0" w:color="auto"/>
              <w:left w:val="single" w:sz="4" w:space="0" w:color="auto"/>
              <w:bottom w:val="double" w:sz="6" w:space="0" w:color="auto"/>
              <w:right w:val="double" w:sz="6" w:space="0" w:color="auto"/>
            </w:tcBorders>
            <w:shd w:val="clear" w:color="auto" w:fill="auto"/>
            <w:noWrap/>
            <w:vAlign w:val="center"/>
            <w:hideMark/>
          </w:tcPr>
          <w:p w14:paraId="5D6A3F13"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-3.712</w:t>
            </w:r>
          </w:p>
        </w:tc>
        <w:tc>
          <w:tcPr>
            <w:tcW w:w="819" w:type="dxa"/>
            <w:tcBorders>
              <w:top w:val="single" w:sz="4" w:space="0" w:color="auto"/>
              <w:left w:val="nil"/>
              <w:bottom w:val="double" w:sz="6" w:space="0" w:color="auto"/>
              <w:right w:val="single" w:sz="4" w:space="0" w:color="auto"/>
            </w:tcBorders>
            <w:shd w:val="clear" w:color="auto" w:fill="auto"/>
            <w:noWrap/>
            <w:vAlign w:val="center"/>
            <w:hideMark/>
          </w:tcPr>
          <w:p w14:paraId="50029DFC"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0.179</w:t>
            </w:r>
          </w:p>
        </w:tc>
        <w:tc>
          <w:tcPr>
            <w:tcW w:w="810" w:type="dxa"/>
            <w:tcBorders>
              <w:top w:val="single" w:sz="4" w:space="0" w:color="auto"/>
              <w:left w:val="single" w:sz="4" w:space="0" w:color="auto"/>
              <w:bottom w:val="double" w:sz="6" w:space="0" w:color="auto"/>
              <w:right w:val="double" w:sz="6" w:space="0" w:color="auto"/>
            </w:tcBorders>
            <w:shd w:val="clear" w:color="auto" w:fill="auto"/>
            <w:noWrap/>
            <w:vAlign w:val="center"/>
            <w:hideMark/>
          </w:tcPr>
          <w:p w14:paraId="0F739D79"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2.066</w:t>
            </w:r>
          </w:p>
        </w:tc>
      </w:tr>
      <w:tr w:rsidR="00625049" w:rsidRPr="004174AE" w14:paraId="38029EB8" w14:textId="77777777" w:rsidTr="00625049">
        <w:trPr>
          <w:trHeight w:val="20"/>
        </w:trPr>
        <w:tc>
          <w:tcPr>
            <w:tcW w:w="4653" w:type="dxa"/>
            <w:tcBorders>
              <w:top w:val="nil"/>
              <w:left w:val="double" w:sz="6" w:space="0" w:color="auto"/>
              <w:bottom w:val="single" w:sz="4" w:space="0" w:color="auto"/>
              <w:right w:val="double" w:sz="6" w:space="0" w:color="auto"/>
            </w:tcBorders>
            <w:shd w:val="clear" w:color="auto" w:fill="auto"/>
            <w:noWrap/>
            <w:vAlign w:val="center"/>
            <w:hideMark/>
          </w:tcPr>
          <w:p w14:paraId="299B0E9E" w14:textId="77777777" w:rsidR="00625049" w:rsidRPr="004174AE" w:rsidRDefault="00625049" w:rsidP="00625049">
            <w:pPr>
              <w:spacing w:after="0"/>
              <w:ind w:firstLine="0"/>
              <w:jc w:val="left"/>
              <w:rPr>
                <w:rFonts w:eastAsia="Times New Roman"/>
                <w:b/>
                <w:bCs/>
                <w:color w:val="000000"/>
                <w:sz w:val="20"/>
                <w:szCs w:val="20"/>
              </w:rPr>
            </w:pPr>
            <w:r w:rsidRPr="004174AE">
              <w:rPr>
                <w:rFonts w:eastAsia="Times New Roman"/>
                <w:b/>
                <w:bCs/>
                <w:color w:val="000000"/>
                <w:sz w:val="20"/>
                <w:szCs w:val="20"/>
              </w:rPr>
              <w:t>Education</w:t>
            </w:r>
            <w:r w:rsidRPr="004174AE">
              <w:rPr>
                <w:rFonts w:eastAsia="Times New Roman"/>
                <w:color w:val="000000"/>
                <w:sz w:val="20"/>
                <w:szCs w:val="20"/>
              </w:rPr>
              <w:t xml:space="preserve"> (base: Does not have a bachelor's degree)</w:t>
            </w:r>
          </w:p>
        </w:tc>
        <w:tc>
          <w:tcPr>
            <w:tcW w:w="827" w:type="dxa"/>
            <w:tcBorders>
              <w:top w:val="nil"/>
              <w:left w:val="nil"/>
              <w:bottom w:val="single" w:sz="4" w:space="0" w:color="auto"/>
              <w:right w:val="single" w:sz="4" w:space="0" w:color="auto"/>
            </w:tcBorders>
            <w:shd w:val="clear" w:color="auto" w:fill="auto"/>
            <w:noWrap/>
            <w:vAlign w:val="center"/>
            <w:hideMark/>
          </w:tcPr>
          <w:p w14:paraId="3C8C8B68"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w:t>
            </w:r>
          </w:p>
        </w:tc>
        <w:tc>
          <w:tcPr>
            <w:tcW w:w="910" w:type="dxa"/>
            <w:tcBorders>
              <w:top w:val="nil"/>
              <w:left w:val="single" w:sz="4" w:space="0" w:color="auto"/>
              <w:bottom w:val="single" w:sz="4" w:space="0" w:color="auto"/>
              <w:right w:val="double" w:sz="6" w:space="0" w:color="auto"/>
            </w:tcBorders>
            <w:shd w:val="clear" w:color="auto" w:fill="auto"/>
            <w:noWrap/>
            <w:vAlign w:val="center"/>
            <w:hideMark/>
          </w:tcPr>
          <w:p w14:paraId="76CCDD9C"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w:t>
            </w:r>
          </w:p>
        </w:tc>
        <w:tc>
          <w:tcPr>
            <w:tcW w:w="827" w:type="dxa"/>
            <w:tcBorders>
              <w:top w:val="nil"/>
              <w:left w:val="nil"/>
              <w:bottom w:val="single" w:sz="4" w:space="0" w:color="auto"/>
              <w:right w:val="single" w:sz="4" w:space="0" w:color="auto"/>
            </w:tcBorders>
            <w:shd w:val="clear" w:color="auto" w:fill="auto"/>
            <w:noWrap/>
            <w:vAlign w:val="center"/>
            <w:hideMark/>
          </w:tcPr>
          <w:p w14:paraId="2C5E98CB"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w:t>
            </w:r>
          </w:p>
        </w:tc>
        <w:tc>
          <w:tcPr>
            <w:tcW w:w="874" w:type="dxa"/>
            <w:tcBorders>
              <w:top w:val="nil"/>
              <w:left w:val="single" w:sz="4" w:space="0" w:color="auto"/>
              <w:bottom w:val="single" w:sz="4" w:space="0" w:color="auto"/>
              <w:right w:val="double" w:sz="6" w:space="0" w:color="auto"/>
            </w:tcBorders>
            <w:shd w:val="clear" w:color="auto" w:fill="auto"/>
            <w:noWrap/>
            <w:vAlign w:val="center"/>
            <w:hideMark/>
          </w:tcPr>
          <w:p w14:paraId="4418659C"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w:t>
            </w:r>
          </w:p>
        </w:tc>
        <w:tc>
          <w:tcPr>
            <w:tcW w:w="819" w:type="dxa"/>
            <w:tcBorders>
              <w:top w:val="nil"/>
              <w:left w:val="nil"/>
              <w:bottom w:val="single" w:sz="4" w:space="0" w:color="auto"/>
              <w:right w:val="single" w:sz="4" w:space="0" w:color="auto"/>
            </w:tcBorders>
            <w:shd w:val="clear" w:color="auto" w:fill="auto"/>
            <w:noWrap/>
            <w:vAlign w:val="center"/>
            <w:hideMark/>
          </w:tcPr>
          <w:p w14:paraId="76FEDE8C"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w:t>
            </w:r>
          </w:p>
        </w:tc>
        <w:tc>
          <w:tcPr>
            <w:tcW w:w="810" w:type="dxa"/>
            <w:tcBorders>
              <w:top w:val="nil"/>
              <w:left w:val="single" w:sz="4" w:space="0" w:color="auto"/>
              <w:bottom w:val="single" w:sz="4" w:space="0" w:color="auto"/>
              <w:right w:val="double" w:sz="6" w:space="0" w:color="auto"/>
            </w:tcBorders>
            <w:shd w:val="clear" w:color="auto" w:fill="auto"/>
            <w:noWrap/>
            <w:vAlign w:val="center"/>
            <w:hideMark/>
          </w:tcPr>
          <w:p w14:paraId="2AAC88A3"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w:t>
            </w:r>
          </w:p>
        </w:tc>
      </w:tr>
      <w:tr w:rsidR="00625049" w:rsidRPr="004174AE" w14:paraId="3DA3749A" w14:textId="77777777" w:rsidTr="00625049">
        <w:trPr>
          <w:trHeight w:val="20"/>
        </w:trPr>
        <w:tc>
          <w:tcPr>
            <w:tcW w:w="4653" w:type="dxa"/>
            <w:tcBorders>
              <w:top w:val="single" w:sz="4" w:space="0" w:color="auto"/>
              <w:left w:val="double" w:sz="6" w:space="0" w:color="auto"/>
              <w:bottom w:val="double" w:sz="6" w:space="0" w:color="auto"/>
              <w:right w:val="double" w:sz="6" w:space="0" w:color="auto"/>
            </w:tcBorders>
            <w:shd w:val="clear" w:color="auto" w:fill="auto"/>
            <w:noWrap/>
            <w:vAlign w:val="center"/>
            <w:hideMark/>
          </w:tcPr>
          <w:p w14:paraId="578FD9F3" w14:textId="77777777" w:rsidR="00625049" w:rsidRPr="004174AE" w:rsidRDefault="00625049" w:rsidP="00625049">
            <w:pPr>
              <w:spacing w:after="0"/>
              <w:ind w:firstLine="0"/>
              <w:jc w:val="left"/>
              <w:rPr>
                <w:rFonts w:eastAsia="Times New Roman"/>
                <w:color w:val="000000"/>
                <w:sz w:val="20"/>
                <w:szCs w:val="20"/>
              </w:rPr>
            </w:pPr>
            <w:r w:rsidRPr="004174AE">
              <w:rPr>
                <w:rFonts w:eastAsia="Times New Roman"/>
                <w:color w:val="000000"/>
                <w:sz w:val="20"/>
                <w:szCs w:val="20"/>
              </w:rPr>
              <w:t xml:space="preserve">   Has a bachelor's degree or higher</w:t>
            </w:r>
          </w:p>
        </w:tc>
        <w:tc>
          <w:tcPr>
            <w:tcW w:w="827" w:type="dxa"/>
            <w:tcBorders>
              <w:top w:val="single" w:sz="4" w:space="0" w:color="auto"/>
              <w:left w:val="nil"/>
              <w:bottom w:val="double" w:sz="6" w:space="0" w:color="auto"/>
              <w:right w:val="single" w:sz="4" w:space="0" w:color="auto"/>
            </w:tcBorders>
            <w:shd w:val="clear" w:color="auto" w:fill="auto"/>
            <w:noWrap/>
            <w:vAlign w:val="center"/>
            <w:hideMark/>
          </w:tcPr>
          <w:p w14:paraId="44A928B4"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0.147</w:t>
            </w:r>
          </w:p>
        </w:tc>
        <w:tc>
          <w:tcPr>
            <w:tcW w:w="910" w:type="dxa"/>
            <w:tcBorders>
              <w:top w:val="single" w:sz="4" w:space="0" w:color="auto"/>
              <w:left w:val="single" w:sz="4" w:space="0" w:color="auto"/>
              <w:bottom w:val="double" w:sz="6" w:space="0" w:color="auto"/>
              <w:right w:val="double" w:sz="6" w:space="0" w:color="auto"/>
            </w:tcBorders>
            <w:shd w:val="clear" w:color="auto" w:fill="auto"/>
            <w:noWrap/>
            <w:vAlign w:val="center"/>
            <w:hideMark/>
          </w:tcPr>
          <w:p w14:paraId="288B4AAC"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4.536</w:t>
            </w:r>
          </w:p>
        </w:tc>
        <w:tc>
          <w:tcPr>
            <w:tcW w:w="827" w:type="dxa"/>
            <w:tcBorders>
              <w:top w:val="single" w:sz="4" w:space="0" w:color="auto"/>
              <w:left w:val="nil"/>
              <w:bottom w:val="double" w:sz="6" w:space="0" w:color="auto"/>
              <w:right w:val="single" w:sz="4" w:space="0" w:color="auto"/>
            </w:tcBorders>
            <w:shd w:val="clear" w:color="auto" w:fill="auto"/>
            <w:noWrap/>
            <w:vAlign w:val="center"/>
            <w:hideMark/>
          </w:tcPr>
          <w:p w14:paraId="02BC74B1"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0.406</w:t>
            </w:r>
          </w:p>
        </w:tc>
        <w:tc>
          <w:tcPr>
            <w:tcW w:w="874" w:type="dxa"/>
            <w:tcBorders>
              <w:top w:val="single" w:sz="4" w:space="0" w:color="auto"/>
              <w:left w:val="single" w:sz="4" w:space="0" w:color="auto"/>
              <w:bottom w:val="double" w:sz="6" w:space="0" w:color="auto"/>
              <w:right w:val="double" w:sz="6" w:space="0" w:color="auto"/>
            </w:tcBorders>
            <w:shd w:val="clear" w:color="auto" w:fill="auto"/>
            <w:noWrap/>
            <w:vAlign w:val="center"/>
            <w:hideMark/>
          </w:tcPr>
          <w:p w14:paraId="12D5535D"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6.423</w:t>
            </w:r>
          </w:p>
        </w:tc>
        <w:tc>
          <w:tcPr>
            <w:tcW w:w="819" w:type="dxa"/>
            <w:tcBorders>
              <w:top w:val="single" w:sz="4" w:space="0" w:color="auto"/>
              <w:left w:val="nil"/>
              <w:bottom w:val="double" w:sz="6" w:space="0" w:color="auto"/>
              <w:right w:val="single" w:sz="4" w:space="0" w:color="auto"/>
            </w:tcBorders>
            <w:shd w:val="clear" w:color="auto" w:fill="auto"/>
            <w:noWrap/>
            <w:vAlign w:val="center"/>
            <w:hideMark/>
          </w:tcPr>
          <w:p w14:paraId="1CEBDEF2"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-0.172</w:t>
            </w:r>
          </w:p>
        </w:tc>
        <w:tc>
          <w:tcPr>
            <w:tcW w:w="810" w:type="dxa"/>
            <w:tcBorders>
              <w:top w:val="single" w:sz="4" w:space="0" w:color="auto"/>
              <w:left w:val="single" w:sz="4" w:space="0" w:color="auto"/>
              <w:bottom w:val="double" w:sz="6" w:space="0" w:color="auto"/>
              <w:right w:val="double" w:sz="6" w:space="0" w:color="auto"/>
            </w:tcBorders>
            <w:shd w:val="clear" w:color="auto" w:fill="auto"/>
            <w:noWrap/>
            <w:vAlign w:val="center"/>
            <w:hideMark/>
          </w:tcPr>
          <w:p w14:paraId="1FD4B153"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-2.384</w:t>
            </w:r>
          </w:p>
        </w:tc>
      </w:tr>
      <w:tr w:rsidR="00625049" w:rsidRPr="004174AE" w14:paraId="4B1104F6" w14:textId="77777777" w:rsidTr="00625049">
        <w:trPr>
          <w:trHeight w:val="20"/>
        </w:trPr>
        <w:tc>
          <w:tcPr>
            <w:tcW w:w="4653" w:type="dxa"/>
            <w:tcBorders>
              <w:top w:val="nil"/>
              <w:left w:val="double" w:sz="6" w:space="0" w:color="auto"/>
              <w:bottom w:val="single" w:sz="4" w:space="0" w:color="auto"/>
              <w:right w:val="double" w:sz="6" w:space="0" w:color="auto"/>
            </w:tcBorders>
            <w:shd w:val="clear" w:color="auto" w:fill="auto"/>
            <w:noWrap/>
            <w:vAlign w:val="center"/>
            <w:hideMark/>
          </w:tcPr>
          <w:p w14:paraId="42BCFB4E" w14:textId="77777777" w:rsidR="00625049" w:rsidRPr="004174AE" w:rsidRDefault="00625049" w:rsidP="00625049">
            <w:pPr>
              <w:spacing w:after="0"/>
              <w:ind w:firstLine="0"/>
              <w:jc w:val="left"/>
              <w:rPr>
                <w:rFonts w:eastAsia="Times New Roman"/>
                <w:b/>
                <w:bCs/>
                <w:color w:val="000000"/>
                <w:sz w:val="20"/>
                <w:szCs w:val="20"/>
              </w:rPr>
            </w:pPr>
            <w:r w:rsidRPr="004174AE">
              <w:rPr>
                <w:rFonts w:eastAsia="Times New Roman"/>
                <w:b/>
                <w:bCs/>
                <w:color w:val="000000"/>
                <w:sz w:val="20"/>
                <w:szCs w:val="20"/>
              </w:rPr>
              <w:t>Employment</w:t>
            </w:r>
            <w:r w:rsidRPr="004174AE">
              <w:rPr>
                <w:rFonts w:eastAsia="Times New Roman"/>
                <w:color w:val="000000"/>
                <w:sz w:val="20"/>
                <w:szCs w:val="20"/>
              </w:rPr>
              <w:t xml:space="preserve"> (base: Unemployed)</w:t>
            </w:r>
          </w:p>
        </w:tc>
        <w:tc>
          <w:tcPr>
            <w:tcW w:w="827" w:type="dxa"/>
            <w:tcBorders>
              <w:top w:val="nil"/>
              <w:left w:val="nil"/>
              <w:bottom w:val="single" w:sz="4" w:space="0" w:color="auto"/>
              <w:right w:val="single" w:sz="4" w:space="0" w:color="auto"/>
            </w:tcBorders>
            <w:shd w:val="clear" w:color="auto" w:fill="auto"/>
            <w:noWrap/>
            <w:vAlign w:val="center"/>
            <w:hideMark/>
          </w:tcPr>
          <w:p w14:paraId="6701C47D"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w:t>
            </w:r>
          </w:p>
        </w:tc>
        <w:tc>
          <w:tcPr>
            <w:tcW w:w="910" w:type="dxa"/>
            <w:tcBorders>
              <w:top w:val="nil"/>
              <w:left w:val="single" w:sz="4" w:space="0" w:color="auto"/>
              <w:bottom w:val="single" w:sz="4" w:space="0" w:color="auto"/>
              <w:right w:val="double" w:sz="6" w:space="0" w:color="auto"/>
            </w:tcBorders>
            <w:shd w:val="clear" w:color="auto" w:fill="auto"/>
            <w:noWrap/>
            <w:vAlign w:val="center"/>
            <w:hideMark/>
          </w:tcPr>
          <w:p w14:paraId="49DBD17E"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w:t>
            </w:r>
          </w:p>
        </w:tc>
        <w:tc>
          <w:tcPr>
            <w:tcW w:w="827" w:type="dxa"/>
            <w:tcBorders>
              <w:top w:val="nil"/>
              <w:left w:val="nil"/>
              <w:bottom w:val="single" w:sz="4" w:space="0" w:color="auto"/>
              <w:right w:val="single" w:sz="4" w:space="0" w:color="auto"/>
            </w:tcBorders>
            <w:shd w:val="clear" w:color="auto" w:fill="auto"/>
            <w:noWrap/>
            <w:vAlign w:val="center"/>
            <w:hideMark/>
          </w:tcPr>
          <w:p w14:paraId="11009FB3"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w:t>
            </w:r>
          </w:p>
        </w:tc>
        <w:tc>
          <w:tcPr>
            <w:tcW w:w="874" w:type="dxa"/>
            <w:tcBorders>
              <w:top w:val="nil"/>
              <w:left w:val="single" w:sz="4" w:space="0" w:color="auto"/>
              <w:bottom w:val="single" w:sz="4" w:space="0" w:color="auto"/>
              <w:right w:val="double" w:sz="6" w:space="0" w:color="auto"/>
            </w:tcBorders>
            <w:shd w:val="clear" w:color="auto" w:fill="auto"/>
            <w:noWrap/>
            <w:vAlign w:val="center"/>
            <w:hideMark/>
          </w:tcPr>
          <w:p w14:paraId="5FFB5018"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w:t>
            </w:r>
          </w:p>
        </w:tc>
        <w:tc>
          <w:tcPr>
            <w:tcW w:w="819" w:type="dxa"/>
            <w:tcBorders>
              <w:top w:val="nil"/>
              <w:left w:val="nil"/>
              <w:bottom w:val="single" w:sz="4" w:space="0" w:color="auto"/>
              <w:right w:val="single" w:sz="4" w:space="0" w:color="auto"/>
            </w:tcBorders>
            <w:shd w:val="clear" w:color="auto" w:fill="auto"/>
            <w:noWrap/>
            <w:vAlign w:val="center"/>
            <w:hideMark/>
          </w:tcPr>
          <w:p w14:paraId="473CA028"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w:t>
            </w:r>
          </w:p>
        </w:tc>
        <w:tc>
          <w:tcPr>
            <w:tcW w:w="810" w:type="dxa"/>
            <w:tcBorders>
              <w:top w:val="nil"/>
              <w:left w:val="single" w:sz="4" w:space="0" w:color="auto"/>
              <w:bottom w:val="single" w:sz="4" w:space="0" w:color="auto"/>
              <w:right w:val="double" w:sz="6" w:space="0" w:color="auto"/>
            </w:tcBorders>
            <w:shd w:val="clear" w:color="auto" w:fill="auto"/>
            <w:noWrap/>
            <w:vAlign w:val="center"/>
            <w:hideMark/>
          </w:tcPr>
          <w:p w14:paraId="7BD8E689"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w:t>
            </w:r>
          </w:p>
        </w:tc>
      </w:tr>
      <w:tr w:rsidR="00625049" w:rsidRPr="004174AE" w14:paraId="7CF5E658" w14:textId="77777777" w:rsidTr="00625049">
        <w:trPr>
          <w:trHeight w:val="20"/>
        </w:trPr>
        <w:tc>
          <w:tcPr>
            <w:tcW w:w="4653" w:type="dxa"/>
            <w:tcBorders>
              <w:top w:val="single" w:sz="4" w:space="0" w:color="auto"/>
              <w:left w:val="double" w:sz="6" w:space="0" w:color="auto"/>
              <w:bottom w:val="single" w:sz="4" w:space="0" w:color="auto"/>
              <w:right w:val="double" w:sz="6" w:space="0" w:color="auto"/>
            </w:tcBorders>
            <w:shd w:val="clear" w:color="auto" w:fill="auto"/>
            <w:noWrap/>
            <w:vAlign w:val="center"/>
            <w:hideMark/>
          </w:tcPr>
          <w:p w14:paraId="66F8407C" w14:textId="77777777" w:rsidR="00625049" w:rsidRPr="004174AE" w:rsidRDefault="00625049" w:rsidP="00625049">
            <w:pPr>
              <w:spacing w:after="0"/>
              <w:ind w:firstLine="0"/>
              <w:jc w:val="left"/>
              <w:rPr>
                <w:rFonts w:eastAsia="Times New Roman"/>
                <w:color w:val="000000"/>
                <w:sz w:val="20"/>
                <w:szCs w:val="20"/>
              </w:rPr>
            </w:pPr>
            <w:r w:rsidRPr="004174AE">
              <w:rPr>
                <w:rFonts w:eastAsia="Times New Roman"/>
                <w:color w:val="000000"/>
                <w:sz w:val="20"/>
                <w:szCs w:val="20"/>
              </w:rPr>
              <w:t xml:space="preserve">   Employed part time</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14:paraId="5CCEBD32"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w:t>
            </w:r>
          </w:p>
        </w:tc>
        <w:tc>
          <w:tcPr>
            <w:tcW w:w="910"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14:paraId="023D1371"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14:paraId="7C1F7538"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w:t>
            </w:r>
          </w:p>
        </w:tc>
        <w:tc>
          <w:tcPr>
            <w:tcW w:w="874"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14:paraId="5DE0D4C3"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w:t>
            </w:r>
          </w:p>
        </w:tc>
        <w:tc>
          <w:tcPr>
            <w:tcW w:w="819" w:type="dxa"/>
            <w:tcBorders>
              <w:top w:val="single" w:sz="4" w:space="0" w:color="auto"/>
              <w:left w:val="nil"/>
              <w:bottom w:val="single" w:sz="4" w:space="0" w:color="auto"/>
              <w:right w:val="single" w:sz="4" w:space="0" w:color="auto"/>
            </w:tcBorders>
            <w:shd w:val="clear" w:color="auto" w:fill="auto"/>
            <w:noWrap/>
            <w:vAlign w:val="center"/>
            <w:hideMark/>
          </w:tcPr>
          <w:p w14:paraId="154F3182"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0.193</w:t>
            </w:r>
          </w:p>
        </w:tc>
        <w:tc>
          <w:tcPr>
            <w:tcW w:w="810"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14:paraId="1A2AF496"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2.899</w:t>
            </w:r>
          </w:p>
        </w:tc>
      </w:tr>
      <w:tr w:rsidR="00625049" w:rsidRPr="004174AE" w14:paraId="7E7712CB" w14:textId="77777777" w:rsidTr="00625049">
        <w:trPr>
          <w:trHeight w:val="20"/>
        </w:trPr>
        <w:tc>
          <w:tcPr>
            <w:tcW w:w="4653" w:type="dxa"/>
            <w:tcBorders>
              <w:top w:val="single" w:sz="4" w:space="0" w:color="auto"/>
              <w:left w:val="double" w:sz="6" w:space="0" w:color="auto"/>
              <w:bottom w:val="single" w:sz="4" w:space="0" w:color="auto"/>
              <w:right w:val="double" w:sz="6" w:space="0" w:color="auto"/>
            </w:tcBorders>
            <w:shd w:val="clear" w:color="auto" w:fill="auto"/>
            <w:noWrap/>
            <w:vAlign w:val="center"/>
            <w:hideMark/>
          </w:tcPr>
          <w:p w14:paraId="0092C598" w14:textId="77777777" w:rsidR="00625049" w:rsidRPr="004174AE" w:rsidRDefault="00625049" w:rsidP="00625049">
            <w:pPr>
              <w:spacing w:after="0"/>
              <w:ind w:firstLine="0"/>
              <w:jc w:val="left"/>
              <w:rPr>
                <w:rFonts w:eastAsia="Times New Roman"/>
                <w:color w:val="000000"/>
                <w:sz w:val="20"/>
                <w:szCs w:val="20"/>
              </w:rPr>
            </w:pPr>
            <w:r w:rsidRPr="004174AE">
              <w:rPr>
                <w:rFonts w:eastAsia="Times New Roman"/>
                <w:color w:val="000000"/>
                <w:sz w:val="20"/>
                <w:szCs w:val="20"/>
              </w:rPr>
              <w:t xml:space="preserve">   Employed full time</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14:paraId="19B30301"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w:t>
            </w:r>
          </w:p>
        </w:tc>
        <w:tc>
          <w:tcPr>
            <w:tcW w:w="910"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14:paraId="03870C58"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w:t>
            </w:r>
          </w:p>
        </w:tc>
        <w:tc>
          <w:tcPr>
            <w:tcW w:w="827" w:type="dxa"/>
            <w:vMerge w:val="restart"/>
            <w:tcBorders>
              <w:top w:val="single" w:sz="4" w:space="0" w:color="auto"/>
              <w:left w:val="double" w:sz="6" w:space="0" w:color="auto"/>
              <w:bottom w:val="double" w:sz="6" w:space="0" w:color="000000"/>
              <w:right w:val="single" w:sz="4" w:space="0" w:color="auto"/>
            </w:tcBorders>
            <w:shd w:val="clear" w:color="auto" w:fill="auto"/>
            <w:noWrap/>
            <w:vAlign w:val="center"/>
            <w:hideMark/>
          </w:tcPr>
          <w:p w14:paraId="6EF135D0"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0.322</w:t>
            </w:r>
          </w:p>
        </w:tc>
        <w:tc>
          <w:tcPr>
            <w:tcW w:w="874" w:type="dxa"/>
            <w:vMerge w:val="restart"/>
            <w:tcBorders>
              <w:top w:val="single" w:sz="4" w:space="0" w:color="auto"/>
              <w:left w:val="single" w:sz="4" w:space="0" w:color="auto"/>
              <w:bottom w:val="double" w:sz="6" w:space="0" w:color="000000"/>
              <w:right w:val="double" w:sz="6" w:space="0" w:color="auto"/>
            </w:tcBorders>
            <w:shd w:val="clear" w:color="auto" w:fill="auto"/>
            <w:noWrap/>
            <w:vAlign w:val="center"/>
            <w:hideMark/>
          </w:tcPr>
          <w:p w14:paraId="36AA6AB5"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8.528</w:t>
            </w:r>
          </w:p>
        </w:tc>
        <w:tc>
          <w:tcPr>
            <w:tcW w:w="819" w:type="dxa"/>
            <w:tcBorders>
              <w:top w:val="single" w:sz="4" w:space="0" w:color="auto"/>
              <w:left w:val="nil"/>
              <w:bottom w:val="single" w:sz="4" w:space="0" w:color="auto"/>
              <w:right w:val="single" w:sz="4" w:space="0" w:color="auto"/>
            </w:tcBorders>
            <w:shd w:val="clear" w:color="auto" w:fill="auto"/>
            <w:noWrap/>
            <w:vAlign w:val="center"/>
            <w:hideMark/>
          </w:tcPr>
          <w:p w14:paraId="42CC6078"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w:t>
            </w:r>
          </w:p>
        </w:tc>
        <w:tc>
          <w:tcPr>
            <w:tcW w:w="810"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14:paraId="359DB6B5"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w:t>
            </w:r>
          </w:p>
        </w:tc>
      </w:tr>
      <w:tr w:rsidR="00625049" w:rsidRPr="004174AE" w14:paraId="6DA3C836" w14:textId="77777777" w:rsidTr="00625049">
        <w:trPr>
          <w:trHeight w:val="20"/>
        </w:trPr>
        <w:tc>
          <w:tcPr>
            <w:tcW w:w="4653" w:type="dxa"/>
            <w:tcBorders>
              <w:top w:val="single" w:sz="4" w:space="0" w:color="auto"/>
              <w:left w:val="double" w:sz="6" w:space="0" w:color="auto"/>
              <w:bottom w:val="double" w:sz="6" w:space="0" w:color="auto"/>
              <w:right w:val="double" w:sz="6" w:space="0" w:color="auto"/>
            </w:tcBorders>
            <w:shd w:val="clear" w:color="auto" w:fill="auto"/>
            <w:noWrap/>
            <w:vAlign w:val="center"/>
            <w:hideMark/>
          </w:tcPr>
          <w:p w14:paraId="3918FC2B" w14:textId="77777777" w:rsidR="00625049" w:rsidRPr="004174AE" w:rsidRDefault="00625049" w:rsidP="00625049">
            <w:pPr>
              <w:spacing w:after="0"/>
              <w:ind w:firstLine="0"/>
              <w:jc w:val="left"/>
              <w:rPr>
                <w:rFonts w:eastAsia="Times New Roman"/>
                <w:color w:val="000000"/>
                <w:sz w:val="20"/>
                <w:szCs w:val="20"/>
              </w:rPr>
            </w:pPr>
            <w:r w:rsidRPr="004174AE">
              <w:rPr>
                <w:rFonts w:eastAsia="Times New Roman"/>
                <w:color w:val="000000"/>
                <w:sz w:val="20"/>
                <w:szCs w:val="20"/>
              </w:rPr>
              <w:t xml:space="preserve">   Self employed</w:t>
            </w:r>
          </w:p>
        </w:tc>
        <w:tc>
          <w:tcPr>
            <w:tcW w:w="827" w:type="dxa"/>
            <w:tcBorders>
              <w:top w:val="single" w:sz="4" w:space="0" w:color="auto"/>
              <w:left w:val="nil"/>
              <w:bottom w:val="double" w:sz="6" w:space="0" w:color="auto"/>
              <w:right w:val="single" w:sz="4" w:space="0" w:color="auto"/>
            </w:tcBorders>
            <w:shd w:val="clear" w:color="auto" w:fill="auto"/>
            <w:noWrap/>
            <w:vAlign w:val="center"/>
            <w:hideMark/>
          </w:tcPr>
          <w:p w14:paraId="0E8ED25E"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w:t>
            </w:r>
          </w:p>
        </w:tc>
        <w:tc>
          <w:tcPr>
            <w:tcW w:w="910" w:type="dxa"/>
            <w:tcBorders>
              <w:top w:val="single" w:sz="4" w:space="0" w:color="auto"/>
              <w:left w:val="single" w:sz="4" w:space="0" w:color="auto"/>
              <w:bottom w:val="double" w:sz="6" w:space="0" w:color="auto"/>
              <w:right w:val="double" w:sz="6" w:space="0" w:color="auto"/>
            </w:tcBorders>
            <w:shd w:val="clear" w:color="auto" w:fill="auto"/>
            <w:noWrap/>
            <w:vAlign w:val="center"/>
            <w:hideMark/>
          </w:tcPr>
          <w:p w14:paraId="18292456"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w:t>
            </w:r>
          </w:p>
        </w:tc>
        <w:tc>
          <w:tcPr>
            <w:tcW w:w="827" w:type="dxa"/>
            <w:vMerge/>
            <w:tcBorders>
              <w:top w:val="nil"/>
              <w:left w:val="double" w:sz="6" w:space="0" w:color="auto"/>
              <w:bottom w:val="double" w:sz="6" w:space="0" w:color="000000"/>
              <w:right w:val="single" w:sz="4" w:space="0" w:color="auto"/>
            </w:tcBorders>
            <w:vAlign w:val="center"/>
            <w:hideMark/>
          </w:tcPr>
          <w:p w14:paraId="7D63B5F4" w14:textId="77777777" w:rsidR="00625049" w:rsidRPr="004174AE" w:rsidRDefault="00625049" w:rsidP="00625049">
            <w:pPr>
              <w:spacing w:after="0"/>
              <w:ind w:firstLine="0"/>
              <w:jc w:val="left"/>
              <w:rPr>
                <w:rFonts w:eastAsia="Times New Roman"/>
                <w:color w:val="000000"/>
                <w:sz w:val="20"/>
                <w:szCs w:val="20"/>
              </w:rPr>
            </w:pPr>
          </w:p>
        </w:tc>
        <w:tc>
          <w:tcPr>
            <w:tcW w:w="874" w:type="dxa"/>
            <w:vMerge/>
            <w:tcBorders>
              <w:top w:val="nil"/>
              <w:left w:val="single" w:sz="4" w:space="0" w:color="auto"/>
              <w:bottom w:val="double" w:sz="6" w:space="0" w:color="000000"/>
              <w:right w:val="double" w:sz="6" w:space="0" w:color="auto"/>
            </w:tcBorders>
            <w:vAlign w:val="center"/>
            <w:hideMark/>
          </w:tcPr>
          <w:p w14:paraId="7548531D" w14:textId="77777777" w:rsidR="00625049" w:rsidRPr="004174AE" w:rsidRDefault="00625049" w:rsidP="00625049">
            <w:pPr>
              <w:spacing w:after="0"/>
              <w:ind w:firstLine="0"/>
              <w:jc w:val="left"/>
              <w:rPr>
                <w:rFonts w:eastAsia="Times New Roman"/>
                <w:color w:val="000000"/>
                <w:sz w:val="20"/>
                <w:szCs w:val="20"/>
              </w:rPr>
            </w:pPr>
          </w:p>
        </w:tc>
        <w:tc>
          <w:tcPr>
            <w:tcW w:w="819" w:type="dxa"/>
            <w:tcBorders>
              <w:top w:val="single" w:sz="4" w:space="0" w:color="auto"/>
              <w:left w:val="nil"/>
              <w:bottom w:val="double" w:sz="6" w:space="0" w:color="auto"/>
              <w:right w:val="single" w:sz="4" w:space="0" w:color="auto"/>
            </w:tcBorders>
            <w:shd w:val="clear" w:color="auto" w:fill="auto"/>
            <w:noWrap/>
            <w:vAlign w:val="center"/>
            <w:hideMark/>
          </w:tcPr>
          <w:p w14:paraId="72A97AF0"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w:t>
            </w:r>
          </w:p>
        </w:tc>
        <w:tc>
          <w:tcPr>
            <w:tcW w:w="810" w:type="dxa"/>
            <w:tcBorders>
              <w:top w:val="single" w:sz="4" w:space="0" w:color="auto"/>
              <w:left w:val="single" w:sz="4" w:space="0" w:color="auto"/>
              <w:bottom w:val="double" w:sz="6" w:space="0" w:color="auto"/>
              <w:right w:val="double" w:sz="6" w:space="0" w:color="auto"/>
            </w:tcBorders>
            <w:shd w:val="clear" w:color="auto" w:fill="auto"/>
            <w:noWrap/>
            <w:vAlign w:val="center"/>
            <w:hideMark/>
          </w:tcPr>
          <w:p w14:paraId="6ADE4FAE"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w:t>
            </w:r>
          </w:p>
        </w:tc>
      </w:tr>
      <w:tr w:rsidR="00625049" w:rsidRPr="004174AE" w14:paraId="5812A694" w14:textId="77777777" w:rsidTr="00625049">
        <w:trPr>
          <w:trHeight w:val="20"/>
        </w:trPr>
        <w:tc>
          <w:tcPr>
            <w:tcW w:w="4653" w:type="dxa"/>
            <w:tcBorders>
              <w:top w:val="nil"/>
              <w:left w:val="double" w:sz="6" w:space="0" w:color="auto"/>
              <w:bottom w:val="single" w:sz="4" w:space="0" w:color="auto"/>
              <w:right w:val="double" w:sz="6" w:space="0" w:color="auto"/>
            </w:tcBorders>
            <w:shd w:val="clear" w:color="auto" w:fill="auto"/>
            <w:noWrap/>
            <w:vAlign w:val="center"/>
            <w:hideMark/>
          </w:tcPr>
          <w:p w14:paraId="3F449F27" w14:textId="77777777" w:rsidR="00625049" w:rsidRPr="004174AE" w:rsidRDefault="00625049" w:rsidP="00625049">
            <w:pPr>
              <w:spacing w:after="0"/>
              <w:ind w:firstLine="0"/>
              <w:jc w:val="left"/>
              <w:rPr>
                <w:rFonts w:eastAsia="Times New Roman"/>
                <w:b/>
                <w:bCs/>
                <w:color w:val="000000"/>
                <w:sz w:val="20"/>
                <w:szCs w:val="20"/>
              </w:rPr>
            </w:pPr>
            <w:r w:rsidRPr="004174AE">
              <w:rPr>
                <w:rFonts w:eastAsia="Times New Roman"/>
                <w:b/>
                <w:bCs/>
                <w:color w:val="000000"/>
                <w:sz w:val="20"/>
                <w:szCs w:val="20"/>
              </w:rPr>
              <w:t>Year</w:t>
            </w:r>
            <w:r w:rsidRPr="004174AE">
              <w:rPr>
                <w:rFonts w:eastAsia="Times New Roman"/>
                <w:color w:val="000000"/>
                <w:sz w:val="20"/>
                <w:szCs w:val="20"/>
              </w:rPr>
              <w:t xml:space="preserve"> (base: 2015)</w:t>
            </w:r>
          </w:p>
        </w:tc>
        <w:tc>
          <w:tcPr>
            <w:tcW w:w="827" w:type="dxa"/>
            <w:tcBorders>
              <w:top w:val="nil"/>
              <w:left w:val="nil"/>
              <w:bottom w:val="single" w:sz="4" w:space="0" w:color="auto"/>
              <w:right w:val="single" w:sz="4" w:space="0" w:color="auto"/>
            </w:tcBorders>
            <w:shd w:val="clear" w:color="auto" w:fill="auto"/>
            <w:noWrap/>
            <w:vAlign w:val="center"/>
            <w:hideMark/>
          </w:tcPr>
          <w:p w14:paraId="469A656C" w14:textId="77777777" w:rsidR="00625049" w:rsidRPr="004174AE" w:rsidRDefault="00625049" w:rsidP="00625049">
            <w:pPr>
              <w:spacing w:after="0"/>
              <w:ind w:firstLine="0"/>
              <w:jc w:val="center"/>
              <w:rPr>
                <w:rFonts w:eastAsia="Times New Roman"/>
                <w:b/>
                <w:bCs/>
                <w:color w:val="000000"/>
                <w:sz w:val="20"/>
                <w:szCs w:val="20"/>
              </w:rPr>
            </w:pPr>
            <w:r w:rsidRPr="004174AE">
              <w:rPr>
                <w:rFonts w:eastAsia="Times New Roman"/>
                <w:b/>
                <w:bCs/>
                <w:color w:val="000000"/>
                <w:sz w:val="20"/>
                <w:szCs w:val="20"/>
              </w:rPr>
              <w:t>Coef.</w:t>
            </w:r>
          </w:p>
        </w:tc>
        <w:tc>
          <w:tcPr>
            <w:tcW w:w="910" w:type="dxa"/>
            <w:tcBorders>
              <w:top w:val="nil"/>
              <w:left w:val="single" w:sz="4" w:space="0" w:color="auto"/>
              <w:bottom w:val="single" w:sz="4" w:space="0" w:color="auto"/>
              <w:right w:val="double" w:sz="6" w:space="0" w:color="auto"/>
            </w:tcBorders>
            <w:shd w:val="clear" w:color="auto" w:fill="auto"/>
            <w:noWrap/>
            <w:vAlign w:val="center"/>
            <w:hideMark/>
          </w:tcPr>
          <w:p w14:paraId="2C31BA4D" w14:textId="77777777" w:rsidR="00625049" w:rsidRPr="004174AE" w:rsidRDefault="00625049" w:rsidP="00625049">
            <w:pPr>
              <w:spacing w:after="0"/>
              <w:ind w:firstLine="0"/>
              <w:jc w:val="center"/>
              <w:rPr>
                <w:rFonts w:eastAsia="Times New Roman"/>
                <w:b/>
                <w:bCs/>
                <w:color w:val="000000"/>
                <w:sz w:val="20"/>
                <w:szCs w:val="20"/>
              </w:rPr>
            </w:pPr>
            <w:r w:rsidRPr="004174AE">
              <w:rPr>
                <w:rFonts w:eastAsia="Times New Roman"/>
                <w:b/>
                <w:bCs/>
                <w:color w:val="000000"/>
                <w:sz w:val="20"/>
                <w:szCs w:val="20"/>
              </w:rPr>
              <w:t>t-stat</w:t>
            </w:r>
          </w:p>
        </w:tc>
        <w:tc>
          <w:tcPr>
            <w:tcW w:w="1701" w:type="dxa"/>
            <w:gridSpan w:val="2"/>
            <w:tcBorders>
              <w:top w:val="double" w:sz="6" w:space="0" w:color="000000"/>
              <w:left w:val="nil"/>
              <w:bottom w:val="single" w:sz="4" w:space="0" w:color="auto"/>
              <w:right w:val="double" w:sz="6" w:space="0" w:color="000000"/>
            </w:tcBorders>
            <w:shd w:val="clear" w:color="auto" w:fill="auto"/>
            <w:noWrap/>
            <w:vAlign w:val="center"/>
            <w:hideMark/>
          </w:tcPr>
          <w:p w14:paraId="0AC4DC31" w14:textId="77777777" w:rsidR="00625049" w:rsidRPr="004174AE" w:rsidRDefault="00625049" w:rsidP="00625049">
            <w:pPr>
              <w:spacing w:after="0"/>
              <w:ind w:firstLine="0"/>
              <w:jc w:val="center"/>
              <w:rPr>
                <w:rFonts w:eastAsia="Times New Roman"/>
                <w:b/>
                <w:bCs/>
                <w:color w:val="000000"/>
                <w:sz w:val="20"/>
                <w:szCs w:val="20"/>
              </w:rPr>
            </w:pPr>
            <w:r w:rsidRPr="004174AE">
              <w:rPr>
                <w:rFonts w:eastAsia="Times New Roman"/>
                <w:b/>
                <w:bCs/>
                <w:color w:val="000000"/>
                <w:sz w:val="20"/>
                <w:szCs w:val="20"/>
              </w:rPr>
              <w:t>Coef.</w:t>
            </w:r>
          </w:p>
        </w:tc>
        <w:tc>
          <w:tcPr>
            <w:tcW w:w="1629" w:type="dxa"/>
            <w:gridSpan w:val="2"/>
            <w:tcBorders>
              <w:top w:val="double" w:sz="6" w:space="0" w:color="auto"/>
              <w:left w:val="nil"/>
              <w:bottom w:val="single" w:sz="4" w:space="0" w:color="auto"/>
              <w:right w:val="double" w:sz="6" w:space="0" w:color="000000"/>
            </w:tcBorders>
            <w:shd w:val="clear" w:color="auto" w:fill="auto"/>
            <w:noWrap/>
            <w:vAlign w:val="center"/>
            <w:hideMark/>
          </w:tcPr>
          <w:p w14:paraId="3D3FEA77" w14:textId="77777777" w:rsidR="00625049" w:rsidRPr="004174AE" w:rsidRDefault="00625049" w:rsidP="00625049">
            <w:pPr>
              <w:spacing w:after="0"/>
              <w:ind w:firstLine="0"/>
              <w:jc w:val="center"/>
              <w:rPr>
                <w:rFonts w:eastAsia="Times New Roman"/>
                <w:b/>
                <w:bCs/>
                <w:color w:val="000000"/>
                <w:sz w:val="20"/>
                <w:szCs w:val="20"/>
              </w:rPr>
            </w:pPr>
            <w:r w:rsidRPr="004174AE">
              <w:rPr>
                <w:rFonts w:eastAsia="Times New Roman"/>
                <w:b/>
                <w:bCs/>
                <w:color w:val="000000"/>
                <w:sz w:val="20"/>
                <w:szCs w:val="20"/>
              </w:rPr>
              <w:t>t-stat</w:t>
            </w:r>
          </w:p>
        </w:tc>
      </w:tr>
      <w:tr w:rsidR="00625049" w:rsidRPr="004174AE" w14:paraId="7C85DD60" w14:textId="77777777" w:rsidTr="00625049">
        <w:trPr>
          <w:trHeight w:val="20"/>
        </w:trPr>
        <w:tc>
          <w:tcPr>
            <w:tcW w:w="4653" w:type="dxa"/>
            <w:tcBorders>
              <w:top w:val="single" w:sz="4" w:space="0" w:color="auto"/>
              <w:left w:val="double" w:sz="6" w:space="0" w:color="auto"/>
              <w:bottom w:val="nil"/>
              <w:right w:val="double" w:sz="6" w:space="0" w:color="auto"/>
            </w:tcBorders>
            <w:shd w:val="clear" w:color="auto" w:fill="auto"/>
            <w:noWrap/>
            <w:vAlign w:val="center"/>
            <w:hideMark/>
          </w:tcPr>
          <w:p w14:paraId="5E8D6351" w14:textId="77777777" w:rsidR="00625049" w:rsidRPr="004174AE" w:rsidRDefault="00625049" w:rsidP="00625049">
            <w:pPr>
              <w:spacing w:after="0"/>
              <w:ind w:firstLine="0"/>
              <w:jc w:val="left"/>
              <w:rPr>
                <w:rFonts w:eastAsia="Times New Roman"/>
                <w:color w:val="000000"/>
                <w:sz w:val="20"/>
                <w:szCs w:val="20"/>
              </w:rPr>
            </w:pPr>
            <w:r w:rsidRPr="004174AE">
              <w:rPr>
                <w:rFonts w:eastAsia="Times New Roman"/>
                <w:color w:val="000000"/>
                <w:sz w:val="20"/>
                <w:szCs w:val="20"/>
              </w:rPr>
              <w:t>2017</w:t>
            </w:r>
          </w:p>
        </w:tc>
        <w:tc>
          <w:tcPr>
            <w:tcW w:w="827" w:type="dxa"/>
            <w:tcBorders>
              <w:top w:val="single" w:sz="4" w:space="0" w:color="auto"/>
              <w:left w:val="nil"/>
              <w:bottom w:val="nil"/>
              <w:right w:val="single" w:sz="4" w:space="0" w:color="auto"/>
            </w:tcBorders>
            <w:shd w:val="clear" w:color="auto" w:fill="auto"/>
            <w:noWrap/>
            <w:vAlign w:val="center"/>
            <w:hideMark/>
          </w:tcPr>
          <w:p w14:paraId="7127F550"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w:t>
            </w:r>
          </w:p>
        </w:tc>
        <w:tc>
          <w:tcPr>
            <w:tcW w:w="910" w:type="dxa"/>
            <w:tcBorders>
              <w:top w:val="single" w:sz="4" w:space="0" w:color="auto"/>
              <w:left w:val="single" w:sz="4" w:space="0" w:color="auto"/>
              <w:bottom w:val="nil"/>
              <w:right w:val="double" w:sz="6" w:space="0" w:color="auto"/>
            </w:tcBorders>
            <w:shd w:val="clear" w:color="auto" w:fill="auto"/>
            <w:noWrap/>
            <w:vAlign w:val="center"/>
            <w:hideMark/>
          </w:tcPr>
          <w:p w14:paraId="24FAE491"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w:t>
            </w:r>
          </w:p>
        </w:tc>
        <w:tc>
          <w:tcPr>
            <w:tcW w:w="1701" w:type="dxa"/>
            <w:gridSpan w:val="2"/>
            <w:tcBorders>
              <w:top w:val="single" w:sz="4" w:space="0" w:color="auto"/>
              <w:left w:val="nil"/>
              <w:bottom w:val="double" w:sz="6" w:space="0" w:color="auto"/>
              <w:right w:val="double" w:sz="6" w:space="0" w:color="000000"/>
            </w:tcBorders>
            <w:shd w:val="clear" w:color="auto" w:fill="auto"/>
            <w:noWrap/>
            <w:vAlign w:val="center"/>
            <w:hideMark/>
          </w:tcPr>
          <w:p w14:paraId="481F54BC" w14:textId="77777777" w:rsidR="00625049" w:rsidRPr="004174AE" w:rsidRDefault="00625049" w:rsidP="00625049">
            <w:pPr>
              <w:spacing w:after="0"/>
              <w:ind w:firstLine="0"/>
              <w:jc w:val="center"/>
              <w:rPr>
                <w:rFonts w:eastAsia="Times New Roman"/>
                <w:color w:val="000000"/>
                <w:sz w:val="20"/>
                <w:szCs w:val="20"/>
              </w:rPr>
            </w:pPr>
            <w:r w:rsidRPr="004174AE">
              <w:rPr>
                <w:rFonts w:eastAsia="Times New Roman"/>
                <w:color w:val="000000"/>
                <w:sz w:val="20"/>
                <w:szCs w:val="20"/>
              </w:rPr>
              <w:t>---</w:t>
            </w:r>
          </w:p>
        </w:tc>
        <w:tc>
          <w:tcPr>
            <w:tcW w:w="1629" w:type="dxa"/>
            <w:gridSpan w:val="2"/>
            <w:tcBorders>
              <w:top w:val="single" w:sz="4" w:space="0" w:color="auto"/>
              <w:left w:val="nil"/>
              <w:bottom w:val="double" w:sz="6" w:space="0" w:color="auto"/>
              <w:right w:val="double" w:sz="6" w:space="0" w:color="000000"/>
            </w:tcBorders>
            <w:shd w:val="clear" w:color="auto" w:fill="auto"/>
            <w:noWrap/>
            <w:vAlign w:val="center"/>
            <w:hideMark/>
          </w:tcPr>
          <w:p w14:paraId="750283C4" w14:textId="77777777" w:rsidR="00625049" w:rsidRPr="004174AE" w:rsidRDefault="00625049" w:rsidP="00625049">
            <w:pPr>
              <w:spacing w:after="0"/>
              <w:ind w:firstLine="0"/>
              <w:jc w:val="center"/>
              <w:rPr>
                <w:rFonts w:eastAsia="Times New Roman"/>
                <w:color w:val="000000"/>
                <w:sz w:val="20"/>
                <w:szCs w:val="20"/>
              </w:rPr>
            </w:pPr>
            <w:r w:rsidRPr="004174AE">
              <w:rPr>
                <w:rFonts w:eastAsia="Times New Roman"/>
                <w:color w:val="000000"/>
                <w:sz w:val="20"/>
                <w:szCs w:val="20"/>
              </w:rPr>
              <w:t>---</w:t>
            </w:r>
          </w:p>
        </w:tc>
      </w:tr>
      <w:tr w:rsidR="00625049" w:rsidRPr="004174AE" w14:paraId="4E8B1B5F" w14:textId="77777777" w:rsidTr="00625049">
        <w:trPr>
          <w:trHeight w:val="20"/>
        </w:trPr>
        <w:tc>
          <w:tcPr>
            <w:tcW w:w="4653" w:type="dxa"/>
            <w:tcBorders>
              <w:top w:val="double" w:sz="6" w:space="0" w:color="auto"/>
              <w:left w:val="double" w:sz="6" w:space="0" w:color="auto"/>
              <w:bottom w:val="single" w:sz="4" w:space="0" w:color="auto"/>
              <w:right w:val="double" w:sz="6" w:space="0" w:color="auto"/>
            </w:tcBorders>
            <w:shd w:val="clear" w:color="auto" w:fill="auto"/>
            <w:noWrap/>
            <w:vAlign w:val="center"/>
            <w:hideMark/>
          </w:tcPr>
          <w:p w14:paraId="368AB0B9" w14:textId="77777777" w:rsidR="00625049" w:rsidRPr="004174AE" w:rsidRDefault="00625049" w:rsidP="00625049">
            <w:pPr>
              <w:spacing w:after="0"/>
              <w:ind w:firstLine="0"/>
              <w:jc w:val="left"/>
              <w:rPr>
                <w:rFonts w:eastAsia="Times New Roman"/>
                <w:b/>
                <w:bCs/>
                <w:color w:val="000000"/>
                <w:sz w:val="20"/>
                <w:szCs w:val="20"/>
              </w:rPr>
            </w:pPr>
            <w:r w:rsidRPr="004174AE">
              <w:rPr>
                <w:rFonts w:eastAsia="Times New Roman"/>
                <w:b/>
                <w:bCs/>
                <w:color w:val="000000"/>
                <w:sz w:val="20"/>
                <w:szCs w:val="20"/>
              </w:rPr>
              <w:t>Thresholds</w:t>
            </w:r>
          </w:p>
        </w:tc>
        <w:tc>
          <w:tcPr>
            <w:tcW w:w="827" w:type="dxa"/>
            <w:tcBorders>
              <w:top w:val="double" w:sz="6" w:space="0" w:color="auto"/>
              <w:left w:val="nil"/>
              <w:bottom w:val="single" w:sz="4" w:space="0" w:color="auto"/>
              <w:right w:val="single" w:sz="4" w:space="0" w:color="auto"/>
            </w:tcBorders>
            <w:shd w:val="clear" w:color="auto" w:fill="auto"/>
            <w:noWrap/>
            <w:vAlign w:val="center"/>
            <w:hideMark/>
          </w:tcPr>
          <w:p w14:paraId="01AA8500" w14:textId="77777777" w:rsidR="00625049" w:rsidRPr="004174AE" w:rsidRDefault="00625049" w:rsidP="00625049">
            <w:pPr>
              <w:spacing w:after="0"/>
              <w:ind w:firstLine="0"/>
              <w:jc w:val="center"/>
              <w:rPr>
                <w:rFonts w:eastAsia="Times New Roman"/>
                <w:b/>
                <w:bCs/>
                <w:color w:val="000000"/>
                <w:sz w:val="20"/>
                <w:szCs w:val="20"/>
              </w:rPr>
            </w:pPr>
            <w:r w:rsidRPr="004174AE">
              <w:rPr>
                <w:rFonts w:eastAsia="Times New Roman"/>
                <w:b/>
                <w:bCs/>
                <w:color w:val="000000"/>
                <w:sz w:val="20"/>
                <w:szCs w:val="20"/>
              </w:rPr>
              <w:t>Coef.</w:t>
            </w:r>
          </w:p>
        </w:tc>
        <w:tc>
          <w:tcPr>
            <w:tcW w:w="910" w:type="dxa"/>
            <w:tcBorders>
              <w:top w:val="double" w:sz="6" w:space="0" w:color="auto"/>
              <w:left w:val="single" w:sz="4" w:space="0" w:color="auto"/>
              <w:bottom w:val="single" w:sz="4" w:space="0" w:color="auto"/>
              <w:right w:val="double" w:sz="6" w:space="0" w:color="auto"/>
            </w:tcBorders>
            <w:shd w:val="clear" w:color="auto" w:fill="auto"/>
            <w:noWrap/>
            <w:vAlign w:val="center"/>
            <w:hideMark/>
          </w:tcPr>
          <w:p w14:paraId="05BCF1AC" w14:textId="77777777" w:rsidR="00625049" w:rsidRPr="004174AE" w:rsidRDefault="00625049" w:rsidP="00625049">
            <w:pPr>
              <w:spacing w:after="0"/>
              <w:ind w:firstLine="0"/>
              <w:jc w:val="center"/>
              <w:rPr>
                <w:rFonts w:eastAsia="Times New Roman"/>
                <w:b/>
                <w:bCs/>
                <w:color w:val="000000"/>
                <w:sz w:val="20"/>
                <w:szCs w:val="20"/>
              </w:rPr>
            </w:pPr>
            <w:r w:rsidRPr="004174AE">
              <w:rPr>
                <w:rFonts w:eastAsia="Times New Roman"/>
                <w:b/>
                <w:bCs/>
                <w:color w:val="000000"/>
                <w:sz w:val="20"/>
                <w:szCs w:val="20"/>
              </w:rPr>
              <w:t>t-stat</w:t>
            </w:r>
          </w:p>
        </w:tc>
        <w:tc>
          <w:tcPr>
            <w:tcW w:w="1701" w:type="dxa"/>
            <w:gridSpan w:val="2"/>
            <w:tcBorders>
              <w:top w:val="double" w:sz="6" w:space="0" w:color="auto"/>
              <w:left w:val="nil"/>
              <w:bottom w:val="single" w:sz="4" w:space="0" w:color="auto"/>
              <w:right w:val="double" w:sz="6" w:space="0" w:color="000000"/>
            </w:tcBorders>
            <w:shd w:val="clear" w:color="auto" w:fill="auto"/>
            <w:noWrap/>
            <w:vAlign w:val="center"/>
            <w:hideMark/>
          </w:tcPr>
          <w:p w14:paraId="3C900E75" w14:textId="77777777" w:rsidR="00625049" w:rsidRPr="004174AE" w:rsidRDefault="00625049" w:rsidP="00625049">
            <w:pPr>
              <w:spacing w:after="0"/>
              <w:ind w:firstLine="0"/>
              <w:jc w:val="center"/>
              <w:rPr>
                <w:rFonts w:eastAsia="Times New Roman"/>
                <w:b/>
                <w:bCs/>
                <w:color w:val="000000"/>
                <w:sz w:val="20"/>
                <w:szCs w:val="20"/>
              </w:rPr>
            </w:pPr>
            <w:r w:rsidRPr="004174AE">
              <w:rPr>
                <w:rFonts w:eastAsia="Times New Roman"/>
                <w:b/>
                <w:bCs/>
                <w:color w:val="000000"/>
                <w:sz w:val="20"/>
                <w:szCs w:val="20"/>
              </w:rPr>
              <w:t>Coef.</w:t>
            </w:r>
          </w:p>
        </w:tc>
        <w:tc>
          <w:tcPr>
            <w:tcW w:w="1629" w:type="dxa"/>
            <w:gridSpan w:val="2"/>
            <w:tcBorders>
              <w:top w:val="double" w:sz="6" w:space="0" w:color="auto"/>
              <w:left w:val="nil"/>
              <w:bottom w:val="single" w:sz="4" w:space="0" w:color="auto"/>
              <w:right w:val="double" w:sz="6" w:space="0" w:color="000000"/>
            </w:tcBorders>
            <w:shd w:val="clear" w:color="auto" w:fill="auto"/>
            <w:noWrap/>
            <w:vAlign w:val="center"/>
            <w:hideMark/>
          </w:tcPr>
          <w:p w14:paraId="7D876719" w14:textId="77777777" w:rsidR="00625049" w:rsidRPr="004174AE" w:rsidRDefault="00625049" w:rsidP="00625049">
            <w:pPr>
              <w:spacing w:after="0"/>
              <w:ind w:firstLine="0"/>
              <w:jc w:val="center"/>
              <w:rPr>
                <w:rFonts w:eastAsia="Times New Roman"/>
                <w:b/>
                <w:bCs/>
                <w:color w:val="000000"/>
                <w:sz w:val="20"/>
                <w:szCs w:val="20"/>
              </w:rPr>
            </w:pPr>
            <w:r w:rsidRPr="004174AE">
              <w:rPr>
                <w:rFonts w:eastAsia="Times New Roman"/>
                <w:b/>
                <w:bCs/>
                <w:color w:val="000000"/>
                <w:sz w:val="20"/>
                <w:szCs w:val="20"/>
              </w:rPr>
              <w:t>t-stat</w:t>
            </w:r>
          </w:p>
        </w:tc>
      </w:tr>
      <w:tr w:rsidR="00625049" w:rsidRPr="004174AE" w14:paraId="629C4319" w14:textId="77777777" w:rsidTr="00625049">
        <w:trPr>
          <w:trHeight w:val="20"/>
        </w:trPr>
        <w:tc>
          <w:tcPr>
            <w:tcW w:w="4653" w:type="dxa"/>
            <w:tcBorders>
              <w:top w:val="single" w:sz="4" w:space="0" w:color="auto"/>
              <w:left w:val="double" w:sz="6" w:space="0" w:color="auto"/>
              <w:bottom w:val="single" w:sz="4" w:space="0" w:color="auto"/>
              <w:right w:val="double" w:sz="6" w:space="0" w:color="auto"/>
            </w:tcBorders>
            <w:shd w:val="clear" w:color="auto" w:fill="auto"/>
            <w:noWrap/>
            <w:vAlign w:val="center"/>
            <w:hideMark/>
          </w:tcPr>
          <w:p w14:paraId="49A5FDED" w14:textId="77777777" w:rsidR="00625049" w:rsidRPr="004174AE" w:rsidRDefault="00625049" w:rsidP="00625049">
            <w:pPr>
              <w:spacing w:after="0"/>
              <w:ind w:firstLine="0"/>
              <w:jc w:val="left"/>
              <w:rPr>
                <w:rFonts w:eastAsia="Times New Roman"/>
                <w:color w:val="000000"/>
                <w:sz w:val="20"/>
                <w:szCs w:val="20"/>
              </w:rPr>
            </w:pPr>
            <w:r w:rsidRPr="004174AE">
              <w:rPr>
                <w:rFonts w:eastAsia="Times New Roman"/>
                <w:color w:val="000000"/>
                <w:sz w:val="20"/>
                <w:szCs w:val="20"/>
              </w:rPr>
              <w:t xml:space="preserve">   Threshold 1</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14:paraId="000B54F4"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0.132</w:t>
            </w:r>
          </w:p>
        </w:tc>
        <w:tc>
          <w:tcPr>
            <w:tcW w:w="910"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14:paraId="4DC6BEAD"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2.142</w:t>
            </w:r>
          </w:p>
        </w:tc>
        <w:tc>
          <w:tcPr>
            <w:tcW w:w="1701" w:type="dxa"/>
            <w:gridSpan w:val="2"/>
            <w:tcBorders>
              <w:top w:val="single" w:sz="4" w:space="0" w:color="auto"/>
              <w:left w:val="nil"/>
              <w:bottom w:val="single" w:sz="4" w:space="0" w:color="auto"/>
              <w:right w:val="double" w:sz="6" w:space="0" w:color="000000"/>
            </w:tcBorders>
            <w:shd w:val="clear" w:color="auto" w:fill="auto"/>
            <w:noWrap/>
            <w:vAlign w:val="center"/>
            <w:hideMark/>
          </w:tcPr>
          <w:p w14:paraId="5C8DC8DE" w14:textId="77777777" w:rsidR="00625049" w:rsidRPr="004174AE" w:rsidRDefault="00625049" w:rsidP="00625049">
            <w:pPr>
              <w:spacing w:after="0"/>
              <w:ind w:firstLine="0"/>
              <w:jc w:val="center"/>
              <w:rPr>
                <w:rFonts w:eastAsia="Times New Roman"/>
                <w:color w:val="000000"/>
                <w:sz w:val="20"/>
                <w:szCs w:val="20"/>
              </w:rPr>
            </w:pPr>
            <w:r w:rsidRPr="004174AE">
              <w:rPr>
                <w:rFonts w:eastAsia="Times New Roman"/>
                <w:color w:val="000000"/>
                <w:sz w:val="20"/>
                <w:szCs w:val="20"/>
              </w:rPr>
              <w:t>1.009</w:t>
            </w:r>
          </w:p>
        </w:tc>
        <w:tc>
          <w:tcPr>
            <w:tcW w:w="1629" w:type="dxa"/>
            <w:gridSpan w:val="2"/>
            <w:tcBorders>
              <w:top w:val="single" w:sz="4" w:space="0" w:color="auto"/>
              <w:left w:val="nil"/>
              <w:bottom w:val="single" w:sz="4" w:space="0" w:color="auto"/>
              <w:right w:val="double" w:sz="6" w:space="0" w:color="000000"/>
            </w:tcBorders>
            <w:shd w:val="clear" w:color="auto" w:fill="auto"/>
            <w:noWrap/>
            <w:vAlign w:val="center"/>
            <w:hideMark/>
          </w:tcPr>
          <w:p w14:paraId="465FC1D8" w14:textId="77777777" w:rsidR="00625049" w:rsidRPr="004174AE" w:rsidRDefault="00625049" w:rsidP="00625049">
            <w:pPr>
              <w:spacing w:after="0"/>
              <w:ind w:firstLine="0"/>
              <w:jc w:val="center"/>
              <w:rPr>
                <w:rFonts w:eastAsia="Times New Roman"/>
                <w:color w:val="000000"/>
                <w:sz w:val="20"/>
                <w:szCs w:val="20"/>
              </w:rPr>
            </w:pPr>
            <w:r w:rsidRPr="004174AE">
              <w:rPr>
                <w:rFonts w:eastAsia="Times New Roman"/>
                <w:color w:val="000000"/>
                <w:sz w:val="20"/>
                <w:szCs w:val="20"/>
              </w:rPr>
              <w:t>11.403</w:t>
            </w:r>
          </w:p>
        </w:tc>
      </w:tr>
      <w:tr w:rsidR="00625049" w:rsidRPr="004174AE" w14:paraId="43C02781" w14:textId="77777777" w:rsidTr="00625049">
        <w:trPr>
          <w:trHeight w:val="20"/>
        </w:trPr>
        <w:tc>
          <w:tcPr>
            <w:tcW w:w="4653" w:type="dxa"/>
            <w:tcBorders>
              <w:top w:val="single" w:sz="4" w:space="0" w:color="auto"/>
              <w:left w:val="double" w:sz="6" w:space="0" w:color="auto"/>
              <w:bottom w:val="single" w:sz="4" w:space="0" w:color="auto"/>
              <w:right w:val="double" w:sz="6" w:space="0" w:color="auto"/>
            </w:tcBorders>
            <w:shd w:val="clear" w:color="auto" w:fill="auto"/>
            <w:noWrap/>
            <w:vAlign w:val="center"/>
            <w:hideMark/>
          </w:tcPr>
          <w:p w14:paraId="1FC708CD" w14:textId="77777777" w:rsidR="00625049" w:rsidRPr="004174AE" w:rsidRDefault="00625049" w:rsidP="00625049">
            <w:pPr>
              <w:spacing w:after="0"/>
              <w:ind w:firstLine="0"/>
              <w:jc w:val="left"/>
              <w:rPr>
                <w:rFonts w:eastAsia="Times New Roman"/>
                <w:color w:val="000000"/>
                <w:sz w:val="20"/>
                <w:szCs w:val="20"/>
              </w:rPr>
            </w:pPr>
            <w:r w:rsidRPr="004174AE">
              <w:rPr>
                <w:rFonts w:eastAsia="Times New Roman"/>
                <w:color w:val="000000"/>
                <w:sz w:val="20"/>
                <w:szCs w:val="20"/>
              </w:rPr>
              <w:t xml:space="preserve">   Threshold 2</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14:paraId="31A95779"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w:t>
            </w:r>
          </w:p>
        </w:tc>
        <w:tc>
          <w:tcPr>
            <w:tcW w:w="910"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14:paraId="488D7CDF"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w:t>
            </w:r>
          </w:p>
        </w:tc>
        <w:tc>
          <w:tcPr>
            <w:tcW w:w="1701" w:type="dxa"/>
            <w:gridSpan w:val="2"/>
            <w:tcBorders>
              <w:top w:val="single" w:sz="4" w:space="0" w:color="auto"/>
              <w:left w:val="nil"/>
              <w:bottom w:val="single" w:sz="4" w:space="0" w:color="auto"/>
              <w:right w:val="double" w:sz="6" w:space="0" w:color="000000"/>
            </w:tcBorders>
            <w:shd w:val="clear" w:color="auto" w:fill="auto"/>
            <w:noWrap/>
            <w:vAlign w:val="center"/>
            <w:hideMark/>
          </w:tcPr>
          <w:p w14:paraId="76FC4E86" w14:textId="77777777" w:rsidR="00625049" w:rsidRPr="004174AE" w:rsidRDefault="00625049" w:rsidP="00625049">
            <w:pPr>
              <w:spacing w:after="0"/>
              <w:ind w:firstLine="0"/>
              <w:jc w:val="center"/>
              <w:rPr>
                <w:rFonts w:eastAsia="Times New Roman"/>
                <w:color w:val="000000"/>
                <w:sz w:val="20"/>
                <w:szCs w:val="20"/>
              </w:rPr>
            </w:pPr>
            <w:r w:rsidRPr="004174AE">
              <w:rPr>
                <w:rFonts w:eastAsia="Times New Roman"/>
                <w:color w:val="000000"/>
                <w:sz w:val="20"/>
                <w:szCs w:val="20"/>
              </w:rPr>
              <w:t>1.528</w:t>
            </w:r>
          </w:p>
        </w:tc>
        <w:tc>
          <w:tcPr>
            <w:tcW w:w="1629" w:type="dxa"/>
            <w:gridSpan w:val="2"/>
            <w:tcBorders>
              <w:top w:val="single" w:sz="4" w:space="0" w:color="auto"/>
              <w:left w:val="nil"/>
              <w:bottom w:val="single" w:sz="4" w:space="0" w:color="auto"/>
              <w:right w:val="double" w:sz="6" w:space="0" w:color="000000"/>
            </w:tcBorders>
            <w:shd w:val="clear" w:color="auto" w:fill="auto"/>
            <w:noWrap/>
            <w:vAlign w:val="center"/>
            <w:hideMark/>
          </w:tcPr>
          <w:p w14:paraId="485D70E0" w14:textId="77777777" w:rsidR="00625049" w:rsidRPr="004174AE" w:rsidRDefault="00625049" w:rsidP="00625049">
            <w:pPr>
              <w:spacing w:after="0"/>
              <w:ind w:firstLine="0"/>
              <w:jc w:val="center"/>
              <w:rPr>
                <w:rFonts w:eastAsia="Times New Roman"/>
                <w:color w:val="000000"/>
                <w:sz w:val="20"/>
                <w:szCs w:val="20"/>
              </w:rPr>
            </w:pPr>
            <w:r w:rsidRPr="004174AE">
              <w:rPr>
                <w:rFonts w:eastAsia="Times New Roman"/>
                <w:color w:val="000000"/>
                <w:sz w:val="20"/>
                <w:szCs w:val="20"/>
              </w:rPr>
              <w:t>17.443</w:t>
            </w:r>
          </w:p>
        </w:tc>
      </w:tr>
      <w:tr w:rsidR="00625049" w:rsidRPr="004174AE" w14:paraId="309079F3" w14:textId="77777777" w:rsidTr="00625049">
        <w:trPr>
          <w:trHeight w:val="20"/>
        </w:trPr>
        <w:tc>
          <w:tcPr>
            <w:tcW w:w="4653" w:type="dxa"/>
            <w:tcBorders>
              <w:top w:val="single" w:sz="4" w:space="0" w:color="auto"/>
              <w:left w:val="double" w:sz="6" w:space="0" w:color="auto"/>
              <w:bottom w:val="single" w:sz="4" w:space="0" w:color="auto"/>
              <w:right w:val="double" w:sz="6" w:space="0" w:color="auto"/>
            </w:tcBorders>
            <w:shd w:val="clear" w:color="auto" w:fill="auto"/>
            <w:noWrap/>
            <w:vAlign w:val="center"/>
            <w:hideMark/>
          </w:tcPr>
          <w:p w14:paraId="3DB84971" w14:textId="77777777" w:rsidR="00625049" w:rsidRPr="004174AE" w:rsidRDefault="00625049" w:rsidP="00625049">
            <w:pPr>
              <w:spacing w:after="0"/>
              <w:ind w:firstLine="0"/>
              <w:jc w:val="left"/>
              <w:rPr>
                <w:rFonts w:eastAsia="Times New Roman"/>
                <w:color w:val="000000"/>
                <w:sz w:val="20"/>
                <w:szCs w:val="20"/>
              </w:rPr>
            </w:pPr>
            <w:r w:rsidRPr="004174AE">
              <w:rPr>
                <w:rFonts w:eastAsia="Times New Roman"/>
                <w:color w:val="000000"/>
                <w:sz w:val="20"/>
                <w:szCs w:val="20"/>
              </w:rPr>
              <w:t xml:space="preserve">   Threshold 3</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14:paraId="61E65C20"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w:t>
            </w:r>
          </w:p>
        </w:tc>
        <w:tc>
          <w:tcPr>
            <w:tcW w:w="910" w:type="dxa"/>
            <w:tcBorders>
              <w:top w:val="single" w:sz="4" w:space="0" w:color="auto"/>
              <w:left w:val="single" w:sz="4" w:space="0" w:color="auto"/>
              <w:bottom w:val="single" w:sz="4" w:space="0" w:color="auto"/>
              <w:right w:val="double" w:sz="6" w:space="0" w:color="auto"/>
            </w:tcBorders>
            <w:shd w:val="clear" w:color="auto" w:fill="auto"/>
            <w:noWrap/>
            <w:vAlign w:val="center"/>
            <w:hideMark/>
          </w:tcPr>
          <w:p w14:paraId="5D691CED"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w:t>
            </w:r>
          </w:p>
        </w:tc>
        <w:tc>
          <w:tcPr>
            <w:tcW w:w="1701" w:type="dxa"/>
            <w:gridSpan w:val="2"/>
            <w:tcBorders>
              <w:top w:val="single" w:sz="4" w:space="0" w:color="auto"/>
              <w:left w:val="nil"/>
              <w:bottom w:val="single" w:sz="4" w:space="0" w:color="auto"/>
              <w:right w:val="double" w:sz="6" w:space="0" w:color="000000"/>
            </w:tcBorders>
            <w:shd w:val="clear" w:color="auto" w:fill="auto"/>
            <w:noWrap/>
            <w:vAlign w:val="center"/>
            <w:hideMark/>
          </w:tcPr>
          <w:p w14:paraId="2487A01E" w14:textId="77777777" w:rsidR="00625049" w:rsidRPr="004174AE" w:rsidRDefault="00625049" w:rsidP="00625049">
            <w:pPr>
              <w:spacing w:after="0"/>
              <w:ind w:firstLine="0"/>
              <w:jc w:val="center"/>
              <w:rPr>
                <w:rFonts w:eastAsia="Times New Roman"/>
                <w:color w:val="000000"/>
                <w:sz w:val="20"/>
                <w:szCs w:val="20"/>
              </w:rPr>
            </w:pPr>
            <w:r w:rsidRPr="004174AE">
              <w:rPr>
                <w:rFonts w:eastAsia="Times New Roman"/>
                <w:color w:val="000000"/>
                <w:sz w:val="20"/>
                <w:szCs w:val="20"/>
              </w:rPr>
              <w:t>2.27</w:t>
            </w:r>
          </w:p>
        </w:tc>
        <w:tc>
          <w:tcPr>
            <w:tcW w:w="1629" w:type="dxa"/>
            <w:gridSpan w:val="2"/>
            <w:tcBorders>
              <w:top w:val="single" w:sz="4" w:space="0" w:color="auto"/>
              <w:left w:val="nil"/>
              <w:bottom w:val="single" w:sz="4" w:space="0" w:color="auto"/>
              <w:right w:val="double" w:sz="6" w:space="0" w:color="000000"/>
            </w:tcBorders>
            <w:shd w:val="clear" w:color="auto" w:fill="auto"/>
            <w:noWrap/>
            <w:vAlign w:val="center"/>
            <w:hideMark/>
          </w:tcPr>
          <w:p w14:paraId="02166795" w14:textId="77777777" w:rsidR="00625049" w:rsidRPr="004174AE" w:rsidRDefault="00625049" w:rsidP="00625049">
            <w:pPr>
              <w:spacing w:after="0"/>
              <w:ind w:firstLine="0"/>
              <w:jc w:val="center"/>
              <w:rPr>
                <w:rFonts w:eastAsia="Times New Roman"/>
                <w:color w:val="000000"/>
                <w:sz w:val="20"/>
                <w:szCs w:val="20"/>
              </w:rPr>
            </w:pPr>
            <w:r w:rsidRPr="004174AE">
              <w:rPr>
                <w:rFonts w:eastAsia="Times New Roman"/>
                <w:color w:val="000000"/>
                <w:sz w:val="20"/>
                <w:szCs w:val="20"/>
              </w:rPr>
              <w:t>25.89</w:t>
            </w:r>
          </w:p>
        </w:tc>
      </w:tr>
      <w:tr w:rsidR="00625049" w:rsidRPr="004174AE" w14:paraId="6666FECC" w14:textId="77777777" w:rsidTr="00625049">
        <w:trPr>
          <w:trHeight w:val="20"/>
        </w:trPr>
        <w:tc>
          <w:tcPr>
            <w:tcW w:w="4653" w:type="dxa"/>
            <w:tcBorders>
              <w:top w:val="single" w:sz="4" w:space="0" w:color="auto"/>
              <w:left w:val="double" w:sz="6" w:space="0" w:color="auto"/>
              <w:bottom w:val="double" w:sz="6" w:space="0" w:color="auto"/>
              <w:right w:val="double" w:sz="6" w:space="0" w:color="auto"/>
            </w:tcBorders>
            <w:shd w:val="clear" w:color="auto" w:fill="auto"/>
            <w:noWrap/>
            <w:vAlign w:val="center"/>
            <w:hideMark/>
          </w:tcPr>
          <w:p w14:paraId="31A3294F" w14:textId="77777777" w:rsidR="00625049" w:rsidRPr="004174AE" w:rsidRDefault="00625049" w:rsidP="00625049">
            <w:pPr>
              <w:spacing w:after="0"/>
              <w:ind w:firstLine="0"/>
              <w:jc w:val="left"/>
              <w:rPr>
                <w:rFonts w:eastAsia="Times New Roman"/>
                <w:color w:val="000000"/>
                <w:sz w:val="20"/>
                <w:szCs w:val="20"/>
              </w:rPr>
            </w:pPr>
            <w:r w:rsidRPr="004174AE">
              <w:rPr>
                <w:rFonts w:eastAsia="Times New Roman"/>
                <w:color w:val="000000"/>
                <w:sz w:val="20"/>
                <w:szCs w:val="20"/>
              </w:rPr>
              <w:t xml:space="preserve">   Threshold 4</w:t>
            </w:r>
          </w:p>
        </w:tc>
        <w:tc>
          <w:tcPr>
            <w:tcW w:w="827" w:type="dxa"/>
            <w:tcBorders>
              <w:top w:val="single" w:sz="4" w:space="0" w:color="auto"/>
              <w:left w:val="nil"/>
              <w:bottom w:val="double" w:sz="6" w:space="0" w:color="auto"/>
              <w:right w:val="single" w:sz="4" w:space="0" w:color="auto"/>
            </w:tcBorders>
            <w:shd w:val="clear" w:color="auto" w:fill="auto"/>
            <w:noWrap/>
            <w:vAlign w:val="center"/>
            <w:hideMark/>
          </w:tcPr>
          <w:p w14:paraId="5B7497DC"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w:t>
            </w:r>
          </w:p>
        </w:tc>
        <w:tc>
          <w:tcPr>
            <w:tcW w:w="910" w:type="dxa"/>
            <w:tcBorders>
              <w:top w:val="single" w:sz="4" w:space="0" w:color="auto"/>
              <w:left w:val="single" w:sz="4" w:space="0" w:color="auto"/>
              <w:bottom w:val="double" w:sz="6" w:space="0" w:color="auto"/>
              <w:right w:val="double" w:sz="6" w:space="0" w:color="auto"/>
            </w:tcBorders>
            <w:shd w:val="clear" w:color="auto" w:fill="auto"/>
            <w:noWrap/>
            <w:vAlign w:val="center"/>
            <w:hideMark/>
          </w:tcPr>
          <w:p w14:paraId="22F2BCCC" w14:textId="77777777" w:rsidR="00625049" w:rsidRPr="004174AE" w:rsidRDefault="00625049" w:rsidP="00625049">
            <w:pPr>
              <w:spacing w:after="0"/>
              <w:ind w:firstLine="0"/>
              <w:jc w:val="right"/>
              <w:rPr>
                <w:rFonts w:eastAsia="Times New Roman"/>
                <w:color w:val="000000"/>
                <w:sz w:val="20"/>
                <w:szCs w:val="20"/>
              </w:rPr>
            </w:pPr>
            <w:r w:rsidRPr="004174AE">
              <w:rPr>
                <w:rFonts w:eastAsia="Times New Roman"/>
                <w:color w:val="000000"/>
                <w:sz w:val="20"/>
                <w:szCs w:val="20"/>
              </w:rPr>
              <w:t>---</w:t>
            </w:r>
          </w:p>
        </w:tc>
        <w:tc>
          <w:tcPr>
            <w:tcW w:w="1701" w:type="dxa"/>
            <w:gridSpan w:val="2"/>
            <w:tcBorders>
              <w:top w:val="single" w:sz="4" w:space="0" w:color="auto"/>
              <w:left w:val="nil"/>
              <w:bottom w:val="double" w:sz="6" w:space="0" w:color="auto"/>
              <w:right w:val="double" w:sz="6" w:space="0" w:color="000000"/>
            </w:tcBorders>
            <w:shd w:val="clear" w:color="auto" w:fill="auto"/>
            <w:noWrap/>
            <w:vAlign w:val="center"/>
            <w:hideMark/>
          </w:tcPr>
          <w:p w14:paraId="5541AAD6" w14:textId="77777777" w:rsidR="00625049" w:rsidRPr="004174AE" w:rsidRDefault="00625049" w:rsidP="00625049">
            <w:pPr>
              <w:spacing w:after="0"/>
              <w:ind w:firstLine="0"/>
              <w:jc w:val="center"/>
              <w:rPr>
                <w:rFonts w:eastAsia="Times New Roman"/>
                <w:color w:val="000000"/>
                <w:sz w:val="20"/>
                <w:szCs w:val="20"/>
              </w:rPr>
            </w:pPr>
            <w:r w:rsidRPr="004174AE">
              <w:rPr>
                <w:rFonts w:eastAsia="Times New Roman"/>
                <w:color w:val="000000"/>
                <w:sz w:val="20"/>
                <w:szCs w:val="20"/>
              </w:rPr>
              <w:t>2.676</w:t>
            </w:r>
          </w:p>
        </w:tc>
        <w:tc>
          <w:tcPr>
            <w:tcW w:w="1629" w:type="dxa"/>
            <w:gridSpan w:val="2"/>
            <w:tcBorders>
              <w:top w:val="single" w:sz="4" w:space="0" w:color="auto"/>
              <w:left w:val="nil"/>
              <w:bottom w:val="double" w:sz="6" w:space="0" w:color="auto"/>
              <w:right w:val="double" w:sz="6" w:space="0" w:color="000000"/>
            </w:tcBorders>
            <w:shd w:val="clear" w:color="auto" w:fill="auto"/>
            <w:noWrap/>
            <w:vAlign w:val="center"/>
            <w:hideMark/>
          </w:tcPr>
          <w:p w14:paraId="5343AD95" w14:textId="77777777" w:rsidR="00625049" w:rsidRPr="004174AE" w:rsidRDefault="00625049" w:rsidP="00625049">
            <w:pPr>
              <w:spacing w:after="0"/>
              <w:ind w:firstLine="0"/>
              <w:jc w:val="center"/>
              <w:rPr>
                <w:rFonts w:eastAsia="Times New Roman"/>
                <w:color w:val="000000"/>
                <w:sz w:val="20"/>
                <w:szCs w:val="20"/>
              </w:rPr>
            </w:pPr>
            <w:r w:rsidRPr="004174AE">
              <w:rPr>
                <w:rFonts w:eastAsia="Times New Roman"/>
                <w:color w:val="000000"/>
                <w:sz w:val="20"/>
                <w:szCs w:val="20"/>
              </w:rPr>
              <w:t>30.052</w:t>
            </w:r>
          </w:p>
        </w:tc>
      </w:tr>
      <w:tr w:rsidR="00625049" w:rsidRPr="004174AE" w14:paraId="63EB0782" w14:textId="77777777" w:rsidTr="00625049">
        <w:trPr>
          <w:trHeight w:val="20"/>
        </w:trPr>
        <w:tc>
          <w:tcPr>
            <w:tcW w:w="9720" w:type="dxa"/>
            <w:gridSpan w:val="7"/>
            <w:tcBorders>
              <w:top w:val="double" w:sz="6" w:space="0" w:color="auto"/>
              <w:left w:val="nil"/>
              <w:bottom w:val="nil"/>
              <w:right w:val="nil"/>
            </w:tcBorders>
            <w:shd w:val="clear" w:color="auto" w:fill="auto"/>
            <w:vAlign w:val="center"/>
            <w:hideMark/>
          </w:tcPr>
          <w:p w14:paraId="1849D7DD" w14:textId="77777777" w:rsidR="00625049" w:rsidRPr="004174AE" w:rsidRDefault="00625049" w:rsidP="00625049">
            <w:pPr>
              <w:spacing w:after="0"/>
              <w:ind w:firstLine="0"/>
              <w:jc w:val="left"/>
              <w:rPr>
                <w:rFonts w:eastAsia="Times New Roman"/>
                <w:color w:val="000000"/>
                <w:sz w:val="20"/>
                <w:szCs w:val="20"/>
              </w:rPr>
            </w:pPr>
            <w:r w:rsidRPr="004174AE">
              <w:rPr>
                <w:rFonts w:eastAsia="Times New Roman"/>
                <w:color w:val="000000"/>
                <w:sz w:val="20"/>
                <w:szCs w:val="20"/>
              </w:rPr>
              <w:t>Number of observations: 8,542</w:t>
            </w:r>
          </w:p>
        </w:tc>
      </w:tr>
      <w:tr w:rsidR="00625049" w:rsidRPr="004174AE" w14:paraId="76C313F1" w14:textId="77777777" w:rsidTr="00625049">
        <w:trPr>
          <w:trHeight w:val="20"/>
        </w:trPr>
        <w:tc>
          <w:tcPr>
            <w:tcW w:w="9720" w:type="dxa"/>
            <w:gridSpan w:val="7"/>
            <w:tcBorders>
              <w:top w:val="nil"/>
              <w:left w:val="nil"/>
              <w:bottom w:val="nil"/>
              <w:right w:val="nil"/>
            </w:tcBorders>
            <w:shd w:val="clear" w:color="auto" w:fill="auto"/>
            <w:vAlign w:val="center"/>
            <w:hideMark/>
          </w:tcPr>
          <w:p w14:paraId="4A8BF858" w14:textId="77777777" w:rsidR="00625049" w:rsidRPr="004174AE" w:rsidRDefault="00625049" w:rsidP="00625049">
            <w:pPr>
              <w:spacing w:after="0"/>
              <w:ind w:firstLine="0"/>
              <w:jc w:val="left"/>
              <w:rPr>
                <w:rFonts w:eastAsia="Times New Roman"/>
                <w:color w:val="000000"/>
                <w:sz w:val="20"/>
                <w:szCs w:val="20"/>
              </w:rPr>
            </w:pPr>
            <w:r w:rsidRPr="004174AE">
              <w:rPr>
                <w:rFonts w:eastAsia="Times New Roman"/>
                <w:color w:val="000000"/>
                <w:sz w:val="20"/>
                <w:szCs w:val="20"/>
              </w:rPr>
              <w:t>Number of parameters: 35</w:t>
            </w:r>
          </w:p>
        </w:tc>
      </w:tr>
      <w:tr w:rsidR="00625049" w:rsidRPr="004174AE" w14:paraId="388E65B4" w14:textId="77777777" w:rsidTr="00625049">
        <w:trPr>
          <w:trHeight w:val="20"/>
        </w:trPr>
        <w:tc>
          <w:tcPr>
            <w:tcW w:w="9720" w:type="dxa"/>
            <w:gridSpan w:val="7"/>
            <w:tcBorders>
              <w:top w:val="nil"/>
              <w:left w:val="nil"/>
              <w:bottom w:val="nil"/>
              <w:right w:val="nil"/>
            </w:tcBorders>
            <w:shd w:val="clear" w:color="auto" w:fill="auto"/>
            <w:vAlign w:val="center"/>
            <w:hideMark/>
          </w:tcPr>
          <w:p w14:paraId="34E10BCC" w14:textId="77777777" w:rsidR="00625049" w:rsidRPr="004174AE" w:rsidRDefault="00625049" w:rsidP="00625049">
            <w:pPr>
              <w:spacing w:after="0"/>
              <w:ind w:firstLine="0"/>
              <w:jc w:val="left"/>
              <w:rPr>
                <w:rFonts w:eastAsia="Times New Roman"/>
                <w:color w:val="000000"/>
                <w:sz w:val="20"/>
                <w:szCs w:val="20"/>
              </w:rPr>
            </w:pPr>
            <w:r w:rsidRPr="004174AE">
              <w:rPr>
                <w:rFonts w:eastAsia="Times New Roman"/>
                <w:color w:val="000000"/>
                <w:sz w:val="20"/>
                <w:szCs w:val="20"/>
              </w:rPr>
              <w:t>Null Log-likelihood (only thresholds): -15,831</w:t>
            </w:r>
          </w:p>
        </w:tc>
      </w:tr>
      <w:tr w:rsidR="00625049" w:rsidRPr="004174AE" w14:paraId="45A7F852" w14:textId="77777777" w:rsidTr="00625049">
        <w:trPr>
          <w:trHeight w:val="20"/>
        </w:trPr>
        <w:tc>
          <w:tcPr>
            <w:tcW w:w="9720" w:type="dxa"/>
            <w:gridSpan w:val="7"/>
            <w:tcBorders>
              <w:top w:val="nil"/>
              <w:left w:val="nil"/>
              <w:bottom w:val="nil"/>
              <w:right w:val="nil"/>
            </w:tcBorders>
            <w:shd w:val="clear" w:color="auto" w:fill="auto"/>
            <w:vAlign w:val="center"/>
            <w:hideMark/>
          </w:tcPr>
          <w:p w14:paraId="49E08700" w14:textId="77777777" w:rsidR="00625049" w:rsidRPr="004174AE" w:rsidRDefault="00625049" w:rsidP="00625049">
            <w:pPr>
              <w:spacing w:after="0"/>
              <w:ind w:firstLine="0"/>
              <w:jc w:val="left"/>
              <w:rPr>
                <w:rFonts w:eastAsia="Times New Roman"/>
                <w:color w:val="000000"/>
                <w:sz w:val="20"/>
                <w:szCs w:val="20"/>
              </w:rPr>
            </w:pPr>
            <w:proofErr w:type="spellStart"/>
            <w:r w:rsidRPr="004174AE">
              <w:rPr>
                <w:rFonts w:eastAsia="Times New Roman"/>
                <w:color w:val="000000"/>
                <w:sz w:val="20"/>
                <w:szCs w:val="20"/>
              </w:rPr>
              <w:t>Indep</w:t>
            </w:r>
            <w:proofErr w:type="spellEnd"/>
            <w:r w:rsidRPr="004174AE">
              <w:rPr>
                <w:rFonts w:eastAsia="Times New Roman"/>
                <w:color w:val="000000"/>
                <w:sz w:val="20"/>
                <w:szCs w:val="20"/>
              </w:rPr>
              <w:t>. Log-likelihood (no correlation): -12,588</w:t>
            </w:r>
          </w:p>
        </w:tc>
      </w:tr>
      <w:tr w:rsidR="00625049" w:rsidRPr="004174AE" w14:paraId="69868041" w14:textId="77777777" w:rsidTr="00625049">
        <w:trPr>
          <w:trHeight w:val="20"/>
        </w:trPr>
        <w:tc>
          <w:tcPr>
            <w:tcW w:w="9720" w:type="dxa"/>
            <w:gridSpan w:val="7"/>
            <w:tcBorders>
              <w:top w:val="nil"/>
              <w:left w:val="nil"/>
              <w:bottom w:val="nil"/>
              <w:right w:val="nil"/>
            </w:tcBorders>
            <w:shd w:val="clear" w:color="auto" w:fill="auto"/>
            <w:vAlign w:val="center"/>
            <w:hideMark/>
          </w:tcPr>
          <w:p w14:paraId="57EE3C27" w14:textId="77777777" w:rsidR="00625049" w:rsidRPr="004174AE" w:rsidRDefault="00625049" w:rsidP="00625049">
            <w:pPr>
              <w:spacing w:after="0"/>
              <w:ind w:firstLine="0"/>
              <w:jc w:val="left"/>
              <w:rPr>
                <w:rFonts w:eastAsia="Times New Roman"/>
                <w:color w:val="000000"/>
                <w:sz w:val="20"/>
                <w:szCs w:val="20"/>
              </w:rPr>
            </w:pPr>
            <w:r w:rsidRPr="004174AE">
              <w:rPr>
                <w:rFonts w:eastAsia="Times New Roman"/>
                <w:color w:val="000000"/>
                <w:sz w:val="20"/>
                <w:szCs w:val="20"/>
              </w:rPr>
              <w:t>Full Log-likelihood: -12,558</w:t>
            </w:r>
          </w:p>
        </w:tc>
      </w:tr>
      <w:tr w:rsidR="00625049" w:rsidRPr="004174AE" w14:paraId="75335F29" w14:textId="77777777" w:rsidTr="00625049">
        <w:trPr>
          <w:trHeight w:val="20"/>
        </w:trPr>
        <w:tc>
          <w:tcPr>
            <w:tcW w:w="9720" w:type="dxa"/>
            <w:gridSpan w:val="7"/>
            <w:tcBorders>
              <w:top w:val="nil"/>
              <w:left w:val="nil"/>
              <w:bottom w:val="nil"/>
              <w:right w:val="nil"/>
            </w:tcBorders>
            <w:shd w:val="clear" w:color="auto" w:fill="auto"/>
            <w:vAlign w:val="center"/>
            <w:hideMark/>
          </w:tcPr>
          <w:p w14:paraId="67F32084" w14:textId="77777777" w:rsidR="00625049" w:rsidRPr="004174AE" w:rsidRDefault="00625049" w:rsidP="00625049">
            <w:pPr>
              <w:spacing w:after="0"/>
              <w:ind w:firstLine="0"/>
              <w:jc w:val="left"/>
              <w:rPr>
                <w:rFonts w:eastAsia="Times New Roman"/>
                <w:color w:val="000000"/>
                <w:sz w:val="20"/>
                <w:szCs w:val="20"/>
              </w:rPr>
            </w:pPr>
            <w:r w:rsidRPr="004174AE">
              <w:rPr>
                <w:rFonts w:eastAsia="Times New Roman"/>
                <w:color w:val="000000"/>
                <w:sz w:val="20"/>
                <w:szCs w:val="20"/>
              </w:rPr>
              <w:t>Likelihood Ratio: Full vs. Null (p-value): 6,546 (0.000)</w:t>
            </w:r>
          </w:p>
        </w:tc>
      </w:tr>
      <w:tr w:rsidR="00625049" w:rsidRPr="004174AE" w14:paraId="1BED398E" w14:textId="77777777" w:rsidTr="00625049">
        <w:trPr>
          <w:trHeight w:val="20"/>
        </w:trPr>
        <w:tc>
          <w:tcPr>
            <w:tcW w:w="9720" w:type="dxa"/>
            <w:gridSpan w:val="7"/>
            <w:tcBorders>
              <w:top w:val="nil"/>
              <w:left w:val="nil"/>
              <w:bottom w:val="nil"/>
              <w:right w:val="nil"/>
            </w:tcBorders>
            <w:shd w:val="clear" w:color="auto" w:fill="auto"/>
            <w:vAlign w:val="center"/>
            <w:hideMark/>
          </w:tcPr>
          <w:p w14:paraId="4ED6A7B9" w14:textId="77777777" w:rsidR="00625049" w:rsidRPr="004174AE" w:rsidRDefault="00625049" w:rsidP="00625049">
            <w:pPr>
              <w:spacing w:after="0"/>
              <w:ind w:firstLine="0"/>
              <w:jc w:val="left"/>
              <w:rPr>
                <w:rFonts w:eastAsia="Times New Roman"/>
                <w:color w:val="000000"/>
                <w:sz w:val="20"/>
                <w:szCs w:val="20"/>
              </w:rPr>
            </w:pPr>
            <w:r w:rsidRPr="004174AE">
              <w:rPr>
                <w:rFonts w:eastAsia="Times New Roman"/>
                <w:color w:val="000000"/>
                <w:sz w:val="20"/>
                <w:szCs w:val="20"/>
              </w:rPr>
              <w:t xml:space="preserve">Likelihood Ratio: Full vs. </w:t>
            </w:r>
            <w:proofErr w:type="spellStart"/>
            <w:r w:rsidRPr="004174AE">
              <w:rPr>
                <w:rFonts w:eastAsia="Times New Roman"/>
                <w:color w:val="000000"/>
                <w:sz w:val="20"/>
                <w:szCs w:val="20"/>
              </w:rPr>
              <w:t>Indep</w:t>
            </w:r>
            <w:proofErr w:type="spellEnd"/>
            <w:r w:rsidRPr="004174AE">
              <w:rPr>
                <w:rFonts w:eastAsia="Times New Roman"/>
                <w:color w:val="000000"/>
                <w:sz w:val="20"/>
                <w:szCs w:val="20"/>
              </w:rPr>
              <w:t>. (p-value): 60 (0.000)</w:t>
            </w:r>
          </w:p>
        </w:tc>
      </w:tr>
      <w:tr w:rsidR="00625049" w:rsidRPr="004174AE" w14:paraId="185C4EDC" w14:textId="77777777" w:rsidTr="00625049">
        <w:trPr>
          <w:trHeight w:val="20"/>
        </w:trPr>
        <w:tc>
          <w:tcPr>
            <w:tcW w:w="9720" w:type="dxa"/>
            <w:gridSpan w:val="7"/>
            <w:tcBorders>
              <w:top w:val="nil"/>
              <w:left w:val="nil"/>
              <w:bottom w:val="nil"/>
              <w:right w:val="nil"/>
            </w:tcBorders>
            <w:shd w:val="clear" w:color="auto" w:fill="auto"/>
            <w:vAlign w:val="center"/>
            <w:hideMark/>
          </w:tcPr>
          <w:p w14:paraId="76C5ABCA" w14:textId="77777777" w:rsidR="00625049" w:rsidRPr="004174AE" w:rsidRDefault="00625049" w:rsidP="00625049">
            <w:pPr>
              <w:spacing w:after="0"/>
              <w:ind w:firstLine="0"/>
              <w:jc w:val="left"/>
              <w:rPr>
                <w:rFonts w:eastAsia="Times New Roman"/>
                <w:color w:val="000000"/>
                <w:sz w:val="20"/>
                <w:szCs w:val="20"/>
              </w:rPr>
            </w:pPr>
            <w:r w:rsidRPr="004174AE">
              <w:rPr>
                <w:rFonts w:eastAsia="Times New Roman"/>
                <w:color w:val="000000"/>
                <w:sz w:val="20"/>
                <w:szCs w:val="20"/>
              </w:rPr>
              <w:t>Pseudo Rho Squared: 0.207</w:t>
            </w:r>
          </w:p>
        </w:tc>
      </w:tr>
      <w:tr w:rsidR="00625049" w:rsidRPr="004174AE" w14:paraId="3ACB303A" w14:textId="77777777" w:rsidTr="00625049">
        <w:trPr>
          <w:trHeight w:val="20"/>
        </w:trPr>
        <w:tc>
          <w:tcPr>
            <w:tcW w:w="9720" w:type="dxa"/>
            <w:gridSpan w:val="7"/>
            <w:tcBorders>
              <w:top w:val="nil"/>
              <w:left w:val="nil"/>
              <w:bottom w:val="nil"/>
              <w:right w:val="nil"/>
            </w:tcBorders>
            <w:shd w:val="clear" w:color="auto" w:fill="auto"/>
            <w:vAlign w:val="center"/>
            <w:hideMark/>
          </w:tcPr>
          <w:p w14:paraId="284A05BF" w14:textId="77777777" w:rsidR="00625049" w:rsidRPr="004174AE" w:rsidRDefault="00625049" w:rsidP="00625049">
            <w:pPr>
              <w:spacing w:after="0"/>
              <w:ind w:firstLine="0"/>
              <w:jc w:val="left"/>
              <w:rPr>
                <w:rFonts w:eastAsia="Times New Roman"/>
                <w:color w:val="000000"/>
                <w:sz w:val="20"/>
                <w:szCs w:val="20"/>
              </w:rPr>
            </w:pPr>
            <w:r w:rsidRPr="004174AE">
              <w:rPr>
                <w:rFonts w:eastAsia="Times New Roman"/>
                <w:color w:val="000000"/>
                <w:sz w:val="20"/>
                <w:szCs w:val="20"/>
              </w:rPr>
              <w:t>Adjusted Pseudo Rho Squared: 0.205</w:t>
            </w:r>
          </w:p>
        </w:tc>
      </w:tr>
    </w:tbl>
    <w:p w14:paraId="2005F19F" w14:textId="77777777" w:rsidR="00625049" w:rsidRDefault="00625049" w:rsidP="00625049">
      <w:pPr>
        <w:rPr>
          <w:highlight w:val="yellow"/>
        </w:rPr>
      </w:pPr>
    </w:p>
    <w:p w14:paraId="20D490A7" w14:textId="3A34DEA2" w:rsidR="00625049" w:rsidRDefault="00625049">
      <w:pPr>
        <w:spacing w:after="200" w:line="276" w:lineRule="auto"/>
        <w:ind w:firstLine="0"/>
        <w:jc w:val="left"/>
      </w:pPr>
      <w:r>
        <w:br w:type="page"/>
      </w:r>
    </w:p>
    <w:p w14:paraId="0061A571" w14:textId="2CA0F1AD" w:rsidR="00A47BC2" w:rsidRPr="00C6712A" w:rsidRDefault="00A47BC2" w:rsidP="00165042">
      <w:pPr>
        <w:pStyle w:val="Heading2"/>
        <w:spacing w:before="0" w:after="0"/>
      </w:pPr>
      <w:bookmarkStart w:id="10" w:name="_Ref18362679"/>
      <w:r w:rsidRPr="00C6712A">
        <w:lastRenderedPageBreak/>
        <w:t xml:space="preserve">Quantifying </w:t>
      </w:r>
      <w:r w:rsidR="00165042">
        <w:t>E</w:t>
      </w:r>
      <w:r w:rsidRPr="00C6712A">
        <w:t>ffects</w:t>
      </w:r>
      <w:bookmarkEnd w:id="10"/>
    </w:p>
    <w:p w14:paraId="3D14A237" w14:textId="0C4CF001" w:rsidR="00A47BC2" w:rsidRPr="00C6712A" w:rsidRDefault="00A47BC2" w:rsidP="00A47BC2">
      <w:pPr>
        <w:ind w:firstLine="0"/>
      </w:pPr>
      <w:r w:rsidRPr="00C6712A">
        <w:t xml:space="preserve">The procedure outlined in Section 4.2 is applied to estimate the effects of different variables on the evolution of ride-hailing usage over time. By calculating average treatment effects (ATEs), it is possible to obtain a clearer picture of the changes in ride-hailing trip frequency for different demographic groups. </w:t>
      </w:r>
      <w:r w:rsidR="007F06C1">
        <w:fldChar w:fldCharType="begin"/>
      </w:r>
      <w:r w:rsidR="007F06C1">
        <w:instrText xml:space="preserve"> REF _Ref33010462 \h </w:instrText>
      </w:r>
      <w:r w:rsidR="007F06C1">
        <w:fldChar w:fldCharType="separate"/>
      </w:r>
      <w:r w:rsidR="00453931" w:rsidRPr="00C6712A">
        <w:t xml:space="preserve">Table </w:t>
      </w:r>
      <w:r w:rsidR="00453931">
        <w:rPr>
          <w:noProof/>
        </w:rPr>
        <w:t>4</w:t>
      </w:r>
      <w:r w:rsidR="007F06C1">
        <w:fldChar w:fldCharType="end"/>
      </w:r>
      <w:r w:rsidRPr="00C6712A">
        <w:t xml:space="preserve"> presents the results of the ATE calculations. Four sets of results are presented in </w:t>
      </w:r>
      <w:r w:rsidR="007F06C1">
        <w:fldChar w:fldCharType="begin"/>
      </w:r>
      <w:r w:rsidR="007F06C1">
        <w:instrText xml:space="preserve"> REF _Ref33010462 \h </w:instrText>
      </w:r>
      <w:r w:rsidR="007F06C1">
        <w:fldChar w:fldCharType="separate"/>
      </w:r>
      <w:r w:rsidR="00453931" w:rsidRPr="00C6712A">
        <w:t xml:space="preserve">Table </w:t>
      </w:r>
      <w:r w:rsidR="00453931">
        <w:rPr>
          <w:noProof/>
        </w:rPr>
        <w:t>4</w:t>
      </w:r>
      <w:r w:rsidR="007F06C1">
        <w:fldChar w:fldCharType="end"/>
      </w:r>
      <w:r w:rsidRPr="00C6712A">
        <w:t>: “Across demographics within 2015”, “Across demographics within 2017”, “Across demographics from 2015 to 2017”, and “Within demographics from 2015 to 2017”. These four phenomena may be explained as follows, using the results for the “Age 35-54 years” variable as an illustration</w:t>
      </w:r>
      <w:r w:rsidR="00625049">
        <w:t xml:space="preserve">. </w:t>
      </w:r>
      <w:r w:rsidR="00625049" w:rsidRPr="00C6712A">
        <w:t>Note that these findings constitute “true” treatment effects after controlling for any sample selection effects – both due to observed and unobserved attributes.</w:t>
      </w:r>
    </w:p>
    <w:p w14:paraId="5B9FDA5E" w14:textId="5BB1F9C5" w:rsidR="00A47BC2" w:rsidRPr="00361F57" w:rsidRDefault="00A47BC2" w:rsidP="00165042">
      <w:pPr>
        <w:pStyle w:val="ListParagraph"/>
        <w:numPr>
          <w:ilvl w:val="0"/>
          <w:numId w:val="20"/>
        </w:numPr>
        <w:contextualSpacing w:val="0"/>
      </w:pPr>
      <w:r w:rsidRPr="00361F57">
        <w:rPr>
          <w:i/>
          <w:iCs/>
        </w:rPr>
        <w:t>Across Demographics within 2015</w:t>
      </w:r>
      <w:r w:rsidRPr="00361F57">
        <w:t>: Those aged 35-</w:t>
      </w:r>
      <w:r w:rsidR="00EC7BC2" w:rsidRPr="00361F57">
        <w:t>4</w:t>
      </w:r>
      <w:r w:rsidRPr="00361F57">
        <w:t xml:space="preserve">4 years </w:t>
      </w:r>
      <w:r w:rsidR="00341138" w:rsidRPr="00361F57">
        <w:t>made</w:t>
      </w:r>
      <w:r w:rsidRPr="00361F57">
        <w:t xml:space="preserve">, on average, </w:t>
      </w:r>
      <w:r w:rsidR="00371DFD" w:rsidRPr="00361F57">
        <w:t>0.</w:t>
      </w:r>
      <w:r w:rsidR="005F37A6">
        <w:t>905</w:t>
      </w:r>
      <w:r w:rsidRPr="00361F57">
        <w:t xml:space="preserve"> fewer ride-hailing trips per month (compared to those 18-34 years) in 2015. </w:t>
      </w:r>
    </w:p>
    <w:p w14:paraId="1E892DD4" w14:textId="6EDEA36F" w:rsidR="00A47BC2" w:rsidRPr="00361F57" w:rsidRDefault="00A47BC2" w:rsidP="00165042">
      <w:pPr>
        <w:pStyle w:val="ListParagraph"/>
        <w:numPr>
          <w:ilvl w:val="0"/>
          <w:numId w:val="20"/>
        </w:numPr>
        <w:contextualSpacing w:val="0"/>
      </w:pPr>
      <w:r w:rsidRPr="00361F57">
        <w:rPr>
          <w:i/>
          <w:iCs/>
        </w:rPr>
        <w:t>Across Demographics within 2017</w:t>
      </w:r>
      <w:r w:rsidRPr="00361F57">
        <w:t>: Those aged 35-</w:t>
      </w:r>
      <w:r w:rsidR="00EC7BC2" w:rsidRPr="00361F57">
        <w:t>4</w:t>
      </w:r>
      <w:r w:rsidRPr="00361F57">
        <w:t xml:space="preserve">4 years </w:t>
      </w:r>
      <w:r w:rsidR="00341138" w:rsidRPr="00361F57">
        <w:t>made</w:t>
      </w:r>
      <w:r w:rsidRPr="00361F57">
        <w:t xml:space="preserve">, on average, </w:t>
      </w:r>
      <w:r w:rsidR="003C6B8C" w:rsidRPr="00361F57">
        <w:t>0.</w:t>
      </w:r>
      <w:r w:rsidR="005F37A6">
        <w:t>943</w:t>
      </w:r>
      <w:r w:rsidRPr="00361F57">
        <w:t xml:space="preserve"> fewer ride-hailing trips per month (compared to those aged 18-34 years) in 2017.</w:t>
      </w:r>
    </w:p>
    <w:p w14:paraId="0FAFE427" w14:textId="5F390E47" w:rsidR="00A47BC2" w:rsidRPr="00361F57" w:rsidRDefault="00A47BC2" w:rsidP="00165042">
      <w:pPr>
        <w:pStyle w:val="ListParagraph"/>
        <w:numPr>
          <w:ilvl w:val="0"/>
          <w:numId w:val="20"/>
        </w:numPr>
        <w:contextualSpacing w:val="0"/>
      </w:pPr>
      <w:r w:rsidRPr="00361F57">
        <w:rPr>
          <w:i/>
          <w:iCs/>
        </w:rPr>
        <w:t>Across Demographics from 2015 to 2017</w:t>
      </w:r>
      <w:r w:rsidRPr="00361F57">
        <w:t>: Those aged 35-</w:t>
      </w:r>
      <w:r w:rsidR="00EC7BC2" w:rsidRPr="00361F57">
        <w:t>4</w:t>
      </w:r>
      <w:r w:rsidRPr="00361F57">
        <w:t xml:space="preserve">4 years in 2017 </w:t>
      </w:r>
      <w:r w:rsidR="00341138" w:rsidRPr="00361F57">
        <w:t>made</w:t>
      </w:r>
      <w:r w:rsidRPr="00361F57">
        <w:t xml:space="preserve">, on average, </w:t>
      </w:r>
      <w:r w:rsidR="005F37A6">
        <w:t>0.915</w:t>
      </w:r>
      <w:r w:rsidRPr="00361F57">
        <w:t xml:space="preserve"> fewer ride-hailing trips per month than those aged 18-34 years in 2015.</w:t>
      </w:r>
    </w:p>
    <w:p w14:paraId="69D0603E" w14:textId="2199BABE" w:rsidR="00A47BC2" w:rsidRPr="00361F57" w:rsidRDefault="00A47BC2" w:rsidP="00A47BC2">
      <w:pPr>
        <w:pStyle w:val="ListParagraph"/>
        <w:numPr>
          <w:ilvl w:val="0"/>
          <w:numId w:val="20"/>
        </w:numPr>
      </w:pPr>
      <w:r w:rsidRPr="00361F57">
        <w:rPr>
          <w:i/>
          <w:iCs/>
        </w:rPr>
        <w:t>Within Demographics from 2015 to 2017</w:t>
      </w:r>
      <w:r w:rsidRPr="00361F57">
        <w:t>: Those aged 35-</w:t>
      </w:r>
      <w:r w:rsidR="00EC7BC2" w:rsidRPr="00361F57">
        <w:t>4</w:t>
      </w:r>
      <w:r w:rsidRPr="00361F57">
        <w:t xml:space="preserve">4 years in 2017 </w:t>
      </w:r>
      <w:r w:rsidR="00341138" w:rsidRPr="00361F57">
        <w:t>made</w:t>
      </w:r>
      <w:r w:rsidRPr="00361F57">
        <w:t xml:space="preserve">, on average, </w:t>
      </w:r>
      <w:r w:rsidR="000D2C8C" w:rsidRPr="00361F57">
        <w:t>0.010</w:t>
      </w:r>
      <w:r w:rsidRPr="00361F57">
        <w:t xml:space="preserve"> </w:t>
      </w:r>
      <w:r w:rsidR="000D2C8C" w:rsidRPr="00361F57">
        <w:t xml:space="preserve">fewer </w:t>
      </w:r>
      <w:r w:rsidRPr="00361F57">
        <w:t>ride-hailing trips per month than individuals aged 35-</w:t>
      </w:r>
      <w:r w:rsidR="00EC7BC2" w:rsidRPr="00361F57">
        <w:t>4</w:t>
      </w:r>
      <w:r w:rsidRPr="00361F57">
        <w:t>4 years in 2015.</w:t>
      </w:r>
    </w:p>
    <w:p w14:paraId="696852F6" w14:textId="20B3BE1B" w:rsidR="00D61FD1" w:rsidRPr="00C6712A" w:rsidRDefault="00D61FD1" w:rsidP="00787EBE">
      <w:r w:rsidRPr="00C6712A">
        <w:br w:type="page"/>
      </w:r>
    </w:p>
    <w:p w14:paraId="356156AC" w14:textId="13C449D7" w:rsidR="007903D9" w:rsidRDefault="007903D9" w:rsidP="006E6706">
      <w:pPr>
        <w:pStyle w:val="Caption"/>
        <w:keepNext/>
      </w:pPr>
      <w:bookmarkStart w:id="11" w:name="_Ref33010462"/>
      <w:r w:rsidRPr="00C6712A">
        <w:lastRenderedPageBreak/>
        <w:t xml:space="preserve">Table </w:t>
      </w:r>
      <w:r w:rsidRPr="0027118B">
        <w:fldChar w:fldCharType="begin"/>
      </w:r>
      <w:r w:rsidRPr="00C6712A">
        <w:instrText xml:space="preserve"> SEQ Table \* ARABIC </w:instrText>
      </w:r>
      <w:r w:rsidRPr="0027118B">
        <w:fldChar w:fldCharType="separate"/>
      </w:r>
      <w:r w:rsidR="00453931">
        <w:rPr>
          <w:noProof/>
        </w:rPr>
        <w:t>4</w:t>
      </w:r>
      <w:r w:rsidRPr="0027118B">
        <w:fldChar w:fldCharType="end"/>
      </w:r>
      <w:bookmarkEnd w:id="11"/>
      <w:r w:rsidRPr="00C6712A">
        <w:t xml:space="preserve"> Average Treatment Effects (ATEs) of Variables on Ride-hailing Trips per Month</w:t>
      </w:r>
    </w:p>
    <w:tbl>
      <w:tblPr>
        <w:tblW w:w="10085" w:type="dxa"/>
        <w:jc w:val="center"/>
        <w:tblLook w:val="04A0" w:firstRow="1" w:lastRow="0" w:firstColumn="1" w:lastColumn="0" w:noHBand="0" w:noVBand="1"/>
      </w:tblPr>
      <w:tblGrid>
        <w:gridCol w:w="2988"/>
        <w:gridCol w:w="833"/>
        <w:gridCol w:w="925"/>
        <w:gridCol w:w="786"/>
        <w:gridCol w:w="871"/>
        <w:gridCol w:w="863"/>
        <w:gridCol w:w="990"/>
        <w:gridCol w:w="924"/>
        <w:gridCol w:w="905"/>
      </w:tblGrid>
      <w:tr w:rsidR="00625049" w:rsidRPr="00625049" w14:paraId="2E4BC7CB" w14:textId="77777777" w:rsidTr="00165042">
        <w:trPr>
          <w:trHeight w:val="20"/>
          <w:jc w:val="center"/>
        </w:trPr>
        <w:tc>
          <w:tcPr>
            <w:tcW w:w="2988" w:type="dxa"/>
            <w:vMerge w:val="restart"/>
            <w:tcBorders>
              <w:top w:val="double" w:sz="6" w:space="0" w:color="auto"/>
              <w:left w:val="double" w:sz="6" w:space="0" w:color="auto"/>
              <w:bottom w:val="double" w:sz="6" w:space="0" w:color="000000"/>
              <w:right w:val="double" w:sz="6" w:space="0" w:color="auto"/>
            </w:tcBorders>
            <w:shd w:val="clear" w:color="auto" w:fill="auto"/>
            <w:noWrap/>
            <w:vAlign w:val="center"/>
            <w:hideMark/>
          </w:tcPr>
          <w:p w14:paraId="225B3310" w14:textId="77777777" w:rsidR="00625049" w:rsidRPr="00625049" w:rsidRDefault="00625049" w:rsidP="00625049">
            <w:pPr>
              <w:spacing w:after="0"/>
              <w:ind w:firstLine="0"/>
              <w:jc w:val="center"/>
              <w:rPr>
                <w:rFonts w:eastAsia="Times New Roman"/>
                <w:b/>
                <w:bCs/>
                <w:color w:val="000000"/>
                <w:sz w:val="20"/>
                <w:szCs w:val="20"/>
              </w:rPr>
            </w:pPr>
            <w:r w:rsidRPr="00625049">
              <w:rPr>
                <w:rFonts w:eastAsia="Times New Roman"/>
                <w:b/>
                <w:bCs/>
                <w:color w:val="000000"/>
                <w:sz w:val="20"/>
                <w:szCs w:val="20"/>
              </w:rPr>
              <w:t>Parameter</w:t>
            </w:r>
          </w:p>
        </w:tc>
        <w:tc>
          <w:tcPr>
            <w:tcW w:w="5268" w:type="dxa"/>
            <w:gridSpan w:val="6"/>
            <w:tcBorders>
              <w:top w:val="double" w:sz="6" w:space="0" w:color="auto"/>
              <w:left w:val="nil"/>
              <w:bottom w:val="double" w:sz="6" w:space="0" w:color="auto"/>
              <w:right w:val="double" w:sz="6" w:space="0" w:color="000000"/>
            </w:tcBorders>
            <w:shd w:val="clear" w:color="auto" w:fill="auto"/>
            <w:noWrap/>
            <w:vAlign w:val="center"/>
            <w:hideMark/>
          </w:tcPr>
          <w:p w14:paraId="1FC2A696" w14:textId="77777777" w:rsidR="00625049" w:rsidRPr="00625049" w:rsidRDefault="00625049" w:rsidP="00625049">
            <w:pPr>
              <w:spacing w:after="0"/>
              <w:ind w:firstLine="0"/>
              <w:jc w:val="center"/>
              <w:rPr>
                <w:rFonts w:eastAsia="Times New Roman"/>
                <w:b/>
                <w:bCs/>
                <w:color w:val="000000"/>
                <w:sz w:val="20"/>
                <w:szCs w:val="20"/>
              </w:rPr>
            </w:pPr>
            <w:r w:rsidRPr="00625049">
              <w:rPr>
                <w:rFonts w:eastAsia="Times New Roman"/>
                <w:b/>
                <w:bCs/>
                <w:color w:val="000000"/>
                <w:sz w:val="20"/>
                <w:szCs w:val="20"/>
              </w:rPr>
              <w:t>Across Demographics</w:t>
            </w:r>
          </w:p>
        </w:tc>
        <w:tc>
          <w:tcPr>
            <w:tcW w:w="1829" w:type="dxa"/>
            <w:gridSpan w:val="2"/>
            <w:tcBorders>
              <w:top w:val="double" w:sz="6" w:space="0" w:color="auto"/>
              <w:left w:val="nil"/>
              <w:bottom w:val="double" w:sz="6" w:space="0" w:color="auto"/>
              <w:right w:val="double" w:sz="6" w:space="0" w:color="000000"/>
            </w:tcBorders>
            <w:shd w:val="clear" w:color="auto" w:fill="auto"/>
            <w:noWrap/>
            <w:vAlign w:val="center"/>
            <w:hideMark/>
          </w:tcPr>
          <w:p w14:paraId="097D7DB2" w14:textId="77777777" w:rsidR="00625049" w:rsidRPr="00625049" w:rsidRDefault="00625049" w:rsidP="00625049">
            <w:pPr>
              <w:spacing w:after="0"/>
              <w:ind w:firstLine="0"/>
              <w:jc w:val="center"/>
              <w:rPr>
                <w:rFonts w:eastAsia="Times New Roman"/>
                <w:b/>
                <w:bCs/>
                <w:color w:val="000000"/>
                <w:sz w:val="20"/>
                <w:szCs w:val="20"/>
              </w:rPr>
            </w:pPr>
            <w:r w:rsidRPr="00625049">
              <w:rPr>
                <w:rFonts w:eastAsia="Times New Roman"/>
                <w:b/>
                <w:bCs/>
                <w:color w:val="000000"/>
                <w:sz w:val="20"/>
                <w:szCs w:val="20"/>
              </w:rPr>
              <w:t xml:space="preserve">Within </w:t>
            </w:r>
            <w:proofErr w:type="spellStart"/>
            <w:r w:rsidRPr="00625049">
              <w:rPr>
                <w:rFonts w:eastAsia="Times New Roman"/>
                <w:b/>
                <w:bCs/>
                <w:color w:val="000000"/>
                <w:sz w:val="20"/>
                <w:szCs w:val="20"/>
              </w:rPr>
              <w:t>Demogs</w:t>
            </w:r>
            <w:proofErr w:type="spellEnd"/>
            <w:r w:rsidRPr="00625049">
              <w:rPr>
                <w:rFonts w:eastAsia="Times New Roman"/>
                <w:b/>
                <w:bCs/>
                <w:color w:val="000000"/>
                <w:sz w:val="20"/>
                <w:szCs w:val="20"/>
              </w:rPr>
              <w:t>.</w:t>
            </w:r>
          </w:p>
        </w:tc>
      </w:tr>
      <w:tr w:rsidR="00625049" w:rsidRPr="00625049" w14:paraId="4CE569FB" w14:textId="77777777" w:rsidTr="00165042">
        <w:trPr>
          <w:trHeight w:val="20"/>
          <w:jc w:val="center"/>
        </w:trPr>
        <w:tc>
          <w:tcPr>
            <w:tcW w:w="2988" w:type="dxa"/>
            <w:vMerge/>
            <w:tcBorders>
              <w:top w:val="double" w:sz="6" w:space="0" w:color="auto"/>
              <w:left w:val="double" w:sz="6" w:space="0" w:color="auto"/>
              <w:bottom w:val="double" w:sz="6" w:space="0" w:color="000000"/>
              <w:right w:val="double" w:sz="6" w:space="0" w:color="auto"/>
            </w:tcBorders>
            <w:vAlign w:val="center"/>
            <w:hideMark/>
          </w:tcPr>
          <w:p w14:paraId="2C3C7E14" w14:textId="77777777" w:rsidR="00625049" w:rsidRPr="00625049" w:rsidRDefault="00625049" w:rsidP="00625049">
            <w:pPr>
              <w:spacing w:after="0"/>
              <w:ind w:firstLine="0"/>
              <w:jc w:val="left"/>
              <w:rPr>
                <w:rFonts w:eastAsia="Times New Roman"/>
                <w:b/>
                <w:bCs/>
                <w:color w:val="000000"/>
                <w:sz w:val="20"/>
                <w:szCs w:val="20"/>
              </w:rPr>
            </w:pPr>
          </w:p>
        </w:tc>
        <w:tc>
          <w:tcPr>
            <w:tcW w:w="1758" w:type="dxa"/>
            <w:gridSpan w:val="2"/>
            <w:tcBorders>
              <w:top w:val="nil"/>
              <w:left w:val="nil"/>
              <w:bottom w:val="single" w:sz="4" w:space="0" w:color="auto"/>
              <w:right w:val="double" w:sz="6" w:space="0" w:color="000000"/>
            </w:tcBorders>
            <w:shd w:val="clear" w:color="auto" w:fill="auto"/>
            <w:noWrap/>
            <w:vAlign w:val="center"/>
            <w:hideMark/>
          </w:tcPr>
          <w:p w14:paraId="27BD9C1C" w14:textId="77777777" w:rsidR="00625049" w:rsidRPr="00625049" w:rsidRDefault="00625049" w:rsidP="00625049">
            <w:pPr>
              <w:spacing w:after="0"/>
              <w:ind w:firstLine="0"/>
              <w:jc w:val="center"/>
              <w:rPr>
                <w:rFonts w:eastAsia="Times New Roman"/>
                <w:b/>
                <w:bCs/>
                <w:color w:val="000000"/>
                <w:sz w:val="20"/>
                <w:szCs w:val="20"/>
              </w:rPr>
            </w:pPr>
            <w:r w:rsidRPr="00625049">
              <w:rPr>
                <w:rFonts w:eastAsia="Times New Roman"/>
                <w:b/>
                <w:bCs/>
                <w:color w:val="000000"/>
                <w:sz w:val="20"/>
                <w:szCs w:val="20"/>
              </w:rPr>
              <w:t>Within 2015</w:t>
            </w:r>
          </w:p>
        </w:tc>
        <w:tc>
          <w:tcPr>
            <w:tcW w:w="1657" w:type="dxa"/>
            <w:gridSpan w:val="2"/>
            <w:tcBorders>
              <w:top w:val="nil"/>
              <w:left w:val="nil"/>
              <w:bottom w:val="single" w:sz="4" w:space="0" w:color="auto"/>
              <w:right w:val="double" w:sz="6" w:space="0" w:color="000000"/>
            </w:tcBorders>
            <w:shd w:val="clear" w:color="auto" w:fill="auto"/>
            <w:noWrap/>
            <w:vAlign w:val="center"/>
            <w:hideMark/>
          </w:tcPr>
          <w:p w14:paraId="301AA5A8" w14:textId="77777777" w:rsidR="00625049" w:rsidRPr="00625049" w:rsidRDefault="00625049" w:rsidP="00625049">
            <w:pPr>
              <w:spacing w:after="0"/>
              <w:ind w:firstLine="0"/>
              <w:jc w:val="center"/>
              <w:rPr>
                <w:rFonts w:eastAsia="Times New Roman"/>
                <w:b/>
                <w:bCs/>
                <w:color w:val="000000"/>
                <w:sz w:val="20"/>
                <w:szCs w:val="20"/>
              </w:rPr>
            </w:pPr>
            <w:r w:rsidRPr="00625049">
              <w:rPr>
                <w:rFonts w:eastAsia="Times New Roman"/>
                <w:b/>
                <w:bCs/>
                <w:color w:val="000000"/>
                <w:sz w:val="20"/>
                <w:szCs w:val="20"/>
              </w:rPr>
              <w:t>Within 2017</w:t>
            </w:r>
          </w:p>
        </w:tc>
        <w:tc>
          <w:tcPr>
            <w:tcW w:w="1853" w:type="dxa"/>
            <w:gridSpan w:val="2"/>
            <w:tcBorders>
              <w:top w:val="nil"/>
              <w:left w:val="nil"/>
              <w:bottom w:val="single" w:sz="4" w:space="0" w:color="auto"/>
              <w:right w:val="double" w:sz="6" w:space="0" w:color="000000"/>
            </w:tcBorders>
            <w:shd w:val="clear" w:color="auto" w:fill="auto"/>
            <w:noWrap/>
            <w:vAlign w:val="center"/>
            <w:hideMark/>
          </w:tcPr>
          <w:p w14:paraId="0951DC73" w14:textId="77777777" w:rsidR="00625049" w:rsidRPr="00625049" w:rsidRDefault="00625049" w:rsidP="00625049">
            <w:pPr>
              <w:spacing w:after="0"/>
              <w:ind w:firstLine="0"/>
              <w:jc w:val="center"/>
              <w:rPr>
                <w:rFonts w:eastAsia="Times New Roman"/>
                <w:b/>
                <w:bCs/>
                <w:color w:val="000000"/>
                <w:sz w:val="20"/>
                <w:szCs w:val="20"/>
              </w:rPr>
            </w:pPr>
            <w:r w:rsidRPr="00625049">
              <w:rPr>
                <w:rFonts w:eastAsia="Times New Roman"/>
                <w:b/>
                <w:bCs/>
                <w:color w:val="000000"/>
                <w:sz w:val="20"/>
                <w:szCs w:val="20"/>
              </w:rPr>
              <w:t>From 2015 to 2017</w:t>
            </w:r>
          </w:p>
        </w:tc>
        <w:tc>
          <w:tcPr>
            <w:tcW w:w="1829" w:type="dxa"/>
            <w:gridSpan w:val="2"/>
            <w:tcBorders>
              <w:top w:val="nil"/>
              <w:left w:val="nil"/>
              <w:bottom w:val="single" w:sz="4" w:space="0" w:color="auto"/>
              <w:right w:val="double" w:sz="6" w:space="0" w:color="000000"/>
            </w:tcBorders>
            <w:shd w:val="clear" w:color="auto" w:fill="auto"/>
            <w:noWrap/>
            <w:vAlign w:val="center"/>
            <w:hideMark/>
          </w:tcPr>
          <w:p w14:paraId="2482E705" w14:textId="77777777" w:rsidR="00625049" w:rsidRPr="00625049" w:rsidRDefault="00625049" w:rsidP="00625049">
            <w:pPr>
              <w:spacing w:after="0"/>
              <w:ind w:firstLine="0"/>
              <w:jc w:val="center"/>
              <w:rPr>
                <w:rFonts w:eastAsia="Times New Roman"/>
                <w:b/>
                <w:bCs/>
                <w:color w:val="000000"/>
                <w:sz w:val="20"/>
                <w:szCs w:val="20"/>
              </w:rPr>
            </w:pPr>
            <w:r w:rsidRPr="00625049">
              <w:rPr>
                <w:rFonts w:eastAsia="Times New Roman"/>
                <w:b/>
                <w:bCs/>
                <w:color w:val="000000"/>
                <w:sz w:val="20"/>
                <w:szCs w:val="20"/>
              </w:rPr>
              <w:t>From 2015 to 2017</w:t>
            </w:r>
          </w:p>
        </w:tc>
      </w:tr>
      <w:tr w:rsidR="00625049" w:rsidRPr="00625049" w14:paraId="1C0A658F" w14:textId="77777777" w:rsidTr="00165042">
        <w:trPr>
          <w:trHeight w:val="20"/>
          <w:jc w:val="center"/>
        </w:trPr>
        <w:tc>
          <w:tcPr>
            <w:tcW w:w="2988" w:type="dxa"/>
            <w:vMerge/>
            <w:tcBorders>
              <w:top w:val="double" w:sz="6" w:space="0" w:color="auto"/>
              <w:left w:val="double" w:sz="6" w:space="0" w:color="auto"/>
              <w:bottom w:val="double" w:sz="6" w:space="0" w:color="000000"/>
              <w:right w:val="double" w:sz="6" w:space="0" w:color="auto"/>
            </w:tcBorders>
            <w:vAlign w:val="center"/>
            <w:hideMark/>
          </w:tcPr>
          <w:p w14:paraId="181FA0BF" w14:textId="77777777" w:rsidR="00625049" w:rsidRPr="00625049" w:rsidRDefault="00625049" w:rsidP="00625049">
            <w:pPr>
              <w:spacing w:after="0"/>
              <w:ind w:firstLine="0"/>
              <w:jc w:val="left"/>
              <w:rPr>
                <w:rFonts w:eastAsia="Times New Roman"/>
                <w:b/>
                <w:bCs/>
                <w:color w:val="000000"/>
                <w:sz w:val="20"/>
                <w:szCs w:val="20"/>
              </w:rPr>
            </w:pPr>
          </w:p>
        </w:tc>
        <w:tc>
          <w:tcPr>
            <w:tcW w:w="833" w:type="dxa"/>
            <w:tcBorders>
              <w:top w:val="nil"/>
              <w:left w:val="nil"/>
              <w:bottom w:val="nil"/>
              <w:right w:val="single" w:sz="4" w:space="0" w:color="auto"/>
            </w:tcBorders>
            <w:shd w:val="clear" w:color="auto" w:fill="auto"/>
            <w:noWrap/>
            <w:vAlign w:val="center"/>
            <w:hideMark/>
          </w:tcPr>
          <w:p w14:paraId="10667BB5" w14:textId="77777777" w:rsidR="00625049" w:rsidRPr="00625049" w:rsidRDefault="00625049" w:rsidP="00625049">
            <w:pPr>
              <w:spacing w:after="0"/>
              <w:ind w:firstLine="0"/>
              <w:jc w:val="center"/>
              <w:rPr>
                <w:rFonts w:eastAsia="Times New Roman"/>
                <w:b/>
                <w:bCs/>
                <w:color w:val="000000"/>
                <w:sz w:val="20"/>
                <w:szCs w:val="20"/>
              </w:rPr>
            </w:pPr>
            <w:r w:rsidRPr="00625049">
              <w:rPr>
                <w:rFonts w:eastAsia="Times New Roman"/>
                <w:b/>
                <w:bCs/>
                <w:color w:val="000000"/>
                <w:sz w:val="20"/>
                <w:szCs w:val="20"/>
              </w:rPr>
              <w:t>ATE</w:t>
            </w:r>
          </w:p>
        </w:tc>
        <w:tc>
          <w:tcPr>
            <w:tcW w:w="925" w:type="dxa"/>
            <w:tcBorders>
              <w:top w:val="nil"/>
              <w:left w:val="nil"/>
              <w:bottom w:val="nil"/>
              <w:right w:val="double" w:sz="6" w:space="0" w:color="auto"/>
            </w:tcBorders>
            <w:shd w:val="clear" w:color="auto" w:fill="auto"/>
            <w:noWrap/>
            <w:vAlign w:val="center"/>
            <w:hideMark/>
          </w:tcPr>
          <w:p w14:paraId="46A48AB2" w14:textId="77777777" w:rsidR="00625049" w:rsidRPr="00625049" w:rsidRDefault="00625049" w:rsidP="00625049">
            <w:pPr>
              <w:spacing w:after="0"/>
              <w:ind w:firstLine="0"/>
              <w:jc w:val="center"/>
              <w:rPr>
                <w:rFonts w:eastAsia="Times New Roman"/>
                <w:b/>
                <w:bCs/>
                <w:color w:val="000000"/>
                <w:sz w:val="20"/>
                <w:szCs w:val="20"/>
              </w:rPr>
            </w:pPr>
            <w:r w:rsidRPr="00625049">
              <w:rPr>
                <w:rFonts w:eastAsia="Times New Roman"/>
                <w:b/>
                <w:bCs/>
                <w:color w:val="000000"/>
                <w:sz w:val="20"/>
                <w:szCs w:val="20"/>
              </w:rPr>
              <w:t>t-stat</w:t>
            </w:r>
          </w:p>
        </w:tc>
        <w:tc>
          <w:tcPr>
            <w:tcW w:w="786" w:type="dxa"/>
            <w:tcBorders>
              <w:top w:val="nil"/>
              <w:left w:val="nil"/>
              <w:bottom w:val="nil"/>
              <w:right w:val="single" w:sz="4" w:space="0" w:color="auto"/>
            </w:tcBorders>
            <w:shd w:val="clear" w:color="auto" w:fill="auto"/>
            <w:noWrap/>
            <w:vAlign w:val="center"/>
            <w:hideMark/>
          </w:tcPr>
          <w:p w14:paraId="3169B47E" w14:textId="77777777" w:rsidR="00625049" w:rsidRPr="00625049" w:rsidRDefault="00625049" w:rsidP="00625049">
            <w:pPr>
              <w:spacing w:after="0"/>
              <w:ind w:firstLine="0"/>
              <w:jc w:val="center"/>
              <w:rPr>
                <w:rFonts w:eastAsia="Times New Roman"/>
                <w:b/>
                <w:bCs/>
                <w:color w:val="000000"/>
                <w:sz w:val="20"/>
                <w:szCs w:val="20"/>
              </w:rPr>
            </w:pPr>
            <w:r w:rsidRPr="00625049">
              <w:rPr>
                <w:rFonts w:eastAsia="Times New Roman"/>
                <w:b/>
                <w:bCs/>
                <w:color w:val="000000"/>
                <w:sz w:val="20"/>
                <w:szCs w:val="20"/>
              </w:rPr>
              <w:t>ATE</w:t>
            </w:r>
          </w:p>
        </w:tc>
        <w:tc>
          <w:tcPr>
            <w:tcW w:w="871" w:type="dxa"/>
            <w:tcBorders>
              <w:top w:val="nil"/>
              <w:left w:val="nil"/>
              <w:bottom w:val="nil"/>
              <w:right w:val="double" w:sz="6" w:space="0" w:color="auto"/>
            </w:tcBorders>
            <w:shd w:val="clear" w:color="auto" w:fill="auto"/>
            <w:noWrap/>
            <w:vAlign w:val="center"/>
            <w:hideMark/>
          </w:tcPr>
          <w:p w14:paraId="3F3E19D8" w14:textId="77777777" w:rsidR="00625049" w:rsidRPr="00625049" w:rsidRDefault="00625049" w:rsidP="00625049">
            <w:pPr>
              <w:spacing w:after="0"/>
              <w:ind w:firstLine="0"/>
              <w:jc w:val="center"/>
              <w:rPr>
                <w:rFonts w:eastAsia="Times New Roman"/>
                <w:b/>
                <w:bCs/>
                <w:color w:val="000000"/>
                <w:sz w:val="20"/>
                <w:szCs w:val="20"/>
              </w:rPr>
            </w:pPr>
            <w:r w:rsidRPr="00625049">
              <w:rPr>
                <w:rFonts w:eastAsia="Times New Roman"/>
                <w:b/>
                <w:bCs/>
                <w:color w:val="000000"/>
                <w:sz w:val="20"/>
                <w:szCs w:val="20"/>
              </w:rPr>
              <w:t>t-stat</w:t>
            </w:r>
          </w:p>
        </w:tc>
        <w:tc>
          <w:tcPr>
            <w:tcW w:w="863" w:type="dxa"/>
            <w:tcBorders>
              <w:top w:val="nil"/>
              <w:left w:val="nil"/>
              <w:bottom w:val="nil"/>
              <w:right w:val="single" w:sz="4" w:space="0" w:color="auto"/>
            </w:tcBorders>
            <w:shd w:val="clear" w:color="auto" w:fill="auto"/>
            <w:noWrap/>
            <w:vAlign w:val="center"/>
            <w:hideMark/>
          </w:tcPr>
          <w:p w14:paraId="4C7245AA" w14:textId="77777777" w:rsidR="00625049" w:rsidRPr="00625049" w:rsidRDefault="00625049" w:rsidP="00625049">
            <w:pPr>
              <w:spacing w:after="0"/>
              <w:ind w:firstLine="0"/>
              <w:jc w:val="center"/>
              <w:rPr>
                <w:rFonts w:eastAsia="Times New Roman"/>
                <w:b/>
                <w:bCs/>
                <w:color w:val="000000"/>
                <w:sz w:val="20"/>
                <w:szCs w:val="20"/>
              </w:rPr>
            </w:pPr>
            <w:r w:rsidRPr="00625049">
              <w:rPr>
                <w:rFonts w:eastAsia="Times New Roman"/>
                <w:b/>
                <w:bCs/>
                <w:color w:val="000000"/>
                <w:sz w:val="20"/>
                <w:szCs w:val="20"/>
              </w:rPr>
              <w:t>ATE</w:t>
            </w:r>
          </w:p>
        </w:tc>
        <w:tc>
          <w:tcPr>
            <w:tcW w:w="990" w:type="dxa"/>
            <w:tcBorders>
              <w:top w:val="nil"/>
              <w:left w:val="nil"/>
              <w:bottom w:val="nil"/>
              <w:right w:val="double" w:sz="6" w:space="0" w:color="auto"/>
            </w:tcBorders>
            <w:shd w:val="clear" w:color="auto" w:fill="auto"/>
            <w:noWrap/>
            <w:vAlign w:val="center"/>
            <w:hideMark/>
          </w:tcPr>
          <w:p w14:paraId="56E76E90" w14:textId="77777777" w:rsidR="00625049" w:rsidRPr="00625049" w:rsidRDefault="00625049" w:rsidP="00625049">
            <w:pPr>
              <w:spacing w:after="0"/>
              <w:ind w:firstLine="0"/>
              <w:jc w:val="center"/>
              <w:rPr>
                <w:rFonts w:eastAsia="Times New Roman"/>
                <w:b/>
                <w:bCs/>
                <w:color w:val="000000"/>
                <w:sz w:val="20"/>
                <w:szCs w:val="20"/>
              </w:rPr>
            </w:pPr>
            <w:r w:rsidRPr="00625049">
              <w:rPr>
                <w:rFonts w:eastAsia="Times New Roman"/>
                <w:b/>
                <w:bCs/>
                <w:color w:val="000000"/>
                <w:sz w:val="20"/>
                <w:szCs w:val="20"/>
              </w:rPr>
              <w:t>t-stat</w:t>
            </w:r>
          </w:p>
        </w:tc>
        <w:tc>
          <w:tcPr>
            <w:tcW w:w="924" w:type="dxa"/>
            <w:tcBorders>
              <w:top w:val="nil"/>
              <w:left w:val="nil"/>
              <w:bottom w:val="nil"/>
              <w:right w:val="single" w:sz="4" w:space="0" w:color="auto"/>
            </w:tcBorders>
            <w:shd w:val="clear" w:color="auto" w:fill="auto"/>
            <w:noWrap/>
            <w:vAlign w:val="center"/>
            <w:hideMark/>
          </w:tcPr>
          <w:p w14:paraId="0789620F" w14:textId="77777777" w:rsidR="00625049" w:rsidRPr="00625049" w:rsidRDefault="00625049" w:rsidP="00625049">
            <w:pPr>
              <w:spacing w:after="0"/>
              <w:ind w:firstLine="0"/>
              <w:jc w:val="center"/>
              <w:rPr>
                <w:rFonts w:eastAsia="Times New Roman"/>
                <w:b/>
                <w:bCs/>
                <w:color w:val="000000"/>
                <w:sz w:val="20"/>
                <w:szCs w:val="20"/>
              </w:rPr>
            </w:pPr>
            <w:r w:rsidRPr="00625049">
              <w:rPr>
                <w:rFonts w:eastAsia="Times New Roman"/>
                <w:b/>
                <w:bCs/>
                <w:color w:val="000000"/>
                <w:sz w:val="20"/>
                <w:szCs w:val="20"/>
              </w:rPr>
              <w:t>ATE</w:t>
            </w:r>
          </w:p>
        </w:tc>
        <w:tc>
          <w:tcPr>
            <w:tcW w:w="905" w:type="dxa"/>
            <w:tcBorders>
              <w:top w:val="nil"/>
              <w:left w:val="nil"/>
              <w:bottom w:val="nil"/>
              <w:right w:val="double" w:sz="6" w:space="0" w:color="auto"/>
            </w:tcBorders>
            <w:shd w:val="clear" w:color="auto" w:fill="auto"/>
            <w:noWrap/>
            <w:vAlign w:val="center"/>
            <w:hideMark/>
          </w:tcPr>
          <w:p w14:paraId="3C838176" w14:textId="77777777" w:rsidR="00625049" w:rsidRPr="00625049" w:rsidRDefault="00625049" w:rsidP="00625049">
            <w:pPr>
              <w:spacing w:after="0"/>
              <w:ind w:firstLine="0"/>
              <w:jc w:val="center"/>
              <w:rPr>
                <w:rFonts w:eastAsia="Times New Roman"/>
                <w:b/>
                <w:bCs/>
                <w:color w:val="000000"/>
                <w:sz w:val="20"/>
                <w:szCs w:val="20"/>
              </w:rPr>
            </w:pPr>
            <w:r w:rsidRPr="00625049">
              <w:rPr>
                <w:rFonts w:eastAsia="Times New Roman"/>
                <w:b/>
                <w:bCs/>
                <w:color w:val="000000"/>
                <w:sz w:val="20"/>
                <w:szCs w:val="20"/>
              </w:rPr>
              <w:t>t-stat</w:t>
            </w:r>
          </w:p>
        </w:tc>
      </w:tr>
      <w:tr w:rsidR="00625049" w:rsidRPr="00625049" w14:paraId="2515D94F" w14:textId="77777777" w:rsidTr="00165042">
        <w:trPr>
          <w:trHeight w:val="20"/>
          <w:jc w:val="center"/>
        </w:trPr>
        <w:tc>
          <w:tcPr>
            <w:tcW w:w="2988" w:type="dxa"/>
            <w:tcBorders>
              <w:top w:val="nil"/>
              <w:left w:val="double" w:sz="6" w:space="0" w:color="auto"/>
              <w:bottom w:val="single" w:sz="4" w:space="0" w:color="auto"/>
              <w:right w:val="double" w:sz="6" w:space="0" w:color="auto"/>
            </w:tcBorders>
            <w:shd w:val="clear" w:color="auto" w:fill="auto"/>
            <w:noWrap/>
            <w:vAlign w:val="center"/>
            <w:hideMark/>
          </w:tcPr>
          <w:p w14:paraId="55E6E2AF" w14:textId="77777777" w:rsidR="00625049" w:rsidRPr="00625049" w:rsidRDefault="00625049" w:rsidP="00625049">
            <w:pPr>
              <w:spacing w:after="0"/>
              <w:ind w:firstLine="0"/>
              <w:jc w:val="left"/>
              <w:rPr>
                <w:rFonts w:eastAsia="Times New Roman"/>
                <w:b/>
                <w:bCs/>
                <w:color w:val="000000"/>
                <w:sz w:val="20"/>
                <w:szCs w:val="20"/>
              </w:rPr>
            </w:pPr>
            <w:r w:rsidRPr="00625049">
              <w:rPr>
                <w:rFonts w:eastAsia="Times New Roman"/>
                <w:b/>
                <w:bCs/>
                <w:color w:val="000000"/>
                <w:sz w:val="20"/>
                <w:szCs w:val="20"/>
              </w:rPr>
              <w:t>Gender</w:t>
            </w:r>
          </w:p>
        </w:tc>
        <w:tc>
          <w:tcPr>
            <w:tcW w:w="833" w:type="dxa"/>
            <w:tcBorders>
              <w:top w:val="double" w:sz="6" w:space="0" w:color="auto"/>
              <w:left w:val="nil"/>
              <w:bottom w:val="single" w:sz="4" w:space="0" w:color="auto"/>
              <w:right w:val="single" w:sz="4" w:space="0" w:color="auto"/>
            </w:tcBorders>
            <w:shd w:val="clear" w:color="auto" w:fill="auto"/>
            <w:noWrap/>
            <w:vAlign w:val="center"/>
            <w:hideMark/>
          </w:tcPr>
          <w:p w14:paraId="15933535"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 </w:t>
            </w:r>
          </w:p>
        </w:tc>
        <w:tc>
          <w:tcPr>
            <w:tcW w:w="925" w:type="dxa"/>
            <w:tcBorders>
              <w:top w:val="double" w:sz="6" w:space="0" w:color="auto"/>
              <w:left w:val="nil"/>
              <w:bottom w:val="single" w:sz="4" w:space="0" w:color="auto"/>
              <w:right w:val="double" w:sz="6" w:space="0" w:color="auto"/>
            </w:tcBorders>
            <w:shd w:val="clear" w:color="auto" w:fill="auto"/>
            <w:noWrap/>
            <w:vAlign w:val="center"/>
            <w:hideMark/>
          </w:tcPr>
          <w:p w14:paraId="4B6CFFBB"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 </w:t>
            </w:r>
          </w:p>
        </w:tc>
        <w:tc>
          <w:tcPr>
            <w:tcW w:w="786" w:type="dxa"/>
            <w:tcBorders>
              <w:top w:val="double" w:sz="6" w:space="0" w:color="auto"/>
              <w:left w:val="nil"/>
              <w:bottom w:val="single" w:sz="4" w:space="0" w:color="auto"/>
              <w:right w:val="single" w:sz="4" w:space="0" w:color="auto"/>
            </w:tcBorders>
            <w:shd w:val="clear" w:color="auto" w:fill="auto"/>
            <w:noWrap/>
            <w:vAlign w:val="center"/>
            <w:hideMark/>
          </w:tcPr>
          <w:p w14:paraId="2F9B7BBB"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 </w:t>
            </w:r>
          </w:p>
        </w:tc>
        <w:tc>
          <w:tcPr>
            <w:tcW w:w="871" w:type="dxa"/>
            <w:tcBorders>
              <w:top w:val="double" w:sz="6" w:space="0" w:color="auto"/>
              <w:left w:val="nil"/>
              <w:bottom w:val="single" w:sz="4" w:space="0" w:color="auto"/>
              <w:right w:val="double" w:sz="6" w:space="0" w:color="auto"/>
            </w:tcBorders>
            <w:shd w:val="clear" w:color="auto" w:fill="auto"/>
            <w:noWrap/>
            <w:vAlign w:val="center"/>
            <w:hideMark/>
          </w:tcPr>
          <w:p w14:paraId="7AE683C1"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 </w:t>
            </w:r>
          </w:p>
        </w:tc>
        <w:tc>
          <w:tcPr>
            <w:tcW w:w="863" w:type="dxa"/>
            <w:tcBorders>
              <w:top w:val="double" w:sz="6" w:space="0" w:color="auto"/>
              <w:left w:val="nil"/>
              <w:bottom w:val="single" w:sz="4" w:space="0" w:color="auto"/>
              <w:right w:val="single" w:sz="4" w:space="0" w:color="auto"/>
            </w:tcBorders>
            <w:shd w:val="clear" w:color="auto" w:fill="auto"/>
            <w:noWrap/>
            <w:vAlign w:val="center"/>
            <w:hideMark/>
          </w:tcPr>
          <w:p w14:paraId="7859869C"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 </w:t>
            </w:r>
          </w:p>
        </w:tc>
        <w:tc>
          <w:tcPr>
            <w:tcW w:w="990" w:type="dxa"/>
            <w:tcBorders>
              <w:top w:val="double" w:sz="6" w:space="0" w:color="auto"/>
              <w:left w:val="nil"/>
              <w:bottom w:val="single" w:sz="4" w:space="0" w:color="auto"/>
              <w:right w:val="double" w:sz="6" w:space="0" w:color="auto"/>
            </w:tcBorders>
            <w:shd w:val="clear" w:color="auto" w:fill="auto"/>
            <w:noWrap/>
            <w:vAlign w:val="center"/>
            <w:hideMark/>
          </w:tcPr>
          <w:p w14:paraId="1D8E067C"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 </w:t>
            </w:r>
          </w:p>
        </w:tc>
        <w:tc>
          <w:tcPr>
            <w:tcW w:w="924" w:type="dxa"/>
            <w:tcBorders>
              <w:top w:val="double" w:sz="6" w:space="0" w:color="auto"/>
              <w:left w:val="nil"/>
              <w:bottom w:val="single" w:sz="4" w:space="0" w:color="auto"/>
              <w:right w:val="single" w:sz="4" w:space="0" w:color="auto"/>
            </w:tcBorders>
            <w:shd w:val="clear" w:color="auto" w:fill="auto"/>
            <w:noWrap/>
            <w:vAlign w:val="center"/>
            <w:hideMark/>
          </w:tcPr>
          <w:p w14:paraId="6C9B879B"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 </w:t>
            </w:r>
          </w:p>
        </w:tc>
        <w:tc>
          <w:tcPr>
            <w:tcW w:w="905" w:type="dxa"/>
            <w:tcBorders>
              <w:top w:val="double" w:sz="6" w:space="0" w:color="auto"/>
              <w:left w:val="nil"/>
              <w:bottom w:val="single" w:sz="4" w:space="0" w:color="auto"/>
              <w:right w:val="double" w:sz="6" w:space="0" w:color="auto"/>
            </w:tcBorders>
            <w:shd w:val="clear" w:color="auto" w:fill="auto"/>
            <w:noWrap/>
            <w:vAlign w:val="center"/>
            <w:hideMark/>
          </w:tcPr>
          <w:p w14:paraId="25AE26DE"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 </w:t>
            </w:r>
          </w:p>
        </w:tc>
      </w:tr>
      <w:tr w:rsidR="00625049" w:rsidRPr="00625049" w14:paraId="73FAEF88" w14:textId="77777777" w:rsidTr="00165042">
        <w:trPr>
          <w:trHeight w:val="20"/>
          <w:jc w:val="center"/>
        </w:trPr>
        <w:tc>
          <w:tcPr>
            <w:tcW w:w="2988" w:type="dxa"/>
            <w:tcBorders>
              <w:top w:val="nil"/>
              <w:left w:val="double" w:sz="6" w:space="0" w:color="auto"/>
              <w:bottom w:val="nil"/>
              <w:right w:val="double" w:sz="6" w:space="0" w:color="auto"/>
            </w:tcBorders>
            <w:shd w:val="clear" w:color="auto" w:fill="auto"/>
            <w:noWrap/>
            <w:vAlign w:val="center"/>
            <w:hideMark/>
          </w:tcPr>
          <w:p w14:paraId="523E6A30" w14:textId="77777777" w:rsidR="00625049" w:rsidRPr="00625049" w:rsidRDefault="00625049" w:rsidP="00625049">
            <w:pPr>
              <w:spacing w:after="0"/>
              <w:ind w:firstLine="0"/>
              <w:jc w:val="left"/>
              <w:rPr>
                <w:rFonts w:eastAsia="Times New Roman"/>
                <w:color w:val="000000"/>
                <w:sz w:val="20"/>
                <w:szCs w:val="20"/>
              </w:rPr>
            </w:pPr>
            <w:r w:rsidRPr="00625049">
              <w:rPr>
                <w:rFonts w:eastAsia="Times New Roman"/>
                <w:color w:val="000000"/>
                <w:sz w:val="20"/>
                <w:szCs w:val="20"/>
              </w:rPr>
              <w:t xml:space="preserve">   Male (base)</w:t>
            </w:r>
          </w:p>
        </w:tc>
        <w:tc>
          <w:tcPr>
            <w:tcW w:w="833" w:type="dxa"/>
            <w:tcBorders>
              <w:top w:val="nil"/>
              <w:left w:val="nil"/>
              <w:bottom w:val="nil"/>
              <w:right w:val="single" w:sz="4" w:space="0" w:color="auto"/>
            </w:tcBorders>
            <w:shd w:val="clear" w:color="auto" w:fill="auto"/>
            <w:noWrap/>
            <w:vAlign w:val="center"/>
            <w:hideMark/>
          </w:tcPr>
          <w:p w14:paraId="3F7CA002"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 </w:t>
            </w:r>
          </w:p>
        </w:tc>
        <w:tc>
          <w:tcPr>
            <w:tcW w:w="925" w:type="dxa"/>
            <w:tcBorders>
              <w:top w:val="nil"/>
              <w:left w:val="nil"/>
              <w:bottom w:val="nil"/>
              <w:right w:val="double" w:sz="6" w:space="0" w:color="auto"/>
            </w:tcBorders>
            <w:shd w:val="clear" w:color="auto" w:fill="auto"/>
            <w:noWrap/>
            <w:vAlign w:val="center"/>
            <w:hideMark/>
          </w:tcPr>
          <w:p w14:paraId="2B134E23"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 </w:t>
            </w:r>
          </w:p>
        </w:tc>
        <w:tc>
          <w:tcPr>
            <w:tcW w:w="786" w:type="dxa"/>
            <w:tcBorders>
              <w:top w:val="nil"/>
              <w:left w:val="nil"/>
              <w:bottom w:val="nil"/>
              <w:right w:val="single" w:sz="4" w:space="0" w:color="auto"/>
            </w:tcBorders>
            <w:shd w:val="clear" w:color="auto" w:fill="auto"/>
            <w:noWrap/>
            <w:vAlign w:val="center"/>
            <w:hideMark/>
          </w:tcPr>
          <w:p w14:paraId="1EA94D4A"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 </w:t>
            </w:r>
          </w:p>
        </w:tc>
        <w:tc>
          <w:tcPr>
            <w:tcW w:w="871" w:type="dxa"/>
            <w:tcBorders>
              <w:top w:val="nil"/>
              <w:left w:val="nil"/>
              <w:bottom w:val="nil"/>
              <w:right w:val="double" w:sz="6" w:space="0" w:color="auto"/>
            </w:tcBorders>
            <w:shd w:val="clear" w:color="auto" w:fill="auto"/>
            <w:noWrap/>
            <w:vAlign w:val="center"/>
            <w:hideMark/>
          </w:tcPr>
          <w:p w14:paraId="6006C8AD"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 </w:t>
            </w:r>
          </w:p>
        </w:tc>
        <w:tc>
          <w:tcPr>
            <w:tcW w:w="863" w:type="dxa"/>
            <w:tcBorders>
              <w:top w:val="nil"/>
              <w:left w:val="nil"/>
              <w:bottom w:val="nil"/>
              <w:right w:val="single" w:sz="4" w:space="0" w:color="auto"/>
            </w:tcBorders>
            <w:shd w:val="clear" w:color="auto" w:fill="auto"/>
            <w:noWrap/>
            <w:vAlign w:val="center"/>
            <w:hideMark/>
          </w:tcPr>
          <w:p w14:paraId="7F4D88E8"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 </w:t>
            </w:r>
          </w:p>
        </w:tc>
        <w:tc>
          <w:tcPr>
            <w:tcW w:w="990" w:type="dxa"/>
            <w:tcBorders>
              <w:top w:val="nil"/>
              <w:left w:val="nil"/>
              <w:bottom w:val="nil"/>
              <w:right w:val="double" w:sz="6" w:space="0" w:color="auto"/>
            </w:tcBorders>
            <w:shd w:val="clear" w:color="auto" w:fill="auto"/>
            <w:noWrap/>
            <w:vAlign w:val="center"/>
            <w:hideMark/>
          </w:tcPr>
          <w:p w14:paraId="5C8A3A58"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 </w:t>
            </w:r>
          </w:p>
        </w:tc>
        <w:tc>
          <w:tcPr>
            <w:tcW w:w="924" w:type="dxa"/>
            <w:tcBorders>
              <w:top w:val="nil"/>
              <w:left w:val="nil"/>
              <w:bottom w:val="nil"/>
              <w:right w:val="single" w:sz="4" w:space="0" w:color="auto"/>
            </w:tcBorders>
            <w:shd w:val="clear" w:color="auto" w:fill="auto"/>
            <w:noWrap/>
            <w:vAlign w:val="center"/>
            <w:hideMark/>
          </w:tcPr>
          <w:p w14:paraId="3DED2ACB"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0.031</w:t>
            </w:r>
          </w:p>
        </w:tc>
        <w:tc>
          <w:tcPr>
            <w:tcW w:w="905" w:type="dxa"/>
            <w:tcBorders>
              <w:top w:val="nil"/>
              <w:left w:val="nil"/>
              <w:bottom w:val="nil"/>
              <w:right w:val="double" w:sz="6" w:space="0" w:color="auto"/>
            </w:tcBorders>
            <w:shd w:val="clear" w:color="auto" w:fill="auto"/>
            <w:noWrap/>
            <w:vAlign w:val="center"/>
            <w:hideMark/>
          </w:tcPr>
          <w:p w14:paraId="4E8F8C01"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0.904</w:t>
            </w:r>
          </w:p>
        </w:tc>
      </w:tr>
      <w:tr w:rsidR="00625049" w:rsidRPr="00625049" w14:paraId="4BDD300A" w14:textId="77777777" w:rsidTr="00165042">
        <w:trPr>
          <w:trHeight w:val="20"/>
          <w:jc w:val="center"/>
        </w:trPr>
        <w:tc>
          <w:tcPr>
            <w:tcW w:w="2988" w:type="dxa"/>
            <w:tcBorders>
              <w:top w:val="single" w:sz="4" w:space="0" w:color="auto"/>
              <w:left w:val="double" w:sz="6" w:space="0" w:color="auto"/>
              <w:bottom w:val="double" w:sz="6" w:space="0" w:color="auto"/>
              <w:right w:val="double" w:sz="6" w:space="0" w:color="auto"/>
            </w:tcBorders>
            <w:shd w:val="clear" w:color="auto" w:fill="auto"/>
            <w:noWrap/>
            <w:vAlign w:val="center"/>
            <w:hideMark/>
          </w:tcPr>
          <w:p w14:paraId="7CC42731" w14:textId="77777777" w:rsidR="00625049" w:rsidRPr="00625049" w:rsidRDefault="00625049" w:rsidP="00625049">
            <w:pPr>
              <w:spacing w:after="0"/>
              <w:ind w:firstLine="0"/>
              <w:jc w:val="left"/>
              <w:rPr>
                <w:rFonts w:eastAsia="Times New Roman"/>
                <w:color w:val="000000"/>
                <w:sz w:val="20"/>
                <w:szCs w:val="20"/>
              </w:rPr>
            </w:pPr>
            <w:r w:rsidRPr="00625049">
              <w:rPr>
                <w:rFonts w:eastAsia="Times New Roman"/>
                <w:color w:val="000000"/>
                <w:sz w:val="20"/>
                <w:szCs w:val="20"/>
              </w:rPr>
              <w:t xml:space="preserve">   Female</w:t>
            </w:r>
          </w:p>
        </w:tc>
        <w:tc>
          <w:tcPr>
            <w:tcW w:w="833" w:type="dxa"/>
            <w:tcBorders>
              <w:top w:val="single" w:sz="4" w:space="0" w:color="auto"/>
              <w:left w:val="nil"/>
              <w:bottom w:val="double" w:sz="6" w:space="0" w:color="auto"/>
              <w:right w:val="single" w:sz="4" w:space="0" w:color="auto"/>
            </w:tcBorders>
            <w:shd w:val="clear" w:color="auto" w:fill="auto"/>
            <w:noWrap/>
            <w:vAlign w:val="center"/>
            <w:hideMark/>
          </w:tcPr>
          <w:p w14:paraId="0C208D7F"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 </w:t>
            </w:r>
          </w:p>
        </w:tc>
        <w:tc>
          <w:tcPr>
            <w:tcW w:w="925" w:type="dxa"/>
            <w:tcBorders>
              <w:top w:val="single" w:sz="4" w:space="0" w:color="auto"/>
              <w:left w:val="nil"/>
              <w:bottom w:val="double" w:sz="6" w:space="0" w:color="auto"/>
              <w:right w:val="double" w:sz="6" w:space="0" w:color="auto"/>
            </w:tcBorders>
            <w:shd w:val="clear" w:color="auto" w:fill="auto"/>
            <w:noWrap/>
            <w:vAlign w:val="center"/>
            <w:hideMark/>
          </w:tcPr>
          <w:p w14:paraId="57E0FD01"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 </w:t>
            </w:r>
          </w:p>
        </w:tc>
        <w:tc>
          <w:tcPr>
            <w:tcW w:w="786" w:type="dxa"/>
            <w:tcBorders>
              <w:top w:val="single" w:sz="4" w:space="0" w:color="auto"/>
              <w:left w:val="nil"/>
              <w:bottom w:val="double" w:sz="6" w:space="0" w:color="auto"/>
              <w:right w:val="single" w:sz="4" w:space="0" w:color="auto"/>
            </w:tcBorders>
            <w:shd w:val="clear" w:color="auto" w:fill="auto"/>
            <w:noWrap/>
            <w:vAlign w:val="center"/>
            <w:hideMark/>
          </w:tcPr>
          <w:p w14:paraId="6D56EE38"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 </w:t>
            </w:r>
          </w:p>
        </w:tc>
        <w:tc>
          <w:tcPr>
            <w:tcW w:w="871" w:type="dxa"/>
            <w:tcBorders>
              <w:top w:val="single" w:sz="4" w:space="0" w:color="auto"/>
              <w:left w:val="nil"/>
              <w:bottom w:val="double" w:sz="6" w:space="0" w:color="auto"/>
              <w:right w:val="double" w:sz="6" w:space="0" w:color="auto"/>
            </w:tcBorders>
            <w:shd w:val="clear" w:color="auto" w:fill="auto"/>
            <w:noWrap/>
            <w:vAlign w:val="center"/>
            <w:hideMark/>
          </w:tcPr>
          <w:p w14:paraId="3AFDD8E6"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 </w:t>
            </w:r>
          </w:p>
        </w:tc>
        <w:tc>
          <w:tcPr>
            <w:tcW w:w="863" w:type="dxa"/>
            <w:tcBorders>
              <w:top w:val="single" w:sz="4" w:space="0" w:color="auto"/>
              <w:left w:val="nil"/>
              <w:bottom w:val="double" w:sz="6" w:space="0" w:color="auto"/>
              <w:right w:val="single" w:sz="4" w:space="0" w:color="auto"/>
            </w:tcBorders>
            <w:shd w:val="clear" w:color="auto" w:fill="auto"/>
            <w:noWrap/>
            <w:vAlign w:val="center"/>
            <w:hideMark/>
          </w:tcPr>
          <w:p w14:paraId="3776C174"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0.031</w:t>
            </w:r>
          </w:p>
        </w:tc>
        <w:tc>
          <w:tcPr>
            <w:tcW w:w="990" w:type="dxa"/>
            <w:tcBorders>
              <w:top w:val="single" w:sz="4" w:space="0" w:color="auto"/>
              <w:left w:val="nil"/>
              <w:bottom w:val="double" w:sz="6" w:space="0" w:color="auto"/>
              <w:right w:val="double" w:sz="6" w:space="0" w:color="auto"/>
            </w:tcBorders>
            <w:shd w:val="clear" w:color="auto" w:fill="auto"/>
            <w:noWrap/>
            <w:vAlign w:val="center"/>
            <w:hideMark/>
          </w:tcPr>
          <w:p w14:paraId="61E84712"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0.904</w:t>
            </w:r>
          </w:p>
        </w:tc>
        <w:tc>
          <w:tcPr>
            <w:tcW w:w="924" w:type="dxa"/>
            <w:tcBorders>
              <w:top w:val="single" w:sz="4" w:space="0" w:color="auto"/>
              <w:left w:val="nil"/>
              <w:bottom w:val="double" w:sz="6" w:space="0" w:color="auto"/>
              <w:right w:val="single" w:sz="4" w:space="0" w:color="auto"/>
            </w:tcBorders>
            <w:shd w:val="clear" w:color="auto" w:fill="auto"/>
            <w:noWrap/>
            <w:vAlign w:val="center"/>
            <w:hideMark/>
          </w:tcPr>
          <w:p w14:paraId="26FB65C4"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0.031</w:t>
            </w:r>
          </w:p>
        </w:tc>
        <w:tc>
          <w:tcPr>
            <w:tcW w:w="905" w:type="dxa"/>
            <w:tcBorders>
              <w:top w:val="single" w:sz="4" w:space="0" w:color="auto"/>
              <w:left w:val="nil"/>
              <w:bottom w:val="double" w:sz="6" w:space="0" w:color="auto"/>
              <w:right w:val="double" w:sz="6" w:space="0" w:color="auto"/>
            </w:tcBorders>
            <w:shd w:val="clear" w:color="auto" w:fill="auto"/>
            <w:noWrap/>
            <w:vAlign w:val="center"/>
            <w:hideMark/>
          </w:tcPr>
          <w:p w14:paraId="157BDD15"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0.904</w:t>
            </w:r>
          </w:p>
        </w:tc>
      </w:tr>
      <w:tr w:rsidR="00625049" w:rsidRPr="00625049" w14:paraId="2362AADE" w14:textId="77777777" w:rsidTr="00165042">
        <w:trPr>
          <w:trHeight w:val="20"/>
          <w:jc w:val="center"/>
        </w:trPr>
        <w:tc>
          <w:tcPr>
            <w:tcW w:w="2988" w:type="dxa"/>
            <w:tcBorders>
              <w:top w:val="nil"/>
              <w:left w:val="double" w:sz="6" w:space="0" w:color="auto"/>
              <w:bottom w:val="single" w:sz="4" w:space="0" w:color="auto"/>
              <w:right w:val="double" w:sz="6" w:space="0" w:color="auto"/>
            </w:tcBorders>
            <w:shd w:val="clear" w:color="auto" w:fill="auto"/>
            <w:noWrap/>
            <w:vAlign w:val="center"/>
            <w:hideMark/>
          </w:tcPr>
          <w:p w14:paraId="7F88DF6C" w14:textId="77777777" w:rsidR="00625049" w:rsidRPr="00625049" w:rsidRDefault="00625049" w:rsidP="00625049">
            <w:pPr>
              <w:spacing w:after="0"/>
              <w:ind w:firstLine="0"/>
              <w:jc w:val="left"/>
              <w:rPr>
                <w:rFonts w:eastAsia="Times New Roman"/>
                <w:b/>
                <w:bCs/>
                <w:color w:val="000000"/>
                <w:sz w:val="20"/>
                <w:szCs w:val="20"/>
              </w:rPr>
            </w:pPr>
            <w:r w:rsidRPr="00625049">
              <w:rPr>
                <w:rFonts w:eastAsia="Times New Roman"/>
                <w:b/>
                <w:bCs/>
                <w:color w:val="000000"/>
                <w:sz w:val="20"/>
                <w:szCs w:val="20"/>
              </w:rPr>
              <w:t>Age</w:t>
            </w:r>
          </w:p>
        </w:tc>
        <w:tc>
          <w:tcPr>
            <w:tcW w:w="833" w:type="dxa"/>
            <w:tcBorders>
              <w:top w:val="nil"/>
              <w:left w:val="nil"/>
              <w:bottom w:val="single" w:sz="4" w:space="0" w:color="auto"/>
              <w:right w:val="single" w:sz="4" w:space="0" w:color="auto"/>
            </w:tcBorders>
            <w:shd w:val="clear" w:color="auto" w:fill="auto"/>
            <w:noWrap/>
            <w:vAlign w:val="center"/>
            <w:hideMark/>
          </w:tcPr>
          <w:p w14:paraId="40F032BD"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 </w:t>
            </w:r>
          </w:p>
        </w:tc>
        <w:tc>
          <w:tcPr>
            <w:tcW w:w="925" w:type="dxa"/>
            <w:tcBorders>
              <w:top w:val="nil"/>
              <w:left w:val="nil"/>
              <w:bottom w:val="single" w:sz="4" w:space="0" w:color="auto"/>
              <w:right w:val="double" w:sz="6" w:space="0" w:color="auto"/>
            </w:tcBorders>
            <w:shd w:val="clear" w:color="auto" w:fill="auto"/>
            <w:noWrap/>
            <w:vAlign w:val="center"/>
            <w:hideMark/>
          </w:tcPr>
          <w:p w14:paraId="59D743EA"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 </w:t>
            </w:r>
          </w:p>
        </w:tc>
        <w:tc>
          <w:tcPr>
            <w:tcW w:w="786" w:type="dxa"/>
            <w:tcBorders>
              <w:top w:val="nil"/>
              <w:left w:val="nil"/>
              <w:bottom w:val="single" w:sz="4" w:space="0" w:color="auto"/>
              <w:right w:val="single" w:sz="4" w:space="0" w:color="auto"/>
            </w:tcBorders>
            <w:shd w:val="clear" w:color="auto" w:fill="auto"/>
            <w:noWrap/>
            <w:vAlign w:val="center"/>
            <w:hideMark/>
          </w:tcPr>
          <w:p w14:paraId="32555E3F"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 </w:t>
            </w:r>
          </w:p>
        </w:tc>
        <w:tc>
          <w:tcPr>
            <w:tcW w:w="871" w:type="dxa"/>
            <w:tcBorders>
              <w:top w:val="nil"/>
              <w:left w:val="nil"/>
              <w:bottom w:val="single" w:sz="4" w:space="0" w:color="auto"/>
              <w:right w:val="double" w:sz="6" w:space="0" w:color="auto"/>
            </w:tcBorders>
            <w:shd w:val="clear" w:color="auto" w:fill="auto"/>
            <w:noWrap/>
            <w:vAlign w:val="center"/>
            <w:hideMark/>
          </w:tcPr>
          <w:p w14:paraId="100D627E"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 </w:t>
            </w:r>
          </w:p>
        </w:tc>
        <w:tc>
          <w:tcPr>
            <w:tcW w:w="863" w:type="dxa"/>
            <w:tcBorders>
              <w:top w:val="nil"/>
              <w:left w:val="nil"/>
              <w:bottom w:val="single" w:sz="4" w:space="0" w:color="auto"/>
              <w:right w:val="single" w:sz="4" w:space="0" w:color="auto"/>
            </w:tcBorders>
            <w:shd w:val="clear" w:color="auto" w:fill="auto"/>
            <w:noWrap/>
            <w:vAlign w:val="center"/>
            <w:hideMark/>
          </w:tcPr>
          <w:p w14:paraId="6C8839D0"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 </w:t>
            </w:r>
          </w:p>
        </w:tc>
        <w:tc>
          <w:tcPr>
            <w:tcW w:w="990" w:type="dxa"/>
            <w:tcBorders>
              <w:top w:val="nil"/>
              <w:left w:val="nil"/>
              <w:bottom w:val="single" w:sz="4" w:space="0" w:color="auto"/>
              <w:right w:val="double" w:sz="6" w:space="0" w:color="auto"/>
            </w:tcBorders>
            <w:shd w:val="clear" w:color="auto" w:fill="auto"/>
            <w:noWrap/>
            <w:vAlign w:val="center"/>
            <w:hideMark/>
          </w:tcPr>
          <w:p w14:paraId="411EC9B0"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 </w:t>
            </w:r>
          </w:p>
        </w:tc>
        <w:tc>
          <w:tcPr>
            <w:tcW w:w="924" w:type="dxa"/>
            <w:tcBorders>
              <w:top w:val="nil"/>
              <w:left w:val="nil"/>
              <w:bottom w:val="single" w:sz="4" w:space="0" w:color="auto"/>
              <w:right w:val="single" w:sz="4" w:space="0" w:color="auto"/>
            </w:tcBorders>
            <w:shd w:val="clear" w:color="auto" w:fill="auto"/>
            <w:noWrap/>
            <w:vAlign w:val="center"/>
            <w:hideMark/>
          </w:tcPr>
          <w:p w14:paraId="552C38C8"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 </w:t>
            </w:r>
          </w:p>
        </w:tc>
        <w:tc>
          <w:tcPr>
            <w:tcW w:w="905" w:type="dxa"/>
            <w:tcBorders>
              <w:top w:val="nil"/>
              <w:left w:val="nil"/>
              <w:bottom w:val="single" w:sz="4" w:space="0" w:color="auto"/>
              <w:right w:val="double" w:sz="6" w:space="0" w:color="auto"/>
            </w:tcBorders>
            <w:shd w:val="clear" w:color="auto" w:fill="auto"/>
            <w:noWrap/>
            <w:vAlign w:val="center"/>
            <w:hideMark/>
          </w:tcPr>
          <w:p w14:paraId="1C8B3450"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 </w:t>
            </w:r>
          </w:p>
        </w:tc>
      </w:tr>
      <w:tr w:rsidR="00625049" w:rsidRPr="00625049" w14:paraId="6CC9B123" w14:textId="77777777" w:rsidTr="00165042">
        <w:trPr>
          <w:trHeight w:val="20"/>
          <w:jc w:val="center"/>
        </w:trPr>
        <w:tc>
          <w:tcPr>
            <w:tcW w:w="2988" w:type="dxa"/>
            <w:tcBorders>
              <w:top w:val="nil"/>
              <w:left w:val="double" w:sz="6" w:space="0" w:color="auto"/>
              <w:bottom w:val="single" w:sz="4" w:space="0" w:color="auto"/>
              <w:right w:val="double" w:sz="6" w:space="0" w:color="auto"/>
            </w:tcBorders>
            <w:shd w:val="clear" w:color="auto" w:fill="auto"/>
            <w:noWrap/>
            <w:vAlign w:val="center"/>
            <w:hideMark/>
          </w:tcPr>
          <w:p w14:paraId="1B41DD45" w14:textId="77777777" w:rsidR="00625049" w:rsidRPr="00625049" w:rsidRDefault="00625049" w:rsidP="00625049">
            <w:pPr>
              <w:spacing w:after="0"/>
              <w:ind w:firstLine="0"/>
              <w:jc w:val="left"/>
              <w:rPr>
                <w:rFonts w:eastAsia="Times New Roman"/>
                <w:color w:val="000000"/>
                <w:sz w:val="20"/>
                <w:szCs w:val="20"/>
              </w:rPr>
            </w:pPr>
            <w:r w:rsidRPr="00625049">
              <w:rPr>
                <w:rFonts w:eastAsia="Times New Roman"/>
                <w:color w:val="000000"/>
                <w:sz w:val="20"/>
                <w:szCs w:val="20"/>
              </w:rPr>
              <w:t xml:space="preserve">   18-34 years (base)</w:t>
            </w:r>
          </w:p>
        </w:tc>
        <w:tc>
          <w:tcPr>
            <w:tcW w:w="833" w:type="dxa"/>
            <w:tcBorders>
              <w:top w:val="nil"/>
              <w:left w:val="nil"/>
              <w:bottom w:val="single" w:sz="4" w:space="0" w:color="auto"/>
              <w:right w:val="single" w:sz="4" w:space="0" w:color="auto"/>
            </w:tcBorders>
            <w:shd w:val="clear" w:color="auto" w:fill="auto"/>
            <w:noWrap/>
            <w:vAlign w:val="center"/>
            <w:hideMark/>
          </w:tcPr>
          <w:p w14:paraId="48D252A5"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 </w:t>
            </w:r>
          </w:p>
        </w:tc>
        <w:tc>
          <w:tcPr>
            <w:tcW w:w="925" w:type="dxa"/>
            <w:tcBorders>
              <w:top w:val="nil"/>
              <w:left w:val="nil"/>
              <w:bottom w:val="single" w:sz="4" w:space="0" w:color="auto"/>
              <w:right w:val="double" w:sz="6" w:space="0" w:color="auto"/>
            </w:tcBorders>
            <w:shd w:val="clear" w:color="auto" w:fill="auto"/>
            <w:noWrap/>
            <w:vAlign w:val="center"/>
            <w:hideMark/>
          </w:tcPr>
          <w:p w14:paraId="47B94EB8"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 </w:t>
            </w:r>
          </w:p>
        </w:tc>
        <w:tc>
          <w:tcPr>
            <w:tcW w:w="786" w:type="dxa"/>
            <w:tcBorders>
              <w:top w:val="nil"/>
              <w:left w:val="nil"/>
              <w:bottom w:val="single" w:sz="4" w:space="0" w:color="auto"/>
              <w:right w:val="single" w:sz="4" w:space="0" w:color="auto"/>
            </w:tcBorders>
            <w:shd w:val="clear" w:color="auto" w:fill="auto"/>
            <w:noWrap/>
            <w:vAlign w:val="center"/>
            <w:hideMark/>
          </w:tcPr>
          <w:p w14:paraId="2B0DCD53"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 </w:t>
            </w:r>
          </w:p>
        </w:tc>
        <w:tc>
          <w:tcPr>
            <w:tcW w:w="871" w:type="dxa"/>
            <w:tcBorders>
              <w:top w:val="nil"/>
              <w:left w:val="nil"/>
              <w:bottom w:val="single" w:sz="4" w:space="0" w:color="auto"/>
              <w:right w:val="double" w:sz="6" w:space="0" w:color="auto"/>
            </w:tcBorders>
            <w:shd w:val="clear" w:color="auto" w:fill="auto"/>
            <w:noWrap/>
            <w:vAlign w:val="center"/>
            <w:hideMark/>
          </w:tcPr>
          <w:p w14:paraId="4B8AB2E2"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 </w:t>
            </w:r>
          </w:p>
        </w:tc>
        <w:tc>
          <w:tcPr>
            <w:tcW w:w="863" w:type="dxa"/>
            <w:tcBorders>
              <w:top w:val="nil"/>
              <w:left w:val="nil"/>
              <w:bottom w:val="single" w:sz="4" w:space="0" w:color="auto"/>
              <w:right w:val="single" w:sz="4" w:space="0" w:color="auto"/>
            </w:tcBorders>
            <w:shd w:val="clear" w:color="auto" w:fill="auto"/>
            <w:noWrap/>
            <w:vAlign w:val="center"/>
            <w:hideMark/>
          </w:tcPr>
          <w:p w14:paraId="22FD57C1"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 </w:t>
            </w:r>
          </w:p>
        </w:tc>
        <w:tc>
          <w:tcPr>
            <w:tcW w:w="990" w:type="dxa"/>
            <w:tcBorders>
              <w:top w:val="nil"/>
              <w:left w:val="nil"/>
              <w:bottom w:val="single" w:sz="4" w:space="0" w:color="auto"/>
              <w:right w:val="double" w:sz="6" w:space="0" w:color="auto"/>
            </w:tcBorders>
            <w:shd w:val="clear" w:color="auto" w:fill="auto"/>
            <w:noWrap/>
            <w:vAlign w:val="center"/>
            <w:hideMark/>
          </w:tcPr>
          <w:p w14:paraId="6C1C3DCF"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 </w:t>
            </w:r>
          </w:p>
        </w:tc>
        <w:tc>
          <w:tcPr>
            <w:tcW w:w="924" w:type="dxa"/>
            <w:tcBorders>
              <w:top w:val="nil"/>
              <w:left w:val="nil"/>
              <w:bottom w:val="single" w:sz="4" w:space="0" w:color="auto"/>
              <w:right w:val="single" w:sz="4" w:space="0" w:color="auto"/>
            </w:tcBorders>
            <w:shd w:val="clear" w:color="auto" w:fill="auto"/>
            <w:noWrap/>
            <w:vAlign w:val="center"/>
            <w:hideMark/>
          </w:tcPr>
          <w:p w14:paraId="127C1EF8"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0.028</w:t>
            </w:r>
          </w:p>
        </w:tc>
        <w:tc>
          <w:tcPr>
            <w:tcW w:w="905" w:type="dxa"/>
            <w:tcBorders>
              <w:top w:val="nil"/>
              <w:left w:val="nil"/>
              <w:bottom w:val="single" w:sz="4" w:space="0" w:color="auto"/>
              <w:right w:val="double" w:sz="6" w:space="0" w:color="auto"/>
            </w:tcBorders>
            <w:shd w:val="clear" w:color="auto" w:fill="auto"/>
            <w:noWrap/>
            <w:vAlign w:val="center"/>
            <w:hideMark/>
          </w:tcPr>
          <w:p w14:paraId="3EBCD1CE"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0.580</w:t>
            </w:r>
          </w:p>
        </w:tc>
      </w:tr>
      <w:tr w:rsidR="00625049" w:rsidRPr="00625049" w14:paraId="76ACDDBB" w14:textId="77777777" w:rsidTr="00165042">
        <w:trPr>
          <w:trHeight w:val="20"/>
          <w:jc w:val="center"/>
        </w:trPr>
        <w:tc>
          <w:tcPr>
            <w:tcW w:w="2988" w:type="dxa"/>
            <w:tcBorders>
              <w:top w:val="nil"/>
              <w:left w:val="double" w:sz="6" w:space="0" w:color="auto"/>
              <w:bottom w:val="single" w:sz="4" w:space="0" w:color="auto"/>
              <w:right w:val="double" w:sz="6" w:space="0" w:color="auto"/>
            </w:tcBorders>
            <w:shd w:val="clear" w:color="auto" w:fill="auto"/>
            <w:noWrap/>
            <w:vAlign w:val="center"/>
            <w:hideMark/>
          </w:tcPr>
          <w:p w14:paraId="109D7BBC" w14:textId="77777777" w:rsidR="00625049" w:rsidRPr="00625049" w:rsidRDefault="00625049" w:rsidP="00625049">
            <w:pPr>
              <w:spacing w:after="0"/>
              <w:ind w:firstLine="0"/>
              <w:jc w:val="left"/>
              <w:rPr>
                <w:rFonts w:eastAsia="Times New Roman"/>
                <w:color w:val="000000"/>
                <w:sz w:val="20"/>
                <w:szCs w:val="20"/>
              </w:rPr>
            </w:pPr>
            <w:r w:rsidRPr="00625049">
              <w:rPr>
                <w:rFonts w:eastAsia="Times New Roman"/>
                <w:color w:val="000000"/>
                <w:sz w:val="20"/>
                <w:szCs w:val="20"/>
              </w:rPr>
              <w:t xml:space="preserve">   35-44 years</w:t>
            </w:r>
          </w:p>
        </w:tc>
        <w:tc>
          <w:tcPr>
            <w:tcW w:w="833" w:type="dxa"/>
            <w:tcBorders>
              <w:top w:val="nil"/>
              <w:left w:val="nil"/>
              <w:bottom w:val="single" w:sz="4" w:space="0" w:color="auto"/>
              <w:right w:val="single" w:sz="4" w:space="0" w:color="auto"/>
            </w:tcBorders>
            <w:shd w:val="clear" w:color="auto" w:fill="auto"/>
            <w:noWrap/>
            <w:vAlign w:val="center"/>
            <w:hideMark/>
          </w:tcPr>
          <w:p w14:paraId="04A0A40E"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-0.905</w:t>
            </w:r>
          </w:p>
        </w:tc>
        <w:tc>
          <w:tcPr>
            <w:tcW w:w="925" w:type="dxa"/>
            <w:tcBorders>
              <w:top w:val="nil"/>
              <w:left w:val="nil"/>
              <w:bottom w:val="single" w:sz="4" w:space="0" w:color="auto"/>
              <w:right w:val="double" w:sz="6" w:space="0" w:color="auto"/>
            </w:tcBorders>
            <w:shd w:val="clear" w:color="auto" w:fill="auto"/>
            <w:noWrap/>
            <w:vAlign w:val="center"/>
            <w:hideMark/>
          </w:tcPr>
          <w:p w14:paraId="21C26EE0"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-49.447</w:t>
            </w:r>
          </w:p>
        </w:tc>
        <w:tc>
          <w:tcPr>
            <w:tcW w:w="786" w:type="dxa"/>
            <w:tcBorders>
              <w:top w:val="nil"/>
              <w:left w:val="nil"/>
              <w:bottom w:val="single" w:sz="4" w:space="0" w:color="auto"/>
              <w:right w:val="single" w:sz="4" w:space="0" w:color="auto"/>
            </w:tcBorders>
            <w:shd w:val="clear" w:color="auto" w:fill="auto"/>
            <w:noWrap/>
            <w:vAlign w:val="center"/>
            <w:hideMark/>
          </w:tcPr>
          <w:p w14:paraId="3B244D49"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-0.943</w:t>
            </w:r>
          </w:p>
        </w:tc>
        <w:tc>
          <w:tcPr>
            <w:tcW w:w="871" w:type="dxa"/>
            <w:tcBorders>
              <w:top w:val="nil"/>
              <w:left w:val="nil"/>
              <w:bottom w:val="single" w:sz="4" w:space="0" w:color="auto"/>
              <w:right w:val="double" w:sz="6" w:space="0" w:color="auto"/>
            </w:tcBorders>
            <w:shd w:val="clear" w:color="auto" w:fill="auto"/>
            <w:noWrap/>
            <w:vAlign w:val="center"/>
            <w:hideMark/>
          </w:tcPr>
          <w:p w14:paraId="7AB5AF0D"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-33.238</w:t>
            </w:r>
          </w:p>
        </w:tc>
        <w:tc>
          <w:tcPr>
            <w:tcW w:w="863" w:type="dxa"/>
            <w:tcBorders>
              <w:top w:val="nil"/>
              <w:left w:val="nil"/>
              <w:bottom w:val="single" w:sz="4" w:space="0" w:color="auto"/>
              <w:right w:val="single" w:sz="4" w:space="0" w:color="auto"/>
            </w:tcBorders>
            <w:shd w:val="clear" w:color="auto" w:fill="auto"/>
            <w:noWrap/>
            <w:vAlign w:val="center"/>
            <w:hideMark/>
          </w:tcPr>
          <w:p w14:paraId="27097525"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-0.915</w:t>
            </w:r>
          </w:p>
        </w:tc>
        <w:tc>
          <w:tcPr>
            <w:tcW w:w="990" w:type="dxa"/>
            <w:tcBorders>
              <w:top w:val="nil"/>
              <w:left w:val="nil"/>
              <w:bottom w:val="single" w:sz="4" w:space="0" w:color="auto"/>
              <w:right w:val="double" w:sz="6" w:space="0" w:color="auto"/>
            </w:tcBorders>
            <w:shd w:val="clear" w:color="auto" w:fill="auto"/>
            <w:noWrap/>
            <w:vAlign w:val="center"/>
            <w:hideMark/>
          </w:tcPr>
          <w:p w14:paraId="30DFC3D1"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-29.061</w:t>
            </w:r>
          </w:p>
        </w:tc>
        <w:tc>
          <w:tcPr>
            <w:tcW w:w="924" w:type="dxa"/>
            <w:tcBorders>
              <w:top w:val="nil"/>
              <w:left w:val="nil"/>
              <w:bottom w:val="single" w:sz="4" w:space="0" w:color="auto"/>
              <w:right w:val="single" w:sz="4" w:space="0" w:color="auto"/>
            </w:tcBorders>
            <w:shd w:val="clear" w:color="auto" w:fill="auto"/>
            <w:noWrap/>
            <w:vAlign w:val="center"/>
            <w:hideMark/>
          </w:tcPr>
          <w:p w14:paraId="1367E552"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-0.010</w:t>
            </w:r>
          </w:p>
        </w:tc>
        <w:tc>
          <w:tcPr>
            <w:tcW w:w="905" w:type="dxa"/>
            <w:tcBorders>
              <w:top w:val="nil"/>
              <w:left w:val="nil"/>
              <w:bottom w:val="single" w:sz="4" w:space="0" w:color="auto"/>
              <w:right w:val="double" w:sz="6" w:space="0" w:color="auto"/>
            </w:tcBorders>
            <w:shd w:val="clear" w:color="auto" w:fill="auto"/>
            <w:noWrap/>
            <w:vAlign w:val="center"/>
            <w:hideMark/>
          </w:tcPr>
          <w:p w14:paraId="13D53DB4"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-0.335</w:t>
            </w:r>
          </w:p>
        </w:tc>
      </w:tr>
      <w:tr w:rsidR="00625049" w:rsidRPr="00625049" w14:paraId="72C80434" w14:textId="77777777" w:rsidTr="00165042">
        <w:trPr>
          <w:trHeight w:val="20"/>
          <w:jc w:val="center"/>
        </w:trPr>
        <w:tc>
          <w:tcPr>
            <w:tcW w:w="2988" w:type="dxa"/>
            <w:tcBorders>
              <w:top w:val="nil"/>
              <w:left w:val="double" w:sz="6" w:space="0" w:color="auto"/>
              <w:bottom w:val="single" w:sz="4" w:space="0" w:color="auto"/>
              <w:right w:val="double" w:sz="6" w:space="0" w:color="auto"/>
            </w:tcBorders>
            <w:shd w:val="clear" w:color="auto" w:fill="auto"/>
            <w:noWrap/>
            <w:vAlign w:val="center"/>
            <w:hideMark/>
          </w:tcPr>
          <w:p w14:paraId="60C349BD" w14:textId="77777777" w:rsidR="00625049" w:rsidRPr="00625049" w:rsidRDefault="00625049" w:rsidP="00625049">
            <w:pPr>
              <w:spacing w:after="0"/>
              <w:ind w:firstLine="0"/>
              <w:jc w:val="left"/>
              <w:rPr>
                <w:rFonts w:eastAsia="Times New Roman"/>
                <w:color w:val="000000"/>
                <w:sz w:val="20"/>
                <w:szCs w:val="20"/>
              </w:rPr>
            </w:pPr>
            <w:r w:rsidRPr="00625049">
              <w:rPr>
                <w:rFonts w:eastAsia="Times New Roman"/>
                <w:color w:val="000000"/>
                <w:sz w:val="20"/>
                <w:szCs w:val="20"/>
              </w:rPr>
              <w:t xml:space="preserve">   45-54 years</w:t>
            </w:r>
          </w:p>
        </w:tc>
        <w:tc>
          <w:tcPr>
            <w:tcW w:w="833" w:type="dxa"/>
            <w:tcBorders>
              <w:top w:val="nil"/>
              <w:left w:val="nil"/>
              <w:bottom w:val="single" w:sz="4" w:space="0" w:color="auto"/>
              <w:right w:val="single" w:sz="4" w:space="0" w:color="auto"/>
            </w:tcBorders>
            <w:shd w:val="clear" w:color="auto" w:fill="auto"/>
            <w:noWrap/>
            <w:vAlign w:val="center"/>
            <w:hideMark/>
          </w:tcPr>
          <w:p w14:paraId="3EF0CCC6"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-1.296</w:t>
            </w:r>
          </w:p>
        </w:tc>
        <w:tc>
          <w:tcPr>
            <w:tcW w:w="925" w:type="dxa"/>
            <w:tcBorders>
              <w:top w:val="nil"/>
              <w:left w:val="nil"/>
              <w:bottom w:val="single" w:sz="4" w:space="0" w:color="auto"/>
              <w:right w:val="double" w:sz="6" w:space="0" w:color="auto"/>
            </w:tcBorders>
            <w:shd w:val="clear" w:color="auto" w:fill="auto"/>
            <w:noWrap/>
            <w:vAlign w:val="center"/>
            <w:hideMark/>
          </w:tcPr>
          <w:p w14:paraId="36EC9E19"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-73.367</w:t>
            </w:r>
          </w:p>
        </w:tc>
        <w:tc>
          <w:tcPr>
            <w:tcW w:w="786" w:type="dxa"/>
            <w:tcBorders>
              <w:top w:val="nil"/>
              <w:left w:val="nil"/>
              <w:bottom w:val="single" w:sz="4" w:space="0" w:color="auto"/>
              <w:right w:val="single" w:sz="4" w:space="0" w:color="auto"/>
            </w:tcBorders>
            <w:shd w:val="clear" w:color="auto" w:fill="auto"/>
            <w:noWrap/>
            <w:vAlign w:val="center"/>
            <w:hideMark/>
          </w:tcPr>
          <w:p w14:paraId="2E79FA94"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-1.342</w:t>
            </w:r>
          </w:p>
        </w:tc>
        <w:tc>
          <w:tcPr>
            <w:tcW w:w="871" w:type="dxa"/>
            <w:tcBorders>
              <w:top w:val="nil"/>
              <w:left w:val="nil"/>
              <w:bottom w:val="single" w:sz="4" w:space="0" w:color="auto"/>
              <w:right w:val="double" w:sz="6" w:space="0" w:color="auto"/>
            </w:tcBorders>
            <w:shd w:val="clear" w:color="auto" w:fill="auto"/>
            <w:noWrap/>
            <w:vAlign w:val="center"/>
            <w:hideMark/>
          </w:tcPr>
          <w:p w14:paraId="188EBCE9"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-51.655</w:t>
            </w:r>
          </w:p>
        </w:tc>
        <w:tc>
          <w:tcPr>
            <w:tcW w:w="863" w:type="dxa"/>
            <w:tcBorders>
              <w:top w:val="nil"/>
              <w:left w:val="nil"/>
              <w:bottom w:val="single" w:sz="4" w:space="0" w:color="auto"/>
              <w:right w:val="single" w:sz="4" w:space="0" w:color="auto"/>
            </w:tcBorders>
            <w:shd w:val="clear" w:color="auto" w:fill="auto"/>
            <w:noWrap/>
            <w:vAlign w:val="center"/>
            <w:hideMark/>
          </w:tcPr>
          <w:p w14:paraId="36F1F283"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-1.313</w:t>
            </w:r>
          </w:p>
        </w:tc>
        <w:tc>
          <w:tcPr>
            <w:tcW w:w="990" w:type="dxa"/>
            <w:tcBorders>
              <w:top w:val="nil"/>
              <w:left w:val="nil"/>
              <w:bottom w:val="single" w:sz="4" w:space="0" w:color="auto"/>
              <w:right w:val="double" w:sz="6" w:space="0" w:color="auto"/>
            </w:tcBorders>
            <w:shd w:val="clear" w:color="auto" w:fill="auto"/>
            <w:noWrap/>
            <w:vAlign w:val="center"/>
            <w:hideMark/>
          </w:tcPr>
          <w:p w14:paraId="7AF16A72"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-42.145</w:t>
            </w:r>
          </w:p>
        </w:tc>
        <w:tc>
          <w:tcPr>
            <w:tcW w:w="924" w:type="dxa"/>
            <w:tcBorders>
              <w:top w:val="nil"/>
              <w:left w:val="nil"/>
              <w:bottom w:val="single" w:sz="4" w:space="0" w:color="auto"/>
              <w:right w:val="single" w:sz="4" w:space="0" w:color="auto"/>
            </w:tcBorders>
            <w:shd w:val="clear" w:color="auto" w:fill="auto"/>
            <w:noWrap/>
            <w:vAlign w:val="center"/>
            <w:hideMark/>
          </w:tcPr>
          <w:p w14:paraId="1A8D95F8"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-0.017</w:t>
            </w:r>
          </w:p>
        </w:tc>
        <w:tc>
          <w:tcPr>
            <w:tcW w:w="905" w:type="dxa"/>
            <w:tcBorders>
              <w:top w:val="nil"/>
              <w:left w:val="nil"/>
              <w:bottom w:val="single" w:sz="4" w:space="0" w:color="auto"/>
              <w:right w:val="double" w:sz="6" w:space="0" w:color="auto"/>
            </w:tcBorders>
            <w:shd w:val="clear" w:color="auto" w:fill="auto"/>
            <w:noWrap/>
            <w:vAlign w:val="center"/>
            <w:hideMark/>
          </w:tcPr>
          <w:p w14:paraId="44BF1CFE"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-0.916</w:t>
            </w:r>
          </w:p>
        </w:tc>
      </w:tr>
      <w:tr w:rsidR="00625049" w:rsidRPr="00625049" w14:paraId="046C1DBB" w14:textId="77777777" w:rsidTr="00165042">
        <w:trPr>
          <w:trHeight w:val="20"/>
          <w:jc w:val="center"/>
        </w:trPr>
        <w:tc>
          <w:tcPr>
            <w:tcW w:w="2988" w:type="dxa"/>
            <w:tcBorders>
              <w:top w:val="nil"/>
              <w:left w:val="double" w:sz="6" w:space="0" w:color="auto"/>
              <w:bottom w:val="single" w:sz="4" w:space="0" w:color="auto"/>
              <w:right w:val="double" w:sz="6" w:space="0" w:color="auto"/>
            </w:tcBorders>
            <w:shd w:val="clear" w:color="auto" w:fill="auto"/>
            <w:noWrap/>
            <w:vAlign w:val="center"/>
            <w:hideMark/>
          </w:tcPr>
          <w:p w14:paraId="7E56271D" w14:textId="77777777" w:rsidR="00625049" w:rsidRPr="00625049" w:rsidRDefault="00625049" w:rsidP="00625049">
            <w:pPr>
              <w:spacing w:after="0"/>
              <w:ind w:firstLine="0"/>
              <w:jc w:val="left"/>
              <w:rPr>
                <w:rFonts w:eastAsia="Times New Roman"/>
                <w:color w:val="000000"/>
                <w:sz w:val="20"/>
                <w:szCs w:val="20"/>
              </w:rPr>
            </w:pPr>
            <w:r w:rsidRPr="00625049">
              <w:rPr>
                <w:rFonts w:eastAsia="Times New Roman"/>
                <w:color w:val="000000"/>
                <w:sz w:val="20"/>
                <w:szCs w:val="20"/>
              </w:rPr>
              <w:t xml:space="preserve">   55-64 years</w:t>
            </w:r>
          </w:p>
        </w:tc>
        <w:tc>
          <w:tcPr>
            <w:tcW w:w="833" w:type="dxa"/>
            <w:tcBorders>
              <w:top w:val="nil"/>
              <w:left w:val="nil"/>
              <w:bottom w:val="single" w:sz="4" w:space="0" w:color="auto"/>
              <w:right w:val="single" w:sz="4" w:space="0" w:color="auto"/>
            </w:tcBorders>
            <w:shd w:val="clear" w:color="auto" w:fill="auto"/>
            <w:noWrap/>
            <w:vAlign w:val="center"/>
            <w:hideMark/>
          </w:tcPr>
          <w:p w14:paraId="4A2776D9"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-1.503</w:t>
            </w:r>
          </w:p>
        </w:tc>
        <w:tc>
          <w:tcPr>
            <w:tcW w:w="925" w:type="dxa"/>
            <w:tcBorders>
              <w:top w:val="nil"/>
              <w:left w:val="nil"/>
              <w:bottom w:val="single" w:sz="4" w:space="0" w:color="auto"/>
              <w:right w:val="double" w:sz="6" w:space="0" w:color="auto"/>
            </w:tcBorders>
            <w:shd w:val="clear" w:color="auto" w:fill="auto"/>
            <w:noWrap/>
            <w:vAlign w:val="center"/>
            <w:hideMark/>
          </w:tcPr>
          <w:p w14:paraId="670751A6"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-81.365</w:t>
            </w:r>
          </w:p>
        </w:tc>
        <w:tc>
          <w:tcPr>
            <w:tcW w:w="786" w:type="dxa"/>
            <w:tcBorders>
              <w:top w:val="nil"/>
              <w:left w:val="nil"/>
              <w:bottom w:val="single" w:sz="4" w:space="0" w:color="auto"/>
              <w:right w:val="single" w:sz="4" w:space="0" w:color="auto"/>
            </w:tcBorders>
            <w:shd w:val="clear" w:color="auto" w:fill="auto"/>
            <w:noWrap/>
            <w:vAlign w:val="center"/>
            <w:hideMark/>
          </w:tcPr>
          <w:p w14:paraId="1ED43FF3"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-1.548</w:t>
            </w:r>
          </w:p>
        </w:tc>
        <w:tc>
          <w:tcPr>
            <w:tcW w:w="871" w:type="dxa"/>
            <w:tcBorders>
              <w:top w:val="nil"/>
              <w:left w:val="nil"/>
              <w:bottom w:val="single" w:sz="4" w:space="0" w:color="auto"/>
              <w:right w:val="double" w:sz="6" w:space="0" w:color="auto"/>
            </w:tcBorders>
            <w:shd w:val="clear" w:color="auto" w:fill="auto"/>
            <w:noWrap/>
            <w:vAlign w:val="center"/>
            <w:hideMark/>
          </w:tcPr>
          <w:p w14:paraId="4FA5FD4E"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-51.807</w:t>
            </w:r>
          </w:p>
        </w:tc>
        <w:tc>
          <w:tcPr>
            <w:tcW w:w="863" w:type="dxa"/>
            <w:tcBorders>
              <w:top w:val="nil"/>
              <w:left w:val="nil"/>
              <w:bottom w:val="single" w:sz="4" w:space="0" w:color="auto"/>
              <w:right w:val="single" w:sz="4" w:space="0" w:color="auto"/>
            </w:tcBorders>
            <w:shd w:val="clear" w:color="auto" w:fill="auto"/>
            <w:noWrap/>
            <w:vAlign w:val="center"/>
            <w:hideMark/>
          </w:tcPr>
          <w:p w14:paraId="2DF383BC"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-1.519</w:t>
            </w:r>
          </w:p>
        </w:tc>
        <w:tc>
          <w:tcPr>
            <w:tcW w:w="990" w:type="dxa"/>
            <w:tcBorders>
              <w:top w:val="nil"/>
              <w:left w:val="nil"/>
              <w:bottom w:val="single" w:sz="4" w:space="0" w:color="auto"/>
              <w:right w:val="double" w:sz="6" w:space="0" w:color="auto"/>
            </w:tcBorders>
            <w:shd w:val="clear" w:color="auto" w:fill="auto"/>
            <w:noWrap/>
            <w:vAlign w:val="center"/>
            <w:hideMark/>
          </w:tcPr>
          <w:p w14:paraId="72119A70"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-55.561</w:t>
            </w:r>
          </w:p>
        </w:tc>
        <w:tc>
          <w:tcPr>
            <w:tcW w:w="924" w:type="dxa"/>
            <w:tcBorders>
              <w:top w:val="nil"/>
              <w:left w:val="nil"/>
              <w:bottom w:val="single" w:sz="4" w:space="0" w:color="auto"/>
              <w:right w:val="single" w:sz="4" w:space="0" w:color="auto"/>
            </w:tcBorders>
            <w:shd w:val="clear" w:color="auto" w:fill="auto"/>
            <w:noWrap/>
            <w:vAlign w:val="center"/>
            <w:hideMark/>
          </w:tcPr>
          <w:p w14:paraId="285E9E0B"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-0.016</w:t>
            </w:r>
          </w:p>
        </w:tc>
        <w:tc>
          <w:tcPr>
            <w:tcW w:w="905" w:type="dxa"/>
            <w:tcBorders>
              <w:top w:val="nil"/>
              <w:left w:val="nil"/>
              <w:bottom w:val="single" w:sz="4" w:space="0" w:color="auto"/>
              <w:right w:val="double" w:sz="6" w:space="0" w:color="auto"/>
            </w:tcBorders>
            <w:shd w:val="clear" w:color="auto" w:fill="auto"/>
            <w:noWrap/>
            <w:vAlign w:val="center"/>
            <w:hideMark/>
          </w:tcPr>
          <w:p w14:paraId="50E1E071"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-1.260</w:t>
            </w:r>
          </w:p>
        </w:tc>
      </w:tr>
      <w:tr w:rsidR="00625049" w:rsidRPr="00625049" w14:paraId="48AEBECB" w14:textId="77777777" w:rsidTr="00165042">
        <w:trPr>
          <w:trHeight w:val="20"/>
          <w:jc w:val="center"/>
        </w:trPr>
        <w:tc>
          <w:tcPr>
            <w:tcW w:w="2988" w:type="dxa"/>
            <w:tcBorders>
              <w:top w:val="nil"/>
              <w:left w:val="double" w:sz="6" w:space="0" w:color="auto"/>
              <w:bottom w:val="double" w:sz="6" w:space="0" w:color="auto"/>
              <w:right w:val="double" w:sz="6" w:space="0" w:color="auto"/>
            </w:tcBorders>
            <w:shd w:val="clear" w:color="auto" w:fill="auto"/>
            <w:noWrap/>
            <w:vAlign w:val="center"/>
            <w:hideMark/>
          </w:tcPr>
          <w:p w14:paraId="42BD37C5" w14:textId="77777777" w:rsidR="00625049" w:rsidRPr="00625049" w:rsidRDefault="00625049" w:rsidP="00625049">
            <w:pPr>
              <w:spacing w:after="0"/>
              <w:ind w:firstLine="0"/>
              <w:jc w:val="left"/>
              <w:rPr>
                <w:rFonts w:eastAsia="Times New Roman"/>
                <w:color w:val="000000"/>
                <w:sz w:val="20"/>
                <w:szCs w:val="20"/>
              </w:rPr>
            </w:pPr>
            <w:r w:rsidRPr="00625049">
              <w:rPr>
                <w:rFonts w:eastAsia="Times New Roman"/>
                <w:color w:val="000000"/>
                <w:sz w:val="20"/>
                <w:szCs w:val="20"/>
              </w:rPr>
              <w:t xml:space="preserve">   65 years or older</w:t>
            </w:r>
          </w:p>
        </w:tc>
        <w:tc>
          <w:tcPr>
            <w:tcW w:w="833" w:type="dxa"/>
            <w:tcBorders>
              <w:top w:val="nil"/>
              <w:left w:val="nil"/>
              <w:bottom w:val="double" w:sz="6" w:space="0" w:color="auto"/>
              <w:right w:val="single" w:sz="4" w:space="0" w:color="auto"/>
            </w:tcBorders>
            <w:shd w:val="clear" w:color="auto" w:fill="auto"/>
            <w:noWrap/>
            <w:vAlign w:val="center"/>
            <w:hideMark/>
          </w:tcPr>
          <w:p w14:paraId="70115A2E"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-1.631</w:t>
            </w:r>
          </w:p>
        </w:tc>
        <w:tc>
          <w:tcPr>
            <w:tcW w:w="925" w:type="dxa"/>
            <w:tcBorders>
              <w:top w:val="nil"/>
              <w:left w:val="nil"/>
              <w:bottom w:val="double" w:sz="6" w:space="0" w:color="auto"/>
              <w:right w:val="double" w:sz="6" w:space="0" w:color="auto"/>
            </w:tcBorders>
            <w:shd w:val="clear" w:color="auto" w:fill="auto"/>
            <w:noWrap/>
            <w:vAlign w:val="center"/>
            <w:hideMark/>
          </w:tcPr>
          <w:p w14:paraId="64BD79D7"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-82.335</w:t>
            </w:r>
          </w:p>
        </w:tc>
        <w:tc>
          <w:tcPr>
            <w:tcW w:w="786" w:type="dxa"/>
            <w:tcBorders>
              <w:top w:val="nil"/>
              <w:left w:val="nil"/>
              <w:bottom w:val="double" w:sz="6" w:space="0" w:color="auto"/>
              <w:right w:val="single" w:sz="4" w:space="0" w:color="auto"/>
            </w:tcBorders>
            <w:shd w:val="clear" w:color="auto" w:fill="auto"/>
            <w:noWrap/>
            <w:vAlign w:val="center"/>
            <w:hideMark/>
          </w:tcPr>
          <w:p w14:paraId="53F812EF"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-1.322</w:t>
            </w:r>
          </w:p>
        </w:tc>
        <w:tc>
          <w:tcPr>
            <w:tcW w:w="871" w:type="dxa"/>
            <w:tcBorders>
              <w:top w:val="nil"/>
              <w:left w:val="nil"/>
              <w:bottom w:val="double" w:sz="6" w:space="0" w:color="auto"/>
              <w:right w:val="double" w:sz="6" w:space="0" w:color="auto"/>
            </w:tcBorders>
            <w:shd w:val="clear" w:color="auto" w:fill="auto"/>
            <w:noWrap/>
            <w:vAlign w:val="center"/>
            <w:hideMark/>
          </w:tcPr>
          <w:p w14:paraId="6EFB2EE4"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-62.202</w:t>
            </w:r>
          </w:p>
        </w:tc>
        <w:tc>
          <w:tcPr>
            <w:tcW w:w="863" w:type="dxa"/>
            <w:tcBorders>
              <w:top w:val="nil"/>
              <w:left w:val="nil"/>
              <w:bottom w:val="double" w:sz="6" w:space="0" w:color="auto"/>
              <w:right w:val="single" w:sz="4" w:space="0" w:color="auto"/>
            </w:tcBorders>
            <w:shd w:val="clear" w:color="auto" w:fill="auto"/>
            <w:noWrap/>
            <w:vAlign w:val="center"/>
            <w:hideMark/>
          </w:tcPr>
          <w:p w14:paraId="3542D964"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-1.294</w:t>
            </w:r>
          </w:p>
        </w:tc>
        <w:tc>
          <w:tcPr>
            <w:tcW w:w="990" w:type="dxa"/>
            <w:tcBorders>
              <w:top w:val="nil"/>
              <w:left w:val="nil"/>
              <w:bottom w:val="double" w:sz="6" w:space="0" w:color="auto"/>
              <w:right w:val="double" w:sz="6" w:space="0" w:color="auto"/>
            </w:tcBorders>
            <w:shd w:val="clear" w:color="auto" w:fill="auto"/>
            <w:noWrap/>
            <w:vAlign w:val="center"/>
            <w:hideMark/>
          </w:tcPr>
          <w:p w14:paraId="609A8ED8"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-36.074</w:t>
            </w:r>
          </w:p>
        </w:tc>
        <w:tc>
          <w:tcPr>
            <w:tcW w:w="924" w:type="dxa"/>
            <w:tcBorders>
              <w:top w:val="nil"/>
              <w:left w:val="nil"/>
              <w:bottom w:val="double" w:sz="6" w:space="0" w:color="auto"/>
              <w:right w:val="single" w:sz="4" w:space="0" w:color="auto"/>
            </w:tcBorders>
            <w:shd w:val="clear" w:color="auto" w:fill="auto"/>
            <w:noWrap/>
            <w:vAlign w:val="center"/>
            <w:hideMark/>
          </w:tcPr>
          <w:p w14:paraId="2466D32E"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0.338</w:t>
            </w:r>
          </w:p>
        </w:tc>
        <w:tc>
          <w:tcPr>
            <w:tcW w:w="905" w:type="dxa"/>
            <w:tcBorders>
              <w:top w:val="nil"/>
              <w:left w:val="nil"/>
              <w:bottom w:val="double" w:sz="6" w:space="0" w:color="auto"/>
              <w:right w:val="double" w:sz="6" w:space="0" w:color="auto"/>
            </w:tcBorders>
            <w:shd w:val="clear" w:color="auto" w:fill="auto"/>
            <w:noWrap/>
            <w:vAlign w:val="center"/>
            <w:hideMark/>
          </w:tcPr>
          <w:p w14:paraId="17C055F8"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15.165</w:t>
            </w:r>
          </w:p>
        </w:tc>
      </w:tr>
      <w:tr w:rsidR="00625049" w:rsidRPr="00625049" w14:paraId="057E15BE" w14:textId="77777777" w:rsidTr="00165042">
        <w:trPr>
          <w:trHeight w:val="20"/>
          <w:jc w:val="center"/>
        </w:trPr>
        <w:tc>
          <w:tcPr>
            <w:tcW w:w="2988" w:type="dxa"/>
            <w:tcBorders>
              <w:top w:val="nil"/>
              <w:left w:val="double" w:sz="6" w:space="0" w:color="auto"/>
              <w:bottom w:val="single" w:sz="4" w:space="0" w:color="auto"/>
              <w:right w:val="double" w:sz="6" w:space="0" w:color="auto"/>
            </w:tcBorders>
            <w:shd w:val="clear" w:color="auto" w:fill="auto"/>
            <w:noWrap/>
            <w:vAlign w:val="center"/>
            <w:hideMark/>
          </w:tcPr>
          <w:p w14:paraId="72DA5852" w14:textId="77777777" w:rsidR="00625049" w:rsidRPr="00625049" w:rsidRDefault="00625049" w:rsidP="00625049">
            <w:pPr>
              <w:spacing w:after="0"/>
              <w:ind w:firstLine="0"/>
              <w:jc w:val="left"/>
              <w:rPr>
                <w:rFonts w:eastAsia="Times New Roman"/>
                <w:b/>
                <w:bCs/>
                <w:color w:val="000000"/>
                <w:sz w:val="20"/>
                <w:szCs w:val="20"/>
              </w:rPr>
            </w:pPr>
            <w:r w:rsidRPr="00625049">
              <w:rPr>
                <w:rFonts w:eastAsia="Times New Roman"/>
                <w:b/>
                <w:bCs/>
                <w:color w:val="000000"/>
                <w:sz w:val="20"/>
                <w:szCs w:val="20"/>
              </w:rPr>
              <w:t>Has a smartphone</w:t>
            </w:r>
          </w:p>
        </w:tc>
        <w:tc>
          <w:tcPr>
            <w:tcW w:w="833" w:type="dxa"/>
            <w:tcBorders>
              <w:top w:val="nil"/>
              <w:left w:val="nil"/>
              <w:bottom w:val="single" w:sz="4" w:space="0" w:color="auto"/>
              <w:right w:val="single" w:sz="4" w:space="0" w:color="auto"/>
            </w:tcBorders>
            <w:shd w:val="clear" w:color="auto" w:fill="auto"/>
            <w:noWrap/>
            <w:vAlign w:val="center"/>
            <w:hideMark/>
          </w:tcPr>
          <w:p w14:paraId="3D7B352E"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 </w:t>
            </w:r>
          </w:p>
        </w:tc>
        <w:tc>
          <w:tcPr>
            <w:tcW w:w="925" w:type="dxa"/>
            <w:tcBorders>
              <w:top w:val="nil"/>
              <w:left w:val="nil"/>
              <w:bottom w:val="single" w:sz="4" w:space="0" w:color="auto"/>
              <w:right w:val="double" w:sz="6" w:space="0" w:color="auto"/>
            </w:tcBorders>
            <w:shd w:val="clear" w:color="auto" w:fill="auto"/>
            <w:noWrap/>
            <w:vAlign w:val="center"/>
            <w:hideMark/>
          </w:tcPr>
          <w:p w14:paraId="3AB3F510"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 </w:t>
            </w:r>
          </w:p>
        </w:tc>
        <w:tc>
          <w:tcPr>
            <w:tcW w:w="786" w:type="dxa"/>
            <w:tcBorders>
              <w:top w:val="nil"/>
              <w:left w:val="nil"/>
              <w:bottom w:val="single" w:sz="4" w:space="0" w:color="auto"/>
              <w:right w:val="single" w:sz="4" w:space="0" w:color="auto"/>
            </w:tcBorders>
            <w:shd w:val="clear" w:color="auto" w:fill="auto"/>
            <w:noWrap/>
            <w:vAlign w:val="center"/>
            <w:hideMark/>
          </w:tcPr>
          <w:p w14:paraId="24CD2801"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 </w:t>
            </w:r>
          </w:p>
        </w:tc>
        <w:tc>
          <w:tcPr>
            <w:tcW w:w="871" w:type="dxa"/>
            <w:tcBorders>
              <w:top w:val="nil"/>
              <w:left w:val="nil"/>
              <w:bottom w:val="single" w:sz="4" w:space="0" w:color="auto"/>
              <w:right w:val="double" w:sz="6" w:space="0" w:color="auto"/>
            </w:tcBorders>
            <w:shd w:val="clear" w:color="auto" w:fill="auto"/>
            <w:noWrap/>
            <w:vAlign w:val="center"/>
            <w:hideMark/>
          </w:tcPr>
          <w:p w14:paraId="6D8462E3"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 </w:t>
            </w:r>
          </w:p>
        </w:tc>
        <w:tc>
          <w:tcPr>
            <w:tcW w:w="863" w:type="dxa"/>
            <w:tcBorders>
              <w:top w:val="nil"/>
              <w:left w:val="nil"/>
              <w:bottom w:val="single" w:sz="4" w:space="0" w:color="auto"/>
              <w:right w:val="single" w:sz="4" w:space="0" w:color="auto"/>
            </w:tcBorders>
            <w:shd w:val="clear" w:color="auto" w:fill="auto"/>
            <w:noWrap/>
            <w:vAlign w:val="center"/>
            <w:hideMark/>
          </w:tcPr>
          <w:p w14:paraId="0AD284F8"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 </w:t>
            </w:r>
          </w:p>
        </w:tc>
        <w:tc>
          <w:tcPr>
            <w:tcW w:w="990" w:type="dxa"/>
            <w:tcBorders>
              <w:top w:val="nil"/>
              <w:left w:val="nil"/>
              <w:bottom w:val="single" w:sz="4" w:space="0" w:color="auto"/>
              <w:right w:val="double" w:sz="6" w:space="0" w:color="auto"/>
            </w:tcBorders>
            <w:shd w:val="clear" w:color="auto" w:fill="auto"/>
            <w:noWrap/>
            <w:vAlign w:val="center"/>
            <w:hideMark/>
          </w:tcPr>
          <w:p w14:paraId="4943E427"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 </w:t>
            </w:r>
          </w:p>
        </w:tc>
        <w:tc>
          <w:tcPr>
            <w:tcW w:w="924" w:type="dxa"/>
            <w:tcBorders>
              <w:top w:val="nil"/>
              <w:left w:val="nil"/>
              <w:bottom w:val="single" w:sz="4" w:space="0" w:color="auto"/>
              <w:right w:val="single" w:sz="4" w:space="0" w:color="auto"/>
            </w:tcBorders>
            <w:shd w:val="clear" w:color="auto" w:fill="auto"/>
            <w:noWrap/>
            <w:vAlign w:val="center"/>
            <w:hideMark/>
          </w:tcPr>
          <w:p w14:paraId="4C947FA3"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 </w:t>
            </w:r>
          </w:p>
        </w:tc>
        <w:tc>
          <w:tcPr>
            <w:tcW w:w="905" w:type="dxa"/>
            <w:tcBorders>
              <w:top w:val="nil"/>
              <w:left w:val="nil"/>
              <w:bottom w:val="single" w:sz="4" w:space="0" w:color="auto"/>
              <w:right w:val="double" w:sz="6" w:space="0" w:color="auto"/>
            </w:tcBorders>
            <w:shd w:val="clear" w:color="auto" w:fill="auto"/>
            <w:noWrap/>
            <w:vAlign w:val="center"/>
            <w:hideMark/>
          </w:tcPr>
          <w:p w14:paraId="77F17763"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 </w:t>
            </w:r>
          </w:p>
        </w:tc>
      </w:tr>
      <w:tr w:rsidR="00625049" w:rsidRPr="00625049" w14:paraId="0D685BDA" w14:textId="77777777" w:rsidTr="00165042">
        <w:trPr>
          <w:trHeight w:val="20"/>
          <w:jc w:val="center"/>
        </w:trPr>
        <w:tc>
          <w:tcPr>
            <w:tcW w:w="2988" w:type="dxa"/>
            <w:tcBorders>
              <w:top w:val="nil"/>
              <w:left w:val="double" w:sz="6" w:space="0" w:color="auto"/>
              <w:bottom w:val="nil"/>
              <w:right w:val="double" w:sz="6" w:space="0" w:color="auto"/>
            </w:tcBorders>
            <w:shd w:val="clear" w:color="auto" w:fill="auto"/>
            <w:noWrap/>
            <w:vAlign w:val="center"/>
            <w:hideMark/>
          </w:tcPr>
          <w:p w14:paraId="5114C867" w14:textId="77777777" w:rsidR="00625049" w:rsidRPr="00625049" w:rsidRDefault="00625049" w:rsidP="00625049">
            <w:pPr>
              <w:spacing w:after="0"/>
              <w:ind w:firstLine="0"/>
              <w:jc w:val="left"/>
              <w:rPr>
                <w:rFonts w:eastAsia="Times New Roman"/>
                <w:color w:val="000000"/>
                <w:sz w:val="20"/>
                <w:szCs w:val="20"/>
              </w:rPr>
            </w:pPr>
            <w:r w:rsidRPr="00625049">
              <w:rPr>
                <w:rFonts w:eastAsia="Times New Roman"/>
                <w:color w:val="000000"/>
                <w:sz w:val="20"/>
                <w:szCs w:val="20"/>
              </w:rPr>
              <w:t xml:space="preserve">   No (base)</w:t>
            </w:r>
          </w:p>
        </w:tc>
        <w:tc>
          <w:tcPr>
            <w:tcW w:w="833" w:type="dxa"/>
            <w:tcBorders>
              <w:top w:val="nil"/>
              <w:left w:val="nil"/>
              <w:bottom w:val="nil"/>
              <w:right w:val="single" w:sz="4" w:space="0" w:color="auto"/>
            </w:tcBorders>
            <w:shd w:val="clear" w:color="auto" w:fill="auto"/>
            <w:noWrap/>
            <w:vAlign w:val="center"/>
            <w:hideMark/>
          </w:tcPr>
          <w:p w14:paraId="255901F8"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 </w:t>
            </w:r>
          </w:p>
        </w:tc>
        <w:tc>
          <w:tcPr>
            <w:tcW w:w="925" w:type="dxa"/>
            <w:tcBorders>
              <w:top w:val="nil"/>
              <w:left w:val="nil"/>
              <w:bottom w:val="nil"/>
              <w:right w:val="double" w:sz="6" w:space="0" w:color="auto"/>
            </w:tcBorders>
            <w:shd w:val="clear" w:color="auto" w:fill="auto"/>
            <w:noWrap/>
            <w:vAlign w:val="center"/>
            <w:hideMark/>
          </w:tcPr>
          <w:p w14:paraId="62AD45CF"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 </w:t>
            </w:r>
          </w:p>
        </w:tc>
        <w:tc>
          <w:tcPr>
            <w:tcW w:w="786" w:type="dxa"/>
            <w:tcBorders>
              <w:top w:val="nil"/>
              <w:left w:val="nil"/>
              <w:bottom w:val="nil"/>
              <w:right w:val="single" w:sz="4" w:space="0" w:color="auto"/>
            </w:tcBorders>
            <w:shd w:val="clear" w:color="auto" w:fill="auto"/>
            <w:noWrap/>
            <w:vAlign w:val="center"/>
            <w:hideMark/>
          </w:tcPr>
          <w:p w14:paraId="2C5BF150"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 </w:t>
            </w:r>
          </w:p>
        </w:tc>
        <w:tc>
          <w:tcPr>
            <w:tcW w:w="871" w:type="dxa"/>
            <w:tcBorders>
              <w:top w:val="nil"/>
              <w:left w:val="nil"/>
              <w:bottom w:val="nil"/>
              <w:right w:val="double" w:sz="6" w:space="0" w:color="auto"/>
            </w:tcBorders>
            <w:shd w:val="clear" w:color="auto" w:fill="auto"/>
            <w:noWrap/>
            <w:vAlign w:val="center"/>
            <w:hideMark/>
          </w:tcPr>
          <w:p w14:paraId="5E455F1B"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 </w:t>
            </w:r>
          </w:p>
        </w:tc>
        <w:tc>
          <w:tcPr>
            <w:tcW w:w="863" w:type="dxa"/>
            <w:tcBorders>
              <w:top w:val="nil"/>
              <w:left w:val="nil"/>
              <w:bottom w:val="nil"/>
              <w:right w:val="single" w:sz="4" w:space="0" w:color="auto"/>
            </w:tcBorders>
            <w:shd w:val="clear" w:color="auto" w:fill="auto"/>
            <w:noWrap/>
            <w:vAlign w:val="center"/>
            <w:hideMark/>
          </w:tcPr>
          <w:p w14:paraId="265E6EDE"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 </w:t>
            </w:r>
          </w:p>
        </w:tc>
        <w:tc>
          <w:tcPr>
            <w:tcW w:w="990" w:type="dxa"/>
            <w:tcBorders>
              <w:top w:val="nil"/>
              <w:left w:val="nil"/>
              <w:bottom w:val="nil"/>
              <w:right w:val="double" w:sz="6" w:space="0" w:color="auto"/>
            </w:tcBorders>
            <w:shd w:val="clear" w:color="auto" w:fill="auto"/>
            <w:noWrap/>
            <w:vAlign w:val="center"/>
            <w:hideMark/>
          </w:tcPr>
          <w:p w14:paraId="0FD00F3F"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 </w:t>
            </w:r>
          </w:p>
        </w:tc>
        <w:tc>
          <w:tcPr>
            <w:tcW w:w="924" w:type="dxa"/>
            <w:tcBorders>
              <w:top w:val="nil"/>
              <w:left w:val="nil"/>
              <w:bottom w:val="nil"/>
              <w:right w:val="single" w:sz="4" w:space="0" w:color="auto"/>
            </w:tcBorders>
            <w:shd w:val="clear" w:color="auto" w:fill="auto"/>
            <w:noWrap/>
            <w:vAlign w:val="center"/>
            <w:hideMark/>
          </w:tcPr>
          <w:p w14:paraId="3BE59A23"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-0.005</w:t>
            </w:r>
          </w:p>
        </w:tc>
        <w:tc>
          <w:tcPr>
            <w:tcW w:w="905" w:type="dxa"/>
            <w:tcBorders>
              <w:top w:val="nil"/>
              <w:left w:val="nil"/>
              <w:bottom w:val="nil"/>
              <w:right w:val="double" w:sz="6" w:space="0" w:color="auto"/>
            </w:tcBorders>
            <w:shd w:val="clear" w:color="auto" w:fill="auto"/>
            <w:noWrap/>
            <w:vAlign w:val="center"/>
            <w:hideMark/>
          </w:tcPr>
          <w:p w14:paraId="7256F7AB"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-0.615</w:t>
            </w:r>
          </w:p>
        </w:tc>
      </w:tr>
      <w:tr w:rsidR="00625049" w:rsidRPr="00625049" w14:paraId="69A6EAB8" w14:textId="77777777" w:rsidTr="00165042">
        <w:trPr>
          <w:trHeight w:val="20"/>
          <w:jc w:val="center"/>
        </w:trPr>
        <w:tc>
          <w:tcPr>
            <w:tcW w:w="2988" w:type="dxa"/>
            <w:tcBorders>
              <w:top w:val="single" w:sz="4" w:space="0" w:color="auto"/>
              <w:left w:val="double" w:sz="6" w:space="0" w:color="auto"/>
              <w:bottom w:val="double" w:sz="6" w:space="0" w:color="auto"/>
              <w:right w:val="double" w:sz="6" w:space="0" w:color="auto"/>
            </w:tcBorders>
            <w:shd w:val="clear" w:color="auto" w:fill="auto"/>
            <w:noWrap/>
            <w:vAlign w:val="center"/>
            <w:hideMark/>
          </w:tcPr>
          <w:p w14:paraId="77987011" w14:textId="77777777" w:rsidR="00625049" w:rsidRPr="00625049" w:rsidRDefault="00625049" w:rsidP="00625049">
            <w:pPr>
              <w:spacing w:after="0"/>
              <w:ind w:firstLine="0"/>
              <w:jc w:val="left"/>
              <w:rPr>
                <w:rFonts w:eastAsia="Times New Roman"/>
                <w:color w:val="000000"/>
                <w:sz w:val="20"/>
                <w:szCs w:val="20"/>
              </w:rPr>
            </w:pPr>
            <w:r w:rsidRPr="00625049">
              <w:rPr>
                <w:rFonts w:eastAsia="Times New Roman"/>
                <w:color w:val="000000"/>
                <w:sz w:val="20"/>
                <w:szCs w:val="20"/>
              </w:rPr>
              <w:t xml:space="preserve">   Yes</w:t>
            </w:r>
          </w:p>
        </w:tc>
        <w:tc>
          <w:tcPr>
            <w:tcW w:w="833" w:type="dxa"/>
            <w:tcBorders>
              <w:top w:val="single" w:sz="4" w:space="0" w:color="auto"/>
              <w:left w:val="nil"/>
              <w:bottom w:val="double" w:sz="6" w:space="0" w:color="auto"/>
              <w:right w:val="single" w:sz="4" w:space="0" w:color="auto"/>
            </w:tcBorders>
            <w:shd w:val="clear" w:color="auto" w:fill="auto"/>
            <w:noWrap/>
            <w:vAlign w:val="center"/>
            <w:hideMark/>
          </w:tcPr>
          <w:p w14:paraId="2E102D05"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0.813</w:t>
            </w:r>
          </w:p>
        </w:tc>
        <w:tc>
          <w:tcPr>
            <w:tcW w:w="925" w:type="dxa"/>
            <w:tcBorders>
              <w:top w:val="single" w:sz="4" w:space="0" w:color="auto"/>
              <w:left w:val="nil"/>
              <w:bottom w:val="double" w:sz="6" w:space="0" w:color="auto"/>
              <w:right w:val="double" w:sz="6" w:space="0" w:color="auto"/>
            </w:tcBorders>
            <w:shd w:val="clear" w:color="auto" w:fill="auto"/>
            <w:noWrap/>
            <w:vAlign w:val="center"/>
            <w:hideMark/>
          </w:tcPr>
          <w:p w14:paraId="3D9BE192"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30.449</w:t>
            </w:r>
          </w:p>
        </w:tc>
        <w:tc>
          <w:tcPr>
            <w:tcW w:w="786" w:type="dxa"/>
            <w:tcBorders>
              <w:top w:val="single" w:sz="4" w:space="0" w:color="auto"/>
              <w:left w:val="nil"/>
              <w:bottom w:val="double" w:sz="6" w:space="0" w:color="auto"/>
              <w:right w:val="single" w:sz="4" w:space="0" w:color="auto"/>
            </w:tcBorders>
            <w:shd w:val="clear" w:color="auto" w:fill="auto"/>
            <w:noWrap/>
            <w:vAlign w:val="center"/>
            <w:hideMark/>
          </w:tcPr>
          <w:p w14:paraId="20298631"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0.868</w:t>
            </w:r>
          </w:p>
        </w:tc>
        <w:tc>
          <w:tcPr>
            <w:tcW w:w="871" w:type="dxa"/>
            <w:tcBorders>
              <w:top w:val="single" w:sz="4" w:space="0" w:color="auto"/>
              <w:left w:val="nil"/>
              <w:bottom w:val="double" w:sz="6" w:space="0" w:color="auto"/>
              <w:right w:val="double" w:sz="6" w:space="0" w:color="auto"/>
            </w:tcBorders>
            <w:shd w:val="clear" w:color="auto" w:fill="auto"/>
            <w:noWrap/>
            <w:vAlign w:val="center"/>
            <w:hideMark/>
          </w:tcPr>
          <w:p w14:paraId="740DCBB5"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137.848</w:t>
            </w:r>
          </w:p>
        </w:tc>
        <w:tc>
          <w:tcPr>
            <w:tcW w:w="863" w:type="dxa"/>
            <w:tcBorders>
              <w:top w:val="single" w:sz="4" w:space="0" w:color="auto"/>
              <w:left w:val="nil"/>
              <w:bottom w:val="double" w:sz="6" w:space="0" w:color="auto"/>
              <w:right w:val="single" w:sz="4" w:space="0" w:color="auto"/>
            </w:tcBorders>
            <w:shd w:val="clear" w:color="auto" w:fill="auto"/>
            <w:noWrap/>
            <w:vAlign w:val="center"/>
            <w:hideMark/>
          </w:tcPr>
          <w:p w14:paraId="504CCAA6"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0.863</w:t>
            </w:r>
          </w:p>
        </w:tc>
        <w:tc>
          <w:tcPr>
            <w:tcW w:w="990" w:type="dxa"/>
            <w:tcBorders>
              <w:top w:val="single" w:sz="4" w:space="0" w:color="auto"/>
              <w:left w:val="nil"/>
              <w:bottom w:val="double" w:sz="6" w:space="0" w:color="auto"/>
              <w:right w:val="double" w:sz="6" w:space="0" w:color="auto"/>
            </w:tcBorders>
            <w:shd w:val="clear" w:color="auto" w:fill="auto"/>
            <w:noWrap/>
            <w:vAlign w:val="center"/>
            <w:hideMark/>
          </w:tcPr>
          <w:p w14:paraId="2D0731B9"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71.617</w:t>
            </w:r>
          </w:p>
        </w:tc>
        <w:tc>
          <w:tcPr>
            <w:tcW w:w="924" w:type="dxa"/>
            <w:tcBorders>
              <w:top w:val="single" w:sz="4" w:space="0" w:color="auto"/>
              <w:left w:val="nil"/>
              <w:bottom w:val="double" w:sz="6" w:space="0" w:color="auto"/>
              <w:right w:val="single" w:sz="4" w:space="0" w:color="auto"/>
            </w:tcBorders>
            <w:shd w:val="clear" w:color="auto" w:fill="auto"/>
            <w:noWrap/>
            <w:vAlign w:val="center"/>
            <w:hideMark/>
          </w:tcPr>
          <w:p w14:paraId="080B63DF"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0.050</w:t>
            </w:r>
          </w:p>
        </w:tc>
        <w:tc>
          <w:tcPr>
            <w:tcW w:w="905" w:type="dxa"/>
            <w:tcBorders>
              <w:top w:val="single" w:sz="4" w:space="0" w:color="auto"/>
              <w:left w:val="nil"/>
              <w:bottom w:val="double" w:sz="6" w:space="0" w:color="auto"/>
              <w:right w:val="double" w:sz="6" w:space="0" w:color="auto"/>
            </w:tcBorders>
            <w:shd w:val="clear" w:color="auto" w:fill="auto"/>
            <w:noWrap/>
            <w:vAlign w:val="center"/>
            <w:hideMark/>
          </w:tcPr>
          <w:p w14:paraId="38031770"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1.400</w:t>
            </w:r>
          </w:p>
        </w:tc>
      </w:tr>
      <w:tr w:rsidR="00625049" w:rsidRPr="00625049" w14:paraId="5530C812" w14:textId="77777777" w:rsidTr="00165042">
        <w:trPr>
          <w:trHeight w:val="20"/>
          <w:jc w:val="center"/>
        </w:trPr>
        <w:tc>
          <w:tcPr>
            <w:tcW w:w="2988" w:type="dxa"/>
            <w:tcBorders>
              <w:top w:val="nil"/>
              <w:left w:val="double" w:sz="6" w:space="0" w:color="auto"/>
              <w:bottom w:val="single" w:sz="4" w:space="0" w:color="auto"/>
              <w:right w:val="double" w:sz="6" w:space="0" w:color="auto"/>
            </w:tcBorders>
            <w:shd w:val="clear" w:color="auto" w:fill="auto"/>
            <w:noWrap/>
            <w:vAlign w:val="center"/>
            <w:hideMark/>
          </w:tcPr>
          <w:p w14:paraId="4387762D" w14:textId="77777777" w:rsidR="00625049" w:rsidRPr="00625049" w:rsidRDefault="00625049" w:rsidP="00625049">
            <w:pPr>
              <w:spacing w:after="0"/>
              <w:ind w:firstLine="0"/>
              <w:jc w:val="left"/>
              <w:rPr>
                <w:rFonts w:eastAsia="Times New Roman"/>
                <w:b/>
                <w:bCs/>
                <w:color w:val="000000"/>
                <w:sz w:val="20"/>
                <w:szCs w:val="20"/>
              </w:rPr>
            </w:pPr>
            <w:r w:rsidRPr="00625049">
              <w:rPr>
                <w:rFonts w:eastAsia="Times New Roman"/>
                <w:b/>
                <w:bCs/>
                <w:color w:val="000000"/>
                <w:sz w:val="20"/>
                <w:szCs w:val="20"/>
              </w:rPr>
              <w:t>Has valid driver's license</w:t>
            </w:r>
          </w:p>
        </w:tc>
        <w:tc>
          <w:tcPr>
            <w:tcW w:w="833" w:type="dxa"/>
            <w:tcBorders>
              <w:top w:val="nil"/>
              <w:left w:val="nil"/>
              <w:bottom w:val="single" w:sz="4" w:space="0" w:color="auto"/>
              <w:right w:val="single" w:sz="4" w:space="0" w:color="auto"/>
            </w:tcBorders>
            <w:shd w:val="clear" w:color="auto" w:fill="auto"/>
            <w:noWrap/>
            <w:vAlign w:val="center"/>
            <w:hideMark/>
          </w:tcPr>
          <w:p w14:paraId="3ECD7450"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 </w:t>
            </w:r>
          </w:p>
        </w:tc>
        <w:tc>
          <w:tcPr>
            <w:tcW w:w="925" w:type="dxa"/>
            <w:tcBorders>
              <w:top w:val="nil"/>
              <w:left w:val="nil"/>
              <w:bottom w:val="single" w:sz="4" w:space="0" w:color="auto"/>
              <w:right w:val="double" w:sz="6" w:space="0" w:color="auto"/>
            </w:tcBorders>
            <w:shd w:val="clear" w:color="auto" w:fill="auto"/>
            <w:noWrap/>
            <w:vAlign w:val="center"/>
            <w:hideMark/>
          </w:tcPr>
          <w:p w14:paraId="6AF40457"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 </w:t>
            </w:r>
          </w:p>
        </w:tc>
        <w:tc>
          <w:tcPr>
            <w:tcW w:w="786" w:type="dxa"/>
            <w:tcBorders>
              <w:top w:val="nil"/>
              <w:left w:val="nil"/>
              <w:bottom w:val="single" w:sz="4" w:space="0" w:color="auto"/>
              <w:right w:val="single" w:sz="4" w:space="0" w:color="auto"/>
            </w:tcBorders>
            <w:shd w:val="clear" w:color="auto" w:fill="auto"/>
            <w:noWrap/>
            <w:vAlign w:val="center"/>
            <w:hideMark/>
          </w:tcPr>
          <w:p w14:paraId="2E57714C"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 </w:t>
            </w:r>
          </w:p>
        </w:tc>
        <w:tc>
          <w:tcPr>
            <w:tcW w:w="871" w:type="dxa"/>
            <w:tcBorders>
              <w:top w:val="nil"/>
              <w:left w:val="nil"/>
              <w:bottom w:val="single" w:sz="4" w:space="0" w:color="auto"/>
              <w:right w:val="double" w:sz="6" w:space="0" w:color="auto"/>
            </w:tcBorders>
            <w:shd w:val="clear" w:color="auto" w:fill="auto"/>
            <w:noWrap/>
            <w:vAlign w:val="center"/>
            <w:hideMark/>
          </w:tcPr>
          <w:p w14:paraId="6BA23577"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 </w:t>
            </w:r>
          </w:p>
        </w:tc>
        <w:tc>
          <w:tcPr>
            <w:tcW w:w="863" w:type="dxa"/>
            <w:tcBorders>
              <w:top w:val="nil"/>
              <w:left w:val="nil"/>
              <w:bottom w:val="single" w:sz="4" w:space="0" w:color="auto"/>
              <w:right w:val="single" w:sz="4" w:space="0" w:color="auto"/>
            </w:tcBorders>
            <w:shd w:val="clear" w:color="auto" w:fill="auto"/>
            <w:noWrap/>
            <w:vAlign w:val="center"/>
            <w:hideMark/>
          </w:tcPr>
          <w:p w14:paraId="48EA13A9"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 </w:t>
            </w:r>
          </w:p>
        </w:tc>
        <w:tc>
          <w:tcPr>
            <w:tcW w:w="990" w:type="dxa"/>
            <w:tcBorders>
              <w:top w:val="nil"/>
              <w:left w:val="nil"/>
              <w:bottom w:val="single" w:sz="4" w:space="0" w:color="auto"/>
              <w:right w:val="double" w:sz="6" w:space="0" w:color="auto"/>
            </w:tcBorders>
            <w:shd w:val="clear" w:color="auto" w:fill="auto"/>
            <w:noWrap/>
            <w:vAlign w:val="center"/>
            <w:hideMark/>
          </w:tcPr>
          <w:p w14:paraId="570116EE"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 </w:t>
            </w:r>
          </w:p>
        </w:tc>
        <w:tc>
          <w:tcPr>
            <w:tcW w:w="924" w:type="dxa"/>
            <w:tcBorders>
              <w:top w:val="nil"/>
              <w:left w:val="nil"/>
              <w:bottom w:val="single" w:sz="4" w:space="0" w:color="auto"/>
              <w:right w:val="single" w:sz="4" w:space="0" w:color="auto"/>
            </w:tcBorders>
            <w:shd w:val="clear" w:color="auto" w:fill="auto"/>
            <w:noWrap/>
            <w:vAlign w:val="center"/>
            <w:hideMark/>
          </w:tcPr>
          <w:p w14:paraId="5FD98ED0"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 </w:t>
            </w:r>
          </w:p>
        </w:tc>
        <w:tc>
          <w:tcPr>
            <w:tcW w:w="905" w:type="dxa"/>
            <w:tcBorders>
              <w:top w:val="nil"/>
              <w:left w:val="nil"/>
              <w:bottom w:val="single" w:sz="4" w:space="0" w:color="auto"/>
              <w:right w:val="double" w:sz="6" w:space="0" w:color="auto"/>
            </w:tcBorders>
            <w:shd w:val="clear" w:color="auto" w:fill="auto"/>
            <w:noWrap/>
            <w:vAlign w:val="center"/>
            <w:hideMark/>
          </w:tcPr>
          <w:p w14:paraId="3848A00C"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 </w:t>
            </w:r>
          </w:p>
        </w:tc>
      </w:tr>
      <w:tr w:rsidR="00625049" w:rsidRPr="00625049" w14:paraId="1112AFE9" w14:textId="77777777" w:rsidTr="00165042">
        <w:trPr>
          <w:trHeight w:val="20"/>
          <w:jc w:val="center"/>
        </w:trPr>
        <w:tc>
          <w:tcPr>
            <w:tcW w:w="2988" w:type="dxa"/>
            <w:tcBorders>
              <w:top w:val="nil"/>
              <w:left w:val="double" w:sz="6" w:space="0" w:color="auto"/>
              <w:bottom w:val="nil"/>
              <w:right w:val="double" w:sz="6" w:space="0" w:color="auto"/>
            </w:tcBorders>
            <w:shd w:val="clear" w:color="auto" w:fill="auto"/>
            <w:noWrap/>
            <w:vAlign w:val="center"/>
            <w:hideMark/>
          </w:tcPr>
          <w:p w14:paraId="4B7840F7" w14:textId="77777777" w:rsidR="00625049" w:rsidRPr="00625049" w:rsidRDefault="00625049" w:rsidP="00625049">
            <w:pPr>
              <w:spacing w:after="0"/>
              <w:ind w:firstLine="0"/>
              <w:jc w:val="left"/>
              <w:rPr>
                <w:rFonts w:eastAsia="Times New Roman"/>
                <w:color w:val="000000"/>
                <w:sz w:val="20"/>
                <w:szCs w:val="20"/>
              </w:rPr>
            </w:pPr>
            <w:r w:rsidRPr="00625049">
              <w:rPr>
                <w:rFonts w:eastAsia="Times New Roman"/>
                <w:color w:val="000000"/>
                <w:sz w:val="20"/>
                <w:szCs w:val="20"/>
              </w:rPr>
              <w:t xml:space="preserve">   No (base)</w:t>
            </w:r>
          </w:p>
        </w:tc>
        <w:tc>
          <w:tcPr>
            <w:tcW w:w="833" w:type="dxa"/>
            <w:tcBorders>
              <w:top w:val="nil"/>
              <w:left w:val="nil"/>
              <w:bottom w:val="nil"/>
              <w:right w:val="single" w:sz="4" w:space="0" w:color="auto"/>
            </w:tcBorders>
            <w:shd w:val="clear" w:color="auto" w:fill="auto"/>
            <w:noWrap/>
            <w:vAlign w:val="center"/>
            <w:hideMark/>
          </w:tcPr>
          <w:p w14:paraId="5F61292F"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 </w:t>
            </w:r>
          </w:p>
        </w:tc>
        <w:tc>
          <w:tcPr>
            <w:tcW w:w="925" w:type="dxa"/>
            <w:tcBorders>
              <w:top w:val="nil"/>
              <w:left w:val="nil"/>
              <w:bottom w:val="nil"/>
              <w:right w:val="double" w:sz="6" w:space="0" w:color="auto"/>
            </w:tcBorders>
            <w:shd w:val="clear" w:color="auto" w:fill="auto"/>
            <w:noWrap/>
            <w:vAlign w:val="center"/>
            <w:hideMark/>
          </w:tcPr>
          <w:p w14:paraId="2D75C7AB"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 </w:t>
            </w:r>
          </w:p>
        </w:tc>
        <w:tc>
          <w:tcPr>
            <w:tcW w:w="786" w:type="dxa"/>
            <w:tcBorders>
              <w:top w:val="nil"/>
              <w:left w:val="nil"/>
              <w:bottom w:val="nil"/>
              <w:right w:val="single" w:sz="4" w:space="0" w:color="auto"/>
            </w:tcBorders>
            <w:shd w:val="clear" w:color="auto" w:fill="auto"/>
            <w:noWrap/>
            <w:vAlign w:val="center"/>
            <w:hideMark/>
          </w:tcPr>
          <w:p w14:paraId="1A79AB90"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 </w:t>
            </w:r>
          </w:p>
        </w:tc>
        <w:tc>
          <w:tcPr>
            <w:tcW w:w="871" w:type="dxa"/>
            <w:tcBorders>
              <w:top w:val="nil"/>
              <w:left w:val="nil"/>
              <w:bottom w:val="nil"/>
              <w:right w:val="double" w:sz="6" w:space="0" w:color="auto"/>
            </w:tcBorders>
            <w:shd w:val="clear" w:color="auto" w:fill="auto"/>
            <w:noWrap/>
            <w:vAlign w:val="center"/>
            <w:hideMark/>
          </w:tcPr>
          <w:p w14:paraId="48B76EE1"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 </w:t>
            </w:r>
          </w:p>
        </w:tc>
        <w:tc>
          <w:tcPr>
            <w:tcW w:w="863" w:type="dxa"/>
            <w:tcBorders>
              <w:top w:val="nil"/>
              <w:left w:val="nil"/>
              <w:bottom w:val="nil"/>
              <w:right w:val="single" w:sz="4" w:space="0" w:color="auto"/>
            </w:tcBorders>
            <w:shd w:val="clear" w:color="auto" w:fill="auto"/>
            <w:noWrap/>
            <w:vAlign w:val="center"/>
            <w:hideMark/>
          </w:tcPr>
          <w:p w14:paraId="40259716"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 </w:t>
            </w:r>
          </w:p>
        </w:tc>
        <w:tc>
          <w:tcPr>
            <w:tcW w:w="990" w:type="dxa"/>
            <w:tcBorders>
              <w:top w:val="nil"/>
              <w:left w:val="nil"/>
              <w:bottom w:val="nil"/>
              <w:right w:val="double" w:sz="6" w:space="0" w:color="auto"/>
            </w:tcBorders>
            <w:shd w:val="clear" w:color="auto" w:fill="auto"/>
            <w:noWrap/>
            <w:vAlign w:val="center"/>
            <w:hideMark/>
          </w:tcPr>
          <w:p w14:paraId="7D220FAA"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 </w:t>
            </w:r>
          </w:p>
        </w:tc>
        <w:tc>
          <w:tcPr>
            <w:tcW w:w="924" w:type="dxa"/>
            <w:tcBorders>
              <w:top w:val="nil"/>
              <w:left w:val="nil"/>
              <w:bottom w:val="nil"/>
              <w:right w:val="single" w:sz="4" w:space="0" w:color="auto"/>
            </w:tcBorders>
            <w:shd w:val="clear" w:color="auto" w:fill="auto"/>
            <w:noWrap/>
            <w:vAlign w:val="center"/>
            <w:hideMark/>
          </w:tcPr>
          <w:p w14:paraId="1EBFE372"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0.017</w:t>
            </w:r>
          </w:p>
        </w:tc>
        <w:tc>
          <w:tcPr>
            <w:tcW w:w="905" w:type="dxa"/>
            <w:tcBorders>
              <w:top w:val="nil"/>
              <w:left w:val="nil"/>
              <w:bottom w:val="nil"/>
              <w:right w:val="double" w:sz="6" w:space="0" w:color="auto"/>
            </w:tcBorders>
            <w:shd w:val="clear" w:color="auto" w:fill="auto"/>
            <w:noWrap/>
            <w:vAlign w:val="center"/>
            <w:hideMark/>
          </w:tcPr>
          <w:p w14:paraId="42855B77"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0.585</w:t>
            </w:r>
          </w:p>
        </w:tc>
      </w:tr>
      <w:tr w:rsidR="00625049" w:rsidRPr="00625049" w14:paraId="6F85A00E" w14:textId="77777777" w:rsidTr="00165042">
        <w:trPr>
          <w:trHeight w:val="20"/>
          <w:jc w:val="center"/>
        </w:trPr>
        <w:tc>
          <w:tcPr>
            <w:tcW w:w="2988" w:type="dxa"/>
            <w:tcBorders>
              <w:top w:val="single" w:sz="4" w:space="0" w:color="auto"/>
              <w:left w:val="double" w:sz="6" w:space="0" w:color="auto"/>
              <w:bottom w:val="double" w:sz="6" w:space="0" w:color="auto"/>
              <w:right w:val="double" w:sz="6" w:space="0" w:color="auto"/>
            </w:tcBorders>
            <w:shd w:val="clear" w:color="auto" w:fill="auto"/>
            <w:noWrap/>
            <w:vAlign w:val="center"/>
            <w:hideMark/>
          </w:tcPr>
          <w:p w14:paraId="14F342A8" w14:textId="77777777" w:rsidR="00625049" w:rsidRPr="00625049" w:rsidRDefault="00625049" w:rsidP="00625049">
            <w:pPr>
              <w:spacing w:after="0"/>
              <w:ind w:firstLine="0"/>
              <w:jc w:val="left"/>
              <w:rPr>
                <w:rFonts w:eastAsia="Times New Roman"/>
                <w:color w:val="000000"/>
                <w:sz w:val="20"/>
                <w:szCs w:val="20"/>
              </w:rPr>
            </w:pPr>
            <w:r w:rsidRPr="00625049">
              <w:rPr>
                <w:rFonts w:eastAsia="Times New Roman"/>
                <w:color w:val="000000"/>
                <w:sz w:val="20"/>
                <w:szCs w:val="20"/>
              </w:rPr>
              <w:t xml:space="preserve">   Yes</w:t>
            </w:r>
          </w:p>
        </w:tc>
        <w:tc>
          <w:tcPr>
            <w:tcW w:w="833" w:type="dxa"/>
            <w:tcBorders>
              <w:top w:val="single" w:sz="4" w:space="0" w:color="auto"/>
              <w:left w:val="nil"/>
              <w:bottom w:val="double" w:sz="6" w:space="0" w:color="auto"/>
              <w:right w:val="single" w:sz="4" w:space="0" w:color="auto"/>
            </w:tcBorders>
            <w:shd w:val="clear" w:color="auto" w:fill="auto"/>
            <w:noWrap/>
            <w:vAlign w:val="center"/>
            <w:hideMark/>
          </w:tcPr>
          <w:p w14:paraId="5350E5AC"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0.207</w:t>
            </w:r>
          </w:p>
        </w:tc>
        <w:tc>
          <w:tcPr>
            <w:tcW w:w="925" w:type="dxa"/>
            <w:tcBorders>
              <w:top w:val="single" w:sz="4" w:space="0" w:color="auto"/>
              <w:left w:val="nil"/>
              <w:bottom w:val="double" w:sz="6" w:space="0" w:color="auto"/>
              <w:right w:val="double" w:sz="6" w:space="0" w:color="auto"/>
            </w:tcBorders>
            <w:shd w:val="clear" w:color="auto" w:fill="auto"/>
            <w:noWrap/>
            <w:vAlign w:val="center"/>
            <w:hideMark/>
          </w:tcPr>
          <w:p w14:paraId="6187CBA1"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12.875</w:t>
            </w:r>
          </w:p>
        </w:tc>
        <w:tc>
          <w:tcPr>
            <w:tcW w:w="786" w:type="dxa"/>
            <w:tcBorders>
              <w:top w:val="single" w:sz="4" w:space="0" w:color="auto"/>
              <w:left w:val="nil"/>
              <w:bottom w:val="double" w:sz="6" w:space="0" w:color="auto"/>
              <w:right w:val="single" w:sz="4" w:space="0" w:color="auto"/>
            </w:tcBorders>
            <w:shd w:val="clear" w:color="auto" w:fill="auto"/>
            <w:noWrap/>
            <w:vAlign w:val="center"/>
            <w:hideMark/>
          </w:tcPr>
          <w:p w14:paraId="319BB8A7"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0.222</w:t>
            </w:r>
          </w:p>
        </w:tc>
        <w:tc>
          <w:tcPr>
            <w:tcW w:w="871" w:type="dxa"/>
            <w:tcBorders>
              <w:top w:val="single" w:sz="4" w:space="0" w:color="auto"/>
              <w:left w:val="nil"/>
              <w:bottom w:val="double" w:sz="6" w:space="0" w:color="auto"/>
              <w:right w:val="double" w:sz="6" w:space="0" w:color="auto"/>
            </w:tcBorders>
            <w:shd w:val="clear" w:color="auto" w:fill="auto"/>
            <w:noWrap/>
            <w:vAlign w:val="center"/>
            <w:hideMark/>
          </w:tcPr>
          <w:p w14:paraId="3E07BE5A"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12.985</w:t>
            </w:r>
          </w:p>
        </w:tc>
        <w:tc>
          <w:tcPr>
            <w:tcW w:w="863" w:type="dxa"/>
            <w:tcBorders>
              <w:top w:val="single" w:sz="4" w:space="0" w:color="auto"/>
              <w:left w:val="nil"/>
              <w:bottom w:val="double" w:sz="6" w:space="0" w:color="auto"/>
              <w:right w:val="single" w:sz="4" w:space="0" w:color="auto"/>
            </w:tcBorders>
            <w:shd w:val="clear" w:color="auto" w:fill="auto"/>
            <w:noWrap/>
            <w:vAlign w:val="center"/>
            <w:hideMark/>
          </w:tcPr>
          <w:p w14:paraId="4A1E5AD0"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0.239</w:t>
            </w:r>
          </w:p>
        </w:tc>
        <w:tc>
          <w:tcPr>
            <w:tcW w:w="990" w:type="dxa"/>
            <w:tcBorders>
              <w:top w:val="single" w:sz="4" w:space="0" w:color="auto"/>
              <w:left w:val="nil"/>
              <w:bottom w:val="double" w:sz="6" w:space="0" w:color="auto"/>
              <w:right w:val="double" w:sz="6" w:space="0" w:color="auto"/>
            </w:tcBorders>
            <w:shd w:val="clear" w:color="auto" w:fill="auto"/>
            <w:noWrap/>
            <w:vAlign w:val="center"/>
            <w:hideMark/>
          </w:tcPr>
          <w:p w14:paraId="098EA86B"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5.655</w:t>
            </w:r>
          </w:p>
        </w:tc>
        <w:tc>
          <w:tcPr>
            <w:tcW w:w="924" w:type="dxa"/>
            <w:tcBorders>
              <w:top w:val="single" w:sz="4" w:space="0" w:color="auto"/>
              <w:left w:val="nil"/>
              <w:bottom w:val="double" w:sz="6" w:space="0" w:color="auto"/>
              <w:right w:val="single" w:sz="4" w:space="0" w:color="auto"/>
            </w:tcBorders>
            <w:shd w:val="clear" w:color="auto" w:fill="auto"/>
            <w:noWrap/>
            <w:vAlign w:val="center"/>
            <w:hideMark/>
          </w:tcPr>
          <w:p w14:paraId="40DFD5F5"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0.033</w:t>
            </w:r>
          </w:p>
        </w:tc>
        <w:tc>
          <w:tcPr>
            <w:tcW w:w="905" w:type="dxa"/>
            <w:tcBorders>
              <w:top w:val="single" w:sz="4" w:space="0" w:color="auto"/>
              <w:left w:val="nil"/>
              <w:bottom w:val="double" w:sz="6" w:space="0" w:color="auto"/>
              <w:right w:val="double" w:sz="6" w:space="0" w:color="auto"/>
            </w:tcBorders>
            <w:shd w:val="clear" w:color="auto" w:fill="auto"/>
            <w:noWrap/>
            <w:vAlign w:val="center"/>
            <w:hideMark/>
          </w:tcPr>
          <w:p w14:paraId="661FDD9C"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0.958</w:t>
            </w:r>
          </w:p>
        </w:tc>
      </w:tr>
      <w:tr w:rsidR="00625049" w:rsidRPr="00625049" w14:paraId="6EF45365" w14:textId="77777777" w:rsidTr="00165042">
        <w:trPr>
          <w:trHeight w:val="20"/>
          <w:jc w:val="center"/>
        </w:trPr>
        <w:tc>
          <w:tcPr>
            <w:tcW w:w="2988" w:type="dxa"/>
            <w:tcBorders>
              <w:top w:val="nil"/>
              <w:left w:val="double" w:sz="6" w:space="0" w:color="auto"/>
              <w:bottom w:val="single" w:sz="4" w:space="0" w:color="auto"/>
              <w:right w:val="double" w:sz="6" w:space="0" w:color="auto"/>
            </w:tcBorders>
            <w:shd w:val="clear" w:color="auto" w:fill="auto"/>
            <w:noWrap/>
            <w:vAlign w:val="center"/>
            <w:hideMark/>
          </w:tcPr>
          <w:p w14:paraId="745A38FC" w14:textId="77777777" w:rsidR="00625049" w:rsidRPr="00625049" w:rsidRDefault="00625049" w:rsidP="00625049">
            <w:pPr>
              <w:spacing w:after="0"/>
              <w:ind w:firstLine="0"/>
              <w:jc w:val="left"/>
              <w:rPr>
                <w:rFonts w:eastAsia="Times New Roman"/>
                <w:b/>
                <w:bCs/>
                <w:color w:val="000000"/>
                <w:sz w:val="20"/>
                <w:szCs w:val="20"/>
              </w:rPr>
            </w:pPr>
            <w:r w:rsidRPr="00625049">
              <w:rPr>
                <w:rFonts w:eastAsia="Times New Roman"/>
                <w:b/>
                <w:bCs/>
                <w:color w:val="000000"/>
                <w:sz w:val="20"/>
                <w:szCs w:val="20"/>
              </w:rPr>
              <w:t>Household vehicle ownership</w:t>
            </w:r>
          </w:p>
        </w:tc>
        <w:tc>
          <w:tcPr>
            <w:tcW w:w="833" w:type="dxa"/>
            <w:tcBorders>
              <w:top w:val="nil"/>
              <w:left w:val="nil"/>
              <w:bottom w:val="single" w:sz="4" w:space="0" w:color="auto"/>
              <w:right w:val="single" w:sz="4" w:space="0" w:color="auto"/>
            </w:tcBorders>
            <w:shd w:val="clear" w:color="auto" w:fill="auto"/>
            <w:noWrap/>
            <w:vAlign w:val="center"/>
            <w:hideMark/>
          </w:tcPr>
          <w:p w14:paraId="44491E26"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 </w:t>
            </w:r>
          </w:p>
        </w:tc>
        <w:tc>
          <w:tcPr>
            <w:tcW w:w="925" w:type="dxa"/>
            <w:tcBorders>
              <w:top w:val="nil"/>
              <w:left w:val="nil"/>
              <w:bottom w:val="single" w:sz="4" w:space="0" w:color="auto"/>
              <w:right w:val="double" w:sz="6" w:space="0" w:color="auto"/>
            </w:tcBorders>
            <w:shd w:val="clear" w:color="auto" w:fill="auto"/>
            <w:noWrap/>
            <w:vAlign w:val="center"/>
            <w:hideMark/>
          </w:tcPr>
          <w:p w14:paraId="4416625C"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 </w:t>
            </w:r>
          </w:p>
        </w:tc>
        <w:tc>
          <w:tcPr>
            <w:tcW w:w="786" w:type="dxa"/>
            <w:tcBorders>
              <w:top w:val="nil"/>
              <w:left w:val="nil"/>
              <w:bottom w:val="single" w:sz="4" w:space="0" w:color="auto"/>
              <w:right w:val="single" w:sz="4" w:space="0" w:color="auto"/>
            </w:tcBorders>
            <w:shd w:val="clear" w:color="auto" w:fill="auto"/>
            <w:noWrap/>
            <w:vAlign w:val="center"/>
            <w:hideMark/>
          </w:tcPr>
          <w:p w14:paraId="29C832FF"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 </w:t>
            </w:r>
          </w:p>
        </w:tc>
        <w:tc>
          <w:tcPr>
            <w:tcW w:w="871" w:type="dxa"/>
            <w:tcBorders>
              <w:top w:val="nil"/>
              <w:left w:val="nil"/>
              <w:bottom w:val="single" w:sz="4" w:space="0" w:color="auto"/>
              <w:right w:val="double" w:sz="6" w:space="0" w:color="auto"/>
            </w:tcBorders>
            <w:shd w:val="clear" w:color="auto" w:fill="auto"/>
            <w:noWrap/>
            <w:vAlign w:val="center"/>
            <w:hideMark/>
          </w:tcPr>
          <w:p w14:paraId="005936BC"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 </w:t>
            </w:r>
          </w:p>
        </w:tc>
        <w:tc>
          <w:tcPr>
            <w:tcW w:w="863" w:type="dxa"/>
            <w:tcBorders>
              <w:top w:val="nil"/>
              <w:left w:val="nil"/>
              <w:bottom w:val="single" w:sz="4" w:space="0" w:color="auto"/>
              <w:right w:val="single" w:sz="4" w:space="0" w:color="auto"/>
            </w:tcBorders>
            <w:shd w:val="clear" w:color="auto" w:fill="auto"/>
            <w:noWrap/>
            <w:vAlign w:val="center"/>
            <w:hideMark/>
          </w:tcPr>
          <w:p w14:paraId="79957275"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 </w:t>
            </w:r>
          </w:p>
        </w:tc>
        <w:tc>
          <w:tcPr>
            <w:tcW w:w="990" w:type="dxa"/>
            <w:tcBorders>
              <w:top w:val="nil"/>
              <w:left w:val="nil"/>
              <w:bottom w:val="single" w:sz="4" w:space="0" w:color="auto"/>
              <w:right w:val="double" w:sz="6" w:space="0" w:color="auto"/>
            </w:tcBorders>
            <w:shd w:val="clear" w:color="auto" w:fill="auto"/>
            <w:noWrap/>
            <w:vAlign w:val="center"/>
            <w:hideMark/>
          </w:tcPr>
          <w:p w14:paraId="7554DA21"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 </w:t>
            </w:r>
          </w:p>
        </w:tc>
        <w:tc>
          <w:tcPr>
            <w:tcW w:w="924" w:type="dxa"/>
            <w:tcBorders>
              <w:top w:val="nil"/>
              <w:left w:val="nil"/>
              <w:bottom w:val="single" w:sz="4" w:space="0" w:color="auto"/>
              <w:right w:val="single" w:sz="4" w:space="0" w:color="auto"/>
            </w:tcBorders>
            <w:shd w:val="clear" w:color="auto" w:fill="auto"/>
            <w:noWrap/>
            <w:vAlign w:val="center"/>
            <w:hideMark/>
          </w:tcPr>
          <w:p w14:paraId="5341144E"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 </w:t>
            </w:r>
          </w:p>
        </w:tc>
        <w:tc>
          <w:tcPr>
            <w:tcW w:w="905" w:type="dxa"/>
            <w:tcBorders>
              <w:top w:val="nil"/>
              <w:left w:val="nil"/>
              <w:bottom w:val="single" w:sz="4" w:space="0" w:color="auto"/>
              <w:right w:val="double" w:sz="6" w:space="0" w:color="auto"/>
            </w:tcBorders>
            <w:shd w:val="clear" w:color="auto" w:fill="auto"/>
            <w:noWrap/>
            <w:vAlign w:val="center"/>
            <w:hideMark/>
          </w:tcPr>
          <w:p w14:paraId="02B4D8F8"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 </w:t>
            </w:r>
          </w:p>
        </w:tc>
      </w:tr>
      <w:tr w:rsidR="00625049" w:rsidRPr="00625049" w14:paraId="276FC1BF" w14:textId="77777777" w:rsidTr="00165042">
        <w:trPr>
          <w:trHeight w:val="20"/>
          <w:jc w:val="center"/>
        </w:trPr>
        <w:tc>
          <w:tcPr>
            <w:tcW w:w="2988" w:type="dxa"/>
            <w:tcBorders>
              <w:top w:val="nil"/>
              <w:left w:val="double" w:sz="6" w:space="0" w:color="auto"/>
              <w:bottom w:val="single" w:sz="4" w:space="0" w:color="auto"/>
              <w:right w:val="double" w:sz="6" w:space="0" w:color="auto"/>
            </w:tcBorders>
            <w:shd w:val="clear" w:color="auto" w:fill="auto"/>
            <w:noWrap/>
            <w:vAlign w:val="center"/>
            <w:hideMark/>
          </w:tcPr>
          <w:p w14:paraId="2E303777" w14:textId="77777777" w:rsidR="00625049" w:rsidRPr="00625049" w:rsidRDefault="00625049" w:rsidP="00625049">
            <w:pPr>
              <w:spacing w:after="0"/>
              <w:ind w:firstLine="0"/>
              <w:jc w:val="left"/>
              <w:rPr>
                <w:rFonts w:eastAsia="Times New Roman"/>
                <w:color w:val="000000"/>
                <w:sz w:val="20"/>
                <w:szCs w:val="20"/>
              </w:rPr>
            </w:pPr>
            <w:r w:rsidRPr="00625049">
              <w:rPr>
                <w:rFonts w:eastAsia="Times New Roman"/>
                <w:color w:val="000000"/>
                <w:sz w:val="20"/>
                <w:szCs w:val="20"/>
              </w:rPr>
              <w:t xml:space="preserve">   No vehicles (base)</w:t>
            </w:r>
          </w:p>
        </w:tc>
        <w:tc>
          <w:tcPr>
            <w:tcW w:w="833" w:type="dxa"/>
            <w:tcBorders>
              <w:top w:val="nil"/>
              <w:left w:val="nil"/>
              <w:bottom w:val="single" w:sz="4" w:space="0" w:color="auto"/>
              <w:right w:val="single" w:sz="4" w:space="0" w:color="auto"/>
            </w:tcBorders>
            <w:shd w:val="clear" w:color="auto" w:fill="auto"/>
            <w:noWrap/>
            <w:vAlign w:val="center"/>
            <w:hideMark/>
          </w:tcPr>
          <w:p w14:paraId="0ACC9EAF"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 </w:t>
            </w:r>
          </w:p>
        </w:tc>
        <w:tc>
          <w:tcPr>
            <w:tcW w:w="925" w:type="dxa"/>
            <w:tcBorders>
              <w:top w:val="nil"/>
              <w:left w:val="nil"/>
              <w:bottom w:val="single" w:sz="4" w:space="0" w:color="auto"/>
              <w:right w:val="double" w:sz="6" w:space="0" w:color="auto"/>
            </w:tcBorders>
            <w:shd w:val="clear" w:color="auto" w:fill="auto"/>
            <w:noWrap/>
            <w:vAlign w:val="center"/>
            <w:hideMark/>
          </w:tcPr>
          <w:p w14:paraId="66F059DE"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 </w:t>
            </w:r>
          </w:p>
        </w:tc>
        <w:tc>
          <w:tcPr>
            <w:tcW w:w="786" w:type="dxa"/>
            <w:tcBorders>
              <w:top w:val="nil"/>
              <w:left w:val="nil"/>
              <w:bottom w:val="single" w:sz="4" w:space="0" w:color="auto"/>
              <w:right w:val="single" w:sz="4" w:space="0" w:color="auto"/>
            </w:tcBorders>
            <w:shd w:val="clear" w:color="auto" w:fill="auto"/>
            <w:noWrap/>
            <w:vAlign w:val="center"/>
            <w:hideMark/>
          </w:tcPr>
          <w:p w14:paraId="2DB47FA1"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 </w:t>
            </w:r>
          </w:p>
        </w:tc>
        <w:tc>
          <w:tcPr>
            <w:tcW w:w="871" w:type="dxa"/>
            <w:tcBorders>
              <w:top w:val="nil"/>
              <w:left w:val="nil"/>
              <w:bottom w:val="single" w:sz="4" w:space="0" w:color="auto"/>
              <w:right w:val="double" w:sz="6" w:space="0" w:color="auto"/>
            </w:tcBorders>
            <w:shd w:val="clear" w:color="auto" w:fill="auto"/>
            <w:noWrap/>
            <w:vAlign w:val="center"/>
            <w:hideMark/>
          </w:tcPr>
          <w:p w14:paraId="0090FF23"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 </w:t>
            </w:r>
          </w:p>
        </w:tc>
        <w:tc>
          <w:tcPr>
            <w:tcW w:w="863" w:type="dxa"/>
            <w:tcBorders>
              <w:top w:val="nil"/>
              <w:left w:val="nil"/>
              <w:bottom w:val="single" w:sz="4" w:space="0" w:color="auto"/>
              <w:right w:val="single" w:sz="4" w:space="0" w:color="auto"/>
            </w:tcBorders>
            <w:shd w:val="clear" w:color="auto" w:fill="auto"/>
            <w:noWrap/>
            <w:vAlign w:val="center"/>
            <w:hideMark/>
          </w:tcPr>
          <w:p w14:paraId="5598854E"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 </w:t>
            </w:r>
          </w:p>
        </w:tc>
        <w:tc>
          <w:tcPr>
            <w:tcW w:w="990" w:type="dxa"/>
            <w:tcBorders>
              <w:top w:val="nil"/>
              <w:left w:val="nil"/>
              <w:bottom w:val="single" w:sz="4" w:space="0" w:color="auto"/>
              <w:right w:val="double" w:sz="6" w:space="0" w:color="auto"/>
            </w:tcBorders>
            <w:shd w:val="clear" w:color="auto" w:fill="auto"/>
            <w:noWrap/>
            <w:vAlign w:val="center"/>
            <w:hideMark/>
          </w:tcPr>
          <w:p w14:paraId="573EE5E4"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 </w:t>
            </w:r>
          </w:p>
        </w:tc>
        <w:tc>
          <w:tcPr>
            <w:tcW w:w="924" w:type="dxa"/>
            <w:tcBorders>
              <w:top w:val="nil"/>
              <w:left w:val="nil"/>
              <w:bottom w:val="single" w:sz="4" w:space="0" w:color="auto"/>
              <w:right w:val="single" w:sz="4" w:space="0" w:color="auto"/>
            </w:tcBorders>
            <w:shd w:val="clear" w:color="auto" w:fill="auto"/>
            <w:noWrap/>
            <w:vAlign w:val="center"/>
            <w:hideMark/>
          </w:tcPr>
          <w:p w14:paraId="230637FE"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0.101</w:t>
            </w:r>
          </w:p>
        </w:tc>
        <w:tc>
          <w:tcPr>
            <w:tcW w:w="905" w:type="dxa"/>
            <w:tcBorders>
              <w:top w:val="nil"/>
              <w:left w:val="nil"/>
              <w:bottom w:val="single" w:sz="4" w:space="0" w:color="auto"/>
              <w:right w:val="double" w:sz="6" w:space="0" w:color="auto"/>
            </w:tcBorders>
            <w:shd w:val="clear" w:color="auto" w:fill="auto"/>
            <w:noWrap/>
            <w:vAlign w:val="center"/>
            <w:hideMark/>
          </w:tcPr>
          <w:p w14:paraId="409ECEC9"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1.217</w:t>
            </w:r>
          </w:p>
        </w:tc>
      </w:tr>
      <w:tr w:rsidR="00625049" w:rsidRPr="00625049" w14:paraId="6F040DA5" w14:textId="77777777" w:rsidTr="00165042">
        <w:trPr>
          <w:trHeight w:val="20"/>
          <w:jc w:val="center"/>
        </w:trPr>
        <w:tc>
          <w:tcPr>
            <w:tcW w:w="2988" w:type="dxa"/>
            <w:tcBorders>
              <w:top w:val="nil"/>
              <w:left w:val="double" w:sz="6" w:space="0" w:color="auto"/>
              <w:bottom w:val="single" w:sz="4" w:space="0" w:color="auto"/>
              <w:right w:val="double" w:sz="6" w:space="0" w:color="auto"/>
            </w:tcBorders>
            <w:shd w:val="clear" w:color="auto" w:fill="auto"/>
            <w:noWrap/>
            <w:vAlign w:val="center"/>
            <w:hideMark/>
          </w:tcPr>
          <w:p w14:paraId="0568963B" w14:textId="77777777" w:rsidR="00625049" w:rsidRPr="00625049" w:rsidRDefault="00625049" w:rsidP="00625049">
            <w:pPr>
              <w:spacing w:after="0"/>
              <w:ind w:firstLine="0"/>
              <w:jc w:val="left"/>
              <w:rPr>
                <w:rFonts w:eastAsia="Times New Roman"/>
                <w:color w:val="000000"/>
                <w:sz w:val="20"/>
                <w:szCs w:val="20"/>
              </w:rPr>
            </w:pPr>
            <w:r w:rsidRPr="00625049">
              <w:rPr>
                <w:rFonts w:eastAsia="Times New Roman"/>
                <w:color w:val="000000"/>
                <w:sz w:val="20"/>
                <w:szCs w:val="20"/>
              </w:rPr>
              <w:t xml:space="preserve">   1 vehicle</w:t>
            </w:r>
          </w:p>
        </w:tc>
        <w:tc>
          <w:tcPr>
            <w:tcW w:w="833" w:type="dxa"/>
            <w:tcBorders>
              <w:top w:val="nil"/>
              <w:left w:val="nil"/>
              <w:bottom w:val="single" w:sz="4" w:space="0" w:color="auto"/>
              <w:right w:val="single" w:sz="4" w:space="0" w:color="auto"/>
            </w:tcBorders>
            <w:shd w:val="clear" w:color="auto" w:fill="auto"/>
            <w:noWrap/>
            <w:vAlign w:val="center"/>
            <w:hideMark/>
          </w:tcPr>
          <w:p w14:paraId="185800BF"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-0.803</w:t>
            </w:r>
          </w:p>
        </w:tc>
        <w:tc>
          <w:tcPr>
            <w:tcW w:w="925" w:type="dxa"/>
            <w:tcBorders>
              <w:top w:val="nil"/>
              <w:left w:val="nil"/>
              <w:bottom w:val="single" w:sz="4" w:space="0" w:color="auto"/>
              <w:right w:val="double" w:sz="6" w:space="0" w:color="auto"/>
            </w:tcBorders>
            <w:shd w:val="clear" w:color="auto" w:fill="auto"/>
            <w:noWrap/>
            <w:vAlign w:val="center"/>
            <w:hideMark/>
          </w:tcPr>
          <w:p w14:paraId="0321526B"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-16.838</w:t>
            </w:r>
          </w:p>
        </w:tc>
        <w:tc>
          <w:tcPr>
            <w:tcW w:w="786" w:type="dxa"/>
            <w:tcBorders>
              <w:top w:val="nil"/>
              <w:left w:val="nil"/>
              <w:bottom w:val="single" w:sz="4" w:space="0" w:color="auto"/>
              <w:right w:val="single" w:sz="4" w:space="0" w:color="auto"/>
            </w:tcBorders>
            <w:shd w:val="clear" w:color="auto" w:fill="auto"/>
            <w:noWrap/>
            <w:vAlign w:val="center"/>
            <w:hideMark/>
          </w:tcPr>
          <w:p w14:paraId="30637ABC"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-0.864</w:t>
            </w:r>
          </w:p>
        </w:tc>
        <w:tc>
          <w:tcPr>
            <w:tcW w:w="871" w:type="dxa"/>
            <w:tcBorders>
              <w:top w:val="nil"/>
              <w:left w:val="nil"/>
              <w:bottom w:val="single" w:sz="4" w:space="0" w:color="auto"/>
              <w:right w:val="double" w:sz="6" w:space="0" w:color="auto"/>
            </w:tcBorders>
            <w:shd w:val="clear" w:color="auto" w:fill="auto"/>
            <w:noWrap/>
            <w:vAlign w:val="center"/>
            <w:hideMark/>
          </w:tcPr>
          <w:p w14:paraId="73684A0D"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-37.089</w:t>
            </w:r>
          </w:p>
        </w:tc>
        <w:tc>
          <w:tcPr>
            <w:tcW w:w="863" w:type="dxa"/>
            <w:tcBorders>
              <w:top w:val="nil"/>
              <w:left w:val="nil"/>
              <w:bottom w:val="single" w:sz="4" w:space="0" w:color="auto"/>
              <w:right w:val="single" w:sz="4" w:space="0" w:color="auto"/>
            </w:tcBorders>
            <w:shd w:val="clear" w:color="auto" w:fill="auto"/>
            <w:noWrap/>
            <w:vAlign w:val="center"/>
            <w:hideMark/>
          </w:tcPr>
          <w:p w14:paraId="02EDB7B5"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-0.763</w:t>
            </w:r>
          </w:p>
        </w:tc>
        <w:tc>
          <w:tcPr>
            <w:tcW w:w="990" w:type="dxa"/>
            <w:tcBorders>
              <w:top w:val="nil"/>
              <w:left w:val="nil"/>
              <w:bottom w:val="single" w:sz="4" w:space="0" w:color="auto"/>
              <w:right w:val="double" w:sz="6" w:space="0" w:color="auto"/>
            </w:tcBorders>
            <w:shd w:val="clear" w:color="auto" w:fill="auto"/>
            <w:noWrap/>
            <w:vAlign w:val="center"/>
            <w:hideMark/>
          </w:tcPr>
          <w:p w14:paraId="74AD4C47"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-7.682</w:t>
            </w:r>
          </w:p>
        </w:tc>
        <w:tc>
          <w:tcPr>
            <w:tcW w:w="924" w:type="dxa"/>
            <w:tcBorders>
              <w:top w:val="nil"/>
              <w:left w:val="nil"/>
              <w:bottom w:val="single" w:sz="4" w:space="0" w:color="auto"/>
              <w:right w:val="single" w:sz="4" w:space="0" w:color="auto"/>
            </w:tcBorders>
            <w:shd w:val="clear" w:color="auto" w:fill="auto"/>
            <w:noWrap/>
            <w:vAlign w:val="center"/>
            <w:hideMark/>
          </w:tcPr>
          <w:p w14:paraId="37544279"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0.040</w:t>
            </w:r>
          </w:p>
        </w:tc>
        <w:tc>
          <w:tcPr>
            <w:tcW w:w="905" w:type="dxa"/>
            <w:tcBorders>
              <w:top w:val="nil"/>
              <w:left w:val="nil"/>
              <w:bottom w:val="single" w:sz="4" w:space="0" w:color="auto"/>
              <w:right w:val="double" w:sz="6" w:space="0" w:color="auto"/>
            </w:tcBorders>
            <w:shd w:val="clear" w:color="auto" w:fill="auto"/>
            <w:noWrap/>
            <w:vAlign w:val="center"/>
            <w:hideMark/>
          </w:tcPr>
          <w:p w14:paraId="3686DE1F"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0.733</w:t>
            </w:r>
          </w:p>
        </w:tc>
      </w:tr>
      <w:tr w:rsidR="00625049" w:rsidRPr="00625049" w14:paraId="0F7B4967" w14:textId="77777777" w:rsidTr="00165042">
        <w:trPr>
          <w:trHeight w:val="20"/>
          <w:jc w:val="center"/>
        </w:trPr>
        <w:tc>
          <w:tcPr>
            <w:tcW w:w="2988" w:type="dxa"/>
            <w:tcBorders>
              <w:top w:val="nil"/>
              <w:left w:val="double" w:sz="6" w:space="0" w:color="auto"/>
              <w:bottom w:val="double" w:sz="6" w:space="0" w:color="auto"/>
              <w:right w:val="double" w:sz="6" w:space="0" w:color="auto"/>
            </w:tcBorders>
            <w:shd w:val="clear" w:color="auto" w:fill="auto"/>
            <w:noWrap/>
            <w:vAlign w:val="center"/>
            <w:hideMark/>
          </w:tcPr>
          <w:p w14:paraId="098C709A" w14:textId="77777777" w:rsidR="00625049" w:rsidRPr="00625049" w:rsidRDefault="00625049" w:rsidP="00625049">
            <w:pPr>
              <w:spacing w:after="0"/>
              <w:ind w:firstLine="0"/>
              <w:jc w:val="left"/>
              <w:rPr>
                <w:rFonts w:eastAsia="Times New Roman"/>
                <w:color w:val="000000"/>
                <w:sz w:val="20"/>
                <w:szCs w:val="20"/>
              </w:rPr>
            </w:pPr>
            <w:r w:rsidRPr="00625049">
              <w:rPr>
                <w:rFonts w:eastAsia="Times New Roman"/>
                <w:color w:val="000000"/>
                <w:sz w:val="20"/>
                <w:szCs w:val="20"/>
              </w:rPr>
              <w:t xml:space="preserve">   2 or more vehicles</w:t>
            </w:r>
          </w:p>
        </w:tc>
        <w:tc>
          <w:tcPr>
            <w:tcW w:w="833" w:type="dxa"/>
            <w:tcBorders>
              <w:top w:val="nil"/>
              <w:left w:val="nil"/>
              <w:bottom w:val="double" w:sz="6" w:space="0" w:color="auto"/>
              <w:right w:val="single" w:sz="4" w:space="0" w:color="auto"/>
            </w:tcBorders>
            <w:shd w:val="clear" w:color="auto" w:fill="auto"/>
            <w:noWrap/>
            <w:vAlign w:val="center"/>
            <w:hideMark/>
          </w:tcPr>
          <w:p w14:paraId="6BC86895"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-1.366</w:t>
            </w:r>
          </w:p>
        </w:tc>
        <w:tc>
          <w:tcPr>
            <w:tcW w:w="925" w:type="dxa"/>
            <w:tcBorders>
              <w:top w:val="nil"/>
              <w:left w:val="nil"/>
              <w:bottom w:val="double" w:sz="6" w:space="0" w:color="auto"/>
              <w:right w:val="double" w:sz="6" w:space="0" w:color="auto"/>
            </w:tcBorders>
            <w:shd w:val="clear" w:color="auto" w:fill="auto"/>
            <w:noWrap/>
            <w:vAlign w:val="center"/>
            <w:hideMark/>
          </w:tcPr>
          <w:p w14:paraId="02611584"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-17.699</w:t>
            </w:r>
          </w:p>
        </w:tc>
        <w:tc>
          <w:tcPr>
            <w:tcW w:w="786" w:type="dxa"/>
            <w:tcBorders>
              <w:top w:val="nil"/>
              <w:left w:val="nil"/>
              <w:bottom w:val="double" w:sz="6" w:space="0" w:color="auto"/>
              <w:right w:val="single" w:sz="4" w:space="0" w:color="auto"/>
            </w:tcBorders>
            <w:shd w:val="clear" w:color="auto" w:fill="auto"/>
            <w:noWrap/>
            <w:vAlign w:val="center"/>
            <w:hideMark/>
          </w:tcPr>
          <w:p w14:paraId="61832651"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-1.410</w:t>
            </w:r>
          </w:p>
        </w:tc>
        <w:tc>
          <w:tcPr>
            <w:tcW w:w="871" w:type="dxa"/>
            <w:tcBorders>
              <w:top w:val="nil"/>
              <w:left w:val="nil"/>
              <w:bottom w:val="double" w:sz="6" w:space="0" w:color="auto"/>
              <w:right w:val="double" w:sz="6" w:space="0" w:color="auto"/>
            </w:tcBorders>
            <w:shd w:val="clear" w:color="auto" w:fill="auto"/>
            <w:noWrap/>
            <w:vAlign w:val="center"/>
            <w:hideMark/>
          </w:tcPr>
          <w:p w14:paraId="7F61E890"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-90.076</w:t>
            </w:r>
          </w:p>
        </w:tc>
        <w:tc>
          <w:tcPr>
            <w:tcW w:w="863" w:type="dxa"/>
            <w:tcBorders>
              <w:top w:val="nil"/>
              <w:left w:val="nil"/>
              <w:bottom w:val="double" w:sz="6" w:space="0" w:color="auto"/>
              <w:right w:val="single" w:sz="4" w:space="0" w:color="auto"/>
            </w:tcBorders>
            <w:shd w:val="clear" w:color="auto" w:fill="auto"/>
            <w:noWrap/>
            <w:vAlign w:val="center"/>
            <w:hideMark/>
          </w:tcPr>
          <w:p w14:paraId="6A23C5CF"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-1.309</w:t>
            </w:r>
          </w:p>
        </w:tc>
        <w:tc>
          <w:tcPr>
            <w:tcW w:w="990" w:type="dxa"/>
            <w:tcBorders>
              <w:top w:val="nil"/>
              <w:left w:val="nil"/>
              <w:bottom w:val="double" w:sz="6" w:space="0" w:color="auto"/>
              <w:right w:val="double" w:sz="6" w:space="0" w:color="auto"/>
            </w:tcBorders>
            <w:shd w:val="clear" w:color="auto" w:fill="auto"/>
            <w:noWrap/>
            <w:vAlign w:val="center"/>
            <w:hideMark/>
          </w:tcPr>
          <w:p w14:paraId="79688CCF"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-15.247</w:t>
            </w:r>
          </w:p>
        </w:tc>
        <w:tc>
          <w:tcPr>
            <w:tcW w:w="924" w:type="dxa"/>
            <w:tcBorders>
              <w:top w:val="nil"/>
              <w:left w:val="nil"/>
              <w:bottom w:val="double" w:sz="6" w:space="0" w:color="auto"/>
              <w:right w:val="single" w:sz="4" w:space="0" w:color="auto"/>
            </w:tcBorders>
            <w:shd w:val="clear" w:color="auto" w:fill="auto"/>
            <w:noWrap/>
            <w:vAlign w:val="center"/>
            <w:hideMark/>
          </w:tcPr>
          <w:p w14:paraId="3AEECFA5"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0.057</w:t>
            </w:r>
          </w:p>
        </w:tc>
        <w:tc>
          <w:tcPr>
            <w:tcW w:w="905" w:type="dxa"/>
            <w:tcBorders>
              <w:top w:val="nil"/>
              <w:left w:val="nil"/>
              <w:bottom w:val="double" w:sz="6" w:space="0" w:color="auto"/>
              <w:right w:val="double" w:sz="6" w:space="0" w:color="auto"/>
            </w:tcBorders>
            <w:shd w:val="clear" w:color="auto" w:fill="auto"/>
            <w:noWrap/>
            <w:vAlign w:val="center"/>
            <w:hideMark/>
          </w:tcPr>
          <w:p w14:paraId="76A0BCE3"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4.405</w:t>
            </w:r>
          </w:p>
        </w:tc>
      </w:tr>
      <w:tr w:rsidR="00625049" w:rsidRPr="00625049" w14:paraId="41DAFB38" w14:textId="77777777" w:rsidTr="00165042">
        <w:trPr>
          <w:trHeight w:val="20"/>
          <w:jc w:val="center"/>
        </w:trPr>
        <w:tc>
          <w:tcPr>
            <w:tcW w:w="2988" w:type="dxa"/>
            <w:tcBorders>
              <w:top w:val="nil"/>
              <w:left w:val="double" w:sz="6" w:space="0" w:color="auto"/>
              <w:bottom w:val="single" w:sz="4" w:space="0" w:color="auto"/>
              <w:right w:val="double" w:sz="6" w:space="0" w:color="auto"/>
            </w:tcBorders>
            <w:shd w:val="clear" w:color="auto" w:fill="auto"/>
            <w:noWrap/>
            <w:vAlign w:val="center"/>
            <w:hideMark/>
          </w:tcPr>
          <w:p w14:paraId="07BBAE7E" w14:textId="77777777" w:rsidR="00625049" w:rsidRPr="00625049" w:rsidRDefault="00625049" w:rsidP="00625049">
            <w:pPr>
              <w:spacing w:after="0"/>
              <w:ind w:firstLine="0"/>
              <w:jc w:val="left"/>
              <w:rPr>
                <w:rFonts w:eastAsia="Times New Roman"/>
                <w:b/>
                <w:bCs/>
                <w:color w:val="000000"/>
                <w:sz w:val="20"/>
                <w:szCs w:val="20"/>
              </w:rPr>
            </w:pPr>
            <w:r w:rsidRPr="00625049">
              <w:rPr>
                <w:rFonts w:eastAsia="Times New Roman"/>
                <w:b/>
                <w:bCs/>
                <w:color w:val="000000"/>
                <w:sz w:val="20"/>
                <w:szCs w:val="20"/>
              </w:rPr>
              <w:t>Household income</w:t>
            </w:r>
          </w:p>
        </w:tc>
        <w:tc>
          <w:tcPr>
            <w:tcW w:w="833" w:type="dxa"/>
            <w:tcBorders>
              <w:top w:val="nil"/>
              <w:left w:val="nil"/>
              <w:bottom w:val="single" w:sz="4" w:space="0" w:color="auto"/>
              <w:right w:val="single" w:sz="4" w:space="0" w:color="auto"/>
            </w:tcBorders>
            <w:shd w:val="clear" w:color="auto" w:fill="auto"/>
            <w:noWrap/>
            <w:vAlign w:val="center"/>
            <w:hideMark/>
          </w:tcPr>
          <w:p w14:paraId="4621C27C" w14:textId="77777777" w:rsidR="00625049" w:rsidRPr="00625049" w:rsidRDefault="00625049" w:rsidP="00625049">
            <w:pPr>
              <w:spacing w:after="0"/>
              <w:ind w:firstLine="0"/>
              <w:jc w:val="right"/>
              <w:rPr>
                <w:rFonts w:eastAsia="Times New Roman"/>
                <w:b/>
                <w:bCs/>
                <w:color w:val="000000"/>
                <w:sz w:val="20"/>
                <w:szCs w:val="20"/>
              </w:rPr>
            </w:pPr>
            <w:r w:rsidRPr="00625049">
              <w:rPr>
                <w:rFonts w:eastAsia="Times New Roman"/>
                <w:b/>
                <w:bCs/>
                <w:color w:val="000000"/>
                <w:sz w:val="20"/>
                <w:szCs w:val="20"/>
              </w:rPr>
              <w:t> </w:t>
            </w:r>
          </w:p>
        </w:tc>
        <w:tc>
          <w:tcPr>
            <w:tcW w:w="925" w:type="dxa"/>
            <w:tcBorders>
              <w:top w:val="nil"/>
              <w:left w:val="nil"/>
              <w:bottom w:val="single" w:sz="4" w:space="0" w:color="auto"/>
              <w:right w:val="double" w:sz="6" w:space="0" w:color="auto"/>
            </w:tcBorders>
            <w:shd w:val="clear" w:color="auto" w:fill="auto"/>
            <w:noWrap/>
            <w:vAlign w:val="center"/>
            <w:hideMark/>
          </w:tcPr>
          <w:p w14:paraId="182ED70E" w14:textId="77777777" w:rsidR="00625049" w:rsidRPr="00625049" w:rsidRDefault="00625049" w:rsidP="00625049">
            <w:pPr>
              <w:spacing w:after="0"/>
              <w:ind w:firstLine="0"/>
              <w:jc w:val="right"/>
              <w:rPr>
                <w:rFonts w:eastAsia="Times New Roman"/>
                <w:b/>
                <w:bCs/>
                <w:color w:val="000000"/>
                <w:sz w:val="20"/>
                <w:szCs w:val="20"/>
              </w:rPr>
            </w:pPr>
            <w:r w:rsidRPr="00625049">
              <w:rPr>
                <w:rFonts w:eastAsia="Times New Roman"/>
                <w:b/>
                <w:bCs/>
                <w:color w:val="000000"/>
                <w:sz w:val="20"/>
                <w:szCs w:val="20"/>
              </w:rPr>
              <w:t> </w:t>
            </w:r>
          </w:p>
        </w:tc>
        <w:tc>
          <w:tcPr>
            <w:tcW w:w="786" w:type="dxa"/>
            <w:tcBorders>
              <w:top w:val="nil"/>
              <w:left w:val="nil"/>
              <w:bottom w:val="single" w:sz="4" w:space="0" w:color="auto"/>
              <w:right w:val="single" w:sz="4" w:space="0" w:color="auto"/>
            </w:tcBorders>
            <w:shd w:val="clear" w:color="auto" w:fill="auto"/>
            <w:noWrap/>
            <w:vAlign w:val="center"/>
            <w:hideMark/>
          </w:tcPr>
          <w:p w14:paraId="57FCFCEA" w14:textId="77777777" w:rsidR="00625049" w:rsidRPr="00625049" w:rsidRDefault="00625049" w:rsidP="00625049">
            <w:pPr>
              <w:spacing w:after="0"/>
              <w:ind w:firstLine="0"/>
              <w:jc w:val="right"/>
              <w:rPr>
                <w:rFonts w:eastAsia="Times New Roman"/>
                <w:b/>
                <w:bCs/>
                <w:color w:val="000000"/>
                <w:sz w:val="20"/>
                <w:szCs w:val="20"/>
              </w:rPr>
            </w:pPr>
            <w:r w:rsidRPr="00625049">
              <w:rPr>
                <w:rFonts w:eastAsia="Times New Roman"/>
                <w:b/>
                <w:bCs/>
                <w:color w:val="000000"/>
                <w:sz w:val="20"/>
                <w:szCs w:val="20"/>
              </w:rPr>
              <w:t> </w:t>
            </w:r>
          </w:p>
        </w:tc>
        <w:tc>
          <w:tcPr>
            <w:tcW w:w="871" w:type="dxa"/>
            <w:tcBorders>
              <w:top w:val="nil"/>
              <w:left w:val="nil"/>
              <w:bottom w:val="single" w:sz="4" w:space="0" w:color="auto"/>
              <w:right w:val="double" w:sz="6" w:space="0" w:color="auto"/>
            </w:tcBorders>
            <w:shd w:val="clear" w:color="auto" w:fill="auto"/>
            <w:noWrap/>
            <w:vAlign w:val="center"/>
            <w:hideMark/>
          </w:tcPr>
          <w:p w14:paraId="1F7F8C21" w14:textId="77777777" w:rsidR="00625049" w:rsidRPr="00625049" w:rsidRDefault="00625049" w:rsidP="00625049">
            <w:pPr>
              <w:spacing w:after="0"/>
              <w:ind w:firstLine="0"/>
              <w:jc w:val="right"/>
              <w:rPr>
                <w:rFonts w:eastAsia="Times New Roman"/>
                <w:b/>
                <w:bCs/>
                <w:color w:val="000000"/>
                <w:sz w:val="20"/>
                <w:szCs w:val="20"/>
              </w:rPr>
            </w:pPr>
            <w:r w:rsidRPr="00625049">
              <w:rPr>
                <w:rFonts w:eastAsia="Times New Roman"/>
                <w:b/>
                <w:bCs/>
                <w:color w:val="000000"/>
                <w:sz w:val="20"/>
                <w:szCs w:val="20"/>
              </w:rPr>
              <w:t> </w:t>
            </w:r>
          </w:p>
        </w:tc>
        <w:tc>
          <w:tcPr>
            <w:tcW w:w="863" w:type="dxa"/>
            <w:tcBorders>
              <w:top w:val="nil"/>
              <w:left w:val="nil"/>
              <w:bottom w:val="single" w:sz="4" w:space="0" w:color="auto"/>
              <w:right w:val="single" w:sz="4" w:space="0" w:color="auto"/>
            </w:tcBorders>
            <w:shd w:val="clear" w:color="auto" w:fill="auto"/>
            <w:noWrap/>
            <w:vAlign w:val="center"/>
            <w:hideMark/>
          </w:tcPr>
          <w:p w14:paraId="7B2F8FC6" w14:textId="77777777" w:rsidR="00625049" w:rsidRPr="00625049" w:rsidRDefault="00625049" w:rsidP="00625049">
            <w:pPr>
              <w:spacing w:after="0"/>
              <w:ind w:firstLine="0"/>
              <w:jc w:val="right"/>
              <w:rPr>
                <w:rFonts w:eastAsia="Times New Roman"/>
                <w:b/>
                <w:bCs/>
                <w:color w:val="000000"/>
                <w:sz w:val="20"/>
                <w:szCs w:val="20"/>
              </w:rPr>
            </w:pPr>
            <w:r w:rsidRPr="00625049">
              <w:rPr>
                <w:rFonts w:eastAsia="Times New Roman"/>
                <w:b/>
                <w:bCs/>
                <w:color w:val="000000"/>
                <w:sz w:val="20"/>
                <w:szCs w:val="20"/>
              </w:rPr>
              <w:t> </w:t>
            </w:r>
          </w:p>
        </w:tc>
        <w:tc>
          <w:tcPr>
            <w:tcW w:w="990" w:type="dxa"/>
            <w:tcBorders>
              <w:top w:val="nil"/>
              <w:left w:val="nil"/>
              <w:bottom w:val="single" w:sz="4" w:space="0" w:color="auto"/>
              <w:right w:val="double" w:sz="6" w:space="0" w:color="auto"/>
            </w:tcBorders>
            <w:shd w:val="clear" w:color="auto" w:fill="auto"/>
            <w:noWrap/>
            <w:vAlign w:val="center"/>
            <w:hideMark/>
          </w:tcPr>
          <w:p w14:paraId="6AAB8B33" w14:textId="77777777" w:rsidR="00625049" w:rsidRPr="00625049" w:rsidRDefault="00625049" w:rsidP="00625049">
            <w:pPr>
              <w:spacing w:after="0"/>
              <w:ind w:firstLine="0"/>
              <w:jc w:val="right"/>
              <w:rPr>
                <w:rFonts w:eastAsia="Times New Roman"/>
                <w:b/>
                <w:bCs/>
                <w:color w:val="000000"/>
                <w:sz w:val="20"/>
                <w:szCs w:val="20"/>
              </w:rPr>
            </w:pPr>
            <w:r w:rsidRPr="00625049">
              <w:rPr>
                <w:rFonts w:eastAsia="Times New Roman"/>
                <w:b/>
                <w:bCs/>
                <w:color w:val="000000"/>
                <w:sz w:val="20"/>
                <w:szCs w:val="20"/>
              </w:rPr>
              <w:t> </w:t>
            </w:r>
          </w:p>
        </w:tc>
        <w:tc>
          <w:tcPr>
            <w:tcW w:w="924" w:type="dxa"/>
            <w:tcBorders>
              <w:top w:val="nil"/>
              <w:left w:val="nil"/>
              <w:bottom w:val="single" w:sz="4" w:space="0" w:color="auto"/>
              <w:right w:val="single" w:sz="4" w:space="0" w:color="auto"/>
            </w:tcBorders>
            <w:shd w:val="clear" w:color="auto" w:fill="auto"/>
            <w:noWrap/>
            <w:vAlign w:val="center"/>
            <w:hideMark/>
          </w:tcPr>
          <w:p w14:paraId="52080F80" w14:textId="77777777" w:rsidR="00625049" w:rsidRPr="00625049" w:rsidRDefault="00625049" w:rsidP="00625049">
            <w:pPr>
              <w:spacing w:after="0"/>
              <w:ind w:firstLine="0"/>
              <w:jc w:val="right"/>
              <w:rPr>
                <w:rFonts w:eastAsia="Times New Roman"/>
                <w:b/>
                <w:bCs/>
                <w:color w:val="000000"/>
                <w:sz w:val="20"/>
                <w:szCs w:val="20"/>
              </w:rPr>
            </w:pPr>
            <w:r w:rsidRPr="00625049">
              <w:rPr>
                <w:rFonts w:eastAsia="Times New Roman"/>
                <w:b/>
                <w:bCs/>
                <w:color w:val="000000"/>
                <w:sz w:val="20"/>
                <w:szCs w:val="20"/>
              </w:rPr>
              <w:t> </w:t>
            </w:r>
          </w:p>
        </w:tc>
        <w:tc>
          <w:tcPr>
            <w:tcW w:w="905" w:type="dxa"/>
            <w:tcBorders>
              <w:top w:val="nil"/>
              <w:left w:val="nil"/>
              <w:bottom w:val="single" w:sz="4" w:space="0" w:color="auto"/>
              <w:right w:val="double" w:sz="6" w:space="0" w:color="auto"/>
            </w:tcBorders>
            <w:shd w:val="clear" w:color="auto" w:fill="auto"/>
            <w:noWrap/>
            <w:vAlign w:val="center"/>
            <w:hideMark/>
          </w:tcPr>
          <w:p w14:paraId="1A477187" w14:textId="77777777" w:rsidR="00625049" w:rsidRPr="00625049" w:rsidRDefault="00625049" w:rsidP="00625049">
            <w:pPr>
              <w:spacing w:after="0"/>
              <w:ind w:firstLine="0"/>
              <w:jc w:val="right"/>
              <w:rPr>
                <w:rFonts w:eastAsia="Times New Roman"/>
                <w:b/>
                <w:bCs/>
                <w:color w:val="000000"/>
                <w:sz w:val="20"/>
                <w:szCs w:val="20"/>
              </w:rPr>
            </w:pPr>
            <w:r w:rsidRPr="00625049">
              <w:rPr>
                <w:rFonts w:eastAsia="Times New Roman"/>
                <w:b/>
                <w:bCs/>
                <w:color w:val="000000"/>
                <w:sz w:val="20"/>
                <w:szCs w:val="20"/>
              </w:rPr>
              <w:t> </w:t>
            </w:r>
          </w:p>
        </w:tc>
      </w:tr>
      <w:tr w:rsidR="00625049" w:rsidRPr="00625049" w14:paraId="095E4F5E" w14:textId="77777777" w:rsidTr="00165042">
        <w:trPr>
          <w:trHeight w:val="20"/>
          <w:jc w:val="center"/>
        </w:trPr>
        <w:tc>
          <w:tcPr>
            <w:tcW w:w="2988" w:type="dxa"/>
            <w:tcBorders>
              <w:top w:val="nil"/>
              <w:left w:val="double" w:sz="6" w:space="0" w:color="auto"/>
              <w:bottom w:val="single" w:sz="4" w:space="0" w:color="auto"/>
              <w:right w:val="double" w:sz="6" w:space="0" w:color="auto"/>
            </w:tcBorders>
            <w:shd w:val="clear" w:color="auto" w:fill="auto"/>
            <w:noWrap/>
            <w:vAlign w:val="center"/>
            <w:hideMark/>
          </w:tcPr>
          <w:p w14:paraId="08E46F82" w14:textId="77777777" w:rsidR="00625049" w:rsidRPr="00625049" w:rsidRDefault="00625049" w:rsidP="00625049">
            <w:pPr>
              <w:spacing w:after="0"/>
              <w:ind w:firstLine="0"/>
              <w:jc w:val="left"/>
              <w:rPr>
                <w:rFonts w:eastAsia="Times New Roman"/>
                <w:color w:val="000000"/>
                <w:sz w:val="20"/>
                <w:szCs w:val="20"/>
              </w:rPr>
            </w:pPr>
            <w:r w:rsidRPr="00625049">
              <w:rPr>
                <w:rFonts w:eastAsia="Times New Roman"/>
                <w:color w:val="000000"/>
                <w:sz w:val="20"/>
                <w:szCs w:val="20"/>
              </w:rPr>
              <w:t xml:space="preserve">   Under $50,000 (base)</w:t>
            </w:r>
          </w:p>
        </w:tc>
        <w:tc>
          <w:tcPr>
            <w:tcW w:w="833" w:type="dxa"/>
            <w:tcBorders>
              <w:top w:val="nil"/>
              <w:left w:val="nil"/>
              <w:bottom w:val="single" w:sz="4" w:space="0" w:color="auto"/>
              <w:right w:val="single" w:sz="4" w:space="0" w:color="auto"/>
            </w:tcBorders>
            <w:shd w:val="clear" w:color="auto" w:fill="auto"/>
            <w:noWrap/>
            <w:vAlign w:val="center"/>
            <w:hideMark/>
          </w:tcPr>
          <w:p w14:paraId="3E9691BD"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 </w:t>
            </w:r>
          </w:p>
        </w:tc>
        <w:tc>
          <w:tcPr>
            <w:tcW w:w="925" w:type="dxa"/>
            <w:tcBorders>
              <w:top w:val="nil"/>
              <w:left w:val="nil"/>
              <w:bottom w:val="single" w:sz="4" w:space="0" w:color="auto"/>
              <w:right w:val="double" w:sz="6" w:space="0" w:color="auto"/>
            </w:tcBorders>
            <w:shd w:val="clear" w:color="auto" w:fill="auto"/>
            <w:noWrap/>
            <w:vAlign w:val="center"/>
            <w:hideMark/>
          </w:tcPr>
          <w:p w14:paraId="3161CC63"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 </w:t>
            </w:r>
          </w:p>
        </w:tc>
        <w:tc>
          <w:tcPr>
            <w:tcW w:w="786" w:type="dxa"/>
            <w:tcBorders>
              <w:top w:val="nil"/>
              <w:left w:val="nil"/>
              <w:bottom w:val="single" w:sz="4" w:space="0" w:color="auto"/>
              <w:right w:val="single" w:sz="4" w:space="0" w:color="auto"/>
            </w:tcBorders>
            <w:shd w:val="clear" w:color="auto" w:fill="auto"/>
            <w:noWrap/>
            <w:vAlign w:val="center"/>
            <w:hideMark/>
          </w:tcPr>
          <w:p w14:paraId="0FEACBCF"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 </w:t>
            </w:r>
          </w:p>
        </w:tc>
        <w:tc>
          <w:tcPr>
            <w:tcW w:w="871" w:type="dxa"/>
            <w:tcBorders>
              <w:top w:val="nil"/>
              <w:left w:val="nil"/>
              <w:bottom w:val="single" w:sz="4" w:space="0" w:color="auto"/>
              <w:right w:val="double" w:sz="6" w:space="0" w:color="auto"/>
            </w:tcBorders>
            <w:shd w:val="clear" w:color="auto" w:fill="auto"/>
            <w:noWrap/>
            <w:vAlign w:val="center"/>
            <w:hideMark/>
          </w:tcPr>
          <w:p w14:paraId="3D996F82"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 </w:t>
            </w:r>
          </w:p>
        </w:tc>
        <w:tc>
          <w:tcPr>
            <w:tcW w:w="863" w:type="dxa"/>
            <w:tcBorders>
              <w:top w:val="nil"/>
              <w:left w:val="nil"/>
              <w:bottom w:val="single" w:sz="4" w:space="0" w:color="auto"/>
              <w:right w:val="single" w:sz="4" w:space="0" w:color="auto"/>
            </w:tcBorders>
            <w:shd w:val="clear" w:color="auto" w:fill="auto"/>
            <w:noWrap/>
            <w:vAlign w:val="center"/>
            <w:hideMark/>
          </w:tcPr>
          <w:p w14:paraId="4257A79E"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 </w:t>
            </w:r>
          </w:p>
        </w:tc>
        <w:tc>
          <w:tcPr>
            <w:tcW w:w="990" w:type="dxa"/>
            <w:tcBorders>
              <w:top w:val="nil"/>
              <w:left w:val="nil"/>
              <w:bottom w:val="single" w:sz="4" w:space="0" w:color="auto"/>
              <w:right w:val="double" w:sz="6" w:space="0" w:color="auto"/>
            </w:tcBorders>
            <w:shd w:val="clear" w:color="auto" w:fill="auto"/>
            <w:noWrap/>
            <w:vAlign w:val="center"/>
            <w:hideMark/>
          </w:tcPr>
          <w:p w14:paraId="37C626A0"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 </w:t>
            </w:r>
          </w:p>
        </w:tc>
        <w:tc>
          <w:tcPr>
            <w:tcW w:w="924" w:type="dxa"/>
            <w:tcBorders>
              <w:top w:val="nil"/>
              <w:left w:val="nil"/>
              <w:bottom w:val="single" w:sz="4" w:space="0" w:color="auto"/>
              <w:right w:val="single" w:sz="4" w:space="0" w:color="auto"/>
            </w:tcBorders>
            <w:shd w:val="clear" w:color="auto" w:fill="auto"/>
            <w:noWrap/>
            <w:vAlign w:val="center"/>
            <w:hideMark/>
          </w:tcPr>
          <w:p w14:paraId="47C493E1"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0.174</w:t>
            </w:r>
          </w:p>
        </w:tc>
        <w:tc>
          <w:tcPr>
            <w:tcW w:w="905" w:type="dxa"/>
            <w:tcBorders>
              <w:top w:val="nil"/>
              <w:left w:val="nil"/>
              <w:bottom w:val="single" w:sz="4" w:space="0" w:color="auto"/>
              <w:right w:val="double" w:sz="6" w:space="0" w:color="auto"/>
            </w:tcBorders>
            <w:shd w:val="clear" w:color="auto" w:fill="auto"/>
            <w:noWrap/>
            <w:vAlign w:val="center"/>
            <w:hideMark/>
          </w:tcPr>
          <w:p w14:paraId="5B69EAB7"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8.352</w:t>
            </w:r>
          </w:p>
        </w:tc>
      </w:tr>
      <w:tr w:rsidR="00625049" w:rsidRPr="00625049" w14:paraId="4061E877" w14:textId="77777777" w:rsidTr="00165042">
        <w:trPr>
          <w:trHeight w:val="20"/>
          <w:jc w:val="center"/>
        </w:trPr>
        <w:tc>
          <w:tcPr>
            <w:tcW w:w="2988" w:type="dxa"/>
            <w:tcBorders>
              <w:top w:val="nil"/>
              <w:left w:val="double" w:sz="6" w:space="0" w:color="auto"/>
              <w:bottom w:val="single" w:sz="4" w:space="0" w:color="auto"/>
              <w:right w:val="double" w:sz="6" w:space="0" w:color="auto"/>
            </w:tcBorders>
            <w:shd w:val="clear" w:color="auto" w:fill="auto"/>
            <w:noWrap/>
            <w:vAlign w:val="center"/>
            <w:hideMark/>
          </w:tcPr>
          <w:p w14:paraId="0217774F" w14:textId="77777777" w:rsidR="00625049" w:rsidRPr="00625049" w:rsidRDefault="00625049" w:rsidP="00625049">
            <w:pPr>
              <w:spacing w:after="0"/>
              <w:ind w:firstLine="0"/>
              <w:jc w:val="left"/>
              <w:rPr>
                <w:rFonts w:eastAsia="Times New Roman"/>
                <w:color w:val="000000"/>
                <w:sz w:val="20"/>
                <w:szCs w:val="20"/>
              </w:rPr>
            </w:pPr>
            <w:r w:rsidRPr="00625049">
              <w:rPr>
                <w:rFonts w:eastAsia="Times New Roman"/>
                <w:color w:val="000000"/>
                <w:sz w:val="20"/>
                <w:szCs w:val="20"/>
              </w:rPr>
              <w:t xml:space="preserve">   $50,000-$99,999</w:t>
            </w:r>
          </w:p>
        </w:tc>
        <w:tc>
          <w:tcPr>
            <w:tcW w:w="833" w:type="dxa"/>
            <w:tcBorders>
              <w:top w:val="nil"/>
              <w:left w:val="nil"/>
              <w:bottom w:val="single" w:sz="4" w:space="0" w:color="auto"/>
              <w:right w:val="single" w:sz="4" w:space="0" w:color="auto"/>
            </w:tcBorders>
            <w:shd w:val="clear" w:color="auto" w:fill="auto"/>
            <w:noWrap/>
            <w:vAlign w:val="center"/>
            <w:hideMark/>
          </w:tcPr>
          <w:p w14:paraId="5948C0FA"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0.168</w:t>
            </w:r>
          </w:p>
        </w:tc>
        <w:tc>
          <w:tcPr>
            <w:tcW w:w="925" w:type="dxa"/>
            <w:tcBorders>
              <w:top w:val="nil"/>
              <w:left w:val="nil"/>
              <w:bottom w:val="single" w:sz="4" w:space="0" w:color="auto"/>
              <w:right w:val="double" w:sz="6" w:space="0" w:color="auto"/>
            </w:tcBorders>
            <w:shd w:val="clear" w:color="auto" w:fill="auto"/>
            <w:noWrap/>
            <w:vAlign w:val="center"/>
            <w:hideMark/>
          </w:tcPr>
          <w:p w14:paraId="57202843"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6.430</w:t>
            </w:r>
          </w:p>
        </w:tc>
        <w:tc>
          <w:tcPr>
            <w:tcW w:w="786" w:type="dxa"/>
            <w:tcBorders>
              <w:top w:val="nil"/>
              <w:left w:val="nil"/>
              <w:bottom w:val="single" w:sz="4" w:space="0" w:color="auto"/>
              <w:right w:val="single" w:sz="4" w:space="0" w:color="auto"/>
            </w:tcBorders>
            <w:shd w:val="clear" w:color="auto" w:fill="auto"/>
            <w:noWrap/>
            <w:vAlign w:val="center"/>
            <w:hideMark/>
          </w:tcPr>
          <w:p w14:paraId="07B58356"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0.075</w:t>
            </w:r>
          </w:p>
        </w:tc>
        <w:tc>
          <w:tcPr>
            <w:tcW w:w="871" w:type="dxa"/>
            <w:tcBorders>
              <w:top w:val="nil"/>
              <w:left w:val="nil"/>
              <w:bottom w:val="single" w:sz="4" w:space="0" w:color="auto"/>
              <w:right w:val="double" w:sz="6" w:space="0" w:color="auto"/>
            </w:tcBorders>
            <w:shd w:val="clear" w:color="auto" w:fill="auto"/>
            <w:noWrap/>
            <w:vAlign w:val="center"/>
            <w:hideMark/>
          </w:tcPr>
          <w:p w14:paraId="597C2A6B"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10.110</w:t>
            </w:r>
          </w:p>
        </w:tc>
        <w:tc>
          <w:tcPr>
            <w:tcW w:w="863" w:type="dxa"/>
            <w:tcBorders>
              <w:top w:val="nil"/>
              <w:left w:val="nil"/>
              <w:bottom w:val="single" w:sz="4" w:space="0" w:color="auto"/>
              <w:right w:val="single" w:sz="4" w:space="0" w:color="auto"/>
            </w:tcBorders>
            <w:shd w:val="clear" w:color="auto" w:fill="auto"/>
            <w:noWrap/>
            <w:vAlign w:val="center"/>
            <w:hideMark/>
          </w:tcPr>
          <w:p w14:paraId="0B744336"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0.249</w:t>
            </w:r>
          </w:p>
        </w:tc>
        <w:tc>
          <w:tcPr>
            <w:tcW w:w="990" w:type="dxa"/>
            <w:tcBorders>
              <w:top w:val="nil"/>
              <w:left w:val="nil"/>
              <w:bottom w:val="single" w:sz="4" w:space="0" w:color="auto"/>
              <w:right w:val="double" w:sz="6" w:space="0" w:color="auto"/>
            </w:tcBorders>
            <w:shd w:val="clear" w:color="auto" w:fill="auto"/>
            <w:noWrap/>
            <w:vAlign w:val="center"/>
            <w:hideMark/>
          </w:tcPr>
          <w:p w14:paraId="06431728"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12.253</w:t>
            </w:r>
          </w:p>
        </w:tc>
        <w:tc>
          <w:tcPr>
            <w:tcW w:w="924" w:type="dxa"/>
            <w:tcBorders>
              <w:top w:val="nil"/>
              <w:left w:val="nil"/>
              <w:bottom w:val="single" w:sz="4" w:space="0" w:color="auto"/>
              <w:right w:val="single" w:sz="4" w:space="0" w:color="auto"/>
            </w:tcBorders>
            <w:shd w:val="clear" w:color="auto" w:fill="auto"/>
            <w:noWrap/>
            <w:vAlign w:val="center"/>
            <w:hideMark/>
          </w:tcPr>
          <w:p w14:paraId="56DC1745"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0.081</w:t>
            </w:r>
          </w:p>
        </w:tc>
        <w:tc>
          <w:tcPr>
            <w:tcW w:w="905" w:type="dxa"/>
            <w:tcBorders>
              <w:top w:val="nil"/>
              <w:left w:val="nil"/>
              <w:bottom w:val="single" w:sz="4" w:space="0" w:color="auto"/>
              <w:right w:val="double" w:sz="6" w:space="0" w:color="auto"/>
            </w:tcBorders>
            <w:shd w:val="clear" w:color="auto" w:fill="auto"/>
            <w:noWrap/>
            <w:vAlign w:val="center"/>
            <w:hideMark/>
          </w:tcPr>
          <w:p w14:paraId="5475A5AE"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1.853</w:t>
            </w:r>
          </w:p>
        </w:tc>
      </w:tr>
      <w:tr w:rsidR="00625049" w:rsidRPr="00625049" w14:paraId="47E875F9" w14:textId="77777777" w:rsidTr="00165042">
        <w:trPr>
          <w:trHeight w:val="20"/>
          <w:jc w:val="center"/>
        </w:trPr>
        <w:tc>
          <w:tcPr>
            <w:tcW w:w="2988" w:type="dxa"/>
            <w:tcBorders>
              <w:top w:val="nil"/>
              <w:left w:val="double" w:sz="6" w:space="0" w:color="auto"/>
              <w:bottom w:val="double" w:sz="6" w:space="0" w:color="auto"/>
              <w:right w:val="double" w:sz="6" w:space="0" w:color="auto"/>
            </w:tcBorders>
            <w:shd w:val="clear" w:color="auto" w:fill="auto"/>
            <w:noWrap/>
            <w:vAlign w:val="center"/>
            <w:hideMark/>
          </w:tcPr>
          <w:p w14:paraId="071FF86C" w14:textId="77777777" w:rsidR="00625049" w:rsidRPr="00625049" w:rsidRDefault="00625049" w:rsidP="00625049">
            <w:pPr>
              <w:spacing w:after="0"/>
              <w:ind w:firstLine="0"/>
              <w:jc w:val="left"/>
              <w:rPr>
                <w:rFonts w:eastAsia="Times New Roman"/>
                <w:color w:val="000000"/>
                <w:sz w:val="20"/>
                <w:szCs w:val="20"/>
              </w:rPr>
            </w:pPr>
            <w:r w:rsidRPr="00625049">
              <w:rPr>
                <w:rFonts w:eastAsia="Times New Roman"/>
                <w:color w:val="000000"/>
                <w:sz w:val="20"/>
                <w:szCs w:val="20"/>
              </w:rPr>
              <w:t xml:space="preserve">   $100,000 or more</w:t>
            </w:r>
          </w:p>
        </w:tc>
        <w:tc>
          <w:tcPr>
            <w:tcW w:w="833" w:type="dxa"/>
            <w:tcBorders>
              <w:top w:val="nil"/>
              <w:left w:val="nil"/>
              <w:bottom w:val="double" w:sz="6" w:space="0" w:color="auto"/>
              <w:right w:val="single" w:sz="4" w:space="0" w:color="auto"/>
            </w:tcBorders>
            <w:shd w:val="clear" w:color="auto" w:fill="auto"/>
            <w:noWrap/>
            <w:vAlign w:val="center"/>
            <w:hideMark/>
          </w:tcPr>
          <w:p w14:paraId="7089FCE1"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0.747</w:t>
            </w:r>
          </w:p>
        </w:tc>
        <w:tc>
          <w:tcPr>
            <w:tcW w:w="925" w:type="dxa"/>
            <w:tcBorders>
              <w:top w:val="nil"/>
              <w:left w:val="nil"/>
              <w:bottom w:val="double" w:sz="6" w:space="0" w:color="auto"/>
              <w:right w:val="double" w:sz="6" w:space="0" w:color="auto"/>
            </w:tcBorders>
            <w:shd w:val="clear" w:color="auto" w:fill="auto"/>
            <w:noWrap/>
            <w:vAlign w:val="center"/>
            <w:hideMark/>
          </w:tcPr>
          <w:p w14:paraId="78B74609"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30.451</w:t>
            </w:r>
          </w:p>
        </w:tc>
        <w:tc>
          <w:tcPr>
            <w:tcW w:w="786" w:type="dxa"/>
            <w:tcBorders>
              <w:top w:val="nil"/>
              <w:left w:val="nil"/>
              <w:bottom w:val="double" w:sz="6" w:space="0" w:color="auto"/>
              <w:right w:val="single" w:sz="4" w:space="0" w:color="auto"/>
            </w:tcBorders>
            <w:shd w:val="clear" w:color="auto" w:fill="auto"/>
            <w:noWrap/>
            <w:vAlign w:val="center"/>
            <w:hideMark/>
          </w:tcPr>
          <w:p w14:paraId="2A06C2AE"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0.475</w:t>
            </w:r>
          </w:p>
        </w:tc>
        <w:tc>
          <w:tcPr>
            <w:tcW w:w="871" w:type="dxa"/>
            <w:tcBorders>
              <w:top w:val="nil"/>
              <w:left w:val="nil"/>
              <w:bottom w:val="double" w:sz="6" w:space="0" w:color="auto"/>
              <w:right w:val="double" w:sz="6" w:space="0" w:color="auto"/>
            </w:tcBorders>
            <w:shd w:val="clear" w:color="auto" w:fill="auto"/>
            <w:noWrap/>
            <w:vAlign w:val="center"/>
            <w:hideMark/>
          </w:tcPr>
          <w:p w14:paraId="606746FB"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42.951</w:t>
            </w:r>
          </w:p>
        </w:tc>
        <w:tc>
          <w:tcPr>
            <w:tcW w:w="863" w:type="dxa"/>
            <w:tcBorders>
              <w:top w:val="nil"/>
              <w:left w:val="nil"/>
              <w:bottom w:val="double" w:sz="6" w:space="0" w:color="auto"/>
              <w:right w:val="single" w:sz="4" w:space="0" w:color="auto"/>
            </w:tcBorders>
            <w:shd w:val="clear" w:color="auto" w:fill="auto"/>
            <w:noWrap/>
            <w:vAlign w:val="center"/>
            <w:hideMark/>
          </w:tcPr>
          <w:p w14:paraId="751AE6BE"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0.649</w:t>
            </w:r>
          </w:p>
        </w:tc>
        <w:tc>
          <w:tcPr>
            <w:tcW w:w="990" w:type="dxa"/>
            <w:tcBorders>
              <w:top w:val="nil"/>
              <w:left w:val="nil"/>
              <w:bottom w:val="double" w:sz="6" w:space="0" w:color="auto"/>
              <w:right w:val="double" w:sz="6" w:space="0" w:color="auto"/>
            </w:tcBorders>
            <w:shd w:val="clear" w:color="auto" w:fill="auto"/>
            <w:noWrap/>
            <w:vAlign w:val="center"/>
            <w:hideMark/>
          </w:tcPr>
          <w:p w14:paraId="241305E1"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42.084</w:t>
            </w:r>
          </w:p>
        </w:tc>
        <w:tc>
          <w:tcPr>
            <w:tcW w:w="924" w:type="dxa"/>
            <w:tcBorders>
              <w:top w:val="nil"/>
              <w:left w:val="nil"/>
              <w:bottom w:val="double" w:sz="6" w:space="0" w:color="auto"/>
              <w:right w:val="single" w:sz="4" w:space="0" w:color="auto"/>
            </w:tcBorders>
            <w:shd w:val="clear" w:color="auto" w:fill="auto"/>
            <w:noWrap/>
            <w:vAlign w:val="center"/>
            <w:hideMark/>
          </w:tcPr>
          <w:p w14:paraId="08D55026"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-0.098</w:t>
            </w:r>
          </w:p>
        </w:tc>
        <w:tc>
          <w:tcPr>
            <w:tcW w:w="905" w:type="dxa"/>
            <w:tcBorders>
              <w:top w:val="nil"/>
              <w:left w:val="nil"/>
              <w:bottom w:val="double" w:sz="6" w:space="0" w:color="auto"/>
              <w:right w:val="double" w:sz="6" w:space="0" w:color="auto"/>
            </w:tcBorders>
            <w:shd w:val="clear" w:color="auto" w:fill="auto"/>
            <w:noWrap/>
            <w:vAlign w:val="center"/>
            <w:hideMark/>
          </w:tcPr>
          <w:p w14:paraId="7A707940"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-2.715</w:t>
            </w:r>
          </w:p>
        </w:tc>
      </w:tr>
      <w:tr w:rsidR="00625049" w:rsidRPr="00625049" w14:paraId="1CE68120" w14:textId="77777777" w:rsidTr="00165042">
        <w:trPr>
          <w:trHeight w:val="20"/>
          <w:jc w:val="center"/>
        </w:trPr>
        <w:tc>
          <w:tcPr>
            <w:tcW w:w="2988" w:type="dxa"/>
            <w:tcBorders>
              <w:top w:val="nil"/>
              <w:left w:val="double" w:sz="6" w:space="0" w:color="auto"/>
              <w:bottom w:val="single" w:sz="4" w:space="0" w:color="auto"/>
              <w:right w:val="double" w:sz="6" w:space="0" w:color="auto"/>
            </w:tcBorders>
            <w:shd w:val="clear" w:color="auto" w:fill="auto"/>
            <w:noWrap/>
            <w:vAlign w:val="center"/>
            <w:hideMark/>
          </w:tcPr>
          <w:p w14:paraId="3C02B6B0" w14:textId="77777777" w:rsidR="00625049" w:rsidRPr="00625049" w:rsidRDefault="00625049" w:rsidP="00625049">
            <w:pPr>
              <w:spacing w:after="0"/>
              <w:ind w:firstLine="0"/>
              <w:jc w:val="left"/>
              <w:rPr>
                <w:rFonts w:eastAsia="Times New Roman"/>
                <w:b/>
                <w:bCs/>
                <w:color w:val="000000"/>
                <w:sz w:val="20"/>
                <w:szCs w:val="20"/>
              </w:rPr>
            </w:pPr>
            <w:r w:rsidRPr="00625049">
              <w:rPr>
                <w:rFonts w:eastAsia="Times New Roman"/>
                <w:b/>
                <w:bCs/>
                <w:color w:val="000000"/>
                <w:sz w:val="20"/>
                <w:szCs w:val="20"/>
              </w:rPr>
              <w:t>Household size</w:t>
            </w:r>
          </w:p>
        </w:tc>
        <w:tc>
          <w:tcPr>
            <w:tcW w:w="833" w:type="dxa"/>
            <w:tcBorders>
              <w:top w:val="nil"/>
              <w:left w:val="nil"/>
              <w:bottom w:val="single" w:sz="4" w:space="0" w:color="auto"/>
              <w:right w:val="single" w:sz="4" w:space="0" w:color="auto"/>
            </w:tcBorders>
            <w:shd w:val="clear" w:color="auto" w:fill="auto"/>
            <w:noWrap/>
            <w:vAlign w:val="center"/>
            <w:hideMark/>
          </w:tcPr>
          <w:p w14:paraId="4F2740A0"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 </w:t>
            </w:r>
          </w:p>
        </w:tc>
        <w:tc>
          <w:tcPr>
            <w:tcW w:w="925" w:type="dxa"/>
            <w:tcBorders>
              <w:top w:val="nil"/>
              <w:left w:val="nil"/>
              <w:bottom w:val="single" w:sz="4" w:space="0" w:color="auto"/>
              <w:right w:val="double" w:sz="6" w:space="0" w:color="auto"/>
            </w:tcBorders>
            <w:shd w:val="clear" w:color="auto" w:fill="auto"/>
            <w:noWrap/>
            <w:vAlign w:val="center"/>
            <w:hideMark/>
          </w:tcPr>
          <w:p w14:paraId="2FE706EE"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 </w:t>
            </w:r>
          </w:p>
        </w:tc>
        <w:tc>
          <w:tcPr>
            <w:tcW w:w="786" w:type="dxa"/>
            <w:tcBorders>
              <w:top w:val="nil"/>
              <w:left w:val="nil"/>
              <w:bottom w:val="single" w:sz="4" w:space="0" w:color="auto"/>
              <w:right w:val="single" w:sz="4" w:space="0" w:color="auto"/>
            </w:tcBorders>
            <w:shd w:val="clear" w:color="auto" w:fill="auto"/>
            <w:noWrap/>
            <w:vAlign w:val="center"/>
            <w:hideMark/>
          </w:tcPr>
          <w:p w14:paraId="4D0192E8"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 </w:t>
            </w:r>
          </w:p>
        </w:tc>
        <w:tc>
          <w:tcPr>
            <w:tcW w:w="871" w:type="dxa"/>
            <w:tcBorders>
              <w:top w:val="nil"/>
              <w:left w:val="nil"/>
              <w:bottom w:val="single" w:sz="4" w:space="0" w:color="auto"/>
              <w:right w:val="double" w:sz="6" w:space="0" w:color="auto"/>
            </w:tcBorders>
            <w:shd w:val="clear" w:color="auto" w:fill="auto"/>
            <w:noWrap/>
            <w:vAlign w:val="center"/>
            <w:hideMark/>
          </w:tcPr>
          <w:p w14:paraId="506D9BD5"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 </w:t>
            </w:r>
          </w:p>
        </w:tc>
        <w:tc>
          <w:tcPr>
            <w:tcW w:w="863" w:type="dxa"/>
            <w:tcBorders>
              <w:top w:val="nil"/>
              <w:left w:val="nil"/>
              <w:bottom w:val="single" w:sz="4" w:space="0" w:color="auto"/>
              <w:right w:val="single" w:sz="4" w:space="0" w:color="auto"/>
            </w:tcBorders>
            <w:shd w:val="clear" w:color="auto" w:fill="auto"/>
            <w:noWrap/>
            <w:vAlign w:val="center"/>
            <w:hideMark/>
          </w:tcPr>
          <w:p w14:paraId="18001425"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 </w:t>
            </w:r>
          </w:p>
        </w:tc>
        <w:tc>
          <w:tcPr>
            <w:tcW w:w="990" w:type="dxa"/>
            <w:tcBorders>
              <w:top w:val="nil"/>
              <w:left w:val="nil"/>
              <w:bottom w:val="single" w:sz="4" w:space="0" w:color="auto"/>
              <w:right w:val="double" w:sz="6" w:space="0" w:color="auto"/>
            </w:tcBorders>
            <w:shd w:val="clear" w:color="auto" w:fill="auto"/>
            <w:noWrap/>
            <w:vAlign w:val="center"/>
            <w:hideMark/>
          </w:tcPr>
          <w:p w14:paraId="56119A25"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 </w:t>
            </w:r>
          </w:p>
        </w:tc>
        <w:tc>
          <w:tcPr>
            <w:tcW w:w="924" w:type="dxa"/>
            <w:tcBorders>
              <w:top w:val="nil"/>
              <w:left w:val="nil"/>
              <w:bottom w:val="single" w:sz="4" w:space="0" w:color="auto"/>
              <w:right w:val="single" w:sz="4" w:space="0" w:color="auto"/>
            </w:tcBorders>
            <w:shd w:val="clear" w:color="auto" w:fill="auto"/>
            <w:noWrap/>
            <w:vAlign w:val="center"/>
            <w:hideMark/>
          </w:tcPr>
          <w:p w14:paraId="7C535AF3"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 </w:t>
            </w:r>
          </w:p>
        </w:tc>
        <w:tc>
          <w:tcPr>
            <w:tcW w:w="905" w:type="dxa"/>
            <w:tcBorders>
              <w:top w:val="nil"/>
              <w:left w:val="nil"/>
              <w:bottom w:val="single" w:sz="4" w:space="0" w:color="auto"/>
              <w:right w:val="double" w:sz="6" w:space="0" w:color="auto"/>
            </w:tcBorders>
            <w:shd w:val="clear" w:color="auto" w:fill="auto"/>
            <w:noWrap/>
            <w:vAlign w:val="center"/>
            <w:hideMark/>
          </w:tcPr>
          <w:p w14:paraId="24D5107E"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 </w:t>
            </w:r>
          </w:p>
        </w:tc>
      </w:tr>
      <w:tr w:rsidR="00625049" w:rsidRPr="00625049" w14:paraId="3DDBE85F" w14:textId="77777777" w:rsidTr="00165042">
        <w:trPr>
          <w:trHeight w:val="20"/>
          <w:jc w:val="center"/>
        </w:trPr>
        <w:tc>
          <w:tcPr>
            <w:tcW w:w="2988" w:type="dxa"/>
            <w:tcBorders>
              <w:top w:val="nil"/>
              <w:left w:val="double" w:sz="6" w:space="0" w:color="auto"/>
              <w:bottom w:val="nil"/>
              <w:right w:val="double" w:sz="6" w:space="0" w:color="auto"/>
            </w:tcBorders>
            <w:shd w:val="clear" w:color="auto" w:fill="auto"/>
            <w:noWrap/>
            <w:vAlign w:val="center"/>
            <w:hideMark/>
          </w:tcPr>
          <w:p w14:paraId="51F469D0" w14:textId="77777777" w:rsidR="00625049" w:rsidRPr="00625049" w:rsidRDefault="00625049" w:rsidP="00625049">
            <w:pPr>
              <w:spacing w:after="0"/>
              <w:ind w:firstLine="0"/>
              <w:jc w:val="left"/>
              <w:rPr>
                <w:rFonts w:eastAsia="Times New Roman"/>
                <w:color w:val="000000"/>
                <w:sz w:val="20"/>
                <w:szCs w:val="20"/>
              </w:rPr>
            </w:pPr>
            <w:r w:rsidRPr="00625049">
              <w:rPr>
                <w:rFonts w:eastAsia="Times New Roman"/>
                <w:color w:val="000000"/>
                <w:sz w:val="20"/>
                <w:szCs w:val="20"/>
              </w:rPr>
              <w:t xml:space="preserve">   Single-person household (base)</w:t>
            </w:r>
          </w:p>
        </w:tc>
        <w:tc>
          <w:tcPr>
            <w:tcW w:w="833" w:type="dxa"/>
            <w:tcBorders>
              <w:top w:val="nil"/>
              <w:left w:val="nil"/>
              <w:bottom w:val="nil"/>
              <w:right w:val="single" w:sz="4" w:space="0" w:color="auto"/>
            </w:tcBorders>
            <w:shd w:val="clear" w:color="auto" w:fill="auto"/>
            <w:noWrap/>
            <w:vAlign w:val="center"/>
            <w:hideMark/>
          </w:tcPr>
          <w:p w14:paraId="288C2B74"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 </w:t>
            </w:r>
          </w:p>
        </w:tc>
        <w:tc>
          <w:tcPr>
            <w:tcW w:w="925" w:type="dxa"/>
            <w:tcBorders>
              <w:top w:val="nil"/>
              <w:left w:val="nil"/>
              <w:bottom w:val="nil"/>
              <w:right w:val="double" w:sz="6" w:space="0" w:color="auto"/>
            </w:tcBorders>
            <w:shd w:val="clear" w:color="auto" w:fill="auto"/>
            <w:noWrap/>
            <w:vAlign w:val="center"/>
            <w:hideMark/>
          </w:tcPr>
          <w:p w14:paraId="246BC148"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 </w:t>
            </w:r>
          </w:p>
        </w:tc>
        <w:tc>
          <w:tcPr>
            <w:tcW w:w="786" w:type="dxa"/>
            <w:tcBorders>
              <w:top w:val="nil"/>
              <w:left w:val="nil"/>
              <w:bottom w:val="nil"/>
              <w:right w:val="single" w:sz="4" w:space="0" w:color="auto"/>
            </w:tcBorders>
            <w:shd w:val="clear" w:color="auto" w:fill="auto"/>
            <w:noWrap/>
            <w:vAlign w:val="center"/>
            <w:hideMark/>
          </w:tcPr>
          <w:p w14:paraId="54E2AD37"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 </w:t>
            </w:r>
          </w:p>
        </w:tc>
        <w:tc>
          <w:tcPr>
            <w:tcW w:w="871" w:type="dxa"/>
            <w:tcBorders>
              <w:top w:val="nil"/>
              <w:left w:val="nil"/>
              <w:bottom w:val="nil"/>
              <w:right w:val="double" w:sz="6" w:space="0" w:color="auto"/>
            </w:tcBorders>
            <w:shd w:val="clear" w:color="auto" w:fill="auto"/>
            <w:noWrap/>
            <w:vAlign w:val="center"/>
            <w:hideMark/>
          </w:tcPr>
          <w:p w14:paraId="171BEA74"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 </w:t>
            </w:r>
          </w:p>
        </w:tc>
        <w:tc>
          <w:tcPr>
            <w:tcW w:w="863" w:type="dxa"/>
            <w:tcBorders>
              <w:top w:val="nil"/>
              <w:left w:val="nil"/>
              <w:bottom w:val="nil"/>
              <w:right w:val="single" w:sz="4" w:space="0" w:color="auto"/>
            </w:tcBorders>
            <w:shd w:val="clear" w:color="auto" w:fill="auto"/>
            <w:noWrap/>
            <w:vAlign w:val="center"/>
            <w:hideMark/>
          </w:tcPr>
          <w:p w14:paraId="24FE24F5"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 </w:t>
            </w:r>
          </w:p>
        </w:tc>
        <w:tc>
          <w:tcPr>
            <w:tcW w:w="990" w:type="dxa"/>
            <w:tcBorders>
              <w:top w:val="nil"/>
              <w:left w:val="nil"/>
              <w:bottom w:val="nil"/>
              <w:right w:val="double" w:sz="6" w:space="0" w:color="auto"/>
            </w:tcBorders>
            <w:shd w:val="clear" w:color="auto" w:fill="auto"/>
            <w:noWrap/>
            <w:vAlign w:val="center"/>
            <w:hideMark/>
          </w:tcPr>
          <w:p w14:paraId="44DC830D"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 </w:t>
            </w:r>
          </w:p>
        </w:tc>
        <w:tc>
          <w:tcPr>
            <w:tcW w:w="924" w:type="dxa"/>
            <w:tcBorders>
              <w:top w:val="nil"/>
              <w:left w:val="nil"/>
              <w:bottom w:val="nil"/>
              <w:right w:val="single" w:sz="4" w:space="0" w:color="auto"/>
            </w:tcBorders>
            <w:shd w:val="clear" w:color="auto" w:fill="auto"/>
            <w:noWrap/>
            <w:vAlign w:val="center"/>
            <w:hideMark/>
          </w:tcPr>
          <w:p w14:paraId="5A9C5E77"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-0.398</w:t>
            </w:r>
          </w:p>
        </w:tc>
        <w:tc>
          <w:tcPr>
            <w:tcW w:w="905" w:type="dxa"/>
            <w:tcBorders>
              <w:top w:val="nil"/>
              <w:left w:val="nil"/>
              <w:bottom w:val="nil"/>
              <w:right w:val="double" w:sz="6" w:space="0" w:color="auto"/>
            </w:tcBorders>
            <w:shd w:val="clear" w:color="auto" w:fill="auto"/>
            <w:noWrap/>
            <w:vAlign w:val="center"/>
            <w:hideMark/>
          </w:tcPr>
          <w:p w14:paraId="3BE0E5C7"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-28.398</w:t>
            </w:r>
          </w:p>
        </w:tc>
      </w:tr>
      <w:tr w:rsidR="00625049" w:rsidRPr="00625049" w14:paraId="7A743B36" w14:textId="77777777" w:rsidTr="00165042">
        <w:trPr>
          <w:trHeight w:val="20"/>
          <w:jc w:val="center"/>
        </w:trPr>
        <w:tc>
          <w:tcPr>
            <w:tcW w:w="2988" w:type="dxa"/>
            <w:tcBorders>
              <w:top w:val="single" w:sz="4" w:space="0" w:color="auto"/>
              <w:left w:val="double" w:sz="6" w:space="0" w:color="auto"/>
              <w:bottom w:val="double" w:sz="6" w:space="0" w:color="auto"/>
              <w:right w:val="double" w:sz="6" w:space="0" w:color="auto"/>
            </w:tcBorders>
            <w:shd w:val="clear" w:color="auto" w:fill="auto"/>
            <w:noWrap/>
            <w:vAlign w:val="center"/>
            <w:hideMark/>
          </w:tcPr>
          <w:p w14:paraId="386E5FA0" w14:textId="77777777" w:rsidR="00625049" w:rsidRPr="00625049" w:rsidRDefault="00625049" w:rsidP="00625049">
            <w:pPr>
              <w:spacing w:after="0"/>
              <w:ind w:firstLine="0"/>
              <w:jc w:val="left"/>
              <w:rPr>
                <w:rFonts w:eastAsia="Times New Roman"/>
                <w:color w:val="000000"/>
                <w:sz w:val="20"/>
                <w:szCs w:val="20"/>
              </w:rPr>
            </w:pPr>
            <w:r w:rsidRPr="00625049">
              <w:rPr>
                <w:rFonts w:eastAsia="Times New Roman"/>
                <w:color w:val="000000"/>
                <w:sz w:val="20"/>
                <w:szCs w:val="20"/>
              </w:rPr>
              <w:t xml:space="preserve">   Multi-person household</w:t>
            </w:r>
          </w:p>
        </w:tc>
        <w:tc>
          <w:tcPr>
            <w:tcW w:w="833" w:type="dxa"/>
            <w:tcBorders>
              <w:top w:val="single" w:sz="4" w:space="0" w:color="auto"/>
              <w:left w:val="nil"/>
              <w:bottom w:val="double" w:sz="6" w:space="0" w:color="auto"/>
              <w:right w:val="single" w:sz="4" w:space="0" w:color="auto"/>
            </w:tcBorders>
            <w:shd w:val="clear" w:color="auto" w:fill="auto"/>
            <w:noWrap/>
            <w:vAlign w:val="center"/>
            <w:hideMark/>
          </w:tcPr>
          <w:p w14:paraId="7D57522A"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-0.610</w:t>
            </w:r>
          </w:p>
        </w:tc>
        <w:tc>
          <w:tcPr>
            <w:tcW w:w="925" w:type="dxa"/>
            <w:tcBorders>
              <w:top w:val="single" w:sz="4" w:space="0" w:color="auto"/>
              <w:left w:val="nil"/>
              <w:bottom w:val="double" w:sz="6" w:space="0" w:color="auto"/>
              <w:right w:val="double" w:sz="6" w:space="0" w:color="auto"/>
            </w:tcBorders>
            <w:shd w:val="clear" w:color="auto" w:fill="auto"/>
            <w:noWrap/>
            <w:vAlign w:val="center"/>
            <w:hideMark/>
          </w:tcPr>
          <w:p w14:paraId="19F81BAF"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-20.273</w:t>
            </w:r>
          </w:p>
        </w:tc>
        <w:tc>
          <w:tcPr>
            <w:tcW w:w="786" w:type="dxa"/>
            <w:tcBorders>
              <w:top w:val="single" w:sz="4" w:space="0" w:color="auto"/>
              <w:left w:val="nil"/>
              <w:bottom w:val="double" w:sz="6" w:space="0" w:color="auto"/>
              <w:right w:val="single" w:sz="4" w:space="0" w:color="auto"/>
            </w:tcBorders>
            <w:shd w:val="clear" w:color="auto" w:fill="auto"/>
            <w:noWrap/>
            <w:vAlign w:val="center"/>
            <w:hideMark/>
          </w:tcPr>
          <w:p w14:paraId="5E4AB6F4"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-0.049</w:t>
            </w:r>
          </w:p>
        </w:tc>
        <w:tc>
          <w:tcPr>
            <w:tcW w:w="871" w:type="dxa"/>
            <w:tcBorders>
              <w:top w:val="single" w:sz="4" w:space="0" w:color="auto"/>
              <w:left w:val="nil"/>
              <w:bottom w:val="double" w:sz="6" w:space="0" w:color="auto"/>
              <w:right w:val="double" w:sz="6" w:space="0" w:color="auto"/>
            </w:tcBorders>
            <w:shd w:val="clear" w:color="auto" w:fill="auto"/>
            <w:noWrap/>
            <w:vAlign w:val="center"/>
            <w:hideMark/>
          </w:tcPr>
          <w:p w14:paraId="73599930"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-3.167</w:t>
            </w:r>
          </w:p>
        </w:tc>
        <w:tc>
          <w:tcPr>
            <w:tcW w:w="863" w:type="dxa"/>
            <w:tcBorders>
              <w:top w:val="single" w:sz="4" w:space="0" w:color="auto"/>
              <w:left w:val="nil"/>
              <w:bottom w:val="double" w:sz="6" w:space="0" w:color="auto"/>
              <w:right w:val="single" w:sz="4" w:space="0" w:color="auto"/>
            </w:tcBorders>
            <w:shd w:val="clear" w:color="auto" w:fill="auto"/>
            <w:noWrap/>
            <w:vAlign w:val="center"/>
            <w:hideMark/>
          </w:tcPr>
          <w:p w14:paraId="4F56AB84"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-0.447</w:t>
            </w:r>
          </w:p>
        </w:tc>
        <w:tc>
          <w:tcPr>
            <w:tcW w:w="990" w:type="dxa"/>
            <w:tcBorders>
              <w:top w:val="single" w:sz="4" w:space="0" w:color="auto"/>
              <w:left w:val="nil"/>
              <w:bottom w:val="double" w:sz="6" w:space="0" w:color="auto"/>
              <w:right w:val="double" w:sz="6" w:space="0" w:color="auto"/>
            </w:tcBorders>
            <w:shd w:val="clear" w:color="auto" w:fill="auto"/>
            <w:noWrap/>
            <w:vAlign w:val="center"/>
            <w:hideMark/>
          </w:tcPr>
          <w:p w14:paraId="4AFEC224"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-21.199</w:t>
            </w:r>
          </w:p>
        </w:tc>
        <w:tc>
          <w:tcPr>
            <w:tcW w:w="924" w:type="dxa"/>
            <w:tcBorders>
              <w:top w:val="single" w:sz="4" w:space="0" w:color="auto"/>
              <w:left w:val="nil"/>
              <w:bottom w:val="double" w:sz="6" w:space="0" w:color="auto"/>
              <w:right w:val="single" w:sz="4" w:space="0" w:color="auto"/>
            </w:tcBorders>
            <w:shd w:val="clear" w:color="auto" w:fill="auto"/>
            <w:noWrap/>
            <w:vAlign w:val="center"/>
            <w:hideMark/>
          </w:tcPr>
          <w:p w14:paraId="2A6ABB17"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0.163</w:t>
            </w:r>
          </w:p>
        </w:tc>
        <w:tc>
          <w:tcPr>
            <w:tcW w:w="905" w:type="dxa"/>
            <w:tcBorders>
              <w:top w:val="single" w:sz="4" w:space="0" w:color="auto"/>
              <w:left w:val="nil"/>
              <w:bottom w:val="double" w:sz="6" w:space="0" w:color="auto"/>
              <w:right w:val="double" w:sz="6" w:space="0" w:color="auto"/>
            </w:tcBorders>
            <w:shd w:val="clear" w:color="auto" w:fill="auto"/>
            <w:noWrap/>
            <w:vAlign w:val="center"/>
            <w:hideMark/>
          </w:tcPr>
          <w:p w14:paraId="5B983D4B"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3.813</w:t>
            </w:r>
          </w:p>
        </w:tc>
      </w:tr>
      <w:tr w:rsidR="00625049" w:rsidRPr="00625049" w14:paraId="5A89C242" w14:textId="77777777" w:rsidTr="00165042">
        <w:trPr>
          <w:trHeight w:val="20"/>
          <w:jc w:val="center"/>
        </w:trPr>
        <w:tc>
          <w:tcPr>
            <w:tcW w:w="2988" w:type="dxa"/>
            <w:tcBorders>
              <w:top w:val="nil"/>
              <w:left w:val="double" w:sz="6" w:space="0" w:color="auto"/>
              <w:bottom w:val="single" w:sz="4" w:space="0" w:color="auto"/>
              <w:right w:val="double" w:sz="6" w:space="0" w:color="auto"/>
            </w:tcBorders>
            <w:shd w:val="clear" w:color="auto" w:fill="auto"/>
            <w:noWrap/>
            <w:vAlign w:val="center"/>
            <w:hideMark/>
          </w:tcPr>
          <w:p w14:paraId="58108612" w14:textId="77777777" w:rsidR="00625049" w:rsidRPr="00625049" w:rsidRDefault="00625049" w:rsidP="00625049">
            <w:pPr>
              <w:spacing w:after="0"/>
              <w:ind w:firstLine="0"/>
              <w:jc w:val="left"/>
              <w:rPr>
                <w:rFonts w:eastAsia="Times New Roman"/>
                <w:b/>
                <w:bCs/>
                <w:color w:val="000000"/>
                <w:sz w:val="20"/>
                <w:szCs w:val="20"/>
              </w:rPr>
            </w:pPr>
            <w:r w:rsidRPr="00625049">
              <w:rPr>
                <w:rFonts w:eastAsia="Times New Roman"/>
                <w:b/>
                <w:bCs/>
                <w:color w:val="000000"/>
                <w:sz w:val="20"/>
                <w:szCs w:val="20"/>
              </w:rPr>
              <w:t>Education</w:t>
            </w:r>
          </w:p>
        </w:tc>
        <w:tc>
          <w:tcPr>
            <w:tcW w:w="833" w:type="dxa"/>
            <w:tcBorders>
              <w:top w:val="nil"/>
              <w:left w:val="nil"/>
              <w:bottom w:val="single" w:sz="4" w:space="0" w:color="auto"/>
              <w:right w:val="single" w:sz="4" w:space="0" w:color="auto"/>
            </w:tcBorders>
            <w:shd w:val="clear" w:color="auto" w:fill="auto"/>
            <w:noWrap/>
            <w:vAlign w:val="center"/>
            <w:hideMark/>
          </w:tcPr>
          <w:p w14:paraId="0CF43955"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 </w:t>
            </w:r>
          </w:p>
        </w:tc>
        <w:tc>
          <w:tcPr>
            <w:tcW w:w="925" w:type="dxa"/>
            <w:tcBorders>
              <w:top w:val="nil"/>
              <w:left w:val="nil"/>
              <w:bottom w:val="single" w:sz="4" w:space="0" w:color="auto"/>
              <w:right w:val="double" w:sz="6" w:space="0" w:color="auto"/>
            </w:tcBorders>
            <w:shd w:val="clear" w:color="auto" w:fill="auto"/>
            <w:noWrap/>
            <w:vAlign w:val="center"/>
            <w:hideMark/>
          </w:tcPr>
          <w:p w14:paraId="10482EB9"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 </w:t>
            </w:r>
          </w:p>
        </w:tc>
        <w:tc>
          <w:tcPr>
            <w:tcW w:w="786" w:type="dxa"/>
            <w:tcBorders>
              <w:top w:val="nil"/>
              <w:left w:val="nil"/>
              <w:bottom w:val="single" w:sz="4" w:space="0" w:color="auto"/>
              <w:right w:val="single" w:sz="4" w:space="0" w:color="auto"/>
            </w:tcBorders>
            <w:shd w:val="clear" w:color="auto" w:fill="auto"/>
            <w:noWrap/>
            <w:vAlign w:val="center"/>
            <w:hideMark/>
          </w:tcPr>
          <w:p w14:paraId="3C353591"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 </w:t>
            </w:r>
          </w:p>
        </w:tc>
        <w:tc>
          <w:tcPr>
            <w:tcW w:w="871" w:type="dxa"/>
            <w:tcBorders>
              <w:top w:val="nil"/>
              <w:left w:val="nil"/>
              <w:bottom w:val="single" w:sz="4" w:space="0" w:color="auto"/>
              <w:right w:val="double" w:sz="6" w:space="0" w:color="auto"/>
            </w:tcBorders>
            <w:shd w:val="clear" w:color="auto" w:fill="auto"/>
            <w:noWrap/>
            <w:vAlign w:val="center"/>
            <w:hideMark/>
          </w:tcPr>
          <w:p w14:paraId="6054C4A7"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 </w:t>
            </w:r>
          </w:p>
        </w:tc>
        <w:tc>
          <w:tcPr>
            <w:tcW w:w="863" w:type="dxa"/>
            <w:tcBorders>
              <w:top w:val="nil"/>
              <w:left w:val="nil"/>
              <w:bottom w:val="single" w:sz="4" w:space="0" w:color="auto"/>
              <w:right w:val="single" w:sz="4" w:space="0" w:color="auto"/>
            </w:tcBorders>
            <w:shd w:val="clear" w:color="auto" w:fill="auto"/>
            <w:noWrap/>
            <w:vAlign w:val="center"/>
            <w:hideMark/>
          </w:tcPr>
          <w:p w14:paraId="2F0937BA"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 </w:t>
            </w:r>
          </w:p>
        </w:tc>
        <w:tc>
          <w:tcPr>
            <w:tcW w:w="990" w:type="dxa"/>
            <w:tcBorders>
              <w:top w:val="nil"/>
              <w:left w:val="nil"/>
              <w:bottom w:val="single" w:sz="4" w:space="0" w:color="auto"/>
              <w:right w:val="double" w:sz="6" w:space="0" w:color="auto"/>
            </w:tcBorders>
            <w:shd w:val="clear" w:color="auto" w:fill="auto"/>
            <w:noWrap/>
            <w:vAlign w:val="center"/>
            <w:hideMark/>
          </w:tcPr>
          <w:p w14:paraId="0FAB941E"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 </w:t>
            </w:r>
          </w:p>
        </w:tc>
        <w:tc>
          <w:tcPr>
            <w:tcW w:w="924" w:type="dxa"/>
            <w:tcBorders>
              <w:top w:val="nil"/>
              <w:left w:val="nil"/>
              <w:bottom w:val="single" w:sz="4" w:space="0" w:color="auto"/>
              <w:right w:val="single" w:sz="4" w:space="0" w:color="auto"/>
            </w:tcBorders>
            <w:shd w:val="clear" w:color="auto" w:fill="auto"/>
            <w:noWrap/>
            <w:vAlign w:val="center"/>
            <w:hideMark/>
          </w:tcPr>
          <w:p w14:paraId="445E098E"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 </w:t>
            </w:r>
          </w:p>
        </w:tc>
        <w:tc>
          <w:tcPr>
            <w:tcW w:w="905" w:type="dxa"/>
            <w:tcBorders>
              <w:top w:val="nil"/>
              <w:left w:val="nil"/>
              <w:bottom w:val="single" w:sz="4" w:space="0" w:color="auto"/>
              <w:right w:val="double" w:sz="6" w:space="0" w:color="auto"/>
            </w:tcBorders>
            <w:shd w:val="clear" w:color="auto" w:fill="auto"/>
            <w:noWrap/>
            <w:vAlign w:val="center"/>
            <w:hideMark/>
          </w:tcPr>
          <w:p w14:paraId="66A17170"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 </w:t>
            </w:r>
          </w:p>
        </w:tc>
      </w:tr>
      <w:tr w:rsidR="00625049" w:rsidRPr="00625049" w14:paraId="3B89E30C" w14:textId="77777777" w:rsidTr="00165042">
        <w:trPr>
          <w:trHeight w:val="20"/>
          <w:jc w:val="center"/>
        </w:trPr>
        <w:tc>
          <w:tcPr>
            <w:tcW w:w="2988" w:type="dxa"/>
            <w:tcBorders>
              <w:top w:val="nil"/>
              <w:left w:val="double" w:sz="6" w:space="0" w:color="auto"/>
              <w:bottom w:val="nil"/>
              <w:right w:val="double" w:sz="6" w:space="0" w:color="auto"/>
            </w:tcBorders>
            <w:shd w:val="clear" w:color="auto" w:fill="auto"/>
            <w:noWrap/>
            <w:vAlign w:val="center"/>
            <w:hideMark/>
          </w:tcPr>
          <w:p w14:paraId="71EE3F61" w14:textId="77777777" w:rsidR="00625049" w:rsidRPr="00625049" w:rsidRDefault="00625049" w:rsidP="00625049">
            <w:pPr>
              <w:spacing w:after="0"/>
              <w:ind w:firstLine="0"/>
              <w:jc w:val="left"/>
              <w:rPr>
                <w:rFonts w:eastAsia="Times New Roman"/>
                <w:color w:val="000000"/>
                <w:sz w:val="20"/>
                <w:szCs w:val="20"/>
              </w:rPr>
            </w:pPr>
            <w:r w:rsidRPr="00625049">
              <w:rPr>
                <w:rFonts w:eastAsia="Times New Roman"/>
                <w:color w:val="000000"/>
                <w:sz w:val="20"/>
                <w:szCs w:val="20"/>
              </w:rPr>
              <w:t xml:space="preserve">   No bachelor's degree (base)</w:t>
            </w:r>
          </w:p>
        </w:tc>
        <w:tc>
          <w:tcPr>
            <w:tcW w:w="833" w:type="dxa"/>
            <w:tcBorders>
              <w:top w:val="nil"/>
              <w:left w:val="nil"/>
              <w:bottom w:val="nil"/>
              <w:right w:val="single" w:sz="4" w:space="0" w:color="auto"/>
            </w:tcBorders>
            <w:shd w:val="clear" w:color="auto" w:fill="auto"/>
            <w:noWrap/>
            <w:vAlign w:val="center"/>
            <w:hideMark/>
          </w:tcPr>
          <w:p w14:paraId="5C027189"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 </w:t>
            </w:r>
          </w:p>
        </w:tc>
        <w:tc>
          <w:tcPr>
            <w:tcW w:w="925" w:type="dxa"/>
            <w:tcBorders>
              <w:top w:val="nil"/>
              <w:left w:val="nil"/>
              <w:bottom w:val="nil"/>
              <w:right w:val="double" w:sz="6" w:space="0" w:color="auto"/>
            </w:tcBorders>
            <w:shd w:val="clear" w:color="auto" w:fill="auto"/>
            <w:noWrap/>
            <w:vAlign w:val="center"/>
            <w:hideMark/>
          </w:tcPr>
          <w:p w14:paraId="64CA7400"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 </w:t>
            </w:r>
          </w:p>
        </w:tc>
        <w:tc>
          <w:tcPr>
            <w:tcW w:w="786" w:type="dxa"/>
            <w:tcBorders>
              <w:top w:val="nil"/>
              <w:left w:val="nil"/>
              <w:bottom w:val="nil"/>
              <w:right w:val="single" w:sz="4" w:space="0" w:color="auto"/>
            </w:tcBorders>
            <w:shd w:val="clear" w:color="auto" w:fill="auto"/>
            <w:noWrap/>
            <w:vAlign w:val="center"/>
            <w:hideMark/>
          </w:tcPr>
          <w:p w14:paraId="45D11F08"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 </w:t>
            </w:r>
          </w:p>
        </w:tc>
        <w:tc>
          <w:tcPr>
            <w:tcW w:w="871" w:type="dxa"/>
            <w:tcBorders>
              <w:top w:val="nil"/>
              <w:left w:val="nil"/>
              <w:bottom w:val="nil"/>
              <w:right w:val="double" w:sz="6" w:space="0" w:color="auto"/>
            </w:tcBorders>
            <w:shd w:val="clear" w:color="auto" w:fill="auto"/>
            <w:noWrap/>
            <w:vAlign w:val="center"/>
            <w:hideMark/>
          </w:tcPr>
          <w:p w14:paraId="02A0597D"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 </w:t>
            </w:r>
          </w:p>
        </w:tc>
        <w:tc>
          <w:tcPr>
            <w:tcW w:w="863" w:type="dxa"/>
            <w:tcBorders>
              <w:top w:val="nil"/>
              <w:left w:val="nil"/>
              <w:bottom w:val="nil"/>
              <w:right w:val="single" w:sz="4" w:space="0" w:color="auto"/>
            </w:tcBorders>
            <w:shd w:val="clear" w:color="auto" w:fill="auto"/>
            <w:noWrap/>
            <w:vAlign w:val="center"/>
            <w:hideMark/>
          </w:tcPr>
          <w:p w14:paraId="5C95D33F"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 </w:t>
            </w:r>
          </w:p>
        </w:tc>
        <w:tc>
          <w:tcPr>
            <w:tcW w:w="990" w:type="dxa"/>
            <w:tcBorders>
              <w:top w:val="nil"/>
              <w:left w:val="nil"/>
              <w:bottom w:val="nil"/>
              <w:right w:val="double" w:sz="6" w:space="0" w:color="auto"/>
            </w:tcBorders>
            <w:shd w:val="clear" w:color="auto" w:fill="auto"/>
            <w:noWrap/>
            <w:vAlign w:val="center"/>
            <w:hideMark/>
          </w:tcPr>
          <w:p w14:paraId="7AD5F2A0"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 </w:t>
            </w:r>
          </w:p>
        </w:tc>
        <w:tc>
          <w:tcPr>
            <w:tcW w:w="924" w:type="dxa"/>
            <w:tcBorders>
              <w:top w:val="nil"/>
              <w:left w:val="nil"/>
              <w:bottom w:val="nil"/>
              <w:right w:val="single" w:sz="4" w:space="0" w:color="auto"/>
            </w:tcBorders>
            <w:shd w:val="clear" w:color="auto" w:fill="auto"/>
            <w:noWrap/>
            <w:vAlign w:val="center"/>
            <w:hideMark/>
          </w:tcPr>
          <w:p w14:paraId="7CC9D3B1"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0.137</w:t>
            </w:r>
          </w:p>
        </w:tc>
        <w:tc>
          <w:tcPr>
            <w:tcW w:w="905" w:type="dxa"/>
            <w:tcBorders>
              <w:top w:val="nil"/>
              <w:left w:val="nil"/>
              <w:bottom w:val="nil"/>
              <w:right w:val="double" w:sz="6" w:space="0" w:color="auto"/>
            </w:tcBorders>
            <w:shd w:val="clear" w:color="auto" w:fill="auto"/>
            <w:noWrap/>
            <w:vAlign w:val="center"/>
            <w:hideMark/>
          </w:tcPr>
          <w:p w14:paraId="65CB18F9"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6.968</w:t>
            </w:r>
          </w:p>
        </w:tc>
      </w:tr>
      <w:tr w:rsidR="00625049" w:rsidRPr="00625049" w14:paraId="2409603D" w14:textId="77777777" w:rsidTr="00165042">
        <w:trPr>
          <w:trHeight w:val="20"/>
          <w:jc w:val="center"/>
        </w:trPr>
        <w:tc>
          <w:tcPr>
            <w:tcW w:w="2988" w:type="dxa"/>
            <w:tcBorders>
              <w:top w:val="single" w:sz="4" w:space="0" w:color="auto"/>
              <w:left w:val="double" w:sz="6" w:space="0" w:color="auto"/>
              <w:bottom w:val="double" w:sz="6" w:space="0" w:color="auto"/>
              <w:right w:val="double" w:sz="6" w:space="0" w:color="auto"/>
            </w:tcBorders>
            <w:shd w:val="clear" w:color="auto" w:fill="auto"/>
            <w:noWrap/>
            <w:vAlign w:val="center"/>
            <w:hideMark/>
          </w:tcPr>
          <w:p w14:paraId="33D80DFD" w14:textId="77777777" w:rsidR="00625049" w:rsidRPr="00625049" w:rsidRDefault="00625049" w:rsidP="00625049">
            <w:pPr>
              <w:spacing w:after="0"/>
              <w:ind w:firstLine="0"/>
              <w:jc w:val="left"/>
              <w:rPr>
                <w:rFonts w:eastAsia="Times New Roman"/>
                <w:color w:val="000000"/>
                <w:sz w:val="20"/>
                <w:szCs w:val="20"/>
              </w:rPr>
            </w:pPr>
            <w:r w:rsidRPr="00625049">
              <w:rPr>
                <w:rFonts w:eastAsia="Times New Roman"/>
                <w:color w:val="000000"/>
                <w:sz w:val="20"/>
                <w:szCs w:val="20"/>
              </w:rPr>
              <w:t xml:space="preserve">   Bachelor's degree or higher</w:t>
            </w:r>
          </w:p>
        </w:tc>
        <w:tc>
          <w:tcPr>
            <w:tcW w:w="833" w:type="dxa"/>
            <w:tcBorders>
              <w:top w:val="single" w:sz="4" w:space="0" w:color="auto"/>
              <w:left w:val="nil"/>
              <w:bottom w:val="double" w:sz="6" w:space="0" w:color="auto"/>
              <w:right w:val="single" w:sz="4" w:space="0" w:color="auto"/>
            </w:tcBorders>
            <w:shd w:val="clear" w:color="auto" w:fill="auto"/>
            <w:noWrap/>
            <w:vAlign w:val="center"/>
            <w:hideMark/>
          </w:tcPr>
          <w:p w14:paraId="029D7975"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0.518</w:t>
            </w:r>
          </w:p>
        </w:tc>
        <w:tc>
          <w:tcPr>
            <w:tcW w:w="925" w:type="dxa"/>
            <w:tcBorders>
              <w:top w:val="single" w:sz="4" w:space="0" w:color="auto"/>
              <w:left w:val="nil"/>
              <w:bottom w:val="double" w:sz="6" w:space="0" w:color="auto"/>
              <w:right w:val="double" w:sz="6" w:space="0" w:color="auto"/>
            </w:tcBorders>
            <w:shd w:val="clear" w:color="auto" w:fill="auto"/>
            <w:noWrap/>
            <w:vAlign w:val="center"/>
            <w:hideMark/>
          </w:tcPr>
          <w:p w14:paraId="6E49291C"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36.998</w:t>
            </w:r>
          </w:p>
        </w:tc>
        <w:tc>
          <w:tcPr>
            <w:tcW w:w="786" w:type="dxa"/>
            <w:tcBorders>
              <w:top w:val="single" w:sz="4" w:space="0" w:color="auto"/>
              <w:left w:val="nil"/>
              <w:bottom w:val="double" w:sz="6" w:space="0" w:color="auto"/>
              <w:right w:val="single" w:sz="4" w:space="0" w:color="auto"/>
            </w:tcBorders>
            <w:shd w:val="clear" w:color="auto" w:fill="auto"/>
            <w:noWrap/>
            <w:vAlign w:val="center"/>
            <w:hideMark/>
          </w:tcPr>
          <w:p w14:paraId="07BB0C71"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0.398</w:t>
            </w:r>
          </w:p>
        </w:tc>
        <w:tc>
          <w:tcPr>
            <w:tcW w:w="871" w:type="dxa"/>
            <w:tcBorders>
              <w:top w:val="single" w:sz="4" w:space="0" w:color="auto"/>
              <w:left w:val="nil"/>
              <w:bottom w:val="double" w:sz="6" w:space="0" w:color="auto"/>
              <w:right w:val="double" w:sz="6" w:space="0" w:color="auto"/>
            </w:tcBorders>
            <w:shd w:val="clear" w:color="auto" w:fill="auto"/>
            <w:noWrap/>
            <w:vAlign w:val="center"/>
            <w:hideMark/>
          </w:tcPr>
          <w:p w14:paraId="2DD8F96F"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32.721</w:t>
            </w:r>
          </w:p>
        </w:tc>
        <w:tc>
          <w:tcPr>
            <w:tcW w:w="863" w:type="dxa"/>
            <w:tcBorders>
              <w:top w:val="single" w:sz="4" w:space="0" w:color="auto"/>
              <w:left w:val="nil"/>
              <w:bottom w:val="double" w:sz="6" w:space="0" w:color="auto"/>
              <w:right w:val="single" w:sz="4" w:space="0" w:color="auto"/>
            </w:tcBorders>
            <w:shd w:val="clear" w:color="auto" w:fill="auto"/>
            <w:noWrap/>
            <w:vAlign w:val="center"/>
            <w:hideMark/>
          </w:tcPr>
          <w:p w14:paraId="77E5DB82"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0.535</w:t>
            </w:r>
          </w:p>
        </w:tc>
        <w:tc>
          <w:tcPr>
            <w:tcW w:w="990" w:type="dxa"/>
            <w:tcBorders>
              <w:top w:val="single" w:sz="4" w:space="0" w:color="auto"/>
              <w:left w:val="nil"/>
              <w:bottom w:val="double" w:sz="6" w:space="0" w:color="auto"/>
              <w:right w:val="double" w:sz="6" w:space="0" w:color="auto"/>
            </w:tcBorders>
            <w:shd w:val="clear" w:color="auto" w:fill="auto"/>
            <w:noWrap/>
            <w:vAlign w:val="center"/>
            <w:hideMark/>
          </w:tcPr>
          <w:p w14:paraId="4822EF4E"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17.758</w:t>
            </w:r>
          </w:p>
        </w:tc>
        <w:tc>
          <w:tcPr>
            <w:tcW w:w="924" w:type="dxa"/>
            <w:tcBorders>
              <w:top w:val="single" w:sz="4" w:space="0" w:color="auto"/>
              <w:left w:val="nil"/>
              <w:bottom w:val="double" w:sz="6" w:space="0" w:color="auto"/>
              <w:right w:val="single" w:sz="4" w:space="0" w:color="auto"/>
            </w:tcBorders>
            <w:shd w:val="clear" w:color="auto" w:fill="auto"/>
            <w:noWrap/>
            <w:vAlign w:val="center"/>
            <w:hideMark/>
          </w:tcPr>
          <w:p w14:paraId="7F435E85"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0.017</w:t>
            </w:r>
          </w:p>
        </w:tc>
        <w:tc>
          <w:tcPr>
            <w:tcW w:w="905" w:type="dxa"/>
            <w:tcBorders>
              <w:top w:val="single" w:sz="4" w:space="0" w:color="auto"/>
              <w:left w:val="nil"/>
              <w:bottom w:val="double" w:sz="6" w:space="0" w:color="auto"/>
              <w:right w:val="double" w:sz="6" w:space="0" w:color="auto"/>
            </w:tcBorders>
            <w:shd w:val="clear" w:color="auto" w:fill="auto"/>
            <w:noWrap/>
            <w:vAlign w:val="center"/>
            <w:hideMark/>
          </w:tcPr>
          <w:p w14:paraId="568E16B1"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0.444</w:t>
            </w:r>
          </w:p>
        </w:tc>
      </w:tr>
      <w:tr w:rsidR="00625049" w:rsidRPr="00625049" w14:paraId="3C3B12AE" w14:textId="77777777" w:rsidTr="00165042">
        <w:trPr>
          <w:trHeight w:val="20"/>
          <w:jc w:val="center"/>
        </w:trPr>
        <w:tc>
          <w:tcPr>
            <w:tcW w:w="2988" w:type="dxa"/>
            <w:tcBorders>
              <w:top w:val="nil"/>
              <w:left w:val="double" w:sz="6" w:space="0" w:color="auto"/>
              <w:bottom w:val="single" w:sz="4" w:space="0" w:color="auto"/>
              <w:right w:val="double" w:sz="6" w:space="0" w:color="auto"/>
            </w:tcBorders>
            <w:shd w:val="clear" w:color="auto" w:fill="auto"/>
            <w:noWrap/>
            <w:vAlign w:val="center"/>
            <w:hideMark/>
          </w:tcPr>
          <w:p w14:paraId="16BDD922" w14:textId="77777777" w:rsidR="00625049" w:rsidRPr="00625049" w:rsidRDefault="00625049" w:rsidP="00625049">
            <w:pPr>
              <w:spacing w:after="0"/>
              <w:ind w:firstLine="0"/>
              <w:jc w:val="left"/>
              <w:rPr>
                <w:rFonts w:eastAsia="Times New Roman"/>
                <w:b/>
                <w:bCs/>
                <w:color w:val="000000"/>
                <w:sz w:val="20"/>
                <w:szCs w:val="20"/>
              </w:rPr>
            </w:pPr>
            <w:r w:rsidRPr="00625049">
              <w:rPr>
                <w:rFonts w:eastAsia="Times New Roman"/>
                <w:b/>
                <w:bCs/>
                <w:color w:val="000000"/>
                <w:sz w:val="20"/>
                <w:szCs w:val="20"/>
              </w:rPr>
              <w:t>Employment</w:t>
            </w:r>
          </w:p>
        </w:tc>
        <w:tc>
          <w:tcPr>
            <w:tcW w:w="833" w:type="dxa"/>
            <w:tcBorders>
              <w:top w:val="nil"/>
              <w:left w:val="nil"/>
              <w:bottom w:val="single" w:sz="4" w:space="0" w:color="auto"/>
              <w:right w:val="single" w:sz="4" w:space="0" w:color="auto"/>
            </w:tcBorders>
            <w:shd w:val="clear" w:color="auto" w:fill="auto"/>
            <w:noWrap/>
            <w:vAlign w:val="center"/>
            <w:hideMark/>
          </w:tcPr>
          <w:p w14:paraId="0C3FA015"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 </w:t>
            </w:r>
          </w:p>
        </w:tc>
        <w:tc>
          <w:tcPr>
            <w:tcW w:w="925" w:type="dxa"/>
            <w:tcBorders>
              <w:top w:val="nil"/>
              <w:left w:val="nil"/>
              <w:bottom w:val="single" w:sz="4" w:space="0" w:color="auto"/>
              <w:right w:val="double" w:sz="6" w:space="0" w:color="auto"/>
            </w:tcBorders>
            <w:shd w:val="clear" w:color="auto" w:fill="auto"/>
            <w:noWrap/>
            <w:vAlign w:val="center"/>
            <w:hideMark/>
          </w:tcPr>
          <w:p w14:paraId="7FECF7FA"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 </w:t>
            </w:r>
          </w:p>
        </w:tc>
        <w:tc>
          <w:tcPr>
            <w:tcW w:w="786" w:type="dxa"/>
            <w:tcBorders>
              <w:top w:val="nil"/>
              <w:left w:val="nil"/>
              <w:bottom w:val="single" w:sz="4" w:space="0" w:color="auto"/>
              <w:right w:val="single" w:sz="4" w:space="0" w:color="auto"/>
            </w:tcBorders>
            <w:shd w:val="clear" w:color="auto" w:fill="auto"/>
            <w:noWrap/>
            <w:vAlign w:val="center"/>
            <w:hideMark/>
          </w:tcPr>
          <w:p w14:paraId="40F2346C"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 </w:t>
            </w:r>
          </w:p>
        </w:tc>
        <w:tc>
          <w:tcPr>
            <w:tcW w:w="871" w:type="dxa"/>
            <w:tcBorders>
              <w:top w:val="nil"/>
              <w:left w:val="nil"/>
              <w:bottom w:val="single" w:sz="4" w:space="0" w:color="auto"/>
              <w:right w:val="double" w:sz="6" w:space="0" w:color="auto"/>
            </w:tcBorders>
            <w:shd w:val="clear" w:color="auto" w:fill="auto"/>
            <w:noWrap/>
            <w:vAlign w:val="center"/>
            <w:hideMark/>
          </w:tcPr>
          <w:p w14:paraId="26D1DDCA"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 </w:t>
            </w:r>
          </w:p>
        </w:tc>
        <w:tc>
          <w:tcPr>
            <w:tcW w:w="863" w:type="dxa"/>
            <w:tcBorders>
              <w:top w:val="nil"/>
              <w:left w:val="nil"/>
              <w:bottom w:val="single" w:sz="4" w:space="0" w:color="auto"/>
              <w:right w:val="single" w:sz="4" w:space="0" w:color="auto"/>
            </w:tcBorders>
            <w:shd w:val="clear" w:color="auto" w:fill="auto"/>
            <w:noWrap/>
            <w:vAlign w:val="center"/>
            <w:hideMark/>
          </w:tcPr>
          <w:p w14:paraId="5C365DF5"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 </w:t>
            </w:r>
          </w:p>
        </w:tc>
        <w:tc>
          <w:tcPr>
            <w:tcW w:w="990" w:type="dxa"/>
            <w:tcBorders>
              <w:top w:val="nil"/>
              <w:left w:val="nil"/>
              <w:bottom w:val="single" w:sz="4" w:space="0" w:color="auto"/>
              <w:right w:val="double" w:sz="6" w:space="0" w:color="auto"/>
            </w:tcBorders>
            <w:shd w:val="clear" w:color="auto" w:fill="auto"/>
            <w:noWrap/>
            <w:vAlign w:val="center"/>
            <w:hideMark/>
          </w:tcPr>
          <w:p w14:paraId="2CBF5619"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 </w:t>
            </w:r>
          </w:p>
        </w:tc>
        <w:tc>
          <w:tcPr>
            <w:tcW w:w="924" w:type="dxa"/>
            <w:tcBorders>
              <w:top w:val="nil"/>
              <w:left w:val="nil"/>
              <w:bottom w:val="single" w:sz="4" w:space="0" w:color="auto"/>
              <w:right w:val="single" w:sz="4" w:space="0" w:color="auto"/>
            </w:tcBorders>
            <w:shd w:val="clear" w:color="auto" w:fill="auto"/>
            <w:noWrap/>
            <w:vAlign w:val="center"/>
            <w:hideMark/>
          </w:tcPr>
          <w:p w14:paraId="4356CB9B"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 </w:t>
            </w:r>
          </w:p>
        </w:tc>
        <w:tc>
          <w:tcPr>
            <w:tcW w:w="905" w:type="dxa"/>
            <w:tcBorders>
              <w:top w:val="nil"/>
              <w:left w:val="nil"/>
              <w:bottom w:val="single" w:sz="4" w:space="0" w:color="auto"/>
              <w:right w:val="double" w:sz="6" w:space="0" w:color="auto"/>
            </w:tcBorders>
            <w:shd w:val="clear" w:color="auto" w:fill="auto"/>
            <w:noWrap/>
            <w:vAlign w:val="center"/>
            <w:hideMark/>
          </w:tcPr>
          <w:p w14:paraId="73CDE0EE"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 </w:t>
            </w:r>
          </w:p>
        </w:tc>
      </w:tr>
      <w:tr w:rsidR="00625049" w:rsidRPr="00625049" w14:paraId="27B8AC8B" w14:textId="77777777" w:rsidTr="00165042">
        <w:trPr>
          <w:trHeight w:val="20"/>
          <w:jc w:val="center"/>
        </w:trPr>
        <w:tc>
          <w:tcPr>
            <w:tcW w:w="2988" w:type="dxa"/>
            <w:tcBorders>
              <w:top w:val="nil"/>
              <w:left w:val="double" w:sz="6" w:space="0" w:color="auto"/>
              <w:bottom w:val="single" w:sz="4" w:space="0" w:color="auto"/>
              <w:right w:val="double" w:sz="6" w:space="0" w:color="auto"/>
            </w:tcBorders>
            <w:shd w:val="clear" w:color="auto" w:fill="auto"/>
            <w:noWrap/>
            <w:vAlign w:val="center"/>
            <w:hideMark/>
          </w:tcPr>
          <w:p w14:paraId="41487FBE" w14:textId="77777777" w:rsidR="00625049" w:rsidRPr="00625049" w:rsidRDefault="00625049" w:rsidP="00625049">
            <w:pPr>
              <w:spacing w:after="0"/>
              <w:ind w:firstLine="0"/>
              <w:jc w:val="left"/>
              <w:rPr>
                <w:rFonts w:eastAsia="Times New Roman"/>
                <w:color w:val="000000"/>
                <w:sz w:val="20"/>
                <w:szCs w:val="20"/>
              </w:rPr>
            </w:pPr>
            <w:r w:rsidRPr="00625049">
              <w:rPr>
                <w:rFonts w:eastAsia="Times New Roman"/>
                <w:color w:val="000000"/>
                <w:sz w:val="20"/>
                <w:szCs w:val="20"/>
              </w:rPr>
              <w:t xml:space="preserve">   Unemployed (base)</w:t>
            </w:r>
          </w:p>
        </w:tc>
        <w:tc>
          <w:tcPr>
            <w:tcW w:w="833" w:type="dxa"/>
            <w:tcBorders>
              <w:top w:val="nil"/>
              <w:left w:val="nil"/>
              <w:bottom w:val="single" w:sz="4" w:space="0" w:color="auto"/>
              <w:right w:val="single" w:sz="4" w:space="0" w:color="auto"/>
            </w:tcBorders>
            <w:shd w:val="clear" w:color="auto" w:fill="auto"/>
            <w:noWrap/>
            <w:vAlign w:val="center"/>
            <w:hideMark/>
          </w:tcPr>
          <w:p w14:paraId="15597065"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 </w:t>
            </w:r>
          </w:p>
        </w:tc>
        <w:tc>
          <w:tcPr>
            <w:tcW w:w="925" w:type="dxa"/>
            <w:tcBorders>
              <w:top w:val="nil"/>
              <w:left w:val="nil"/>
              <w:bottom w:val="single" w:sz="4" w:space="0" w:color="auto"/>
              <w:right w:val="double" w:sz="6" w:space="0" w:color="auto"/>
            </w:tcBorders>
            <w:shd w:val="clear" w:color="auto" w:fill="auto"/>
            <w:noWrap/>
            <w:vAlign w:val="center"/>
            <w:hideMark/>
          </w:tcPr>
          <w:p w14:paraId="23399A66"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 </w:t>
            </w:r>
          </w:p>
        </w:tc>
        <w:tc>
          <w:tcPr>
            <w:tcW w:w="786" w:type="dxa"/>
            <w:tcBorders>
              <w:top w:val="nil"/>
              <w:left w:val="nil"/>
              <w:bottom w:val="single" w:sz="4" w:space="0" w:color="auto"/>
              <w:right w:val="single" w:sz="4" w:space="0" w:color="auto"/>
            </w:tcBorders>
            <w:shd w:val="clear" w:color="auto" w:fill="auto"/>
            <w:noWrap/>
            <w:vAlign w:val="center"/>
            <w:hideMark/>
          </w:tcPr>
          <w:p w14:paraId="73E50E5F"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 </w:t>
            </w:r>
          </w:p>
        </w:tc>
        <w:tc>
          <w:tcPr>
            <w:tcW w:w="871" w:type="dxa"/>
            <w:tcBorders>
              <w:top w:val="nil"/>
              <w:left w:val="nil"/>
              <w:bottom w:val="single" w:sz="4" w:space="0" w:color="auto"/>
              <w:right w:val="double" w:sz="6" w:space="0" w:color="auto"/>
            </w:tcBorders>
            <w:shd w:val="clear" w:color="auto" w:fill="auto"/>
            <w:noWrap/>
            <w:vAlign w:val="center"/>
            <w:hideMark/>
          </w:tcPr>
          <w:p w14:paraId="3565521E"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 </w:t>
            </w:r>
          </w:p>
        </w:tc>
        <w:tc>
          <w:tcPr>
            <w:tcW w:w="863" w:type="dxa"/>
            <w:tcBorders>
              <w:top w:val="nil"/>
              <w:left w:val="nil"/>
              <w:bottom w:val="single" w:sz="4" w:space="0" w:color="auto"/>
              <w:right w:val="single" w:sz="4" w:space="0" w:color="auto"/>
            </w:tcBorders>
            <w:shd w:val="clear" w:color="auto" w:fill="auto"/>
            <w:noWrap/>
            <w:vAlign w:val="center"/>
            <w:hideMark/>
          </w:tcPr>
          <w:p w14:paraId="0B0C0944"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 </w:t>
            </w:r>
          </w:p>
        </w:tc>
        <w:tc>
          <w:tcPr>
            <w:tcW w:w="990" w:type="dxa"/>
            <w:tcBorders>
              <w:top w:val="nil"/>
              <w:left w:val="nil"/>
              <w:bottom w:val="single" w:sz="4" w:space="0" w:color="auto"/>
              <w:right w:val="double" w:sz="6" w:space="0" w:color="auto"/>
            </w:tcBorders>
            <w:shd w:val="clear" w:color="auto" w:fill="auto"/>
            <w:noWrap/>
            <w:vAlign w:val="center"/>
            <w:hideMark/>
          </w:tcPr>
          <w:p w14:paraId="67CC2A4D"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 </w:t>
            </w:r>
          </w:p>
        </w:tc>
        <w:tc>
          <w:tcPr>
            <w:tcW w:w="924" w:type="dxa"/>
            <w:tcBorders>
              <w:top w:val="nil"/>
              <w:left w:val="nil"/>
              <w:bottom w:val="single" w:sz="4" w:space="0" w:color="auto"/>
              <w:right w:val="single" w:sz="4" w:space="0" w:color="auto"/>
            </w:tcBorders>
            <w:shd w:val="clear" w:color="auto" w:fill="auto"/>
            <w:noWrap/>
            <w:vAlign w:val="center"/>
            <w:hideMark/>
          </w:tcPr>
          <w:p w14:paraId="1E7FB972"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0.010</w:t>
            </w:r>
          </w:p>
        </w:tc>
        <w:tc>
          <w:tcPr>
            <w:tcW w:w="905" w:type="dxa"/>
            <w:tcBorders>
              <w:top w:val="nil"/>
              <w:left w:val="nil"/>
              <w:bottom w:val="single" w:sz="4" w:space="0" w:color="auto"/>
              <w:right w:val="double" w:sz="6" w:space="0" w:color="auto"/>
            </w:tcBorders>
            <w:shd w:val="clear" w:color="auto" w:fill="auto"/>
            <w:noWrap/>
            <w:vAlign w:val="center"/>
            <w:hideMark/>
          </w:tcPr>
          <w:p w14:paraId="24FA0C5A"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0.390</w:t>
            </w:r>
          </w:p>
        </w:tc>
      </w:tr>
      <w:tr w:rsidR="00625049" w:rsidRPr="00625049" w14:paraId="74386C75" w14:textId="77777777" w:rsidTr="00165042">
        <w:trPr>
          <w:trHeight w:val="20"/>
          <w:jc w:val="center"/>
        </w:trPr>
        <w:tc>
          <w:tcPr>
            <w:tcW w:w="2988" w:type="dxa"/>
            <w:tcBorders>
              <w:top w:val="nil"/>
              <w:left w:val="double" w:sz="6" w:space="0" w:color="auto"/>
              <w:bottom w:val="single" w:sz="4" w:space="0" w:color="auto"/>
              <w:right w:val="double" w:sz="6" w:space="0" w:color="auto"/>
            </w:tcBorders>
            <w:shd w:val="clear" w:color="auto" w:fill="auto"/>
            <w:noWrap/>
            <w:vAlign w:val="center"/>
            <w:hideMark/>
          </w:tcPr>
          <w:p w14:paraId="72C00DC9" w14:textId="77777777" w:rsidR="00625049" w:rsidRPr="00625049" w:rsidRDefault="00625049" w:rsidP="00625049">
            <w:pPr>
              <w:spacing w:after="0"/>
              <w:ind w:firstLine="0"/>
              <w:jc w:val="left"/>
              <w:rPr>
                <w:rFonts w:eastAsia="Times New Roman"/>
                <w:color w:val="000000"/>
                <w:sz w:val="20"/>
                <w:szCs w:val="20"/>
              </w:rPr>
            </w:pPr>
            <w:r w:rsidRPr="00625049">
              <w:rPr>
                <w:rFonts w:eastAsia="Times New Roman"/>
                <w:color w:val="000000"/>
                <w:sz w:val="20"/>
                <w:szCs w:val="20"/>
              </w:rPr>
              <w:t xml:space="preserve">   Employed part time</w:t>
            </w:r>
          </w:p>
        </w:tc>
        <w:tc>
          <w:tcPr>
            <w:tcW w:w="833" w:type="dxa"/>
            <w:tcBorders>
              <w:top w:val="nil"/>
              <w:left w:val="nil"/>
              <w:bottom w:val="single" w:sz="4" w:space="0" w:color="auto"/>
              <w:right w:val="single" w:sz="4" w:space="0" w:color="auto"/>
            </w:tcBorders>
            <w:shd w:val="clear" w:color="auto" w:fill="auto"/>
            <w:noWrap/>
            <w:vAlign w:val="center"/>
            <w:hideMark/>
          </w:tcPr>
          <w:p w14:paraId="4CDDC830"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 </w:t>
            </w:r>
          </w:p>
        </w:tc>
        <w:tc>
          <w:tcPr>
            <w:tcW w:w="925" w:type="dxa"/>
            <w:tcBorders>
              <w:top w:val="nil"/>
              <w:left w:val="nil"/>
              <w:bottom w:val="single" w:sz="4" w:space="0" w:color="auto"/>
              <w:right w:val="double" w:sz="6" w:space="0" w:color="auto"/>
            </w:tcBorders>
            <w:shd w:val="clear" w:color="auto" w:fill="auto"/>
            <w:noWrap/>
            <w:vAlign w:val="center"/>
            <w:hideMark/>
          </w:tcPr>
          <w:p w14:paraId="7355B020"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 </w:t>
            </w:r>
          </w:p>
        </w:tc>
        <w:tc>
          <w:tcPr>
            <w:tcW w:w="786" w:type="dxa"/>
            <w:tcBorders>
              <w:top w:val="nil"/>
              <w:left w:val="nil"/>
              <w:bottom w:val="single" w:sz="4" w:space="0" w:color="auto"/>
              <w:right w:val="single" w:sz="4" w:space="0" w:color="auto"/>
            </w:tcBorders>
            <w:shd w:val="clear" w:color="auto" w:fill="auto"/>
            <w:noWrap/>
            <w:vAlign w:val="center"/>
            <w:hideMark/>
          </w:tcPr>
          <w:p w14:paraId="3952C1E6"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0.234</w:t>
            </w:r>
          </w:p>
        </w:tc>
        <w:tc>
          <w:tcPr>
            <w:tcW w:w="871" w:type="dxa"/>
            <w:tcBorders>
              <w:top w:val="nil"/>
              <w:left w:val="nil"/>
              <w:bottom w:val="single" w:sz="4" w:space="0" w:color="auto"/>
              <w:right w:val="double" w:sz="6" w:space="0" w:color="auto"/>
            </w:tcBorders>
            <w:shd w:val="clear" w:color="auto" w:fill="auto"/>
            <w:noWrap/>
            <w:vAlign w:val="center"/>
            <w:hideMark/>
          </w:tcPr>
          <w:p w14:paraId="36E55B37"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17.607</w:t>
            </w:r>
          </w:p>
        </w:tc>
        <w:tc>
          <w:tcPr>
            <w:tcW w:w="863" w:type="dxa"/>
            <w:tcBorders>
              <w:top w:val="nil"/>
              <w:left w:val="nil"/>
              <w:bottom w:val="single" w:sz="4" w:space="0" w:color="auto"/>
              <w:right w:val="single" w:sz="4" w:space="0" w:color="auto"/>
            </w:tcBorders>
            <w:shd w:val="clear" w:color="auto" w:fill="auto"/>
            <w:noWrap/>
            <w:vAlign w:val="center"/>
            <w:hideMark/>
          </w:tcPr>
          <w:p w14:paraId="17E90B79"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0.244</w:t>
            </w:r>
          </w:p>
        </w:tc>
        <w:tc>
          <w:tcPr>
            <w:tcW w:w="990" w:type="dxa"/>
            <w:tcBorders>
              <w:top w:val="nil"/>
              <w:left w:val="nil"/>
              <w:bottom w:val="single" w:sz="4" w:space="0" w:color="auto"/>
              <w:right w:val="double" w:sz="6" w:space="0" w:color="auto"/>
            </w:tcBorders>
            <w:shd w:val="clear" w:color="auto" w:fill="auto"/>
            <w:noWrap/>
            <w:vAlign w:val="center"/>
            <w:hideMark/>
          </w:tcPr>
          <w:p w14:paraId="6269E72A"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8.008</w:t>
            </w:r>
          </w:p>
        </w:tc>
        <w:tc>
          <w:tcPr>
            <w:tcW w:w="924" w:type="dxa"/>
            <w:tcBorders>
              <w:top w:val="nil"/>
              <w:left w:val="nil"/>
              <w:bottom w:val="single" w:sz="4" w:space="0" w:color="auto"/>
              <w:right w:val="single" w:sz="4" w:space="0" w:color="auto"/>
            </w:tcBorders>
            <w:shd w:val="clear" w:color="auto" w:fill="auto"/>
            <w:noWrap/>
            <w:vAlign w:val="center"/>
            <w:hideMark/>
          </w:tcPr>
          <w:p w14:paraId="13D617AB"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0.244</w:t>
            </w:r>
          </w:p>
        </w:tc>
        <w:tc>
          <w:tcPr>
            <w:tcW w:w="905" w:type="dxa"/>
            <w:tcBorders>
              <w:top w:val="nil"/>
              <w:left w:val="nil"/>
              <w:bottom w:val="single" w:sz="4" w:space="0" w:color="auto"/>
              <w:right w:val="double" w:sz="6" w:space="0" w:color="auto"/>
            </w:tcBorders>
            <w:shd w:val="clear" w:color="auto" w:fill="auto"/>
            <w:noWrap/>
            <w:vAlign w:val="center"/>
            <w:hideMark/>
          </w:tcPr>
          <w:p w14:paraId="1756B3B2"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8.008</w:t>
            </w:r>
          </w:p>
        </w:tc>
      </w:tr>
      <w:tr w:rsidR="00625049" w:rsidRPr="00625049" w14:paraId="02A759D7" w14:textId="77777777" w:rsidTr="00165042">
        <w:trPr>
          <w:trHeight w:val="20"/>
          <w:jc w:val="center"/>
        </w:trPr>
        <w:tc>
          <w:tcPr>
            <w:tcW w:w="2988" w:type="dxa"/>
            <w:tcBorders>
              <w:top w:val="nil"/>
              <w:left w:val="double" w:sz="6" w:space="0" w:color="auto"/>
              <w:bottom w:val="single" w:sz="4" w:space="0" w:color="auto"/>
              <w:right w:val="double" w:sz="6" w:space="0" w:color="auto"/>
            </w:tcBorders>
            <w:shd w:val="clear" w:color="auto" w:fill="auto"/>
            <w:noWrap/>
            <w:vAlign w:val="center"/>
            <w:hideMark/>
          </w:tcPr>
          <w:p w14:paraId="33A5B892" w14:textId="77777777" w:rsidR="00625049" w:rsidRPr="00625049" w:rsidRDefault="00625049" w:rsidP="00625049">
            <w:pPr>
              <w:spacing w:after="0"/>
              <w:ind w:firstLine="0"/>
              <w:jc w:val="left"/>
              <w:rPr>
                <w:rFonts w:eastAsia="Times New Roman"/>
                <w:color w:val="000000"/>
                <w:sz w:val="20"/>
                <w:szCs w:val="20"/>
              </w:rPr>
            </w:pPr>
            <w:r w:rsidRPr="00625049">
              <w:rPr>
                <w:rFonts w:eastAsia="Times New Roman"/>
                <w:color w:val="000000"/>
                <w:sz w:val="20"/>
                <w:szCs w:val="20"/>
              </w:rPr>
              <w:t xml:space="preserve">   Employed full time</w:t>
            </w:r>
          </w:p>
        </w:tc>
        <w:tc>
          <w:tcPr>
            <w:tcW w:w="833" w:type="dxa"/>
            <w:tcBorders>
              <w:top w:val="nil"/>
              <w:left w:val="nil"/>
              <w:bottom w:val="single" w:sz="4" w:space="0" w:color="auto"/>
              <w:right w:val="single" w:sz="4" w:space="0" w:color="auto"/>
            </w:tcBorders>
            <w:shd w:val="clear" w:color="auto" w:fill="auto"/>
            <w:noWrap/>
            <w:vAlign w:val="center"/>
            <w:hideMark/>
          </w:tcPr>
          <w:p w14:paraId="77A67A73"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0.379</w:t>
            </w:r>
          </w:p>
        </w:tc>
        <w:tc>
          <w:tcPr>
            <w:tcW w:w="925" w:type="dxa"/>
            <w:tcBorders>
              <w:top w:val="nil"/>
              <w:left w:val="nil"/>
              <w:bottom w:val="single" w:sz="4" w:space="0" w:color="auto"/>
              <w:right w:val="double" w:sz="6" w:space="0" w:color="auto"/>
            </w:tcBorders>
            <w:shd w:val="clear" w:color="auto" w:fill="auto"/>
            <w:noWrap/>
            <w:vAlign w:val="center"/>
            <w:hideMark/>
          </w:tcPr>
          <w:p w14:paraId="48B47D92"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31.133</w:t>
            </w:r>
          </w:p>
        </w:tc>
        <w:tc>
          <w:tcPr>
            <w:tcW w:w="786" w:type="dxa"/>
            <w:tcBorders>
              <w:top w:val="nil"/>
              <w:left w:val="nil"/>
              <w:bottom w:val="single" w:sz="4" w:space="0" w:color="auto"/>
              <w:right w:val="single" w:sz="4" w:space="0" w:color="auto"/>
            </w:tcBorders>
            <w:shd w:val="clear" w:color="auto" w:fill="auto"/>
            <w:noWrap/>
            <w:vAlign w:val="center"/>
            <w:hideMark/>
          </w:tcPr>
          <w:p w14:paraId="4F42242D"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0.405</w:t>
            </w:r>
          </w:p>
        </w:tc>
        <w:tc>
          <w:tcPr>
            <w:tcW w:w="871" w:type="dxa"/>
            <w:tcBorders>
              <w:top w:val="nil"/>
              <w:left w:val="nil"/>
              <w:bottom w:val="single" w:sz="4" w:space="0" w:color="auto"/>
              <w:right w:val="double" w:sz="6" w:space="0" w:color="auto"/>
            </w:tcBorders>
            <w:shd w:val="clear" w:color="auto" w:fill="auto"/>
            <w:noWrap/>
            <w:vAlign w:val="center"/>
            <w:hideMark/>
          </w:tcPr>
          <w:p w14:paraId="3772BFE5"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74.920</w:t>
            </w:r>
          </w:p>
        </w:tc>
        <w:tc>
          <w:tcPr>
            <w:tcW w:w="863" w:type="dxa"/>
            <w:tcBorders>
              <w:top w:val="nil"/>
              <w:left w:val="nil"/>
              <w:bottom w:val="single" w:sz="4" w:space="0" w:color="auto"/>
              <w:right w:val="single" w:sz="4" w:space="0" w:color="auto"/>
            </w:tcBorders>
            <w:shd w:val="clear" w:color="auto" w:fill="auto"/>
            <w:noWrap/>
            <w:vAlign w:val="center"/>
            <w:hideMark/>
          </w:tcPr>
          <w:p w14:paraId="48387D19"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0.415</w:t>
            </w:r>
          </w:p>
        </w:tc>
        <w:tc>
          <w:tcPr>
            <w:tcW w:w="990" w:type="dxa"/>
            <w:tcBorders>
              <w:top w:val="nil"/>
              <w:left w:val="nil"/>
              <w:bottom w:val="single" w:sz="4" w:space="0" w:color="auto"/>
              <w:right w:val="double" w:sz="6" w:space="0" w:color="auto"/>
            </w:tcBorders>
            <w:shd w:val="clear" w:color="auto" w:fill="auto"/>
            <w:noWrap/>
            <w:vAlign w:val="center"/>
            <w:hideMark/>
          </w:tcPr>
          <w:p w14:paraId="3A23F7CE"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15.559</w:t>
            </w:r>
          </w:p>
        </w:tc>
        <w:tc>
          <w:tcPr>
            <w:tcW w:w="924" w:type="dxa"/>
            <w:tcBorders>
              <w:top w:val="nil"/>
              <w:left w:val="nil"/>
              <w:bottom w:val="single" w:sz="4" w:space="0" w:color="auto"/>
              <w:right w:val="single" w:sz="4" w:space="0" w:color="auto"/>
            </w:tcBorders>
            <w:shd w:val="clear" w:color="auto" w:fill="auto"/>
            <w:noWrap/>
            <w:vAlign w:val="center"/>
            <w:hideMark/>
          </w:tcPr>
          <w:p w14:paraId="10E67DDE"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0.036</w:t>
            </w:r>
          </w:p>
        </w:tc>
        <w:tc>
          <w:tcPr>
            <w:tcW w:w="905" w:type="dxa"/>
            <w:tcBorders>
              <w:top w:val="nil"/>
              <w:left w:val="nil"/>
              <w:bottom w:val="single" w:sz="4" w:space="0" w:color="auto"/>
              <w:right w:val="double" w:sz="6" w:space="0" w:color="auto"/>
            </w:tcBorders>
            <w:shd w:val="clear" w:color="auto" w:fill="auto"/>
            <w:noWrap/>
            <w:vAlign w:val="center"/>
            <w:hideMark/>
          </w:tcPr>
          <w:p w14:paraId="757773EE"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0.972</w:t>
            </w:r>
          </w:p>
        </w:tc>
      </w:tr>
      <w:tr w:rsidR="00625049" w:rsidRPr="00625049" w14:paraId="5D07C359" w14:textId="77777777" w:rsidTr="00165042">
        <w:trPr>
          <w:trHeight w:val="20"/>
          <w:jc w:val="center"/>
        </w:trPr>
        <w:tc>
          <w:tcPr>
            <w:tcW w:w="2988" w:type="dxa"/>
            <w:tcBorders>
              <w:top w:val="nil"/>
              <w:left w:val="double" w:sz="6" w:space="0" w:color="auto"/>
              <w:bottom w:val="double" w:sz="4" w:space="0" w:color="auto"/>
              <w:right w:val="double" w:sz="6" w:space="0" w:color="auto"/>
            </w:tcBorders>
            <w:shd w:val="clear" w:color="auto" w:fill="auto"/>
            <w:noWrap/>
            <w:vAlign w:val="center"/>
            <w:hideMark/>
          </w:tcPr>
          <w:p w14:paraId="692E41A1" w14:textId="77777777" w:rsidR="00625049" w:rsidRPr="00625049" w:rsidRDefault="00625049" w:rsidP="00625049">
            <w:pPr>
              <w:spacing w:after="0"/>
              <w:ind w:firstLine="0"/>
              <w:jc w:val="left"/>
              <w:rPr>
                <w:rFonts w:eastAsia="Times New Roman"/>
                <w:color w:val="000000"/>
                <w:sz w:val="20"/>
                <w:szCs w:val="20"/>
              </w:rPr>
            </w:pPr>
            <w:r w:rsidRPr="00625049">
              <w:rPr>
                <w:rFonts w:eastAsia="Times New Roman"/>
                <w:color w:val="000000"/>
                <w:sz w:val="20"/>
                <w:szCs w:val="20"/>
              </w:rPr>
              <w:t xml:space="preserve">   Self-employed</w:t>
            </w:r>
          </w:p>
        </w:tc>
        <w:tc>
          <w:tcPr>
            <w:tcW w:w="833" w:type="dxa"/>
            <w:tcBorders>
              <w:top w:val="nil"/>
              <w:left w:val="nil"/>
              <w:bottom w:val="double" w:sz="4" w:space="0" w:color="auto"/>
              <w:right w:val="single" w:sz="4" w:space="0" w:color="auto"/>
            </w:tcBorders>
            <w:shd w:val="clear" w:color="auto" w:fill="auto"/>
            <w:noWrap/>
            <w:vAlign w:val="center"/>
            <w:hideMark/>
          </w:tcPr>
          <w:p w14:paraId="2E98A3FE"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0.379</w:t>
            </w:r>
          </w:p>
        </w:tc>
        <w:tc>
          <w:tcPr>
            <w:tcW w:w="925" w:type="dxa"/>
            <w:tcBorders>
              <w:top w:val="nil"/>
              <w:left w:val="nil"/>
              <w:bottom w:val="double" w:sz="4" w:space="0" w:color="auto"/>
              <w:right w:val="double" w:sz="6" w:space="0" w:color="auto"/>
            </w:tcBorders>
            <w:shd w:val="clear" w:color="auto" w:fill="auto"/>
            <w:noWrap/>
            <w:vAlign w:val="center"/>
            <w:hideMark/>
          </w:tcPr>
          <w:p w14:paraId="30D82456"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31.133</w:t>
            </w:r>
          </w:p>
        </w:tc>
        <w:tc>
          <w:tcPr>
            <w:tcW w:w="786" w:type="dxa"/>
            <w:tcBorders>
              <w:top w:val="nil"/>
              <w:left w:val="nil"/>
              <w:bottom w:val="double" w:sz="4" w:space="0" w:color="auto"/>
              <w:right w:val="single" w:sz="4" w:space="0" w:color="auto"/>
            </w:tcBorders>
            <w:shd w:val="clear" w:color="auto" w:fill="auto"/>
            <w:noWrap/>
            <w:vAlign w:val="center"/>
            <w:hideMark/>
          </w:tcPr>
          <w:p w14:paraId="6EF6C1A5"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0.405</w:t>
            </w:r>
          </w:p>
        </w:tc>
        <w:tc>
          <w:tcPr>
            <w:tcW w:w="871" w:type="dxa"/>
            <w:tcBorders>
              <w:top w:val="nil"/>
              <w:left w:val="nil"/>
              <w:bottom w:val="double" w:sz="4" w:space="0" w:color="auto"/>
              <w:right w:val="double" w:sz="6" w:space="0" w:color="auto"/>
            </w:tcBorders>
            <w:shd w:val="clear" w:color="auto" w:fill="auto"/>
            <w:noWrap/>
            <w:vAlign w:val="center"/>
            <w:hideMark/>
          </w:tcPr>
          <w:p w14:paraId="0B6FBEF2"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74.920</w:t>
            </w:r>
          </w:p>
        </w:tc>
        <w:tc>
          <w:tcPr>
            <w:tcW w:w="863" w:type="dxa"/>
            <w:tcBorders>
              <w:top w:val="nil"/>
              <w:left w:val="nil"/>
              <w:bottom w:val="double" w:sz="4" w:space="0" w:color="auto"/>
              <w:right w:val="single" w:sz="4" w:space="0" w:color="auto"/>
            </w:tcBorders>
            <w:shd w:val="clear" w:color="auto" w:fill="auto"/>
            <w:noWrap/>
            <w:vAlign w:val="center"/>
            <w:hideMark/>
          </w:tcPr>
          <w:p w14:paraId="58FD01E2"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0.415</w:t>
            </w:r>
          </w:p>
        </w:tc>
        <w:tc>
          <w:tcPr>
            <w:tcW w:w="990" w:type="dxa"/>
            <w:tcBorders>
              <w:top w:val="nil"/>
              <w:left w:val="nil"/>
              <w:bottom w:val="double" w:sz="4" w:space="0" w:color="auto"/>
              <w:right w:val="double" w:sz="6" w:space="0" w:color="auto"/>
            </w:tcBorders>
            <w:shd w:val="clear" w:color="auto" w:fill="auto"/>
            <w:noWrap/>
            <w:vAlign w:val="center"/>
            <w:hideMark/>
          </w:tcPr>
          <w:p w14:paraId="7D3E2F3D"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15.559</w:t>
            </w:r>
          </w:p>
        </w:tc>
        <w:tc>
          <w:tcPr>
            <w:tcW w:w="924" w:type="dxa"/>
            <w:tcBorders>
              <w:top w:val="nil"/>
              <w:left w:val="nil"/>
              <w:bottom w:val="double" w:sz="4" w:space="0" w:color="auto"/>
              <w:right w:val="single" w:sz="4" w:space="0" w:color="auto"/>
            </w:tcBorders>
            <w:shd w:val="clear" w:color="auto" w:fill="auto"/>
            <w:noWrap/>
            <w:vAlign w:val="center"/>
            <w:hideMark/>
          </w:tcPr>
          <w:p w14:paraId="55A725D4"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0.036</w:t>
            </w:r>
          </w:p>
        </w:tc>
        <w:tc>
          <w:tcPr>
            <w:tcW w:w="905" w:type="dxa"/>
            <w:tcBorders>
              <w:top w:val="nil"/>
              <w:left w:val="nil"/>
              <w:bottom w:val="double" w:sz="4" w:space="0" w:color="auto"/>
              <w:right w:val="double" w:sz="6" w:space="0" w:color="auto"/>
            </w:tcBorders>
            <w:shd w:val="clear" w:color="auto" w:fill="auto"/>
            <w:noWrap/>
            <w:vAlign w:val="center"/>
            <w:hideMark/>
          </w:tcPr>
          <w:p w14:paraId="08631ACC" w14:textId="77777777" w:rsidR="00625049" w:rsidRPr="00625049" w:rsidRDefault="00625049" w:rsidP="00625049">
            <w:pPr>
              <w:spacing w:after="0"/>
              <w:ind w:firstLine="0"/>
              <w:jc w:val="right"/>
              <w:rPr>
                <w:rFonts w:eastAsia="Times New Roman"/>
                <w:color w:val="000000"/>
                <w:sz w:val="20"/>
                <w:szCs w:val="20"/>
              </w:rPr>
            </w:pPr>
            <w:r w:rsidRPr="00625049">
              <w:rPr>
                <w:rFonts w:eastAsia="Times New Roman"/>
                <w:color w:val="000000"/>
                <w:sz w:val="20"/>
                <w:szCs w:val="20"/>
              </w:rPr>
              <w:t>0.972</w:t>
            </w:r>
          </w:p>
        </w:tc>
      </w:tr>
    </w:tbl>
    <w:p w14:paraId="0BB1507C" w14:textId="743431BC" w:rsidR="00625049" w:rsidRDefault="00625049" w:rsidP="00453931"/>
    <w:p w14:paraId="1164FB4D" w14:textId="77777777" w:rsidR="00625049" w:rsidRPr="00625049" w:rsidRDefault="00625049" w:rsidP="00453931"/>
    <w:p w14:paraId="76C740A3" w14:textId="22DF19FD" w:rsidR="00371DFD" w:rsidRDefault="00371DFD">
      <w:pPr>
        <w:spacing w:after="200" w:line="276" w:lineRule="auto"/>
        <w:ind w:firstLine="0"/>
        <w:jc w:val="left"/>
      </w:pPr>
      <w:r>
        <w:br w:type="page"/>
      </w:r>
    </w:p>
    <w:p w14:paraId="4FB079A4" w14:textId="77777777" w:rsidR="007F06C1" w:rsidRDefault="007F06C1" w:rsidP="00165042">
      <w:pPr>
        <w:spacing w:after="0"/>
      </w:pPr>
      <w:r w:rsidRPr="00674CBD">
        <w:lastRenderedPageBreak/>
        <w:t xml:space="preserve">Gender did not play a significant role in influencing frequency of ride-hailing. This could be an indication that </w:t>
      </w:r>
      <w:r>
        <w:t xml:space="preserve">ride-hailing companies in the Puget Sound region have successfully addressed </w:t>
      </w:r>
      <w:r w:rsidRPr="00674CBD">
        <w:t xml:space="preserve">concerns about personal safety for women (for example, a service called </w:t>
      </w:r>
      <w:proofErr w:type="spellStart"/>
      <w:r w:rsidRPr="00674CBD">
        <w:t>Safr</w:t>
      </w:r>
      <w:proofErr w:type="spellEnd"/>
      <w:r w:rsidRPr="00674CBD">
        <w:t xml:space="preserve"> caters exclusively to female riders and employs exclusively female drivers).</w:t>
      </w:r>
    </w:p>
    <w:p w14:paraId="403760EB" w14:textId="66291A3A" w:rsidR="007F06C1" w:rsidRPr="00A34FC7" w:rsidRDefault="007F06C1" w:rsidP="00165042">
      <w:pPr>
        <w:spacing w:after="0"/>
      </w:pPr>
      <w:r w:rsidRPr="00C6712A">
        <w:t xml:space="preserve">A number of studies have </w:t>
      </w:r>
      <w:r w:rsidRPr="00564669">
        <w:t xml:space="preserve">previously documented that older age groups are associated with a lower level of ride-hailing </w:t>
      </w:r>
      <w:r w:rsidRPr="00A34FC7">
        <w:t>use (</w:t>
      </w:r>
      <w:r w:rsidRPr="00A34FC7">
        <w:rPr>
          <w:i/>
          <w:iCs/>
        </w:rPr>
        <w:t>e.g.</w:t>
      </w:r>
      <w:r w:rsidRPr="00A34FC7">
        <w:t xml:space="preserve">, </w:t>
      </w:r>
      <w:r w:rsidR="0066399E" w:rsidRPr="00A34FC7">
        <w:rPr>
          <w:i/>
        </w:rPr>
        <w:t>1</w:t>
      </w:r>
      <w:r w:rsidR="0066399E" w:rsidRPr="00A34FC7">
        <w:t xml:space="preserve">, </w:t>
      </w:r>
      <w:r w:rsidR="0066399E" w:rsidRPr="00A34FC7">
        <w:rPr>
          <w:i/>
        </w:rPr>
        <w:t>6</w:t>
      </w:r>
      <w:r w:rsidR="0066399E" w:rsidRPr="00A34FC7">
        <w:t xml:space="preserve">, </w:t>
      </w:r>
      <w:r w:rsidR="0066399E" w:rsidRPr="00A34FC7">
        <w:rPr>
          <w:i/>
        </w:rPr>
        <w:t>14</w:t>
      </w:r>
      <w:r w:rsidRPr="00A34FC7">
        <w:t>). But our findings show a reduction in age-related differe</w:t>
      </w:r>
      <w:r w:rsidR="0067426E" w:rsidRPr="00A34FC7">
        <w:t xml:space="preserve">nces over time. It is also interesting </w:t>
      </w:r>
      <w:r w:rsidRPr="00A34FC7">
        <w:t>that the isolated effect</w:t>
      </w:r>
      <w:r w:rsidR="0067426E" w:rsidRPr="00A34FC7">
        <w:t xml:space="preserve"> of the passage of time (as observed</w:t>
      </w:r>
      <w:r w:rsidRPr="00A34FC7">
        <w:t xml:space="preserve"> in the column labeled “Within </w:t>
      </w:r>
      <w:proofErr w:type="spellStart"/>
      <w:r w:rsidRPr="00A34FC7">
        <w:t>Demogs</w:t>
      </w:r>
      <w:proofErr w:type="spellEnd"/>
      <w:r w:rsidRPr="00A34FC7">
        <w:t xml:space="preserve"> - From 2015 to 2017” in </w:t>
      </w:r>
      <w:r w:rsidRPr="00A34FC7">
        <w:fldChar w:fldCharType="begin"/>
      </w:r>
      <w:r w:rsidRPr="00A34FC7">
        <w:instrText xml:space="preserve"> REF _Ref33010462 \h </w:instrText>
      </w:r>
      <w:r w:rsidR="00A34FC7">
        <w:instrText xml:space="preserve"> \* MERGEFORMAT </w:instrText>
      </w:r>
      <w:r w:rsidRPr="00A34FC7">
        <w:fldChar w:fldCharType="separate"/>
      </w:r>
      <w:r w:rsidR="00453931" w:rsidRPr="00A34FC7">
        <w:t xml:space="preserve">Table </w:t>
      </w:r>
      <w:r w:rsidR="00453931" w:rsidRPr="00A34FC7">
        <w:rPr>
          <w:noProof/>
        </w:rPr>
        <w:t>4</w:t>
      </w:r>
      <w:r w:rsidRPr="00A34FC7">
        <w:fldChar w:fldCharType="end"/>
      </w:r>
      <w:r w:rsidRPr="00A34FC7">
        <w:t xml:space="preserve">) is strongest for the oldest demographic segment of 65+ years old. This shows that older individuals are increasingly embracing technology and discovering the convenience afforded by ride-hailing services. They may also be responding to marketing efforts of ride-hailing companies. The results here suggest that the effects of age softening when it comes to adoption and use of ride-hailing use over time. </w:t>
      </w:r>
    </w:p>
    <w:p w14:paraId="580D7939" w14:textId="18BDFCD8" w:rsidR="0027118B" w:rsidRPr="00564669" w:rsidRDefault="007F06C1" w:rsidP="00165042">
      <w:pPr>
        <w:spacing w:after="0"/>
      </w:pPr>
      <w:r w:rsidRPr="00A34FC7">
        <w:t>Smartphone ownership is significantly associated with ride-hailing adoption and usage. In 2015, individuals who owned a smartphone made, on average, 0.812 more trips per month than those who did not. That effect intensified in 2017, as the difference between those with and without smartphones increased by about 7% (to 0.868 trips per month). As expected, individuals without smartphones were the least affected group (in terms of ride-hailing use per month). As ride-hailing services can only be accessed through the use of a smartphone app, it is to be expected that the segment of the population without smartphones would show virtually no change in ride-hailing use (</w:t>
      </w:r>
      <w:r w:rsidRPr="00A34FC7">
        <w:rPr>
          <w:i/>
        </w:rPr>
        <w:t>i.e.</w:t>
      </w:r>
      <w:r w:rsidRPr="00A34FC7">
        <w:t>, they are unlikely to use the services at all in both time points). However, the segment that owns smartphones shows an increase in ride-hailing trip frequency of 0.050 trips per month (on average). As smartphone ownership increases, ride-hailing service use is also likely to increase. The Pew Research Center (</w:t>
      </w:r>
      <w:r w:rsidR="004573FB" w:rsidRPr="00A34FC7">
        <w:rPr>
          <w:i/>
        </w:rPr>
        <w:t>40</w:t>
      </w:r>
      <w:r w:rsidRPr="00A34FC7">
        <w:t>) reports that, between 2015 and 2017, smartphone market penetration increased from 67% to 72%</w:t>
      </w:r>
      <w:r w:rsidRPr="00564669">
        <w:t xml:space="preserve"> in the United States. </w:t>
      </w:r>
    </w:p>
    <w:p w14:paraId="227DA9E9" w14:textId="77777777" w:rsidR="00212706" w:rsidRPr="00564669" w:rsidRDefault="00212706" w:rsidP="00165042">
      <w:pPr>
        <w:spacing w:after="0"/>
      </w:pPr>
      <w:r w:rsidRPr="00564669">
        <w:t xml:space="preserve">The effect of driver’s license holding is rather interesting. Although one might expect those without a driver’s license to use ride-hailing services to a greater degree, the opposite is true. Individuals who have a driver’s license (when compared to those who do not) make about 0.2 more ride-hailing trips per month in both 2015 and 2017. </w:t>
      </w:r>
    </w:p>
    <w:p w14:paraId="6AEC9DCA" w14:textId="0EC631A4" w:rsidR="00212706" w:rsidRPr="00564669" w:rsidRDefault="00212706" w:rsidP="00165042">
      <w:pPr>
        <w:spacing w:after="0"/>
      </w:pPr>
      <w:r w:rsidRPr="00564669">
        <w:t xml:space="preserve">Consistent with expectations, individuals in zero-car households use ride-hailing services more frequently than individuals in households with vehicles. The difference in ride-hailing use between households with and without vehicles intensifies over time. In 2015, individuals in households with two or more vehicles (compared to zero-vehicle households) made an average of 1.366 fewer ride-hailing trips per month. In 2017, this difference increased modestly to 1.410 trips per month. In </w:t>
      </w:r>
      <w:r w:rsidR="0067426E" w:rsidRPr="00564669">
        <w:t xml:space="preserve">the last column, it can be observed </w:t>
      </w:r>
      <w:r w:rsidRPr="00564669">
        <w:t xml:space="preserve">that all car-ownership levels increased ride-hailing use, but the increase is greatest for zero-vehicle households and smallest for one-vehicle households. </w:t>
      </w:r>
    </w:p>
    <w:p w14:paraId="5878BD32" w14:textId="6A2A3E66" w:rsidR="00212706" w:rsidRDefault="00212706" w:rsidP="00165042">
      <w:pPr>
        <w:spacing w:after="0"/>
      </w:pPr>
      <w:r w:rsidRPr="00A34FC7">
        <w:t xml:space="preserve">Another variable – arguably the most important one from an equity and environmental justice standpoint – worthy of discussion is household income. Similar to </w:t>
      </w:r>
      <w:proofErr w:type="spellStart"/>
      <w:r w:rsidRPr="00A34FC7">
        <w:t>Kooti</w:t>
      </w:r>
      <w:proofErr w:type="spellEnd"/>
      <w:r w:rsidRPr="00A34FC7">
        <w:t xml:space="preserve"> </w:t>
      </w:r>
      <w:r w:rsidRPr="00A34FC7">
        <w:rPr>
          <w:i/>
        </w:rPr>
        <w:t>et al</w:t>
      </w:r>
      <w:r w:rsidRPr="00A34FC7">
        <w:t>. (</w:t>
      </w:r>
      <w:r w:rsidR="0066399E" w:rsidRPr="00A34FC7">
        <w:rPr>
          <w:i/>
        </w:rPr>
        <w:t>14</w:t>
      </w:r>
      <w:r w:rsidRPr="00A34FC7">
        <w:t xml:space="preserve">), Dias </w:t>
      </w:r>
      <w:r w:rsidRPr="00A34FC7">
        <w:rPr>
          <w:i/>
        </w:rPr>
        <w:t>et al</w:t>
      </w:r>
      <w:r w:rsidRPr="00A34FC7">
        <w:t>. (</w:t>
      </w:r>
      <w:r w:rsidR="0066399E" w:rsidRPr="00A34FC7">
        <w:rPr>
          <w:i/>
        </w:rPr>
        <w:t>1</w:t>
      </w:r>
      <w:r w:rsidRPr="00A34FC7">
        <w:t xml:space="preserve">), and Alemi </w:t>
      </w:r>
      <w:r w:rsidRPr="00A34FC7">
        <w:rPr>
          <w:i/>
        </w:rPr>
        <w:t>et al</w:t>
      </w:r>
      <w:r w:rsidRPr="00A34FC7">
        <w:t>. (</w:t>
      </w:r>
      <w:r w:rsidR="0066399E" w:rsidRPr="00A34FC7">
        <w:rPr>
          <w:i/>
        </w:rPr>
        <w:t>10</w:t>
      </w:r>
      <w:r w:rsidRPr="00A34FC7">
        <w:t>),</w:t>
      </w:r>
      <w:r w:rsidRPr="00564669">
        <w:t xml:space="preserve"> it is found that higher income levels are associated with higher frequencies of ride-hailing in both 2015 </w:t>
      </w:r>
      <w:r w:rsidRPr="00674CBD">
        <w:t>and 2017. However, the differences between income groups have faded significantly (although some differences clearly remain). In 2015, individuals in households with income $50k-$99k reported, on average, 0.</w:t>
      </w:r>
      <w:r>
        <w:t>168</w:t>
      </w:r>
      <w:r w:rsidRPr="00674CBD">
        <w:t xml:space="preserve"> more ride-hailing trips per month than those in households making under $50k. The corresponding value for the highest income group ($100k or more) is 0.</w:t>
      </w:r>
      <w:r>
        <w:t>747</w:t>
      </w:r>
      <w:r w:rsidRPr="00674CBD">
        <w:t xml:space="preserve">. In 2017, the differences reduced quite dramatically; those in the household income segment of $50k-$99k showed almost the same level of usage as the </w:t>
      </w:r>
      <w:r w:rsidRPr="00674CBD">
        <w:lastRenderedPageBreak/>
        <w:t>lowest income group (under $50k), while the highest income group ($100k or over) showed a more modest 0.4</w:t>
      </w:r>
      <w:r>
        <w:t>75</w:t>
      </w:r>
      <w:r w:rsidRPr="00674CBD">
        <w:t xml:space="preserve"> more ride-hailing trips per month. An examination of the last column shows the trend very clearly; those in the base category of $50k or lower showed the greatest increase in ride-hailing use from 2015 to 2017. Those in the highest income group did not show any appreciable change in ride-hailing frequency, while those in the middle income group had a modest increase in ride-hailing use. Overall, the differences among income groups appear to be dampening over time. There seems to be a “democratization” of ride-hailing across income segments over time. From a transportation equity point of view, this is a positive development as it demonstrates that the new mode of service is increasingly accessible to those in lower economic strata of society. </w:t>
      </w:r>
    </w:p>
    <w:p w14:paraId="49EC0D76" w14:textId="25A39AE9" w:rsidR="00212706" w:rsidRPr="00674CBD" w:rsidRDefault="00212706" w:rsidP="00165042">
      <w:pPr>
        <w:spacing w:after="0"/>
      </w:pPr>
      <w:r w:rsidRPr="00674CBD">
        <w:t>A dampening of differen</w:t>
      </w:r>
      <w:r w:rsidR="0067426E">
        <w:t xml:space="preserve">ces in ride-hailing use is exhibited </w:t>
      </w:r>
      <w:r w:rsidRPr="00674CBD">
        <w:t>in the effects of household size (structure). In 2015, individuals in multi-person households made about 0.61</w:t>
      </w:r>
      <w:r>
        <w:t>0</w:t>
      </w:r>
      <w:r w:rsidRPr="00674CBD">
        <w:t xml:space="preserve"> fewer trips per month than singe persons. In 2017, that difference reduced to a mere 0.0</w:t>
      </w:r>
      <w:r>
        <w:t>49</w:t>
      </w:r>
      <w:r w:rsidRPr="00674CBD">
        <w:t xml:space="preserve"> trips per month. The last column shows that individuals in multi-person households increased their ride-hailing use between 2015 and 2017, while single persons actually reduced their use of the mode. It appears that single persons may be more amenable to trying other alternative modes (including micro-mobility options, such as e-scooters), whereas individuals in multi-person households may gravitate more towards ride-hailing services as an alternative to driving their own vehicle. It appears that ride-hailing companies have been able to successfully narrow the gap in ride-hailing behaviors between single- and multi-person households.</w:t>
      </w:r>
    </w:p>
    <w:p w14:paraId="76D0909F" w14:textId="193ECB24" w:rsidR="00212706" w:rsidRDefault="00611A35" w:rsidP="00165042">
      <w:pPr>
        <w:spacing w:after="0"/>
      </w:pPr>
      <w:r w:rsidRPr="00674CBD">
        <w:t>Higher education levels</w:t>
      </w:r>
      <w:r w:rsidR="00222626" w:rsidRPr="00674CBD">
        <w:t xml:space="preserve"> are associated with</w:t>
      </w:r>
      <w:r w:rsidR="00C250FA" w:rsidRPr="00674CBD">
        <w:t xml:space="preserve"> </w:t>
      </w:r>
      <w:r w:rsidR="00222626" w:rsidRPr="00674CBD">
        <w:t>higher ride-hailing</w:t>
      </w:r>
      <w:r w:rsidR="0079041A" w:rsidRPr="00674CBD">
        <w:t xml:space="preserve"> trip</w:t>
      </w:r>
      <w:r w:rsidR="00222626" w:rsidRPr="00674CBD">
        <w:t xml:space="preserve"> rates in both years, </w:t>
      </w:r>
      <w:r w:rsidR="001240DA" w:rsidRPr="00674CBD">
        <w:t xml:space="preserve">and the </w:t>
      </w:r>
      <w:r w:rsidR="00222626" w:rsidRPr="00674CBD">
        <w:t xml:space="preserve">passage of time from 2015 to 2017 </w:t>
      </w:r>
      <w:r w:rsidR="001240DA" w:rsidRPr="00674CBD">
        <w:t>seem</w:t>
      </w:r>
      <w:r w:rsidR="000E0BC5">
        <w:t>s</w:t>
      </w:r>
      <w:r w:rsidR="001240DA" w:rsidRPr="00674CBD">
        <w:t xml:space="preserve"> to have dampened the difference between those who have a college degree and those who do not</w:t>
      </w:r>
      <w:r w:rsidR="00222626" w:rsidRPr="00674CBD">
        <w:t xml:space="preserve">. </w:t>
      </w:r>
      <w:r w:rsidR="001240DA" w:rsidRPr="00674CBD">
        <w:t>T</w:t>
      </w:r>
      <w:r w:rsidR="00222626" w:rsidRPr="00674CBD">
        <w:t xml:space="preserve">he difference between people with and without bachelor’s degrees in </w:t>
      </w:r>
      <w:r w:rsidR="000E0BC5" w:rsidRPr="00674CBD">
        <w:t>201</w:t>
      </w:r>
      <w:r w:rsidR="000E0BC5">
        <w:t>7</w:t>
      </w:r>
      <w:r w:rsidR="000E0BC5" w:rsidRPr="00674CBD">
        <w:t xml:space="preserve"> </w:t>
      </w:r>
      <w:r w:rsidR="00222626" w:rsidRPr="00674CBD">
        <w:t xml:space="preserve">is </w:t>
      </w:r>
      <w:r w:rsidR="000E0BC5" w:rsidRPr="000E0BC5">
        <w:t>approximately 27% smaller than what it was in</w:t>
      </w:r>
      <w:r w:rsidR="000E0BC5">
        <w:t xml:space="preserve"> 2015</w:t>
      </w:r>
      <w:r w:rsidR="00222626" w:rsidRPr="00674CBD">
        <w:t>.</w:t>
      </w:r>
      <w:r w:rsidR="00D36E59" w:rsidRPr="00674CBD">
        <w:t xml:space="preserve">  </w:t>
      </w:r>
      <w:r w:rsidR="00FA4D63" w:rsidRPr="00FA4D63">
        <w:t>Furthermore, individuals without bachelors seem to have increased their frequency</w:t>
      </w:r>
      <w:r w:rsidR="00FA4D63">
        <w:t xml:space="preserve"> of </w:t>
      </w:r>
      <w:r w:rsidR="00FA4D63" w:rsidRPr="00FA4D63">
        <w:t>ride-hailing over time while their more</w:t>
      </w:r>
      <w:r w:rsidR="00FA4D63">
        <w:t xml:space="preserve"> educated counterparts have not. </w:t>
      </w:r>
    </w:p>
    <w:p w14:paraId="0A862B4E" w14:textId="7188756F" w:rsidR="007557FC" w:rsidRPr="00674CBD" w:rsidRDefault="007557FC" w:rsidP="00165042">
      <w:pPr>
        <w:spacing w:after="0"/>
      </w:pPr>
      <w:r w:rsidRPr="00674CBD">
        <w:t>Employment</w:t>
      </w:r>
      <w:r w:rsidR="00412C26" w:rsidRPr="00674CBD">
        <w:t xml:space="preserve"> is </w:t>
      </w:r>
      <w:r w:rsidR="00942485" w:rsidRPr="00674CBD">
        <w:t xml:space="preserve">another </w:t>
      </w:r>
      <w:r w:rsidR="00412C26" w:rsidRPr="00674CBD">
        <w:t xml:space="preserve">variable </w:t>
      </w:r>
      <w:r w:rsidR="001240DA" w:rsidRPr="00674CBD">
        <w:t xml:space="preserve">where differences appear to have </w:t>
      </w:r>
      <w:r w:rsidR="00942485" w:rsidRPr="00674CBD">
        <w:t xml:space="preserve">softened </w:t>
      </w:r>
      <w:r w:rsidR="00412C26" w:rsidRPr="00674CBD">
        <w:t>over time</w:t>
      </w:r>
      <w:r w:rsidR="001240DA" w:rsidRPr="00674CBD">
        <w:t>. I</w:t>
      </w:r>
      <w:r w:rsidR="00EB42F7" w:rsidRPr="00674CBD">
        <w:t xml:space="preserve">n 2015, </w:t>
      </w:r>
      <w:r w:rsidR="00412C26" w:rsidRPr="00674CBD">
        <w:t>employed individuals (full time</w:t>
      </w:r>
      <w:r w:rsidR="00A53465" w:rsidRPr="00674CBD">
        <w:t xml:space="preserve"> </w:t>
      </w:r>
      <w:r w:rsidR="00412C26" w:rsidRPr="00674CBD">
        <w:t xml:space="preserve">and self-employed) </w:t>
      </w:r>
      <w:r w:rsidR="00304A76" w:rsidRPr="00674CBD">
        <w:t>engage</w:t>
      </w:r>
      <w:r w:rsidR="00E8132B" w:rsidRPr="00674CBD">
        <w:t>d</w:t>
      </w:r>
      <w:r w:rsidR="00304A76" w:rsidRPr="00674CBD">
        <w:t xml:space="preserve"> in about 0.</w:t>
      </w:r>
      <w:r w:rsidR="00FA4D63">
        <w:t>379</w:t>
      </w:r>
      <w:r w:rsidR="00FA4D63" w:rsidRPr="00674CBD">
        <w:t xml:space="preserve"> </w:t>
      </w:r>
      <w:r w:rsidR="00304A76" w:rsidRPr="00674CBD">
        <w:t xml:space="preserve">more ride-hailing trips per month than unemployed </w:t>
      </w:r>
      <w:r w:rsidR="001240DA" w:rsidRPr="00674CBD">
        <w:t xml:space="preserve">or part-time employed </w:t>
      </w:r>
      <w:r w:rsidR="00304A76" w:rsidRPr="00674CBD">
        <w:t>individuals</w:t>
      </w:r>
      <w:r w:rsidR="001240DA" w:rsidRPr="00674CBD">
        <w:t>.</w:t>
      </w:r>
      <w:r w:rsidR="00D36E59" w:rsidRPr="00674CBD">
        <w:t xml:space="preserve"> </w:t>
      </w:r>
      <w:r w:rsidR="001240DA" w:rsidRPr="00674CBD">
        <w:t>In</w:t>
      </w:r>
      <w:r w:rsidR="00304A76" w:rsidRPr="00674CBD">
        <w:t xml:space="preserve"> 2017</w:t>
      </w:r>
      <w:r w:rsidR="00EB42F7" w:rsidRPr="00674CBD">
        <w:t>, th</w:t>
      </w:r>
      <w:r w:rsidR="001240DA" w:rsidRPr="00674CBD">
        <w:t xml:space="preserve">is </w:t>
      </w:r>
      <w:r w:rsidR="00304A76" w:rsidRPr="00674CBD">
        <w:t>difference</w:t>
      </w:r>
      <w:r w:rsidR="008C4CC3" w:rsidRPr="00674CBD">
        <w:t xml:space="preserve"> increased</w:t>
      </w:r>
      <w:r w:rsidR="00304A76" w:rsidRPr="00674CBD">
        <w:t xml:space="preserve"> to about </w:t>
      </w:r>
      <w:r w:rsidR="008C4CC3" w:rsidRPr="00674CBD">
        <w:t>0.</w:t>
      </w:r>
      <w:r w:rsidR="00942485" w:rsidRPr="00674CBD">
        <w:t>4</w:t>
      </w:r>
      <w:r w:rsidR="00FA4D63">
        <w:t>05</w:t>
      </w:r>
      <w:r w:rsidR="00942485" w:rsidRPr="00674CBD">
        <w:t xml:space="preserve"> </w:t>
      </w:r>
      <w:r w:rsidR="005F758F" w:rsidRPr="00674CBD">
        <w:t xml:space="preserve">for full-time employed individuals </w:t>
      </w:r>
      <w:r w:rsidR="00F76305" w:rsidRPr="00674CBD">
        <w:t>relative to unemployed individuals</w:t>
      </w:r>
      <w:r w:rsidR="00304A76" w:rsidRPr="00674CBD">
        <w:t>.</w:t>
      </w:r>
      <w:r w:rsidR="00055BD2" w:rsidRPr="00674CBD">
        <w:t xml:space="preserve"> </w:t>
      </w:r>
      <w:r w:rsidR="005F758F" w:rsidRPr="00674CBD">
        <w:t>However, part-time employed individuals increased usage in transitioning from 2015 to 2017, thus narrowing the gap between full- and part-time employed individuals with respect to ride-hailing usage.</w:t>
      </w:r>
      <w:r w:rsidR="00D36E59" w:rsidRPr="00674CBD">
        <w:t xml:space="preserve"> </w:t>
      </w:r>
      <w:r w:rsidR="005F758F" w:rsidRPr="00674CBD">
        <w:t xml:space="preserve">Unemployed individuals, on the other hand, do not show an appreciable uptake in ride-hailing frequency; unemployed individuals have lower incomes, are likely to be older and retired, and may not have the need to use ride-hailing services when compared with their employed counterparts. </w:t>
      </w:r>
      <w:r w:rsidR="00BD6DED" w:rsidRPr="00674CBD">
        <w:t>I</w:t>
      </w:r>
      <w:r w:rsidR="005F758F" w:rsidRPr="00674CBD">
        <w:t xml:space="preserve">t is likely that part-time employed individuals find ride-hailing services to be convenient, reliable, efficient, and affordable for their short work trips (an independent analysis of </w:t>
      </w:r>
      <w:r w:rsidR="00DD0549" w:rsidRPr="00674CBD">
        <w:t xml:space="preserve">the </w:t>
      </w:r>
      <w:r w:rsidR="005F758F" w:rsidRPr="00674CBD">
        <w:t xml:space="preserve">2017 National Household Travel Survey data shows that part-time employed individuals have commute distances considerably shorter than full-time employed individuals, rendering ride-hailing trip costs more affordable) when compared with other alternative modes such as public transit and non-motorized modes. Employees may also share information about these services among one another. </w:t>
      </w:r>
    </w:p>
    <w:p w14:paraId="0AF6EAE0" w14:textId="6593177F" w:rsidR="00A71BCD" w:rsidRPr="00674CBD" w:rsidRDefault="00A71BCD" w:rsidP="00165042">
      <w:pPr>
        <w:spacing w:after="0"/>
      </w:pPr>
    </w:p>
    <w:p w14:paraId="78D89C4F" w14:textId="13CEBEBA" w:rsidR="007F25DC" w:rsidRPr="00C6712A" w:rsidRDefault="00D36E59" w:rsidP="00165042">
      <w:pPr>
        <w:pStyle w:val="Heading1"/>
        <w:spacing w:before="0" w:after="0"/>
      </w:pPr>
      <w:bookmarkStart w:id="12" w:name="_Ref6045544"/>
      <w:r w:rsidRPr="00C6712A">
        <w:t>Conclusions</w:t>
      </w:r>
      <w:bookmarkEnd w:id="12"/>
    </w:p>
    <w:p w14:paraId="2D834495" w14:textId="78AF1920" w:rsidR="00E96FCB" w:rsidRPr="00C6712A" w:rsidRDefault="00293987" w:rsidP="00165042">
      <w:pPr>
        <w:spacing w:after="0"/>
        <w:ind w:firstLine="0"/>
      </w:pPr>
      <w:r w:rsidRPr="00C6712A">
        <w:t xml:space="preserve">This paper presents an investigation of the evolution of </w:t>
      </w:r>
      <w:r w:rsidR="00A34EC8" w:rsidRPr="00C6712A">
        <w:t xml:space="preserve">ride-hailing </w:t>
      </w:r>
      <w:r w:rsidR="00487329" w:rsidRPr="00C6712A">
        <w:t>service</w:t>
      </w:r>
      <w:r w:rsidRPr="00C6712A">
        <w:t xml:space="preserve"> adoption and usage</w:t>
      </w:r>
      <w:r w:rsidR="00A34EC8" w:rsidRPr="00C6712A">
        <w:t xml:space="preserve"> over time. </w:t>
      </w:r>
      <w:r w:rsidRPr="00C6712A">
        <w:t>T</w:t>
      </w:r>
      <w:r w:rsidR="00AD43E1" w:rsidRPr="00C6712A">
        <w:t xml:space="preserve">he main sources of changes in users’ adoption of ride-hailing services </w:t>
      </w:r>
      <w:r w:rsidRPr="00C6712A">
        <w:t xml:space="preserve">are conceptualized as falling </w:t>
      </w:r>
      <w:r w:rsidR="00AD43E1" w:rsidRPr="00C6712A">
        <w:t>into three categories: (a) economic</w:t>
      </w:r>
      <w:r w:rsidRPr="00C6712A">
        <w:t xml:space="preserve"> and technological</w:t>
      </w:r>
      <w:r w:rsidR="00AD43E1" w:rsidRPr="00C6712A">
        <w:t xml:space="preserve"> changes (</w:t>
      </w:r>
      <w:r w:rsidR="00AD43E1" w:rsidRPr="00C6712A">
        <w:rPr>
          <w:i/>
        </w:rPr>
        <w:t>i.e.</w:t>
      </w:r>
      <w:r w:rsidRPr="00C6712A">
        <w:rPr>
          <w:iCs/>
        </w:rPr>
        <w:t>,</w:t>
      </w:r>
      <w:r w:rsidR="00AD43E1" w:rsidRPr="00C6712A">
        <w:t xml:space="preserve"> </w:t>
      </w:r>
      <w:r w:rsidR="00AD43E1" w:rsidRPr="00C6712A">
        <w:lastRenderedPageBreak/>
        <w:t xml:space="preserve">changes in living expenses, inflation, true purchasing power, </w:t>
      </w:r>
      <w:r w:rsidRPr="00C6712A">
        <w:t>and technology</w:t>
      </w:r>
      <w:r w:rsidR="00AD43E1" w:rsidRPr="00C6712A">
        <w:t xml:space="preserve">), (b) changes in </w:t>
      </w:r>
      <w:r w:rsidR="003C51BD" w:rsidRPr="00C6712A">
        <w:t xml:space="preserve">socio-economic and demographic </w:t>
      </w:r>
      <w:r w:rsidR="00AD43E1" w:rsidRPr="00C6712A">
        <w:t>characteristics, and (c) the “true” change in the willingness to adopt and use ride-hailing services as they become more commonplace and well-established.</w:t>
      </w:r>
      <w:r w:rsidR="00A34EC8" w:rsidRPr="00C6712A">
        <w:t xml:space="preserve"> </w:t>
      </w:r>
      <w:r w:rsidR="00E96FCB" w:rsidRPr="00C6712A">
        <w:t>Although there is a plethora of prior research dedicated to understanding ride-hailing usage within a cross-sectional survey context (at one point in time), there is virtually no prior research that examines evolutionary dynamics in ride-hailing use.</w:t>
      </w:r>
      <w:r w:rsidR="00D36E59" w:rsidRPr="00C6712A">
        <w:t xml:space="preserve"> </w:t>
      </w:r>
      <w:r w:rsidR="00E96FCB" w:rsidRPr="00C6712A">
        <w:t>Understanding evolutionary dynamics is critical to developing forecasts of ride-hailing use over time, that can in turn be used to inform long-range transportation investments and planning processes.</w:t>
      </w:r>
      <w:r w:rsidR="00D36E59" w:rsidRPr="00C6712A">
        <w:t xml:space="preserve"> </w:t>
      </w:r>
    </w:p>
    <w:p w14:paraId="27C61FFC" w14:textId="33ADA0EB" w:rsidR="007F25DC" w:rsidRPr="00C6712A" w:rsidRDefault="00E96FCB" w:rsidP="00165042">
      <w:pPr>
        <w:spacing w:after="0"/>
      </w:pPr>
      <w:r w:rsidRPr="00C6712A">
        <w:t>This issue is tackled in this study</w:t>
      </w:r>
      <w:r w:rsidR="00E8176E" w:rsidRPr="00C6712A">
        <w:t xml:space="preserve"> using </w:t>
      </w:r>
      <w:r w:rsidR="00A66B5B" w:rsidRPr="00C6712A">
        <w:t xml:space="preserve">pooled </w:t>
      </w:r>
      <w:r w:rsidR="00E8176E" w:rsidRPr="00C6712A">
        <w:t>data from the Puget Sound Regional Council</w:t>
      </w:r>
      <w:r w:rsidR="00190D59" w:rsidRPr="00C6712A">
        <w:t>’</w:t>
      </w:r>
      <w:r w:rsidR="00E8176E" w:rsidRPr="00C6712A">
        <w:t xml:space="preserve">s 2015 and 2017 </w:t>
      </w:r>
      <w:r w:rsidR="0054160C" w:rsidRPr="00C6712A">
        <w:t>t</w:t>
      </w:r>
      <w:r w:rsidR="00E8176E" w:rsidRPr="00C6712A">
        <w:t xml:space="preserve">ravel </w:t>
      </w:r>
      <w:r w:rsidR="0054160C" w:rsidRPr="00C6712A">
        <w:t>s</w:t>
      </w:r>
      <w:r w:rsidR="00E8176E" w:rsidRPr="00C6712A">
        <w:t>urveys</w:t>
      </w:r>
      <w:r w:rsidRPr="00C6712A">
        <w:t>. The study</w:t>
      </w:r>
      <w:r w:rsidR="00631A43" w:rsidRPr="00C6712A">
        <w:t xml:space="preserve"> </w:t>
      </w:r>
      <w:r w:rsidRPr="00C6712A">
        <w:t>employs</w:t>
      </w:r>
      <w:r w:rsidR="00631A43" w:rsidRPr="00C6712A">
        <w:t xml:space="preserve"> a novel </w:t>
      </w:r>
      <w:r w:rsidR="00D06B5A" w:rsidRPr="00C6712A">
        <w:t>application of the</w:t>
      </w:r>
      <w:r w:rsidR="00D3210C" w:rsidRPr="00C6712A">
        <w:t xml:space="preserve"> traditional</w:t>
      </w:r>
      <w:r w:rsidR="00D06B5A" w:rsidRPr="00C6712A">
        <w:t xml:space="preserve"> </w:t>
      </w:r>
      <w:r w:rsidR="00631A43" w:rsidRPr="00C6712A">
        <w:t>sample</w:t>
      </w:r>
      <w:r w:rsidR="00D06B5A" w:rsidRPr="00C6712A">
        <w:t xml:space="preserve">-selection framework to capture the unobserved effects </w:t>
      </w:r>
      <w:r w:rsidR="00A66B5B" w:rsidRPr="00C6712A">
        <w:t>induced</w:t>
      </w:r>
      <w:r w:rsidR="00D06B5A" w:rsidRPr="00C6712A">
        <w:t xml:space="preserve"> by changes in the sampling procedures across survey years.</w:t>
      </w:r>
      <w:r w:rsidR="00631A43" w:rsidRPr="00C6712A">
        <w:t xml:space="preserve"> </w:t>
      </w:r>
      <w:r w:rsidR="00D94885" w:rsidRPr="00C6712A">
        <w:t>Th</w:t>
      </w:r>
      <w:r w:rsidR="00D3210C" w:rsidRPr="00C6712A">
        <w:t>e proposed application</w:t>
      </w:r>
      <w:r w:rsidR="00D06B5A" w:rsidRPr="00C6712A">
        <w:t xml:space="preserve"> amounts to </w:t>
      </w:r>
      <w:r w:rsidR="00D94885" w:rsidRPr="00C6712A">
        <w:t>estimat</w:t>
      </w:r>
      <w:r w:rsidR="00D06B5A" w:rsidRPr="00C6712A">
        <w:t>ing</w:t>
      </w:r>
      <w:r w:rsidR="00D94885" w:rsidRPr="00C6712A">
        <w:t xml:space="preserve"> a</w:t>
      </w:r>
      <w:r w:rsidR="0054160C" w:rsidRPr="00C6712A">
        <w:t xml:space="preserve"> </w:t>
      </w:r>
      <w:r w:rsidR="00D94885" w:rsidRPr="00C6712A">
        <w:t xml:space="preserve">joint </w:t>
      </w:r>
      <w:r w:rsidR="00D43FD0" w:rsidRPr="00C6712A">
        <w:t xml:space="preserve">binary </w:t>
      </w:r>
      <w:proofErr w:type="spellStart"/>
      <w:r w:rsidR="00D43FD0" w:rsidRPr="00C6712A">
        <w:t>probit</w:t>
      </w:r>
      <w:proofErr w:type="spellEnd"/>
      <w:r w:rsidR="00D43FD0" w:rsidRPr="00C6712A">
        <w:t>-</w:t>
      </w:r>
      <w:r w:rsidR="00D94885" w:rsidRPr="00C6712A">
        <w:t>ordered</w:t>
      </w:r>
      <w:r w:rsidR="00D43FD0" w:rsidRPr="00C6712A">
        <w:t xml:space="preserve"> </w:t>
      </w:r>
      <w:proofErr w:type="spellStart"/>
      <w:r w:rsidR="00D43FD0" w:rsidRPr="00C6712A">
        <w:t>probit</w:t>
      </w:r>
      <w:proofErr w:type="spellEnd"/>
      <w:r w:rsidR="00D94885" w:rsidRPr="00C6712A">
        <w:t xml:space="preserve"> model</w:t>
      </w:r>
      <w:r w:rsidR="00D06B5A" w:rsidRPr="00C6712A">
        <w:t xml:space="preserve">, in which the first dependent </w:t>
      </w:r>
      <w:r w:rsidR="00A66B5B" w:rsidRPr="00C6712A">
        <w:t>variable corresponds to</w:t>
      </w:r>
      <w:r w:rsidR="00D06B5A" w:rsidRPr="00C6712A">
        <w:t xml:space="preserve"> whether or not </w:t>
      </w:r>
      <w:r w:rsidR="00A66B5B" w:rsidRPr="00C6712A">
        <w:t>an</w:t>
      </w:r>
      <w:r w:rsidR="00D06B5A" w:rsidRPr="00C6712A">
        <w:t xml:space="preserve"> observation belonged to the 2017 survey, and the second dependent</w:t>
      </w:r>
      <w:r w:rsidR="00A66B5B" w:rsidRPr="00C6712A">
        <w:t xml:space="preserve"> variable corresponds to</w:t>
      </w:r>
      <w:r w:rsidR="00D06B5A" w:rsidRPr="00C6712A">
        <w:t xml:space="preserve"> </w:t>
      </w:r>
      <w:r w:rsidR="00A66B5B" w:rsidRPr="00C6712A">
        <w:t>an</w:t>
      </w:r>
      <w:r w:rsidR="00D06B5A" w:rsidRPr="00C6712A">
        <w:t xml:space="preserve"> individual’s ride-hailing frequency</w:t>
      </w:r>
      <w:r w:rsidR="00A66B5B" w:rsidRPr="00C6712A">
        <w:t xml:space="preserve"> (in the past 30 days)</w:t>
      </w:r>
      <w:r w:rsidR="00D06B5A" w:rsidRPr="00C6712A">
        <w:t>.</w:t>
      </w:r>
      <w:r w:rsidR="0054160C" w:rsidRPr="00C6712A">
        <w:t xml:space="preserve"> </w:t>
      </w:r>
      <w:r w:rsidR="00A66B5B" w:rsidRPr="00C6712A">
        <w:t>The model renders it possible</w:t>
      </w:r>
      <w:r w:rsidR="00C64CE7" w:rsidRPr="00C6712A">
        <w:t xml:space="preserve"> to capture</w:t>
      </w:r>
      <w:r w:rsidR="0054160C" w:rsidRPr="00C6712A">
        <w:t xml:space="preserve"> </w:t>
      </w:r>
      <w:r w:rsidR="00A66B5B" w:rsidRPr="00C6712A">
        <w:t xml:space="preserve">and separate </w:t>
      </w:r>
      <w:r w:rsidR="0054160C" w:rsidRPr="00C6712A">
        <w:t xml:space="preserve">the </w:t>
      </w:r>
      <w:r w:rsidR="00F958A1" w:rsidRPr="00C6712A">
        <w:t>“</w:t>
      </w:r>
      <w:r w:rsidR="00C64CE7" w:rsidRPr="00C6712A">
        <w:t>true</w:t>
      </w:r>
      <w:r w:rsidR="00F958A1" w:rsidRPr="00C6712A">
        <w:t>”</w:t>
      </w:r>
      <w:r w:rsidR="00C64CE7" w:rsidRPr="00C6712A">
        <w:t xml:space="preserve"> </w:t>
      </w:r>
      <w:r w:rsidR="0054160C" w:rsidRPr="00C6712A">
        <w:t>effects of demographics and the passage of time on individuals</w:t>
      </w:r>
      <w:r w:rsidR="00190D59" w:rsidRPr="00C6712A">
        <w:t>’</w:t>
      </w:r>
      <w:r w:rsidR="0054160C" w:rsidRPr="00C6712A">
        <w:t xml:space="preserve"> frequency of use of ride-hailing services</w:t>
      </w:r>
      <w:r w:rsidR="003805B7" w:rsidRPr="00C6712A">
        <w:t xml:space="preserve"> while controlling for differences in sampling procedures across survey years</w:t>
      </w:r>
      <w:r w:rsidR="0054160C" w:rsidRPr="00C6712A">
        <w:t xml:space="preserve">. The </w:t>
      </w:r>
      <w:r w:rsidR="00A66B5B" w:rsidRPr="00C6712A">
        <w:t xml:space="preserve">joint </w:t>
      </w:r>
      <w:r w:rsidR="0054160C" w:rsidRPr="00C6712A">
        <w:t>model is used to calculate the average treatment effects (ATEs)</w:t>
      </w:r>
      <w:r w:rsidR="00A66B5B" w:rsidRPr="00C6712A">
        <w:t xml:space="preserve"> of different variables on ride-hailing frequency. </w:t>
      </w:r>
    </w:p>
    <w:p w14:paraId="10381E54" w14:textId="07244A06" w:rsidR="00AB7273" w:rsidRPr="00C6712A" w:rsidRDefault="00477F47" w:rsidP="00165042">
      <w:pPr>
        <w:spacing w:after="0"/>
      </w:pPr>
      <w:r w:rsidRPr="00C6712A">
        <w:t>The results show</w:t>
      </w:r>
      <w:r w:rsidR="00A66B5B" w:rsidRPr="00C6712A">
        <w:t xml:space="preserve"> </w:t>
      </w:r>
      <w:r w:rsidRPr="00C6712A">
        <w:t>that several demographic</w:t>
      </w:r>
      <w:r w:rsidR="00A66B5B" w:rsidRPr="00C6712A">
        <w:t xml:space="preserve"> variables</w:t>
      </w:r>
      <w:r w:rsidRPr="00C6712A">
        <w:t xml:space="preserve"> play </w:t>
      </w:r>
      <w:r w:rsidR="00A66B5B" w:rsidRPr="00C6712A">
        <w:t xml:space="preserve">a </w:t>
      </w:r>
      <w:r w:rsidRPr="00C6712A">
        <w:t xml:space="preserve">significant role in determining frequency of ride-hailing usage. This is no surprise and is </w:t>
      </w:r>
      <w:r w:rsidR="00A66B5B" w:rsidRPr="00C6712A">
        <w:t>consistent with results reported in earlier research</w:t>
      </w:r>
      <w:r w:rsidRPr="00C6712A">
        <w:t xml:space="preserve">. </w:t>
      </w:r>
      <w:r w:rsidR="00A66B5B" w:rsidRPr="00C6712A">
        <w:t xml:space="preserve">More </w:t>
      </w:r>
      <w:r w:rsidRPr="00C6712A">
        <w:t xml:space="preserve">frequent ride-hailing users tend to be younger, employed, more educated, have higher incomes, own smartphones, </w:t>
      </w:r>
      <w:r w:rsidR="00A66B5B" w:rsidRPr="00C6712A">
        <w:t>have</w:t>
      </w:r>
      <w:r w:rsidRPr="00C6712A">
        <w:t xml:space="preserve"> driver’s licenses, own fewer vehicles</w:t>
      </w:r>
      <w:r w:rsidR="00A66B5B" w:rsidRPr="00C6712A">
        <w:t>,</w:t>
      </w:r>
      <w:r w:rsidRPr="00C6712A">
        <w:t xml:space="preserve"> and live alone. </w:t>
      </w:r>
      <w:r w:rsidR="00A66B5B" w:rsidRPr="00C6712A">
        <w:t>The novel contribution of this study lies in the finding that</w:t>
      </w:r>
      <w:r w:rsidRPr="00C6712A">
        <w:t xml:space="preserve"> the passage of time generally softens </w:t>
      </w:r>
      <w:r w:rsidR="00A66B5B" w:rsidRPr="00C6712A">
        <w:t xml:space="preserve">(reduces) </w:t>
      </w:r>
      <w:r w:rsidRPr="00C6712A">
        <w:t>differences</w:t>
      </w:r>
      <w:r w:rsidR="00A66B5B" w:rsidRPr="00C6712A">
        <w:t xml:space="preserve"> </w:t>
      </w:r>
      <w:r w:rsidRPr="00C6712A">
        <w:t>between demographic groups</w:t>
      </w:r>
      <w:r w:rsidR="00A66B5B" w:rsidRPr="00C6712A">
        <w:t xml:space="preserve">. For example, in transitioning from 2015 to 2017, it was found that </w:t>
      </w:r>
      <w:r w:rsidRPr="00C6712A">
        <w:t xml:space="preserve">the </w:t>
      </w:r>
      <w:r w:rsidR="00F958A1" w:rsidRPr="00C6712A">
        <w:t>“</w:t>
      </w:r>
      <w:r w:rsidRPr="00C6712A">
        <w:t>true</w:t>
      </w:r>
      <w:r w:rsidR="00F958A1" w:rsidRPr="00C6712A">
        <w:t>”</w:t>
      </w:r>
      <w:r w:rsidRPr="00C6712A">
        <w:t xml:space="preserve"> differences in ride-hailing use between high- and low-income individuals became less pronounced, as did the differences across age groups. </w:t>
      </w:r>
      <w:r w:rsidR="00A66B5B" w:rsidRPr="00C6712A">
        <w:t>The differences between market segments</w:t>
      </w:r>
      <w:r w:rsidRPr="00C6712A">
        <w:t xml:space="preserve"> are not </w:t>
      </w:r>
      <w:r w:rsidR="00080087" w:rsidRPr="00C6712A">
        <w:t>stable</w:t>
      </w:r>
      <w:r w:rsidR="00D36E59" w:rsidRPr="00C6712A">
        <w:t xml:space="preserve"> </w:t>
      </w:r>
      <w:r w:rsidRPr="00C6712A">
        <w:t xml:space="preserve">over time, and </w:t>
      </w:r>
      <w:r w:rsidR="00A66B5B" w:rsidRPr="00C6712A">
        <w:t>it appears that technology diffusion effects are at play – contributing to a narrowing of the gap in ride-hailing use between market segments</w:t>
      </w:r>
      <w:r w:rsidRPr="00C6712A">
        <w:t>.</w:t>
      </w:r>
      <w:r w:rsidR="00A66B5B" w:rsidRPr="00C6712A">
        <w:t xml:space="preserve"> A number of factors may contribute to this dampening – ride-hailing services have marketed and improved their service offerings, individuals are becoming increasingly </w:t>
      </w:r>
      <w:r w:rsidR="00080087" w:rsidRPr="00C6712A">
        <w:t>comfortable</w:t>
      </w:r>
      <w:r w:rsidR="00D36E59" w:rsidRPr="00C6712A">
        <w:t xml:space="preserve"> </w:t>
      </w:r>
      <w:r w:rsidR="00A66B5B" w:rsidRPr="00C6712A">
        <w:t xml:space="preserve">with technology and new disruptive modes of transportation, and social influence </w:t>
      </w:r>
      <w:r w:rsidR="00F27FF6" w:rsidRPr="00C6712A">
        <w:t>(</w:t>
      </w:r>
      <w:r w:rsidR="00DC6D52" w:rsidRPr="00C6712A">
        <w:rPr>
          <w:i/>
        </w:rPr>
        <w:t>e.g.</w:t>
      </w:r>
      <w:r w:rsidR="00F27FF6" w:rsidRPr="00C6712A">
        <w:t xml:space="preserve">, family, friends, and co-workers) </w:t>
      </w:r>
      <w:r w:rsidR="00A66B5B" w:rsidRPr="00C6712A">
        <w:t xml:space="preserve">is </w:t>
      </w:r>
      <w:r w:rsidR="00F27FF6" w:rsidRPr="00C6712A">
        <w:t>motivating individuals to adopt and use the service.</w:t>
      </w:r>
      <w:r w:rsidR="00D36E59" w:rsidRPr="00C6712A">
        <w:t xml:space="preserve"> </w:t>
      </w:r>
      <w:r w:rsidR="00F27FF6" w:rsidRPr="00C6712A">
        <w:t>Unobserved attributes may also be contributing to the dampening of differences; as individuals become increasingly tech-savvy, environmentally sensitive, and active in their lifestyle choices and preferences, there is likely to be an uptake in ride-hailing use.</w:t>
      </w:r>
      <w:r w:rsidR="00D36E59" w:rsidRPr="00C6712A">
        <w:t xml:space="preserve"> </w:t>
      </w:r>
      <w:r w:rsidR="00AB7273" w:rsidRPr="00C6712A">
        <w:t>This “democratization” is evidence of technology diffusion stemming from greater accessibility of services to a wider cross-section of the population. Ride-hailing companies should continue to market and enhance services and price structures (</w:t>
      </w:r>
      <w:r w:rsidR="00AB7273" w:rsidRPr="00C6712A">
        <w:rPr>
          <w:i/>
        </w:rPr>
        <w:t>e.g.</w:t>
      </w:r>
      <w:r w:rsidR="00AB7273" w:rsidRPr="00C6712A">
        <w:t xml:space="preserve">, monthly subscription services) so that all segments of the population can take advantage of this modal option – contributing to reduced transportation inequity. Transit agencies should partner with ride-hailing companies to enhance </w:t>
      </w:r>
      <w:r w:rsidR="00AB7273" w:rsidRPr="00C6712A">
        <w:rPr>
          <w:iCs/>
        </w:rPr>
        <w:t>facilitating conditions</w:t>
      </w:r>
      <w:r w:rsidR="00AB7273" w:rsidRPr="00C6712A">
        <w:t xml:space="preserve"> associated with the use of transit; and consider adopting some of the marketing strategies of ride-hailing companies to attract riders. It appears that ride-hailing services can play an important role in promoting transportation equity and environmental justice; the challenge remains, however, in mitigating unintended consequences such as empty vehicle miles and traffic congestion due to ride-hailin</w:t>
      </w:r>
      <w:r w:rsidR="009B20E0" w:rsidRPr="00C6712A">
        <w:t xml:space="preserve">g vehicles clogging roadways. </w:t>
      </w:r>
    </w:p>
    <w:p w14:paraId="3902479A" w14:textId="3E5415C6" w:rsidR="00FD3A96" w:rsidRPr="00C6712A" w:rsidRDefault="00B15A91" w:rsidP="00165042">
      <w:pPr>
        <w:spacing w:after="0"/>
      </w:pPr>
      <w:r w:rsidRPr="00C6712A">
        <w:lastRenderedPageBreak/>
        <w:t>This study offers a basis for transportation planning agencies to develop robust forecasts of ride-hailing use over time.</w:t>
      </w:r>
      <w:r w:rsidR="00D36E59" w:rsidRPr="00C6712A">
        <w:t xml:space="preserve"> </w:t>
      </w:r>
      <w:r w:rsidRPr="00C6712A">
        <w:t>Current models may be able to account for changes in ride-hailing use that stem from changes in socio-demographic characteristics of the population and changes in service attributes (</w:t>
      </w:r>
      <w:r w:rsidR="00DC6D52" w:rsidRPr="00C6712A">
        <w:rPr>
          <w:i/>
        </w:rPr>
        <w:t>e.g.</w:t>
      </w:r>
      <w:r w:rsidRPr="00C6712A">
        <w:t>, reliability, waiting time, and price)</w:t>
      </w:r>
      <w:r w:rsidR="00D2584B" w:rsidRPr="00C6712A">
        <w:t xml:space="preserve"> – primarily through segmented mode choice models.</w:t>
      </w:r>
      <w:r w:rsidR="00D36E59" w:rsidRPr="00C6712A">
        <w:t xml:space="preserve"> </w:t>
      </w:r>
      <w:r w:rsidR="00D2584B" w:rsidRPr="00C6712A">
        <w:t>However, current transportation forecasting models are woefully inadequate in being able to account for the “passage of time” effect.</w:t>
      </w:r>
      <w:r w:rsidR="00D36E59" w:rsidRPr="00C6712A">
        <w:t xml:space="preserve"> </w:t>
      </w:r>
      <w:r w:rsidR="00D2584B" w:rsidRPr="00C6712A">
        <w:t>As time progresses, technology adoption evolves as attitudes and perceptions change, social influences inspire new users, and new services become more commonplace and well-established.</w:t>
      </w:r>
      <w:r w:rsidR="00D36E59" w:rsidRPr="00C6712A">
        <w:t xml:space="preserve"> </w:t>
      </w:r>
      <w:r w:rsidR="00D2584B" w:rsidRPr="00C6712A">
        <w:t xml:space="preserve">Accounting for this effect is critical to developing forecasts of ride-hailing use; </w:t>
      </w:r>
      <w:r w:rsidR="00FD3A96" w:rsidRPr="00C6712A">
        <w:t xml:space="preserve">and </w:t>
      </w:r>
      <w:r w:rsidR="00D2584B" w:rsidRPr="00C6712A">
        <w:t xml:space="preserve">more importantly, </w:t>
      </w:r>
      <w:r w:rsidR="00FD3A96" w:rsidRPr="00C6712A">
        <w:t xml:space="preserve">forecasts should account for </w:t>
      </w:r>
      <w:r w:rsidR="00D2584B" w:rsidRPr="00C6712A">
        <w:t xml:space="preserve">the differential uptake of ride-hailing services </w:t>
      </w:r>
      <w:r w:rsidR="00FD3A96" w:rsidRPr="00C6712A">
        <w:t>among various</w:t>
      </w:r>
      <w:r w:rsidR="00D2584B" w:rsidRPr="00C6712A">
        <w:t xml:space="preserve"> demographic groups </w:t>
      </w:r>
      <w:r w:rsidR="00FD3A96" w:rsidRPr="00C6712A">
        <w:t>(</w:t>
      </w:r>
      <w:r w:rsidR="00D2584B" w:rsidRPr="00C6712A">
        <w:t>with the passage of time</w:t>
      </w:r>
      <w:r w:rsidR="00FD3A96" w:rsidRPr="00C6712A">
        <w:t>).</w:t>
      </w:r>
      <w:r w:rsidR="00D36E59" w:rsidRPr="00C6712A">
        <w:t xml:space="preserve"> </w:t>
      </w:r>
      <w:r w:rsidR="00FD3A96" w:rsidRPr="00C6712A">
        <w:t>The model presented in this paper accommodates such heterogeneity in the effects of different demographic variables on the evolution of ride-hailing usage.</w:t>
      </w:r>
      <w:r w:rsidR="00D36E59" w:rsidRPr="00C6712A">
        <w:t xml:space="preserve"> </w:t>
      </w:r>
    </w:p>
    <w:p w14:paraId="0C711E17" w14:textId="2CCFB922" w:rsidR="001173B4" w:rsidRPr="00C6712A" w:rsidRDefault="008D65ED" w:rsidP="00165042">
      <w:pPr>
        <w:spacing w:after="0"/>
      </w:pPr>
      <w:r w:rsidRPr="00C6712A">
        <w:t>T</w:t>
      </w:r>
      <w:r w:rsidR="009E0885" w:rsidRPr="00C6712A">
        <w:t xml:space="preserve">he main </w:t>
      </w:r>
      <w:r w:rsidR="00E108BB" w:rsidRPr="00C6712A">
        <w:t>limitation</w:t>
      </w:r>
      <w:r w:rsidRPr="00C6712A">
        <w:t xml:space="preserve"> of the current study is </w:t>
      </w:r>
      <w:r w:rsidR="006A44E2" w:rsidRPr="00C6712A">
        <w:t>inability to account for individual-specific factors over time</w:t>
      </w:r>
      <w:r w:rsidR="00143E8C" w:rsidRPr="00C6712A">
        <w:t xml:space="preserve">. </w:t>
      </w:r>
      <w:r w:rsidR="006A44E2" w:rsidRPr="00C6712A">
        <w:t>T</w:t>
      </w:r>
      <w:r w:rsidR="00CF089A" w:rsidRPr="00C6712A">
        <w:t xml:space="preserve">he data and methods used in this paper do not consider </w:t>
      </w:r>
      <w:r w:rsidR="006A44E2" w:rsidRPr="00C6712A">
        <w:t xml:space="preserve">the behavior of the </w:t>
      </w:r>
      <w:r w:rsidR="00CF089A" w:rsidRPr="00C6712A">
        <w:t xml:space="preserve">same individuals over </w:t>
      </w:r>
      <w:r w:rsidR="006A44E2" w:rsidRPr="00C6712A">
        <w:t>time</w:t>
      </w:r>
      <w:r w:rsidR="00CF089A" w:rsidRPr="00C6712A">
        <w:t xml:space="preserve">. </w:t>
      </w:r>
      <w:r w:rsidR="0030694B" w:rsidRPr="00C6712A">
        <w:t xml:space="preserve">Instead, </w:t>
      </w:r>
      <w:r w:rsidR="00CF089A" w:rsidRPr="00C6712A">
        <w:t>two cross sectional datasets</w:t>
      </w:r>
      <w:r w:rsidR="006A44E2" w:rsidRPr="00C6712A">
        <w:t xml:space="preserve"> from the same region are pooled</w:t>
      </w:r>
      <w:r w:rsidR="00CF089A" w:rsidRPr="00C6712A">
        <w:t>.</w:t>
      </w:r>
      <w:r w:rsidR="003E67C6" w:rsidRPr="00C6712A">
        <w:t xml:space="preserve"> </w:t>
      </w:r>
      <w:r w:rsidR="006A44E2" w:rsidRPr="00C6712A">
        <w:t>Future studies should explore the use of</w:t>
      </w:r>
      <w:r w:rsidR="003E67C6" w:rsidRPr="00C6712A">
        <w:t xml:space="preserve"> truly longitudinal (</w:t>
      </w:r>
      <w:r w:rsidR="003E67C6" w:rsidRPr="00C6712A">
        <w:rPr>
          <w:i/>
        </w:rPr>
        <w:t>i.e.</w:t>
      </w:r>
      <w:r w:rsidR="006A44E2" w:rsidRPr="00C6712A">
        <w:rPr>
          <w:iCs/>
        </w:rPr>
        <w:t>,</w:t>
      </w:r>
      <w:r w:rsidR="003E67C6" w:rsidRPr="00C6712A">
        <w:t xml:space="preserve"> panel) </w:t>
      </w:r>
      <w:r w:rsidR="006A44E2" w:rsidRPr="00C6712A">
        <w:t xml:space="preserve">data and </w:t>
      </w:r>
      <w:r w:rsidR="003E67C6" w:rsidRPr="00C6712A">
        <w:t>modeling approach</w:t>
      </w:r>
      <w:r w:rsidR="006A44E2" w:rsidRPr="00C6712A">
        <w:t>es</w:t>
      </w:r>
      <w:r w:rsidR="00B07934" w:rsidRPr="00C6712A">
        <w:t xml:space="preserve"> </w:t>
      </w:r>
      <w:r w:rsidR="006A44E2" w:rsidRPr="00C6712A">
        <w:t>to analyze evolutionary dynamics in behavior</w:t>
      </w:r>
      <w:r w:rsidR="003E67C6" w:rsidRPr="00C6712A">
        <w:t>.</w:t>
      </w:r>
      <w:r w:rsidR="006A44E2" w:rsidRPr="00C6712A">
        <w:t xml:space="preserve"> </w:t>
      </w:r>
      <w:r w:rsidR="00AD43E1" w:rsidRPr="00C6712A">
        <w:t xml:space="preserve">Another </w:t>
      </w:r>
      <w:r w:rsidR="00A76F09" w:rsidRPr="00C6712A">
        <w:t xml:space="preserve">of the paper’s </w:t>
      </w:r>
      <w:r w:rsidR="00AD43E1" w:rsidRPr="00C6712A">
        <w:t>key limitation</w:t>
      </w:r>
      <w:r w:rsidR="00A76F09" w:rsidRPr="00C6712A">
        <w:t>s</w:t>
      </w:r>
      <w:r w:rsidR="00AD43E1" w:rsidRPr="00C6712A">
        <w:t xml:space="preserve"> </w:t>
      </w:r>
      <w:r w:rsidR="006A44E2" w:rsidRPr="00C6712A">
        <w:t>is the underlying assumption that the</w:t>
      </w:r>
      <w:r w:rsidR="00EB55B2" w:rsidRPr="00C6712A">
        <w:t xml:space="preserve"> general economic </w:t>
      </w:r>
      <w:r w:rsidR="006A44E2" w:rsidRPr="00C6712A">
        <w:t xml:space="preserve">and technological </w:t>
      </w:r>
      <w:r w:rsidR="00EB55B2" w:rsidRPr="00C6712A">
        <w:t xml:space="preserve">environment was constant </w:t>
      </w:r>
      <w:r w:rsidR="008A2142" w:rsidRPr="00C6712A">
        <w:t>between 2015 and 2017</w:t>
      </w:r>
      <w:r w:rsidR="00EB55B2" w:rsidRPr="00C6712A">
        <w:t xml:space="preserve">. </w:t>
      </w:r>
      <w:r w:rsidR="006A44E2" w:rsidRPr="00C6712A">
        <w:t>It is probably</w:t>
      </w:r>
      <w:r w:rsidR="002C175D" w:rsidRPr="00C6712A">
        <w:t xml:space="preserve"> safe to </w:t>
      </w:r>
      <w:proofErr w:type="gramStart"/>
      <w:r w:rsidR="002C175D" w:rsidRPr="00C6712A">
        <w:t>make t</w:t>
      </w:r>
      <w:r w:rsidR="006A44E2" w:rsidRPr="00C6712A">
        <w:t>he</w:t>
      </w:r>
      <w:r w:rsidR="002C175D" w:rsidRPr="00C6712A">
        <w:t xml:space="preserve"> assumption</w:t>
      </w:r>
      <w:proofErr w:type="gramEnd"/>
      <w:r w:rsidR="002C175D" w:rsidRPr="00C6712A">
        <w:t xml:space="preserve"> that the economic </w:t>
      </w:r>
      <w:r w:rsidR="006A44E2" w:rsidRPr="00C6712A">
        <w:t xml:space="preserve">and technological </w:t>
      </w:r>
      <w:r w:rsidR="002C175D" w:rsidRPr="00C6712A">
        <w:t xml:space="preserve">changes </w:t>
      </w:r>
      <w:r w:rsidR="00777CAE" w:rsidRPr="00C6712A">
        <w:t>in the Puget Sound Re</w:t>
      </w:r>
      <w:r w:rsidR="006A44E2" w:rsidRPr="00C6712A">
        <w:t xml:space="preserve">gion are </w:t>
      </w:r>
      <w:r w:rsidR="002C175D" w:rsidRPr="00C6712A">
        <w:t>small enough to be ignored between 2015 and 2017.</w:t>
      </w:r>
      <w:r w:rsidR="00D32416" w:rsidRPr="00C6712A">
        <w:t xml:space="preserve"> </w:t>
      </w:r>
      <w:r w:rsidR="006A44E2" w:rsidRPr="00C6712A">
        <w:t>Future research should seek to</w:t>
      </w:r>
      <w:r w:rsidR="00D32416" w:rsidRPr="00C6712A">
        <w:t xml:space="preserve"> develop </w:t>
      </w:r>
      <w:r w:rsidR="00207470" w:rsidRPr="00C6712A">
        <w:t xml:space="preserve">new </w:t>
      </w:r>
      <w:r w:rsidR="00D32416" w:rsidRPr="00C6712A">
        <w:t xml:space="preserve">methods that could </w:t>
      </w:r>
      <w:r w:rsidR="006A44E2" w:rsidRPr="00C6712A">
        <w:t>account for these effects as well. It</w:t>
      </w:r>
      <w:r w:rsidR="00CB516A" w:rsidRPr="00C6712A">
        <w:t xml:space="preserve"> would </w:t>
      </w:r>
      <w:r w:rsidR="006A44E2" w:rsidRPr="00C6712A">
        <w:t xml:space="preserve">also </w:t>
      </w:r>
      <w:r w:rsidR="00CB516A" w:rsidRPr="00C6712A">
        <w:t xml:space="preserve">be interesting to </w:t>
      </w:r>
      <w:r w:rsidR="00D946F9" w:rsidRPr="00C6712A">
        <w:t>explore dynamics over more than a two-year time span, to see when and whether the</w:t>
      </w:r>
      <w:r w:rsidR="00CB516A" w:rsidRPr="00C6712A">
        <w:t xml:space="preserve"> effects of the passage of time </w:t>
      </w:r>
      <w:r w:rsidR="00D946F9" w:rsidRPr="00C6712A">
        <w:t>plateau and</w:t>
      </w:r>
      <w:r w:rsidR="00CB516A" w:rsidRPr="00C6712A">
        <w:t xml:space="preserve"> </w:t>
      </w:r>
      <w:r w:rsidR="00D946F9" w:rsidRPr="00C6712A">
        <w:t xml:space="preserve">reach </w:t>
      </w:r>
      <w:r w:rsidR="00CB516A" w:rsidRPr="00C6712A">
        <w:t>saturat</w:t>
      </w:r>
      <w:r w:rsidR="00D946F9" w:rsidRPr="00C6712A">
        <w:t xml:space="preserve">ion (or continue unabated for many years). Finally, it would be of value to explore evolutionary dynamics in </w:t>
      </w:r>
      <w:r w:rsidR="00CB516A" w:rsidRPr="00C6712A">
        <w:t xml:space="preserve">other regions of the world to </w:t>
      </w:r>
      <w:r w:rsidR="00D946F9" w:rsidRPr="00C6712A">
        <w:t>assess geographic and cultural variability in uptake of ride-hailing services</w:t>
      </w:r>
      <w:r w:rsidR="00CB516A" w:rsidRPr="00C6712A">
        <w:t xml:space="preserve">. </w:t>
      </w:r>
    </w:p>
    <w:p w14:paraId="2BF98645" w14:textId="77777777" w:rsidR="001173B4" w:rsidRPr="00C6712A" w:rsidRDefault="001173B4" w:rsidP="00165042">
      <w:pPr>
        <w:spacing w:after="0"/>
        <w:ind w:firstLine="0"/>
        <w:jc w:val="left"/>
      </w:pPr>
    </w:p>
    <w:p w14:paraId="42D67B16" w14:textId="77777777" w:rsidR="00320E61" w:rsidRPr="00C6712A" w:rsidRDefault="00320E61" w:rsidP="00165042">
      <w:pPr>
        <w:pStyle w:val="Heading1"/>
        <w:numPr>
          <w:ilvl w:val="0"/>
          <w:numId w:val="0"/>
        </w:numPr>
        <w:spacing w:before="0" w:after="0"/>
      </w:pPr>
      <w:bookmarkStart w:id="13" w:name="_Hlk49588762"/>
      <w:r w:rsidRPr="00C6712A">
        <w:t>Acknowledgements</w:t>
      </w:r>
    </w:p>
    <w:p w14:paraId="3EA66131" w14:textId="0BA621DE" w:rsidR="007645FA" w:rsidRPr="00564669" w:rsidRDefault="007645FA" w:rsidP="004E13A3">
      <w:pPr>
        <w:spacing w:after="0"/>
        <w:ind w:firstLine="0"/>
        <w:rPr>
          <w:b/>
          <w:bCs/>
        </w:rPr>
      </w:pPr>
      <w:r w:rsidRPr="00A34FC7">
        <w:rPr>
          <w:rFonts w:eastAsia="Times New Roman"/>
          <w:szCs w:val="24"/>
        </w:rPr>
        <w:t xml:space="preserve">This research was partially supported by the Data-Supported Transportation Operations and Planning (D-STOP) Center </w:t>
      </w:r>
      <w:r w:rsidR="0003794A" w:rsidRPr="00A34FC7">
        <w:t xml:space="preserve">(Grant No. DTRT13GUTC58) </w:t>
      </w:r>
      <w:r w:rsidRPr="00A34FC7">
        <w:rPr>
          <w:rFonts w:eastAsia="Times New Roman"/>
          <w:szCs w:val="24"/>
        </w:rPr>
        <w:t>and the Center for Teaching Old Models New Tricks (TOMNET)</w:t>
      </w:r>
      <w:r w:rsidR="0003794A" w:rsidRPr="00A34FC7">
        <w:rPr>
          <w:rFonts w:eastAsia="Times New Roman"/>
          <w:szCs w:val="24"/>
        </w:rPr>
        <w:t xml:space="preserve"> </w:t>
      </w:r>
      <w:r w:rsidR="0003794A" w:rsidRPr="00A34FC7">
        <w:t>(Grant No. 69A3551747116)</w:t>
      </w:r>
      <w:r w:rsidRPr="00A34FC7">
        <w:rPr>
          <w:rFonts w:eastAsia="Times New Roman"/>
          <w:szCs w:val="24"/>
        </w:rPr>
        <w:t xml:space="preserve">, both of which are Tier 1 University Transportation Centers sponsored by the US Department of Transportation. The work described in this paper was also supported by a research grant from the Research Grants Council of the Hong Kong Special Administrative Region, China (No. </w:t>
      </w:r>
      <w:proofErr w:type="spellStart"/>
      <w:r w:rsidRPr="00A34FC7">
        <w:rPr>
          <w:rFonts w:eastAsia="Times New Roman"/>
          <w:szCs w:val="24"/>
        </w:rPr>
        <w:t>PolyU</w:t>
      </w:r>
      <w:proofErr w:type="spellEnd"/>
      <w:r w:rsidRPr="00A34FC7">
        <w:rPr>
          <w:rFonts w:eastAsia="Times New Roman"/>
          <w:szCs w:val="24"/>
        </w:rPr>
        <w:t xml:space="preserve"> 152095/17E), and also funded by the Ministry of Human Resource Development (MHRD) of the Government of India through its Scheme for Promotion of Academic and Research Collaboration (SPARC) program. </w:t>
      </w:r>
      <w:r w:rsidR="004E13A3" w:rsidRPr="00A34FC7">
        <w:t xml:space="preserve">The authors are grateful to Lisa Macias for her assistance in formatting the manuscript, and appreciate the comments of </w:t>
      </w:r>
      <w:r w:rsidR="008B6F94" w:rsidRPr="00A34FC7">
        <w:t>five</w:t>
      </w:r>
      <w:r w:rsidR="004E13A3" w:rsidRPr="00A34FC7">
        <w:t xml:space="preserve"> anonymous reviewers on an earlier version of the paper</w:t>
      </w:r>
      <w:r w:rsidRPr="00A34FC7">
        <w:rPr>
          <w:rFonts w:eastAsia="Times New Roman"/>
          <w:szCs w:val="24"/>
        </w:rPr>
        <w:t>.</w:t>
      </w:r>
      <w:r w:rsidRPr="00564669">
        <w:rPr>
          <w:rFonts w:eastAsia="Times New Roman"/>
          <w:szCs w:val="24"/>
        </w:rPr>
        <w:t xml:space="preserve"> </w:t>
      </w:r>
      <w:bookmarkEnd w:id="13"/>
    </w:p>
    <w:p w14:paraId="1F5EAD15" w14:textId="77777777" w:rsidR="00124FD6" w:rsidRPr="00C6712A" w:rsidRDefault="00124FD6" w:rsidP="004E13A3">
      <w:pPr>
        <w:spacing w:after="0"/>
        <w:ind w:firstLine="0"/>
        <w:rPr>
          <w:rFonts w:eastAsia="Times New Roman"/>
          <w:szCs w:val="24"/>
        </w:rPr>
      </w:pPr>
    </w:p>
    <w:p w14:paraId="0F1F0E05" w14:textId="77777777" w:rsidR="00124FD6" w:rsidRDefault="00124FD6" w:rsidP="004E13A3">
      <w:pPr>
        <w:pStyle w:val="Heading1"/>
        <w:numPr>
          <w:ilvl w:val="0"/>
          <w:numId w:val="0"/>
        </w:numPr>
        <w:spacing w:before="0" w:after="0"/>
      </w:pPr>
      <w:r w:rsidRPr="00D001EB">
        <w:t>Author contribution statement</w:t>
      </w:r>
    </w:p>
    <w:p w14:paraId="22D83311" w14:textId="448F142B" w:rsidR="00124FD6" w:rsidRDefault="00124FD6" w:rsidP="004E13A3">
      <w:pPr>
        <w:spacing w:after="0"/>
        <w:ind w:firstLine="0"/>
      </w:pPr>
      <w:r>
        <w:t>The authors confirm contribution to the paper as follows: study conception and design: F.F. Dias, T. Kim, C.R. Bhat, R.M. Pendyala, W.H.K. Lam, A.R. Pinjari, K.K. Srinivasan, G. Ramadurai; data collection: PSRC; analysis and interpretation of results: F.F. Dias, T. Kim, C.R. Bhat, R.M. Pendyala, W.H.K. Lam, A.R. Pinjari, K.K. Srinivasan, G. Ramadurai; draft manuscript preparation: F.F. Dias, T. Kim, C.R. Bhat, R.M. Pendyala, W.H.K. Lam, A.R. Pinjari, K.K. Srinivasan, G. Ramadurai. All authors reviewed the results and approved the final version of the manuscript.</w:t>
      </w:r>
    </w:p>
    <w:p w14:paraId="40059096" w14:textId="77777777" w:rsidR="00124FD6" w:rsidRDefault="00124FD6" w:rsidP="00124FD6">
      <w:pPr>
        <w:spacing w:after="0"/>
        <w:ind w:firstLine="0"/>
      </w:pPr>
    </w:p>
    <w:p w14:paraId="7C52A0BB" w14:textId="0FDCA940" w:rsidR="004573FB" w:rsidRPr="004573FB" w:rsidRDefault="00D36E59" w:rsidP="004573FB">
      <w:pPr>
        <w:pStyle w:val="Heading1"/>
        <w:numPr>
          <w:ilvl w:val="0"/>
          <w:numId w:val="0"/>
        </w:numPr>
        <w:spacing w:before="0" w:after="0"/>
      </w:pPr>
      <w:r w:rsidRPr="00C6712A">
        <w:t>References</w:t>
      </w:r>
    </w:p>
    <w:p w14:paraId="08ED22FE" w14:textId="77777777" w:rsidR="004573FB" w:rsidRDefault="004573FB" w:rsidP="004573FB">
      <w:pPr>
        <w:pStyle w:val="ListParagraph"/>
        <w:numPr>
          <w:ilvl w:val="0"/>
          <w:numId w:val="24"/>
        </w:numPr>
        <w:spacing w:after="0"/>
        <w:ind w:left="360"/>
        <w:rPr>
          <w:szCs w:val="24"/>
          <w:shd w:val="clear" w:color="auto" w:fill="FFFFFF"/>
        </w:rPr>
      </w:pPr>
      <w:r w:rsidRPr="00291B2F">
        <w:rPr>
          <w:szCs w:val="24"/>
          <w:shd w:val="clear" w:color="auto" w:fill="FFFFFF"/>
        </w:rPr>
        <w:t xml:space="preserve">Dias, F.F., P.S. Lavieri, V.M. Garikapati, S. Astroza, R.M. Pendyala, and C.R. Bhat. A behavioral choice model of the use of car-sharing and ride-sourcing services. </w:t>
      </w:r>
      <w:r w:rsidRPr="00291B2F">
        <w:rPr>
          <w:i/>
          <w:iCs/>
          <w:szCs w:val="24"/>
          <w:shd w:val="clear" w:color="auto" w:fill="FFFFFF"/>
        </w:rPr>
        <w:t>Transportation</w:t>
      </w:r>
      <w:r w:rsidRPr="00291B2F">
        <w:rPr>
          <w:szCs w:val="24"/>
          <w:shd w:val="clear" w:color="auto" w:fill="FFFFFF"/>
        </w:rPr>
        <w:t>, 2017</w:t>
      </w:r>
      <w:r>
        <w:rPr>
          <w:szCs w:val="24"/>
          <w:shd w:val="clear" w:color="auto" w:fill="FFFFFF"/>
        </w:rPr>
        <w:t xml:space="preserve">. </w:t>
      </w:r>
      <w:r w:rsidRPr="00291B2F">
        <w:rPr>
          <w:iCs/>
          <w:szCs w:val="24"/>
          <w:shd w:val="clear" w:color="auto" w:fill="FFFFFF"/>
        </w:rPr>
        <w:t>44</w:t>
      </w:r>
      <w:r w:rsidRPr="00291B2F">
        <w:rPr>
          <w:szCs w:val="24"/>
          <w:shd w:val="clear" w:color="auto" w:fill="FFFFFF"/>
        </w:rPr>
        <w:t>(6):</w:t>
      </w:r>
      <w:r>
        <w:rPr>
          <w:szCs w:val="24"/>
          <w:shd w:val="clear" w:color="auto" w:fill="FFFFFF"/>
        </w:rPr>
        <w:t xml:space="preserve"> </w:t>
      </w:r>
      <w:r w:rsidRPr="00291B2F">
        <w:rPr>
          <w:szCs w:val="24"/>
          <w:shd w:val="clear" w:color="auto" w:fill="FFFFFF"/>
        </w:rPr>
        <w:t>1307-1323.</w:t>
      </w:r>
    </w:p>
    <w:p w14:paraId="0C6423E6" w14:textId="77777777" w:rsidR="004573FB" w:rsidRDefault="004573FB" w:rsidP="004573FB">
      <w:pPr>
        <w:pStyle w:val="ListParagraph"/>
        <w:numPr>
          <w:ilvl w:val="0"/>
          <w:numId w:val="24"/>
        </w:numPr>
        <w:spacing w:after="0"/>
        <w:ind w:left="360"/>
        <w:rPr>
          <w:szCs w:val="24"/>
          <w:shd w:val="clear" w:color="auto" w:fill="FFFFFF"/>
        </w:rPr>
      </w:pPr>
      <w:r w:rsidRPr="00291B2F">
        <w:rPr>
          <w:szCs w:val="24"/>
          <w:shd w:val="clear" w:color="auto" w:fill="FFFFFF"/>
        </w:rPr>
        <w:t xml:space="preserve">RSG, Inc. </w:t>
      </w:r>
      <w:r w:rsidRPr="00291B2F">
        <w:rPr>
          <w:i/>
          <w:iCs/>
          <w:szCs w:val="24"/>
          <w:shd w:val="clear" w:color="auto" w:fill="FFFFFF"/>
        </w:rPr>
        <w:t>San Diego Regional Transportation Study – Volume 1: Technical Report</w:t>
      </w:r>
      <w:r w:rsidRPr="00291B2F">
        <w:rPr>
          <w:szCs w:val="24"/>
          <w:shd w:val="clear" w:color="auto" w:fill="FFFFFF"/>
        </w:rPr>
        <w:t xml:space="preserve">. Submitted to San Diego Association of Governments, San Diego, CA, 2018. Available at </w:t>
      </w:r>
      <w:hyperlink r:id="rId80" w:history="1">
        <w:r w:rsidRPr="00291B2F">
          <w:rPr>
            <w:rStyle w:val="Hyperlink"/>
            <w:szCs w:val="24"/>
            <w:shd w:val="clear" w:color="auto" w:fill="FFFFFF"/>
          </w:rPr>
          <w:t>https://www.sandag.org/uploads/publicationid/publicationid_2145_23025.pdf</w:t>
        </w:r>
      </w:hyperlink>
      <w:r w:rsidRPr="00291B2F">
        <w:rPr>
          <w:szCs w:val="24"/>
          <w:shd w:val="clear" w:color="auto" w:fill="FFFFFF"/>
        </w:rPr>
        <w:t>. Accessed on July 20, 2019.</w:t>
      </w:r>
    </w:p>
    <w:p w14:paraId="78C1D5D0" w14:textId="77777777" w:rsidR="004573FB" w:rsidRDefault="004573FB" w:rsidP="004573FB">
      <w:pPr>
        <w:pStyle w:val="ListParagraph"/>
        <w:numPr>
          <w:ilvl w:val="0"/>
          <w:numId w:val="24"/>
        </w:numPr>
        <w:spacing w:after="0"/>
        <w:ind w:left="360"/>
        <w:rPr>
          <w:szCs w:val="24"/>
          <w:shd w:val="clear" w:color="auto" w:fill="FFFFFF"/>
        </w:rPr>
      </w:pPr>
      <w:r w:rsidRPr="00291B2F">
        <w:rPr>
          <w:szCs w:val="24"/>
          <w:shd w:val="clear" w:color="auto" w:fill="FFFFFF"/>
        </w:rPr>
        <w:t xml:space="preserve">Schaller, B. </w:t>
      </w:r>
      <w:r w:rsidRPr="00291B2F">
        <w:rPr>
          <w:i/>
          <w:iCs/>
          <w:szCs w:val="24"/>
          <w:shd w:val="clear" w:color="auto" w:fill="FFFFFF"/>
        </w:rPr>
        <w:t>The New Automobility: Lyft, Uber and the Future of American Cities</w:t>
      </w:r>
      <w:r w:rsidRPr="00291B2F">
        <w:rPr>
          <w:szCs w:val="24"/>
          <w:shd w:val="clear" w:color="auto" w:fill="FFFFFF"/>
        </w:rPr>
        <w:t xml:space="preserve">. Schaller Consulting, Brooklyn, New York. 2018. Available at </w:t>
      </w:r>
      <w:hyperlink r:id="rId81" w:history="1">
        <w:r w:rsidRPr="00291B2F">
          <w:rPr>
            <w:rStyle w:val="Hyperlink"/>
            <w:szCs w:val="24"/>
            <w:shd w:val="clear" w:color="auto" w:fill="FFFFFF"/>
          </w:rPr>
          <w:t>http://www.schallerconsult.com/rideservices/automobility.pdf</w:t>
        </w:r>
      </w:hyperlink>
      <w:r w:rsidRPr="00291B2F">
        <w:rPr>
          <w:szCs w:val="24"/>
          <w:shd w:val="clear" w:color="auto" w:fill="FFFFFF"/>
        </w:rPr>
        <w:t xml:space="preserve">. Accessed on July 20, 2019. </w:t>
      </w:r>
    </w:p>
    <w:p w14:paraId="3F3493A9" w14:textId="77777777" w:rsidR="004573FB" w:rsidRPr="00291B2F" w:rsidRDefault="004573FB" w:rsidP="004573FB">
      <w:pPr>
        <w:pStyle w:val="ListParagraph"/>
        <w:numPr>
          <w:ilvl w:val="0"/>
          <w:numId w:val="24"/>
        </w:numPr>
        <w:spacing w:after="0"/>
        <w:ind w:left="360"/>
        <w:rPr>
          <w:szCs w:val="24"/>
          <w:shd w:val="clear" w:color="auto" w:fill="FFFFFF"/>
        </w:rPr>
      </w:pPr>
      <w:r w:rsidRPr="00291B2F">
        <w:rPr>
          <w:szCs w:val="24"/>
        </w:rPr>
        <w:t xml:space="preserve">The New York Times. </w:t>
      </w:r>
      <w:r w:rsidRPr="00291B2F">
        <w:rPr>
          <w:i/>
          <w:szCs w:val="24"/>
        </w:rPr>
        <w:t xml:space="preserve">Taxi Medallions, </w:t>
      </w:r>
      <w:proofErr w:type="gramStart"/>
      <w:r w:rsidRPr="00291B2F">
        <w:rPr>
          <w:i/>
          <w:szCs w:val="24"/>
        </w:rPr>
        <w:t>Once</w:t>
      </w:r>
      <w:proofErr w:type="gramEnd"/>
      <w:r w:rsidRPr="00291B2F">
        <w:rPr>
          <w:i/>
          <w:szCs w:val="24"/>
        </w:rPr>
        <w:t xml:space="preserve"> a Safe Investment, Now Drag Owners Into Debt</w:t>
      </w:r>
      <w:r w:rsidRPr="00291B2F">
        <w:rPr>
          <w:szCs w:val="24"/>
        </w:rPr>
        <w:t xml:space="preserve">. Sep 2017. Available at: </w:t>
      </w:r>
      <w:hyperlink r:id="rId82" w:history="1">
        <w:r w:rsidRPr="00291B2F">
          <w:rPr>
            <w:rStyle w:val="Hyperlink"/>
            <w:szCs w:val="24"/>
          </w:rPr>
          <w:t>https://www.nytimes.com/2017/09/10/nyregion/new-york-taxi-medallions-uber.html?module=inline</w:t>
        </w:r>
      </w:hyperlink>
      <w:r w:rsidRPr="00291B2F">
        <w:rPr>
          <w:szCs w:val="24"/>
        </w:rPr>
        <w:t>. Accessed on Jun 19, 2019.</w:t>
      </w:r>
    </w:p>
    <w:p w14:paraId="5F11810D" w14:textId="77777777" w:rsidR="004573FB" w:rsidRPr="00291B2F" w:rsidRDefault="004573FB" w:rsidP="004573FB">
      <w:pPr>
        <w:pStyle w:val="ListParagraph"/>
        <w:numPr>
          <w:ilvl w:val="0"/>
          <w:numId w:val="24"/>
        </w:numPr>
        <w:spacing w:after="0"/>
        <w:ind w:left="360"/>
        <w:rPr>
          <w:szCs w:val="24"/>
          <w:shd w:val="clear" w:color="auto" w:fill="FFFFFF"/>
        </w:rPr>
      </w:pPr>
      <w:r w:rsidRPr="00291B2F">
        <w:rPr>
          <w:szCs w:val="24"/>
        </w:rPr>
        <w:t xml:space="preserve">The New York Times. </w:t>
      </w:r>
      <w:r w:rsidRPr="00291B2F">
        <w:rPr>
          <w:i/>
          <w:szCs w:val="24"/>
        </w:rPr>
        <w:t>‘They Were Conned’: How Reckless Loans Devastated a Generation of Taxi Drivers</w:t>
      </w:r>
      <w:r w:rsidRPr="00291B2F">
        <w:rPr>
          <w:szCs w:val="24"/>
        </w:rPr>
        <w:t xml:space="preserve">. May, 2019. Available at: </w:t>
      </w:r>
      <w:hyperlink r:id="rId83" w:history="1">
        <w:r w:rsidRPr="00291B2F">
          <w:rPr>
            <w:rStyle w:val="Hyperlink"/>
            <w:szCs w:val="24"/>
          </w:rPr>
          <w:t>https://www.nytimes.com/2019/05/19/nyregion/nyc-taxis-medallions-suicides.html</w:t>
        </w:r>
      </w:hyperlink>
      <w:r w:rsidRPr="00291B2F">
        <w:rPr>
          <w:szCs w:val="24"/>
        </w:rPr>
        <w:t xml:space="preserve">. Accessed on Jun 19, 2019. </w:t>
      </w:r>
    </w:p>
    <w:p w14:paraId="3D90B494" w14:textId="77777777" w:rsidR="004573FB" w:rsidRPr="00291B2F" w:rsidRDefault="004573FB" w:rsidP="004573FB">
      <w:pPr>
        <w:pStyle w:val="ListParagraph"/>
        <w:numPr>
          <w:ilvl w:val="0"/>
          <w:numId w:val="24"/>
        </w:numPr>
        <w:spacing w:after="0"/>
        <w:ind w:left="360"/>
        <w:rPr>
          <w:szCs w:val="24"/>
          <w:shd w:val="clear" w:color="auto" w:fill="FFFFFF"/>
        </w:rPr>
      </w:pPr>
      <w:proofErr w:type="spellStart"/>
      <w:r w:rsidRPr="00291B2F">
        <w:rPr>
          <w:szCs w:val="24"/>
          <w:shd w:val="clear" w:color="auto" w:fill="FFFFFF"/>
        </w:rPr>
        <w:t>Rayle</w:t>
      </w:r>
      <w:proofErr w:type="spellEnd"/>
      <w:r w:rsidRPr="00291B2F">
        <w:rPr>
          <w:szCs w:val="24"/>
          <w:shd w:val="clear" w:color="auto" w:fill="FFFFFF"/>
        </w:rPr>
        <w:t xml:space="preserve">, L., D. Dai, N. Chan, R. Cervero, and S. </w:t>
      </w:r>
      <w:proofErr w:type="spellStart"/>
      <w:r w:rsidRPr="00291B2F">
        <w:rPr>
          <w:szCs w:val="24"/>
          <w:shd w:val="clear" w:color="auto" w:fill="FFFFFF"/>
        </w:rPr>
        <w:t>Shaheen</w:t>
      </w:r>
      <w:proofErr w:type="spellEnd"/>
      <w:r w:rsidRPr="00291B2F">
        <w:rPr>
          <w:szCs w:val="24"/>
          <w:shd w:val="clear" w:color="auto" w:fill="FFFFFF"/>
        </w:rPr>
        <w:t xml:space="preserve">, 2016. Just a better Taxi? A Survey-based comparison of taxis, transit, and </w:t>
      </w:r>
      <w:proofErr w:type="spellStart"/>
      <w:r w:rsidRPr="00291B2F">
        <w:rPr>
          <w:szCs w:val="24"/>
          <w:shd w:val="clear" w:color="auto" w:fill="FFFFFF"/>
        </w:rPr>
        <w:t>ridesourcing</w:t>
      </w:r>
      <w:proofErr w:type="spellEnd"/>
      <w:r w:rsidRPr="00291B2F">
        <w:rPr>
          <w:szCs w:val="24"/>
          <w:shd w:val="clear" w:color="auto" w:fill="FFFFFF"/>
        </w:rPr>
        <w:t xml:space="preserve"> services in San Francisco. </w:t>
      </w:r>
      <w:r w:rsidRPr="00291B2F">
        <w:rPr>
          <w:i/>
          <w:iCs/>
          <w:szCs w:val="24"/>
          <w:shd w:val="clear" w:color="auto" w:fill="FFFFFF"/>
        </w:rPr>
        <w:t>Transport Policy</w:t>
      </w:r>
      <w:r w:rsidRPr="00291B2F">
        <w:rPr>
          <w:iCs/>
          <w:szCs w:val="24"/>
          <w:shd w:val="clear" w:color="auto" w:fill="FFFFFF"/>
        </w:rPr>
        <w:t>, 2016.</w:t>
      </w:r>
      <w:r w:rsidRPr="00291B2F">
        <w:rPr>
          <w:szCs w:val="24"/>
          <w:shd w:val="clear" w:color="auto" w:fill="FFFFFF"/>
        </w:rPr>
        <w:t xml:space="preserve"> </w:t>
      </w:r>
      <w:r w:rsidRPr="00291B2F">
        <w:rPr>
          <w:iCs/>
          <w:szCs w:val="24"/>
          <w:shd w:val="clear" w:color="auto" w:fill="FFFFFF"/>
        </w:rPr>
        <w:t>45</w:t>
      </w:r>
      <w:r w:rsidRPr="00291B2F">
        <w:rPr>
          <w:szCs w:val="24"/>
          <w:shd w:val="clear" w:color="auto" w:fill="FFFFFF"/>
        </w:rPr>
        <w:t>: 168-178.</w:t>
      </w:r>
    </w:p>
    <w:p w14:paraId="736C57F8" w14:textId="77777777" w:rsidR="004573FB" w:rsidRPr="00291B2F" w:rsidRDefault="004573FB" w:rsidP="004573FB">
      <w:pPr>
        <w:pStyle w:val="ListParagraph"/>
        <w:numPr>
          <w:ilvl w:val="0"/>
          <w:numId w:val="24"/>
        </w:numPr>
        <w:spacing w:after="0"/>
        <w:ind w:left="360"/>
        <w:rPr>
          <w:szCs w:val="24"/>
          <w:shd w:val="clear" w:color="auto" w:fill="FFFFFF"/>
        </w:rPr>
      </w:pPr>
      <w:proofErr w:type="spellStart"/>
      <w:r w:rsidRPr="00291B2F">
        <w:rPr>
          <w:szCs w:val="24"/>
        </w:rPr>
        <w:t>Clewlow</w:t>
      </w:r>
      <w:proofErr w:type="spellEnd"/>
      <w:r w:rsidRPr="00291B2F">
        <w:rPr>
          <w:szCs w:val="24"/>
        </w:rPr>
        <w:t xml:space="preserve">, R.R., and G.S. Mishra. Disruptive transportation: The adoption, utilization, and impacts of ride-hailing in the United States. </w:t>
      </w:r>
      <w:r w:rsidRPr="00291B2F">
        <w:rPr>
          <w:iCs/>
          <w:szCs w:val="24"/>
        </w:rPr>
        <w:t>University of California, Davis, Institute of Transportation Studies, Davis, CA, Research Report UCD-ITS-RR-17-07</w:t>
      </w:r>
      <w:r w:rsidRPr="00291B2F">
        <w:rPr>
          <w:i/>
          <w:iCs/>
          <w:szCs w:val="24"/>
        </w:rPr>
        <w:t>.</w:t>
      </w:r>
      <w:r w:rsidRPr="00291B2F">
        <w:rPr>
          <w:szCs w:val="24"/>
        </w:rPr>
        <w:t xml:space="preserve"> October 2017.</w:t>
      </w:r>
    </w:p>
    <w:p w14:paraId="1E77CCDE" w14:textId="77777777" w:rsidR="004573FB" w:rsidRPr="00291B2F" w:rsidRDefault="004573FB" w:rsidP="004573FB">
      <w:pPr>
        <w:pStyle w:val="ListParagraph"/>
        <w:numPr>
          <w:ilvl w:val="0"/>
          <w:numId w:val="24"/>
        </w:numPr>
        <w:spacing w:after="0"/>
        <w:ind w:left="360"/>
        <w:rPr>
          <w:szCs w:val="24"/>
          <w:shd w:val="clear" w:color="auto" w:fill="FFFFFF"/>
        </w:rPr>
      </w:pPr>
      <w:r w:rsidRPr="00291B2F">
        <w:rPr>
          <w:szCs w:val="24"/>
        </w:rPr>
        <w:t xml:space="preserve">Lavieri, P.S., V.M. Garikapati, C.R. Bhat, R.M. Pendyala, S. Astroza, and F.F. Dias. Modeling individual preferences for ownership and sharing of autonomous vehicle technologies. </w:t>
      </w:r>
      <w:r w:rsidRPr="00291B2F">
        <w:rPr>
          <w:i/>
          <w:szCs w:val="24"/>
        </w:rPr>
        <w:t>Transportation Research Record: Journal of the Transportation Research Board</w:t>
      </w:r>
      <w:r w:rsidRPr="00291B2F">
        <w:rPr>
          <w:szCs w:val="24"/>
        </w:rPr>
        <w:t>, 2017. 2665(1): 1-10.</w:t>
      </w:r>
    </w:p>
    <w:p w14:paraId="74FB1937" w14:textId="77777777" w:rsidR="004573FB" w:rsidRPr="00291B2F" w:rsidRDefault="004573FB" w:rsidP="004573FB">
      <w:pPr>
        <w:pStyle w:val="ListParagraph"/>
        <w:numPr>
          <w:ilvl w:val="0"/>
          <w:numId w:val="24"/>
        </w:numPr>
        <w:spacing w:after="0"/>
        <w:ind w:left="360"/>
        <w:rPr>
          <w:szCs w:val="24"/>
          <w:shd w:val="clear" w:color="auto" w:fill="FFFFFF"/>
        </w:rPr>
      </w:pPr>
      <w:r w:rsidRPr="00291B2F">
        <w:rPr>
          <w:szCs w:val="24"/>
        </w:rPr>
        <w:t xml:space="preserve">Vinayak, P., F.F. Dias, S. Astroza, C.R. Bhat, R.M. Pendyala, and V.M. Garikapati. Accounting for multi-dimensional dependencies among decision-makers within a generalized model framework: An application to understanding shared mobility service usage levels. </w:t>
      </w:r>
      <w:r w:rsidRPr="00291B2F">
        <w:rPr>
          <w:i/>
          <w:szCs w:val="24"/>
        </w:rPr>
        <w:t>Transport Policy</w:t>
      </w:r>
      <w:r w:rsidRPr="00291B2F">
        <w:rPr>
          <w:szCs w:val="24"/>
        </w:rPr>
        <w:t>, 2018</w:t>
      </w:r>
      <w:r>
        <w:rPr>
          <w:szCs w:val="24"/>
        </w:rPr>
        <w:t xml:space="preserve">. </w:t>
      </w:r>
      <w:r w:rsidRPr="00291B2F">
        <w:rPr>
          <w:szCs w:val="24"/>
        </w:rPr>
        <w:t>72: 129-137.</w:t>
      </w:r>
    </w:p>
    <w:p w14:paraId="60035880" w14:textId="77777777" w:rsidR="004573FB" w:rsidRPr="00291B2F" w:rsidRDefault="004573FB" w:rsidP="004573FB">
      <w:pPr>
        <w:pStyle w:val="ListParagraph"/>
        <w:numPr>
          <w:ilvl w:val="0"/>
          <w:numId w:val="24"/>
        </w:numPr>
        <w:spacing w:after="0"/>
        <w:ind w:left="360"/>
        <w:rPr>
          <w:szCs w:val="24"/>
          <w:shd w:val="clear" w:color="auto" w:fill="FFFFFF"/>
        </w:rPr>
      </w:pPr>
      <w:r w:rsidRPr="00291B2F">
        <w:rPr>
          <w:szCs w:val="24"/>
        </w:rPr>
        <w:t xml:space="preserve">Alemi, F., G. Circella, S. Handy, and P. Mokhtarian. What influences travelers to use Uber? Exploring the factors affecting the adoption of on-demand ride services in California. </w:t>
      </w:r>
      <w:r w:rsidRPr="00291B2F">
        <w:rPr>
          <w:i/>
          <w:szCs w:val="24"/>
        </w:rPr>
        <w:t xml:space="preserve">Travel </w:t>
      </w:r>
      <w:proofErr w:type="spellStart"/>
      <w:r w:rsidRPr="00291B2F">
        <w:rPr>
          <w:i/>
          <w:szCs w:val="24"/>
        </w:rPr>
        <w:t>Behaviour</w:t>
      </w:r>
      <w:proofErr w:type="spellEnd"/>
      <w:r w:rsidRPr="00291B2F">
        <w:rPr>
          <w:i/>
          <w:szCs w:val="24"/>
        </w:rPr>
        <w:t xml:space="preserve"> and Society</w:t>
      </w:r>
      <w:r w:rsidRPr="00291B2F">
        <w:rPr>
          <w:szCs w:val="24"/>
        </w:rPr>
        <w:t xml:space="preserve">, </w:t>
      </w:r>
      <w:r>
        <w:rPr>
          <w:szCs w:val="24"/>
        </w:rPr>
        <w:t xml:space="preserve">2018. </w:t>
      </w:r>
      <w:r w:rsidRPr="00291B2F">
        <w:rPr>
          <w:szCs w:val="24"/>
        </w:rPr>
        <w:t xml:space="preserve">13: 88-104. </w:t>
      </w:r>
    </w:p>
    <w:p w14:paraId="7B671AB6" w14:textId="77777777" w:rsidR="004573FB" w:rsidRPr="00291B2F" w:rsidRDefault="004573FB" w:rsidP="004573FB">
      <w:pPr>
        <w:pStyle w:val="ListParagraph"/>
        <w:numPr>
          <w:ilvl w:val="0"/>
          <w:numId w:val="24"/>
        </w:numPr>
        <w:spacing w:after="0"/>
        <w:ind w:left="360"/>
        <w:rPr>
          <w:szCs w:val="24"/>
          <w:shd w:val="clear" w:color="auto" w:fill="FFFFFF"/>
        </w:rPr>
      </w:pPr>
      <w:r w:rsidRPr="00291B2F">
        <w:rPr>
          <w:szCs w:val="24"/>
        </w:rPr>
        <w:t xml:space="preserve">Alemi, F., G. Circella, P.L. Mokhtarian, and S.L. Handy. What drives the use of </w:t>
      </w:r>
      <w:proofErr w:type="spellStart"/>
      <w:r w:rsidRPr="00291B2F">
        <w:rPr>
          <w:szCs w:val="24"/>
        </w:rPr>
        <w:t>ridehailing</w:t>
      </w:r>
      <w:proofErr w:type="spellEnd"/>
      <w:r w:rsidRPr="00291B2F">
        <w:rPr>
          <w:szCs w:val="24"/>
        </w:rPr>
        <w:t xml:space="preserve"> in California? Ordered </w:t>
      </w:r>
      <w:proofErr w:type="spellStart"/>
      <w:r w:rsidRPr="00291B2F">
        <w:rPr>
          <w:szCs w:val="24"/>
        </w:rPr>
        <w:t>probit</w:t>
      </w:r>
      <w:proofErr w:type="spellEnd"/>
      <w:r w:rsidRPr="00291B2F">
        <w:rPr>
          <w:szCs w:val="24"/>
        </w:rPr>
        <w:t xml:space="preserve"> models of the usage frequency of Uber and Lyft. </w:t>
      </w:r>
      <w:r w:rsidRPr="00291B2F">
        <w:rPr>
          <w:i/>
          <w:iCs/>
          <w:szCs w:val="24"/>
        </w:rPr>
        <w:t>Transportation Research Part C</w:t>
      </w:r>
      <w:r w:rsidRPr="00291B2F">
        <w:rPr>
          <w:szCs w:val="24"/>
        </w:rPr>
        <w:t xml:space="preserve">, </w:t>
      </w:r>
      <w:r>
        <w:rPr>
          <w:szCs w:val="24"/>
        </w:rPr>
        <w:t xml:space="preserve">2019. </w:t>
      </w:r>
      <w:r w:rsidRPr="00291B2F">
        <w:rPr>
          <w:szCs w:val="24"/>
        </w:rPr>
        <w:t>102: 233-248.</w:t>
      </w:r>
    </w:p>
    <w:p w14:paraId="3D78ADC1" w14:textId="77777777" w:rsidR="004573FB" w:rsidRPr="00291B2F" w:rsidRDefault="004573FB" w:rsidP="004573FB">
      <w:pPr>
        <w:pStyle w:val="ListParagraph"/>
        <w:numPr>
          <w:ilvl w:val="0"/>
          <w:numId w:val="24"/>
        </w:numPr>
        <w:spacing w:after="0"/>
        <w:ind w:left="360"/>
        <w:rPr>
          <w:szCs w:val="24"/>
          <w:shd w:val="clear" w:color="auto" w:fill="FFFFFF"/>
        </w:rPr>
      </w:pPr>
      <w:r w:rsidRPr="00291B2F">
        <w:rPr>
          <w:color w:val="000000"/>
          <w:szCs w:val="24"/>
          <w:shd w:val="clear" w:color="auto" w:fill="FFFFFF"/>
        </w:rPr>
        <w:t xml:space="preserve">Circella, G., Y. Lee, and F. Alemi, 2019. Exploring the relationships among travel multimodality, driving behavior, use of </w:t>
      </w:r>
      <w:proofErr w:type="spellStart"/>
      <w:r w:rsidRPr="00291B2F">
        <w:rPr>
          <w:color w:val="000000"/>
          <w:szCs w:val="24"/>
          <w:shd w:val="clear" w:color="auto" w:fill="FFFFFF"/>
        </w:rPr>
        <w:t>ridehailing</w:t>
      </w:r>
      <w:proofErr w:type="spellEnd"/>
      <w:r w:rsidRPr="00291B2F">
        <w:rPr>
          <w:color w:val="000000"/>
          <w:szCs w:val="24"/>
          <w:shd w:val="clear" w:color="auto" w:fill="FFFFFF"/>
        </w:rPr>
        <w:t xml:space="preserve"> and energy consumption.</w:t>
      </w:r>
      <w:r w:rsidRPr="00291B2F">
        <w:rPr>
          <w:rStyle w:val="Emphasis"/>
          <w:i w:val="0"/>
          <w:color w:val="000000"/>
          <w:szCs w:val="24"/>
        </w:rPr>
        <w:t xml:space="preserve"> National Center for Sustainable Transportation, </w:t>
      </w:r>
      <w:r w:rsidRPr="00291B2F">
        <w:rPr>
          <w:iCs/>
          <w:szCs w:val="24"/>
        </w:rPr>
        <w:t>University of California</w:t>
      </w:r>
      <w:r w:rsidRPr="00291B2F">
        <w:rPr>
          <w:rStyle w:val="Emphasis"/>
          <w:i w:val="0"/>
          <w:color w:val="000000"/>
          <w:szCs w:val="24"/>
        </w:rPr>
        <w:t xml:space="preserve"> Davis</w:t>
      </w:r>
      <w:r w:rsidRPr="00291B2F">
        <w:rPr>
          <w:i/>
          <w:color w:val="000000"/>
          <w:szCs w:val="24"/>
          <w:shd w:val="clear" w:color="auto" w:fill="FFFFFF"/>
        </w:rPr>
        <w:t>.</w:t>
      </w:r>
      <w:r w:rsidRPr="00291B2F">
        <w:rPr>
          <w:color w:val="000000"/>
          <w:szCs w:val="24"/>
          <w:shd w:val="clear" w:color="auto" w:fill="FFFFFF"/>
        </w:rPr>
        <w:t xml:space="preserve"> Available at: </w:t>
      </w:r>
      <w:hyperlink r:id="rId84" w:history="1">
        <w:r w:rsidRPr="00291B2F">
          <w:rPr>
            <w:rStyle w:val="Hyperlink"/>
            <w:szCs w:val="24"/>
            <w:shd w:val="clear" w:color="auto" w:fill="FFFFFF"/>
          </w:rPr>
          <w:t>https://escholarship.org/uc/item/31v7z2vf</w:t>
        </w:r>
      </w:hyperlink>
      <w:r w:rsidRPr="00291B2F">
        <w:rPr>
          <w:szCs w:val="24"/>
        </w:rPr>
        <w:t>. Accessed on July 20, 2019.</w:t>
      </w:r>
    </w:p>
    <w:p w14:paraId="59AEA5D8" w14:textId="77777777" w:rsidR="004573FB" w:rsidRPr="00291B2F" w:rsidRDefault="004573FB" w:rsidP="004573FB">
      <w:pPr>
        <w:pStyle w:val="ListParagraph"/>
        <w:numPr>
          <w:ilvl w:val="0"/>
          <w:numId w:val="24"/>
        </w:numPr>
        <w:spacing w:after="0"/>
        <w:ind w:left="360"/>
        <w:rPr>
          <w:szCs w:val="24"/>
          <w:shd w:val="clear" w:color="auto" w:fill="FFFFFF"/>
        </w:rPr>
      </w:pPr>
      <w:r w:rsidRPr="00291B2F">
        <w:rPr>
          <w:szCs w:val="24"/>
        </w:rPr>
        <w:t xml:space="preserve">Lavieri, P.S., and C.R. Bhat. Investigating objective and subjective factors influencing the adoption, frequency, and characteristics of ride-hailing trips. </w:t>
      </w:r>
      <w:r w:rsidRPr="00291B2F">
        <w:rPr>
          <w:i/>
          <w:szCs w:val="24"/>
        </w:rPr>
        <w:t>Transportation Research Part C</w:t>
      </w:r>
      <w:r w:rsidRPr="00291B2F">
        <w:rPr>
          <w:szCs w:val="24"/>
        </w:rPr>
        <w:t>, 2019</w:t>
      </w:r>
      <w:r>
        <w:rPr>
          <w:szCs w:val="24"/>
        </w:rPr>
        <w:t xml:space="preserve">. </w:t>
      </w:r>
      <w:r w:rsidRPr="00291B2F">
        <w:rPr>
          <w:szCs w:val="24"/>
        </w:rPr>
        <w:t>105:</w:t>
      </w:r>
      <w:r>
        <w:rPr>
          <w:szCs w:val="24"/>
        </w:rPr>
        <w:t xml:space="preserve"> </w:t>
      </w:r>
      <w:r w:rsidRPr="00291B2F">
        <w:rPr>
          <w:szCs w:val="24"/>
        </w:rPr>
        <w:t>100-125.</w:t>
      </w:r>
    </w:p>
    <w:p w14:paraId="1C1D3C6B" w14:textId="77777777" w:rsidR="004573FB" w:rsidRPr="00291B2F" w:rsidRDefault="004573FB" w:rsidP="004573FB">
      <w:pPr>
        <w:pStyle w:val="ListParagraph"/>
        <w:keepLines/>
        <w:numPr>
          <w:ilvl w:val="0"/>
          <w:numId w:val="24"/>
        </w:numPr>
        <w:spacing w:after="0"/>
        <w:ind w:left="360"/>
        <w:rPr>
          <w:szCs w:val="24"/>
          <w:shd w:val="clear" w:color="auto" w:fill="FFFFFF"/>
        </w:rPr>
      </w:pPr>
      <w:proofErr w:type="spellStart"/>
      <w:r w:rsidRPr="00291B2F">
        <w:rPr>
          <w:szCs w:val="24"/>
        </w:rPr>
        <w:lastRenderedPageBreak/>
        <w:t>Kooti</w:t>
      </w:r>
      <w:proofErr w:type="spellEnd"/>
      <w:r w:rsidRPr="00291B2F">
        <w:rPr>
          <w:szCs w:val="24"/>
        </w:rPr>
        <w:t xml:space="preserve">, F., M. </w:t>
      </w:r>
      <w:proofErr w:type="spellStart"/>
      <w:r w:rsidRPr="00291B2F">
        <w:rPr>
          <w:szCs w:val="24"/>
        </w:rPr>
        <w:t>Grbovic</w:t>
      </w:r>
      <w:proofErr w:type="spellEnd"/>
      <w:r w:rsidRPr="00291B2F">
        <w:rPr>
          <w:szCs w:val="24"/>
        </w:rPr>
        <w:t xml:space="preserve">, L.M. Aiello, N. Djuric, V. </w:t>
      </w:r>
      <w:proofErr w:type="spellStart"/>
      <w:r w:rsidRPr="00291B2F">
        <w:rPr>
          <w:szCs w:val="24"/>
        </w:rPr>
        <w:t>Radosavljevic</w:t>
      </w:r>
      <w:proofErr w:type="spellEnd"/>
      <w:r w:rsidRPr="00291B2F">
        <w:rPr>
          <w:szCs w:val="24"/>
        </w:rPr>
        <w:t xml:space="preserve">, and K. </w:t>
      </w:r>
      <w:proofErr w:type="spellStart"/>
      <w:r w:rsidRPr="00291B2F">
        <w:rPr>
          <w:szCs w:val="24"/>
        </w:rPr>
        <w:t>Lerman</w:t>
      </w:r>
      <w:proofErr w:type="spellEnd"/>
      <w:r w:rsidRPr="00291B2F">
        <w:rPr>
          <w:szCs w:val="24"/>
        </w:rPr>
        <w:t>. Analyzing Uber</w:t>
      </w:r>
      <w:r>
        <w:rPr>
          <w:szCs w:val="24"/>
        </w:rPr>
        <w:t>’</w:t>
      </w:r>
      <w:r w:rsidRPr="00291B2F">
        <w:rPr>
          <w:szCs w:val="24"/>
        </w:rPr>
        <w:t xml:space="preserve">s ride-sharing economy. </w:t>
      </w:r>
      <w:r w:rsidRPr="00291B2F">
        <w:rPr>
          <w:i/>
          <w:szCs w:val="24"/>
        </w:rPr>
        <w:t>Proceedings of the 26th International Conference on World Wide Web Companion</w:t>
      </w:r>
      <w:r w:rsidRPr="00291B2F">
        <w:rPr>
          <w:szCs w:val="24"/>
        </w:rPr>
        <w:t>, 2017, pp. 574-582. International World Wide Web Conferences Steering Committee.</w:t>
      </w:r>
    </w:p>
    <w:p w14:paraId="28A38C65" w14:textId="77777777" w:rsidR="004573FB" w:rsidRPr="00291B2F" w:rsidRDefault="004573FB" w:rsidP="004573FB">
      <w:pPr>
        <w:pStyle w:val="ListParagraph"/>
        <w:numPr>
          <w:ilvl w:val="0"/>
          <w:numId w:val="24"/>
        </w:numPr>
        <w:spacing w:after="0"/>
        <w:ind w:left="360"/>
        <w:rPr>
          <w:szCs w:val="24"/>
          <w:shd w:val="clear" w:color="auto" w:fill="FFFFFF"/>
        </w:rPr>
      </w:pPr>
      <w:r w:rsidRPr="00291B2F">
        <w:rPr>
          <w:szCs w:val="24"/>
        </w:rPr>
        <w:t xml:space="preserve">Lavieri, P.S., F.F. Dias, N.R. </w:t>
      </w:r>
      <w:proofErr w:type="spellStart"/>
      <w:r w:rsidRPr="00291B2F">
        <w:rPr>
          <w:szCs w:val="24"/>
        </w:rPr>
        <w:t>Juri</w:t>
      </w:r>
      <w:proofErr w:type="spellEnd"/>
      <w:r w:rsidRPr="00291B2F">
        <w:rPr>
          <w:szCs w:val="24"/>
        </w:rPr>
        <w:t xml:space="preserve">, J. Kuhr, and C.R. Bhat. A model of </w:t>
      </w:r>
      <w:proofErr w:type="spellStart"/>
      <w:r w:rsidRPr="00291B2F">
        <w:rPr>
          <w:szCs w:val="24"/>
        </w:rPr>
        <w:t>ridesourcing</w:t>
      </w:r>
      <w:proofErr w:type="spellEnd"/>
      <w:r w:rsidRPr="00291B2F">
        <w:rPr>
          <w:szCs w:val="24"/>
        </w:rPr>
        <w:t xml:space="preserve"> demand generation and distribution. </w:t>
      </w:r>
      <w:r w:rsidRPr="00291B2F">
        <w:rPr>
          <w:i/>
          <w:szCs w:val="24"/>
        </w:rPr>
        <w:t>Transportation Research Record: Journal of the Transportation Research Board</w:t>
      </w:r>
      <w:r w:rsidRPr="00291B2F">
        <w:rPr>
          <w:szCs w:val="24"/>
        </w:rPr>
        <w:t xml:space="preserve">, </w:t>
      </w:r>
      <w:r>
        <w:rPr>
          <w:szCs w:val="24"/>
        </w:rPr>
        <w:t xml:space="preserve">2018. </w:t>
      </w:r>
      <w:r w:rsidRPr="00291B2F">
        <w:rPr>
          <w:szCs w:val="24"/>
        </w:rPr>
        <w:t>2672(46): 31-40.</w:t>
      </w:r>
    </w:p>
    <w:p w14:paraId="254DC906" w14:textId="77777777" w:rsidR="004573FB" w:rsidRPr="00291B2F" w:rsidRDefault="004573FB" w:rsidP="004573FB">
      <w:pPr>
        <w:pStyle w:val="ListParagraph"/>
        <w:numPr>
          <w:ilvl w:val="0"/>
          <w:numId w:val="24"/>
        </w:numPr>
        <w:spacing w:after="0"/>
        <w:ind w:left="360"/>
        <w:rPr>
          <w:szCs w:val="24"/>
          <w:shd w:val="clear" w:color="auto" w:fill="FFFFFF"/>
        </w:rPr>
      </w:pPr>
      <w:r w:rsidRPr="00291B2F">
        <w:rPr>
          <w:szCs w:val="24"/>
          <w:shd w:val="clear" w:color="auto" w:fill="FFFFFF"/>
        </w:rPr>
        <w:t>Dias, F.F., P.S. Lavieri, T. Kim, C.R. Bhat, and R.M. Pendyala. Fusing multiple sources of data to understand ride-hailing use.</w:t>
      </w:r>
      <w:r w:rsidRPr="00291B2F">
        <w:rPr>
          <w:szCs w:val="24"/>
        </w:rPr>
        <w:t xml:space="preserve"> </w:t>
      </w:r>
      <w:r w:rsidRPr="00291B2F">
        <w:rPr>
          <w:i/>
          <w:szCs w:val="24"/>
        </w:rPr>
        <w:t>Transportation Research Record: Journal of the Transportation Research Board</w:t>
      </w:r>
      <w:r w:rsidRPr="00291B2F">
        <w:rPr>
          <w:szCs w:val="24"/>
        </w:rPr>
        <w:t xml:space="preserve">, </w:t>
      </w:r>
      <w:r>
        <w:rPr>
          <w:szCs w:val="24"/>
        </w:rPr>
        <w:t xml:space="preserve">2019. </w:t>
      </w:r>
      <w:r w:rsidRPr="00291B2F">
        <w:rPr>
          <w:szCs w:val="24"/>
        </w:rPr>
        <w:t>2673(6): 214-224.</w:t>
      </w:r>
    </w:p>
    <w:p w14:paraId="3425A5D9" w14:textId="77777777" w:rsidR="004573FB" w:rsidRPr="00291B2F" w:rsidRDefault="004573FB" w:rsidP="004573FB">
      <w:pPr>
        <w:pStyle w:val="ListParagraph"/>
        <w:numPr>
          <w:ilvl w:val="0"/>
          <w:numId w:val="24"/>
        </w:numPr>
        <w:spacing w:after="0"/>
        <w:ind w:left="360"/>
        <w:rPr>
          <w:szCs w:val="24"/>
          <w:shd w:val="clear" w:color="auto" w:fill="FFFFFF"/>
        </w:rPr>
      </w:pPr>
      <w:proofErr w:type="spellStart"/>
      <w:r w:rsidRPr="00291B2F">
        <w:rPr>
          <w:szCs w:val="24"/>
        </w:rPr>
        <w:t>Komanduri</w:t>
      </w:r>
      <w:proofErr w:type="spellEnd"/>
      <w:r w:rsidRPr="00291B2F">
        <w:rPr>
          <w:szCs w:val="24"/>
        </w:rPr>
        <w:t xml:space="preserve">, A., Z. </w:t>
      </w:r>
      <w:proofErr w:type="spellStart"/>
      <w:r w:rsidRPr="00291B2F">
        <w:rPr>
          <w:szCs w:val="24"/>
        </w:rPr>
        <w:t>Wafa</w:t>
      </w:r>
      <w:proofErr w:type="spellEnd"/>
      <w:r w:rsidRPr="00291B2F">
        <w:rPr>
          <w:szCs w:val="24"/>
        </w:rPr>
        <w:t xml:space="preserve">, K. Proussaloglou, and S. Jacobs. Assessing the impact of app-based ride share systems in an urban context: Findings from Austin. </w:t>
      </w:r>
      <w:r w:rsidRPr="00291B2F">
        <w:rPr>
          <w:i/>
          <w:szCs w:val="24"/>
        </w:rPr>
        <w:t>Transportation Research Record: Journal of the Transportation Research Board</w:t>
      </w:r>
      <w:r w:rsidRPr="00291B2F">
        <w:rPr>
          <w:szCs w:val="24"/>
        </w:rPr>
        <w:t xml:space="preserve">, </w:t>
      </w:r>
      <w:r>
        <w:rPr>
          <w:szCs w:val="24"/>
        </w:rPr>
        <w:t xml:space="preserve">2018. </w:t>
      </w:r>
      <w:r w:rsidRPr="00291B2F">
        <w:rPr>
          <w:szCs w:val="24"/>
        </w:rPr>
        <w:t>2672(7): 34-46.</w:t>
      </w:r>
    </w:p>
    <w:p w14:paraId="2358584A" w14:textId="77777777" w:rsidR="004573FB" w:rsidRPr="00A34FC7" w:rsidRDefault="004573FB" w:rsidP="004573FB">
      <w:pPr>
        <w:pStyle w:val="ListParagraph"/>
        <w:numPr>
          <w:ilvl w:val="0"/>
          <w:numId w:val="24"/>
        </w:numPr>
        <w:spacing w:after="0"/>
        <w:ind w:left="360"/>
        <w:rPr>
          <w:szCs w:val="24"/>
          <w:shd w:val="clear" w:color="auto" w:fill="FFFFFF"/>
        </w:rPr>
      </w:pPr>
      <w:r w:rsidRPr="00291B2F">
        <w:rPr>
          <w:szCs w:val="24"/>
        </w:rPr>
        <w:t xml:space="preserve">Wenzel, T., C. </w:t>
      </w:r>
      <w:proofErr w:type="spellStart"/>
      <w:r w:rsidRPr="00291B2F">
        <w:rPr>
          <w:szCs w:val="24"/>
        </w:rPr>
        <w:t>Rames</w:t>
      </w:r>
      <w:proofErr w:type="spellEnd"/>
      <w:r w:rsidRPr="00291B2F">
        <w:rPr>
          <w:szCs w:val="24"/>
        </w:rPr>
        <w:t xml:space="preserve">, E. </w:t>
      </w:r>
      <w:proofErr w:type="spellStart"/>
      <w:r w:rsidRPr="00291B2F">
        <w:rPr>
          <w:szCs w:val="24"/>
        </w:rPr>
        <w:t>Kontou</w:t>
      </w:r>
      <w:proofErr w:type="spellEnd"/>
      <w:r w:rsidRPr="00291B2F">
        <w:rPr>
          <w:szCs w:val="24"/>
        </w:rPr>
        <w:t xml:space="preserve">, and A. </w:t>
      </w:r>
      <w:proofErr w:type="spellStart"/>
      <w:r w:rsidRPr="00291B2F">
        <w:rPr>
          <w:szCs w:val="24"/>
        </w:rPr>
        <w:t>Henao</w:t>
      </w:r>
      <w:proofErr w:type="spellEnd"/>
      <w:r w:rsidRPr="00291B2F">
        <w:rPr>
          <w:szCs w:val="24"/>
        </w:rPr>
        <w:t xml:space="preserve">. Travel and energy implications of </w:t>
      </w:r>
      <w:proofErr w:type="spellStart"/>
      <w:r w:rsidRPr="00A34FC7">
        <w:rPr>
          <w:szCs w:val="24"/>
        </w:rPr>
        <w:t>ridesourcing</w:t>
      </w:r>
      <w:proofErr w:type="spellEnd"/>
      <w:r w:rsidRPr="00A34FC7">
        <w:rPr>
          <w:szCs w:val="24"/>
        </w:rPr>
        <w:t xml:space="preserve"> service in Austin, Texas. </w:t>
      </w:r>
      <w:r w:rsidRPr="00A34FC7">
        <w:rPr>
          <w:i/>
          <w:szCs w:val="24"/>
        </w:rPr>
        <w:t>Transportation Research Part D</w:t>
      </w:r>
      <w:r w:rsidRPr="00A34FC7">
        <w:rPr>
          <w:szCs w:val="24"/>
        </w:rPr>
        <w:t>, 2019. 70: 18-34.</w:t>
      </w:r>
    </w:p>
    <w:p w14:paraId="0F3FDC49" w14:textId="77777777" w:rsidR="004573FB" w:rsidRPr="00A34FC7" w:rsidRDefault="004573FB" w:rsidP="004573FB">
      <w:pPr>
        <w:pStyle w:val="ListParagraph"/>
        <w:numPr>
          <w:ilvl w:val="0"/>
          <w:numId w:val="24"/>
        </w:numPr>
        <w:spacing w:after="0"/>
        <w:ind w:left="360"/>
        <w:rPr>
          <w:rStyle w:val="Hyperlink"/>
          <w:color w:val="auto"/>
          <w:szCs w:val="24"/>
          <w:u w:val="none"/>
          <w:shd w:val="clear" w:color="auto" w:fill="FFFFFF"/>
        </w:rPr>
      </w:pPr>
      <w:proofErr w:type="spellStart"/>
      <w:r w:rsidRPr="00A34FC7">
        <w:rPr>
          <w:szCs w:val="24"/>
        </w:rPr>
        <w:t>Tirachini</w:t>
      </w:r>
      <w:proofErr w:type="spellEnd"/>
      <w:r w:rsidRPr="00A34FC7">
        <w:rPr>
          <w:szCs w:val="24"/>
        </w:rPr>
        <w:t xml:space="preserve">, A. Ride-hailing, travel </w:t>
      </w:r>
      <w:proofErr w:type="spellStart"/>
      <w:r w:rsidRPr="00A34FC7">
        <w:rPr>
          <w:szCs w:val="24"/>
        </w:rPr>
        <w:t>behaviour</w:t>
      </w:r>
      <w:proofErr w:type="spellEnd"/>
      <w:r w:rsidRPr="00A34FC7">
        <w:rPr>
          <w:szCs w:val="24"/>
        </w:rPr>
        <w:t xml:space="preserve"> and sustainable mobility: an international review. </w:t>
      </w:r>
      <w:r w:rsidRPr="00A34FC7">
        <w:rPr>
          <w:i/>
          <w:szCs w:val="24"/>
        </w:rPr>
        <w:t>Transportation</w:t>
      </w:r>
      <w:r w:rsidRPr="00A34FC7">
        <w:rPr>
          <w:szCs w:val="24"/>
        </w:rPr>
        <w:t xml:space="preserve">, 2020. 47: 2011-2047. </w:t>
      </w:r>
      <w:hyperlink r:id="rId85" w:history="1">
        <w:r w:rsidRPr="00A34FC7">
          <w:rPr>
            <w:rStyle w:val="Hyperlink"/>
            <w:szCs w:val="24"/>
          </w:rPr>
          <w:t>https://doi.org/10.1007/s11116-019-10070-2</w:t>
        </w:r>
      </w:hyperlink>
    </w:p>
    <w:p w14:paraId="1FF2A859" w14:textId="77777777" w:rsidR="004573FB" w:rsidRPr="00B258A1" w:rsidRDefault="004573FB" w:rsidP="004573FB">
      <w:pPr>
        <w:pStyle w:val="ListParagraph"/>
        <w:numPr>
          <w:ilvl w:val="0"/>
          <w:numId w:val="24"/>
        </w:numPr>
        <w:spacing w:after="0"/>
        <w:ind w:left="360"/>
        <w:rPr>
          <w:szCs w:val="24"/>
          <w:shd w:val="clear" w:color="auto" w:fill="FFFFFF"/>
        </w:rPr>
      </w:pPr>
      <w:r>
        <w:t xml:space="preserve">NASEM (National Academies of Sciences, Engineering, and Medicine), 2012. </w:t>
      </w:r>
      <w:r w:rsidRPr="00B258A1">
        <w:rPr>
          <w:i/>
          <w:iCs/>
        </w:rPr>
        <w:t>Travel Demand Forecasting: Parameters and Techniques</w:t>
      </w:r>
      <w:r>
        <w:t xml:space="preserve">. NCHRP Report 716, The National Academies Press, Washington, DC. </w:t>
      </w:r>
      <w:hyperlink r:id="rId86" w:history="1">
        <w:r>
          <w:rPr>
            <w:rStyle w:val="Hyperlink"/>
          </w:rPr>
          <w:t>https://doi.org/10.17226/14665</w:t>
        </w:r>
      </w:hyperlink>
      <w:bookmarkStart w:id="14" w:name="_GoBack"/>
      <w:bookmarkEnd w:id="14"/>
    </w:p>
    <w:p w14:paraId="3B313147" w14:textId="77777777" w:rsidR="004573FB" w:rsidRPr="009879EC" w:rsidRDefault="004573FB" w:rsidP="004573FB">
      <w:pPr>
        <w:pStyle w:val="ListParagraph"/>
        <w:numPr>
          <w:ilvl w:val="0"/>
          <w:numId w:val="24"/>
        </w:numPr>
        <w:spacing w:after="0"/>
        <w:ind w:left="360"/>
        <w:rPr>
          <w:rStyle w:val="selectable"/>
          <w:szCs w:val="24"/>
          <w:shd w:val="clear" w:color="auto" w:fill="FFFFFF"/>
        </w:rPr>
      </w:pPr>
      <w:r w:rsidRPr="009879EC">
        <w:rPr>
          <w:rStyle w:val="selectable"/>
          <w:szCs w:val="24"/>
        </w:rPr>
        <w:t xml:space="preserve">Marchetti, C. Anthropological invariants in travel behavior. </w:t>
      </w:r>
      <w:r w:rsidRPr="009879EC">
        <w:rPr>
          <w:rStyle w:val="selectable"/>
          <w:i/>
          <w:szCs w:val="24"/>
        </w:rPr>
        <w:t>Technological Forecasting and Social Change</w:t>
      </w:r>
      <w:r w:rsidRPr="009879EC">
        <w:rPr>
          <w:rStyle w:val="selectable"/>
          <w:szCs w:val="24"/>
        </w:rPr>
        <w:t>, 1994. 47(1): 75-88.</w:t>
      </w:r>
    </w:p>
    <w:p w14:paraId="693C4D8D" w14:textId="77777777" w:rsidR="004573FB" w:rsidRPr="009879EC" w:rsidRDefault="004573FB" w:rsidP="004573FB">
      <w:pPr>
        <w:pStyle w:val="ListParagraph"/>
        <w:numPr>
          <w:ilvl w:val="0"/>
          <w:numId w:val="24"/>
        </w:numPr>
        <w:spacing w:after="0"/>
        <w:ind w:left="360"/>
        <w:rPr>
          <w:rStyle w:val="selectable"/>
          <w:szCs w:val="24"/>
          <w:shd w:val="clear" w:color="auto" w:fill="FFFFFF"/>
        </w:rPr>
      </w:pPr>
      <w:r w:rsidRPr="009879EC">
        <w:rPr>
          <w:rStyle w:val="selectable"/>
          <w:szCs w:val="24"/>
        </w:rPr>
        <w:t xml:space="preserve">Meyer, M.D. Demand management as an element of transportation policy: using carrots and sticks to influence travel behavior. </w:t>
      </w:r>
      <w:r w:rsidRPr="009879EC">
        <w:rPr>
          <w:rStyle w:val="selectable"/>
          <w:i/>
          <w:szCs w:val="24"/>
        </w:rPr>
        <w:t>Transportation Research Part A</w:t>
      </w:r>
      <w:r w:rsidRPr="009879EC">
        <w:rPr>
          <w:rStyle w:val="selectable"/>
          <w:szCs w:val="24"/>
        </w:rPr>
        <w:t>, 1999. 33(7-8): 575-599.</w:t>
      </w:r>
    </w:p>
    <w:p w14:paraId="4978157B" w14:textId="77777777" w:rsidR="004573FB" w:rsidRPr="009879EC" w:rsidRDefault="004573FB" w:rsidP="004573FB">
      <w:pPr>
        <w:pStyle w:val="ListParagraph"/>
        <w:numPr>
          <w:ilvl w:val="0"/>
          <w:numId w:val="24"/>
        </w:numPr>
        <w:spacing w:after="0"/>
        <w:ind w:left="360"/>
        <w:rPr>
          <w:szCs w:val="24"/>
          <w:shd w:val="clear" w:color="auto" w:fill="FFFFFF"/>
        </w:rPr>
      </w:pPr>
      <w:r w:rsidRPr="009879EC">
        <w:rPr>
          <w:szCs w:val="24"/>
        </w:rPr>
        <w:t xml:space="preserve">Wu, J., H. Sun, D.Z. Wang, M. Zhong, L. Han, and Z. Gao. Bounded-rationality based day-to-day evolution model for travel behavior analysis of urban railway network. </w:t>
      </w:r>
      <w:r w:rsidRPr="009879EC">
        <w:rPr>
          <w:i/>
          <w:szCs w:val="24"/>
        </w:rPr>
        <w:t>Transportation Research Part C</w:t>
      </w:r>
      <w:r w:rsidRPr="009879EC">
        <w:rPr>
          <w:szCs w:val="24"/>
        </w:rPr>
        <w:t>, 2013. 31: 73-82.</w:t>
      </w:r>
    </w:p>
    <w:p w14:paraId="1EDCE1CF" w14:textId="77777777" w:rsidR="004573FB" w:rsidRPr="009879EC" w:rsidRDefault="004573FB" w:rsidP="004573FB">
      <w:pPr>
        <w:pStyle w:val="ListParagraph"/>
        <w:numPr>
          <w:ilvl w:val="0"/>
          <w:numId w:val="24"/>
        </w:numPr>
        <w:spacing w:after="0"/>
        <w:ind w:left="360"/>
        <w:rPr>
          <w:rStyle w:val="selectable"/>
          <w:szCs w:val="24"/>
          <w:shd w:val="clear" w:color="auto" w:fill="FFFFFF"/>
        </w:rPr>
      </w:pPr>
      <w:r w:rsidRPr="009879EC">
        <w:rPr>
          <w:rStyle w:val="selectable"/>
          <w:szCs w:val="24"/>
        </w:rPr>
        <w:t xml:space="preserve">Miller, E.J., and A. </w:t>
      </w:r>
      <w:proofErr w:type="spellStart"/>
      <w:r w:rsidRPr="009879EC">
        <w:rPr>
          <w:rStyle w:val="selectable"/>
          <w:szCs w:val="24"/>
        </w:rPr>
        <w:t>Shalaby</w:t>
      </w:r>
      <w:proofErr w:type="spellEnd"/>
      <w:r w:rsidRPr="009879EC">
        <w:rPr>
          <w:rStyle w:val="selectable"/>
          <w:szCs w:val="24"/>
        </w:rPr>
        <w:t xml:space="preserve">. Evolution of personal travel in Toronto area and policy implications. </w:t>
      </w:r>
      <w:r w:rsidRPr="009879EC">
        <w:rPr>
          <w:rStyle w:val="selectable"/>
          <w:i/>
          <w:szCs w:val="24"/>
        </w:rPr>
        <w:t>Journal of Urban Planning and Development</w:t>
      </w:r>
      <w:r w:rsidRPr="009879EC">
        <w:rPr>
          <w:rStyle w:val="selectable"/>
          <w:szCs w:val="24"/>
        </w:rPr>
        <w:t>, 2003. 129(1): 1-26.</w:t>
      </w:r>
    </w:p>
    <w:p w14:paraId="1ACF78AD" w14:textId="77777777" w:rsidR="004573FB" w:rsidRDefault="004573FB" w:rsidP="004573FB">
      <w:pPr>
        <w:pStyle w:val="ListParagraph"/>
        <w:numPr>
          <w:ilvl w:val="0"/>
          <w:numId w:val="24"/>
        </w:numPr>
        <w:spacing w:after="0"/>
        <w:ind w:left="360"/>
        <w:rPr>
          <w:szCs w:val="24"/>
          <w:shd w:val="clear" w:color="auto" w:fill="FFFFFF"/>
        </w:rPr>
      </w:pPr>
      <w:proofErr w:type="spellStart"/>
      <w:r w:rsidRPr="009879EC">
        <w:rPr>
          <w:szCs w:val="24"/>
          <w:shd w:val="clear" w:color="auto" w:fill="FFFFFF"/>
        </w:rPr>
        <w:t>Sharaby</w:t>
      </w:r>
      <w:proofErr w:type="spellEnd"/>
      <w:r w:rsidRPr="009879EC">
        <w:rPr>
          <w:szCs w:val="24"/>
          <w:shd w:val="clear" w:color="auto" w:fill="FFFFFF"/>
        </w:rPr>
        <w:t xml:space="preserve">, N., and Y. Shiftan. The impact of fare integration on travel behavior and transit ridership. </w:t>
      </w:r>
      <w:r w:rsidRPr="009879EC">
        <w:rPr>
          <w:i/>
          <w:szCs w:val="24"/>
          <w:shd w:val="clear" w:color="auto" w:fill="FFFFFF"/>
        </w:rPr>
        <w:t>Transport Policy</w:t>
      </w:r>
      <w:r w:rsidRPr="009879EC">
        <w:rPr>
          <w:szCs w:val="24"/>
          <w:shd w:val="clear" w:color="auto" w:fill="FFFFFF"/>
        </w:rPr>
        <w:t>, 2012. 21: 63-70.</w:t>
      </w:r>
    </w:p>
    <w:p w14:paraId="24553A59" w14:textId="77777777" w:rsidR="004573FB" w:rsidRPr="009879EC" w:rsidRDefault="004573FB" w:rsidP="004573FB">
      <w:pPr>
        <w:pStyle w:val="ListParagraph"/>
        <w:numPr>
          <w:ilvl w:val="0"/>
          <w:numId w:val="24"/>
        </w:numPr>
        <w:spacing w:after="0"/>
        <w:ind w:left="360"/>
        <w:rPr>
          <w:szCs w:val="24"/>
          <w:shd w:val="clear" w:color="auto" w:fill="FFFFFF"/>
        </w:rPr>
      </w:pPr>
      <w:r w:rsidRPr="009879EC">
        <w:rPr>
          <w:szCs w:val="24"/>
        </w:rPr>
        <w:t xml:space="preserve">Zhao, Z., G. Chua, and J. Zhao. Evolution of trip chaining patterns in London from 1991 to 2010. </w:t>
      </w:r>
      <w:r w:rsidRPr="009879EC">
        <w:rPr>
          <w:i/>
          <w:szCs w:val="24"/>
        </w:rPr>
        <w:t>Innovations in Travel Modelling Conference</w:t>
      </w:r>
      <w:r w:rsidRPr="009879EC">
        <w:rPr>
          <w:szCs w:val="24"/>
        </w:rPr>
        <w:t>, Tampa, 2012.</w:t>
      </w:r>
    </w:p>
    <w:p w14:paraId="74AC3654" w14:textId="77777777" w:rsidR="004573FB" w:rsidRPr="009879EC" w:rsidRDefault="004573FB" w:rsidP="004573FB">
      <w:pPr>
        <w:pStyle w:val="ListParagraph"/>
        <w:numPr>
          <w:ilvl w:val="0"/>
          <w:numId w:val="24"/>
        </w:numPr>
        <w:spacing w:after="0"/>
        <w:ind w:left="360"/>
        <w:rPr>
          <w:szCs w:val="24"/>
          <w:shd w:val="clear" w:color="auto" w:fill="FFFFFF"/>
        </w:rPr>
      </w:pPr>
      <w:proofErr w:type="spellStart"/>
      <w:r w:rsidRPr="009879EC">
        <w:rPr>
          <w:iCs/>
          <w:szCs w:val="24"/>
        </w:rPr>
        <w:t>Abenoza</w:t>
      </w:r>
      <w:proofErr w:type="spellEnd"/>
      <w:r w:rsidRPr="009879EC">
        <w:rPr>
          <w:iCs/>
          <w:szCs w:val="24"/>
        </w:rPr>
        <w:t xml:space="preserve">, R.F., O. Cats, and Y.O. Susilo. Travel satisfaction with public transport: Determinants, user classes, regional disparities and their evolution. </w:t>
      </w:r>
      <w:r w:rsidRPr="009879EC">
        <w:rPr>
          <w:i/>
          <w:iCs/>
          <w:szCs w:val="24"/>
        </w:rPr>
        <w:t>Transportation Research Part A</w:t>
      </w:r>
      <w:r w:rsidRPr="009879EC">
        <w:rPr>
          <w:iCs/>
          <w:szCs w:val="24"/>
        </w:rPr>
        <w:t>, 2017. 95: 64-84.</w:t>
      </w:r>
    </w:p>
    <w:p w14:paraId="0DAD3818" w14:textId="77777777" w:rsidR="004573FB" w:rsidRPr="009879EC" w:rsidRDefault="004573FB" w:rsidP="004573FB">
      <w:pPr>
        <w:pStyle w:val="ListParagraph"/>
        <w:numPr>
          <w:ilvl w:val="0"/>
          <w:numId w:val="24"/>
        </w:numPr>
        <w:spacing w:after="0"/>
        <w:ind w:left="360"/>
        <w:rPr>
          <w:szCs w:val="24"/>
          <w:shd w:val="clear" w:color="auto" w:fill="FFFFFF"/>
        </w:rPr>
      </w:pPr>
      <w:r w:rsidRPr="009879EC">
        <w:rPr>
          <w:szCs w:val="24"/>
        </w:rPr>
        <w:t xml:space="preserve">Young, A.L., S.E. Young, and A. </w:t>
      </w:r>
      <w:proofErr w:type="spellStart"/>
      <w:r w:rsidRPr="009879EC">
        <w:rPr>
          <w:szCs w:val="24"/>
        </w:rPr>
        <w:t>Henao</w:t>
      </w:r>
      <w:proofErr w:type="spellEnd"/>
      <w:r w:rsidRPr="009879EC">
        <w:rPr>
          <w:szCs w:val="24"/>
        </w:rPr>
        <w:t>. Business traveler behavioral shifts from ride-hailing: A before-after case study (No. NREL/CP-5400-71680). National Renewable Energy Lab (NREL), Golden, CO (United States), 2018.</w:t>
      </w:r>
    </w:p>
    <w:p w14:paraId="494DA2B2" w14:textId="77777777" w:rsidR="004573FB" w:rsidRPr="009879EC" w:rsidRDefault="004573FB" w:rsidP="004573FB">
      <w:pPr>
        <w:pStyle w:val="ListParagraph"/>
        <w:numPr>
          <w:ilvl w:val="0"/>
          <w:numId w:val="24"/>
        </w:numPr>
        <w:spacing w:after="0"/>
        <w:ind w:left="360"/>
        <w:rPr>
          <w:szCs w:val="24"/>
          <w:shd w:val="clear" w:color="auto" w:fill="FFFFFF"/>
        </w:rPr>
      </w:pPr>
      <w:r w:rsidRPr="009879EC">
        <w:rPr>
          <w:szCs w:val="24"/>
        </w:rPr>
        <w:t xml:space="preserve">Uber. </w:t>
      </w:r>
      <w:r w:rsidRPr="009879EC">
        <w:rPr>
          <w:i/>
          <w:szCs w:val="24"/>
        </w:rPr>
        <w:t>One in a billion</w:t>
      </w:r>
      <w:r w:rsidRPr="009879EC">
        <w:rPr>
          <w:szCs w:val="24"/>
        </w:rPr>
        <w:t xml:space="preserve">. Dec 2015. Available at: </w:t>
      </w:r>
      <w:hyperlink r:id="rId87" w:history="1">
        <w:r w:rsidRPr="009879EC">
          <w:rPr>
            <w:rStyle w:val="Hyperlink"/>
            <w:szCs w:val="24"/>
          </w:rPr>
          <w:t>https://www.uber.com/newsroom/one-in-a-billion/</w:t>
        </w:r>
      </w:hyperlink>
      <w:r w:rsidRPr="009879EC">
        <w:rPr>
          <w:szCs w:val="24"/>
        </w:rPr>
        <w:t>. Accessed on Jan 15, 2019.</w:t>
      </w:r>
    </w:p>
    <w:p w14:paraId="4267666C" w14:textId="77777777" w:rsidR="004573FB" w:rsidRPr="009879EC" w:rsidRDefault="004573FB" w:rsidP="004573FB">
      <w:pPr>
        <w:pStyle w:val="ListParagraph"/>
        <w:numPr>
          <w:ilvl w:val="0"/>
          <w:numId w:val="24"/>
        </w:numPr>
        <w:spacing w:after="0"/>
        <w:ind w:left="360"/>
        <w:rPr>
          <w:szCs w:val="24"/>
          <w:shd w:val="clear" w:color="auto" w:fill="FFFFFF"/>
        </w:rPr>
      </w:pPr>
      <w:r w:rsidRPr="009879EC">
        <w:rPr>
          <w:szCs w:val="24"/>
        </w:rPr>
        <w:t xml:space="preserve">Fortune. </w:t>
      </w:r>
      <w:r w:rsidRPr="009879EC">
        <w:rPr>
          <w:i/>
          <w:szCs w:val="24"/>
        </w:rPr>
        <w:t>Uber completes 2 Billion Rides</w:t>
      </w:r>
      <w:r w:rsidRPr="009879EC">
        <w:rPr>
          <w:szCs w:val="24"/>
        </w:rPr>
        <w:t xml:space="preserve">. Jul 2016. Available at: </w:t>
      </w:r>
      <w:hyperlink r:id="rId88" w:history="1">
        <w:r w:rsidRPr="009879EC">
          <w:rPr>
            <w:rStyle w:val="Hyperlink"/>
            <w:szCs w:val="24"/>
          </w:rPr>
          <w:t>http://fortune.com/2016/07/18/uber-two-billion-rides/</w:t>
        </w:r>
      </w:hyperlink>
      <w:r w:rsidRPr="009879EC">
        <w:rPr>
          <w:szCs w:val="24"/>
        </w:rPr>
        <w:t>. Accessed on Jan 15, 2019.</w:t>
      </w:r>
    </w:p>
    <w:p w14:paraId="13D11C52" w14:textId="77777777" w:rsidR="004573FB" w:rsidRPr="009879EC" w:rsidRDefault="004573FB" w:rsidP="004573FB">
      <w:pPr>
        <w:pStyle w:val="ListParagraph"/>
        <w:numPr>
          <w:ilvl w:val="0"/>
          <w:numId w:val="24"/>
        </w:numPr>
        <w:spacing w:after="0"/>
        <w:ind w:left="360"/>
        <w:rPr>
          <w:szCs w:val="24"/>
          <w:shd w:val="clear" w:color="auto" w:fill="FFFFFF"/>
        </w:rPr>
      </w:pPr>
      <w:r w:rsidRPr="009879EC">
        <w:rPr>
          <w:szCs w:val="24"/>
        </w:rPr>
        <w:t xml:space="preserve">Uber. </w:t>
      </w:r>
      <w:r w:rsidRPr="009879EC">
        <w:rPr>
          <w:i/>
          <w:szCs w:val="24"/>
        </w:rPr>
        <w:t>Introducing Ride Pass: A new way to plan your day (and budget) with Uber</w:t>
      </w:r>
      <w:r w:rsidRPr="009879EC">
        <w:rPr>
          <w:szCs w:val="24"/>
        </w:rPr>
        <w:t xml:space="preserve">. Oct 2018. Available at: </w:t>
      </w:r>
      <w:hyperlink r:id="rId89" w:history="1">
        <w:r w:rsidRPr="009879EC">
          <w:rPr>
            <w:rStyle w:val="Hyperlink"/>
            <w:szCs w:val="24"/>
          </w:rPr>
          <w:t>https://www.uber.com/newsroom/ride-pass/</w:t>
        </w:r>
      </w:hyperlink>
      <w:r w:rsidRPr="009879EC">
        <w:rPr>
          <w:szCs w:val="24"/>
        </w:rPr>
        <w:t>. Accessed on Jan 15, 2019.</w:t>
      </w:r>
    </w:p>
    <w:p w14:paraId="58383C85" w14:textId="77777777" w:rsidR="004573FB" w:rsidRPr="009879EC" w:rsidRDefault="004573FB" w:rsidP="004573FB">
      <w:pPr>
        <w:pStyle w:val="ListParagraph"/>
        <w:numPr>
          <w:ilvl w:val="0"/>
          <w:numId w:val="24"/>
        </w:numPr>
        <w:spacing w:after="0"/>
        <w:ind w:left="360"/>
        <w:rPr>
          <w:szCs w:val="24"/>
          <w:shd w:val="clear" w:color="auto" w:fill="FFFFFF"/>
        </w:rPr>
      </w:pPr>
      <w:r w:rsidRPr="009879EC">
        <w:rPr>
          <w:szCs w:val="24"/>
        </w:rPr>
        <w:lastRenderedPageBreak/>
        <w:t xml:space="preserve">Lyft. </w:t>
      </w:r>
      <w:r w:rsidRPr="009879EC">
        <w:rPr>
          <w:i/>
          <w:szCs w:val="24"/>
        </w:rPr>
        <w:t>New! Subscribe and Save with the All-Access Plan</w:t>
      </w:r>
      <w:r w:rsidRPr="009879EC">
        <w:rPr>
          <w:szCs w:val="24"/>
        </w:rPr>
        <w:t xml:space="preserve">. Oct 2018. Available at: </w:t>
      </w:r>
      <w:hyperlink r:id="rId90" w:history="1">
        <w:r w:rsidRPr="009879EC">
          <w:rPr>
            <w:rStyle w:val="Hyperlink"/>
            <w:szCs w:val="24"/>
          </w:rPr>
          <w:t>https://blog.lyft.com/posts/subscribe-and-save-with-the-all-access-plan</w:t>
        </w:r>
      </w:hyperlink>
      <w:r w:rsidRPr="009879EC">
        <w:rPr>
          <w:rStyle w:val="Hyperlink"/>
          <w:szCs w:val="24"/>
        </w:rPr>
        <w:t>/</w:t>
      </w:r>
      <w:r w:rsidRPr="009879EC">
        <w:rPr>
          <w:szCs w:val="24"/>
        </w:rPr>
        <w:t>. Accessed on Jan 15, 2019.</w:t>
      </w:r>
    </w:p>
    <w:p w14:paraId="0076A624" w14:textId="77777777" w:rsidR="004573FB" w:rsidRPr="009879EC" w:rsidRDefault="004573FB" w:rsidP="004573FB">
      <w:pPr>
        <w:pStyle w:val="ListParagraph"/>
        <w:numPr>
          <w:ilvl w:val="0"/>
          <w:numId w:val="24"/>
        </w:numPr>
        <w:spacing w:after="0"/>
        <w:ind w:left="360"/>
        <w:rPr>
          <w:szCs w:val="24"/>
          <w:shd w:val="clear" w:color="auto" w:fill="FFFFFF"/>
        </w:rPr>
      </w:pPr>
      <w:r w:rsidRPr="009879EC">
        <w:rPr>
          <w:szCs w:val="24"/>
        </w:rPr>
        <w:t xml:space="preserve">Uber. </w:t>
      </w:r>
      <w:r w:rsidRPr="009879EC">
        <w:rPr>
          <w:i/>
          <w:szCs w:val="24"/>
        </w:rPr>
        <w:t xml:space="preserve">You Are Now Free </w:t>
      </w:r>
      <w:proofErr w:type="gramStart"/>
      <w:r w:rsidRPr="009879EC">
        <w:rPr>
          <w:i/>
          <w:szCs w:val="24"/>
        </w:rPr>
        <w:t>To</w:t>
      </w:r>
      <w:proofErr w:type="gramEnd"/>
      <w:r w:rsidRPr="009879EC">
        <w:rPr>
          <w:i/>
          <w:szCs w:val="24"/>
        </w:rPr>
        <w:t xml:space="preserve"> Move About Seattle</w:t>
      </w:r>
      <w:r w:rsidRPr="009879EC">
        <w:rPr>
          <w:szCs w:val="24"/>
        </w:rPr>
        <w:t xml:space="preserve">. Aug 2011. Available at: </w:t>
      </w:r>
      <w:hyperlink r:id="rId91" w:history="1">
        <w:r w:rsidRPr="009879EC">
          <w:rPr>
            <w:rStyle w:val="Hyperlink"/>
            <w:szCs w:val="24"/>
          </w:rPr>
          <w:t>https://web.archive.org/web/20110924021549/http://blog.uber.com/2011/08/12/you-are-now-free-to-move-about-seattle/</w:t>
        </w:r>
      </w:hyperlink>
      <w:r w:rsidRPr="009879EC">
        <w:rPr>
          <w:szCs w:val="24"/>
        </w:rPr>
        <w:t>. Accessed on Jun 19, 2019.</w:t>
      </w:r>
    </w:p>
    <w:p w14:paraId="62D0752A" w14:textId="77777777" w:rsidR="004573FB" w:rsidRPr="009879EC" w:rsidRDefault="004573FB" w:rsidP="004573FB">
      <w:pPr>
        <w:pStyle w:val="ListParagraph"/>
        <w:numPr>
          <w:ilvl w:val="0"/>
          <w:numId w:val="24"/>
        </w:numPr>
        <w:spacing w:after="0"/>
        <w:ind w:left="360"/>
        <w:rPr>
          <w:szCs w:val="24"/>
          <w:shd w:val="clear" w:color="auto" w:fill="FFFFFF"/>
        </w:rPr>
      </w:pPr>
      <w:r w:rsidRPr="009879EC">
        <w:rPr>
          <w:rStyle w:val="selectable"/>
          <w:szCs w:val="24"/>
        </w:rPr>
        <w:t xml:space="preserve">PSRC. </w:t>
      </w:r>
      <w:r w:rsidRPr="009879EC">
        <w:rPr>
          <w:rStyle w:val="selectable"/>
          <w:i/>
          <w:iCs/>
          <w:szCs w:val="24"/>
        </w:rPr>
        <w:t>Puget Sound Regional Travel Study – Report: 2015 Household Travel Survey</w:t>
      </w:r>
      <w:r w:rsidRPr="009879EC">
        <w:rPr>
          <w:rStyle w:val="selectable"/>
          <w:szCs w:val="24"/>
        </w:rPr>
        <w:t>, 2015.</w:t>
      </w:r>
      <w:r w:rsidRPr="009879EC">
        <w:rPr>
          <w:rStyle w:val="selectable"/>
          <w:i/>
          <w:iCs/>
          <w:szCs w:val="24"/>
        </w:rPr>
        <w:t xml:space="preserve"> </w:t>
      </w:r>
      <w:r w:rsidRPr="009879EC">
        <w:rPr>
          <w:rStyle w:val="selectable"/>
          <w:szCs w:val="24"/>
        </w:rPr>
        <w:t xml:space="preserve">Available at: </w:t>
      </w:r>
      <w:hyperlink r:id="rId92" w:history="1">
        <w:r w:rsidRPr="009879EC">
          <w:rPr>
            <w:rStyle w:val="Hyperlink"/>
            <w:szCs w:val="24"/>
          </w:rPr>
          <w:t>https://www.psrc.org/sites/default/files/2015-household-survey-tech-report.pdf</w:t>
        </w:r>
      </w:hyperlink>
      <w:r w:rsidRPr="009879EC">
        <w:rPr>
          <w:rStyle w:val="selectable"/>
          <w:szCs w:val="24"/>
        </w:rPr>
        <w:t xml:space="preserve">. </w:t>
      </w:r>
      <w:r w:rsidRPr="009879EC">
        <w:rPr>
          <w:szCs w:val="24"/>
        </w:rPr>
        <w:t>Accessed Jan 15, 2019.</w:t>
      </w:r>
    </w:p>
    <w:p w14:paraId="722BAE0A" w14:textId="77777777" w:rsidR="004573FB" w:rsidRPr="009879EC" w:rsidRDefault="004573FB" w:rsidP="004573FB">
      <w:pPr>
        <w:pStyle w:val="ListParagraph"/>
        <w:numPr>
          <w:ilvl w:val="0"/>
          <w:numId w:val="24"/>
        </w:numPr>
        <w:spacing w:after="0"/>
        <w:ind w:left="360"/>
        <w:rPr>
          <w:szCs w:val="24"/>
          <w:shd w:val="clear" w:color="auto" w:fill="FFFFFF"/>
        </w:rPr>
      </w:pPr>
      <w:r w:rsidRPr="009879EC">
        <w:rPr>
          <w:rStyle w:val="selectable"/>
          <w:szCs w:val="24"/>
        </w:rPr>
        <w:t xml:space="preserve">PSRC. </w:t>
      </w:r>
      <w:r w:rsidRPr="009879EC">
        <w:rPr>
          <w:rStyle w:val="selectable"/>
          <w:i/>
          <w:iCs/>
          <w:szCs w:val="24"/>
        </w:rPr>
        <w:t>2017 Puget Sound Regional Travel Study</w:t>
      </w:r>
      <w:r w:rsidRPr="009879EC">
        <w:rPr>
          <w:rStyle w:val="selectable"/>
          <w:szCs w:val="24"/>
        </w:rPr>
        <w:t xml:space="preserve">, 2018. Available at: </w:t>
      </w:r>
      <w:hyperlink r:id="rId93" w:history="1">
        <w:r w:rsidRPr="009879EC">
          <w:rPr>
            <w:rStyle w:val="Hyperlink"/>
            <w:szCs w:val="24"/>
          </w:rPr>
          <w:t>https://www.psrc.org/sites/default/files/psrc2017-final-report.pdf</w:t>
        </w:r>
      </w:hyperlink>
      <w:r w:rsidRPr="009879EC">
        <w:rPr>
          <w:rStyle w:val="selectable"/>
          <w:szCs w:val="24"/>
        </w:rPr>
        <w:t xml:space="preserve">. </w:t>
      </w:r>
      <w:r w:rsidRPr="009879EC">
        <w:rPr>
          <w:szCs w:val="24"/>
        </w:rPr>
        <w:t>Accessed Jan 15, 2019.</w:t>
      </w:r>
    </w:p>
    <w:p w14:paraId="10C09C83" w14:textId="77777777" w:rsidR="004573FB" w:rsidRPr="009879EC" w:rsidRDefault="004573FB" w:rsidP="004573FB">
      <w:pPr>
        <w:pStyle w:val="ListParagraph"/>
        <w:numPr>
          <w:ilvl w:val="0"/>
          <w:numId w:val="24"/>
        </w:numPr>
        <w:spacing w:after="0"/>
        <w:ind w:left="360"/>
        <w:rPr>
          <w:szCs w:val="24"/>
          <w:shd w:val="clear" w:color="auto" w:fill="FFFFFF"/>
        </w:rPr>
      </w:pPr>
      <w:r w:rsidRPr="009879EC">
        <w:rPr>
          <w:szCs w:val="24"/>
        </w:rPr>
        <w:t xml:space="preserve">U.S. Census Bureau, 2018. 2017 American Community Survey 5-Year Estimates. Available at: </w:t>
      </w:r>
      <w:hyperlink r:id="rId94" w:history="1">
        <w:r w:rsidRPr="009879EC">
          <w:rPr>
            <w:rStyle w:val="Hyperlink"/>
            <w:szCs w:val="24"/>
          </w:rPr>
          <w:t>https://factfinder.census.gov/faces/nav/jsf/pages/index.xhtml</w:t>
        </w:r>
      </w:hyperlink>
      <w:r w:rsidRPr="009879EC">
        <w:rPr>
          <w:szCs w:val="24"/>
        </w:rPr>
        <w:t>. Accessed on: Jul 12, 2019.</w:t>
      </w:r>
    </w:p>
    <w:p w14:paraId="48411033" w14:textId="77777777" w:rsidR="004573FB" w:rsidRPr="009879EC" w:rsidRDefault="004573FB" w:rsidP="004573FB">
      <w:pPr>
        <w:pStyle w:val="ListParagraph"/>
        <w:numPr>
          <w:ilvl w:val="0"/>
          <w:numId w:val="24"/>
        </w:numPr>
        <w:spacing w:after="0"/>
        <w:ind w:left="360"/>
        <w:rPr>
          <w:szCs w:val="24"/>
          <w:shd w:val="clear" w:color="auto" w:fill="FFFFFF"/>
        </w:rPr>
      </w:pPr>
      <w:r w:rsidRPr="009879EC">
        <w:rPr>
          <w:szCs w:val="24"/>
        </w:rPr>
        <w:t xml:space="preserve">Uber. </w:t>
      </w:r>
      <w:proofErr w:type="spellStart"/>
      <w:r w:rsidRPr="009879EC">
        <w:rPr>
          <w:i/>
          <w:szCs w:val="24"/>
        </w:rPr>
        <w:t>uberPool</w:t>
      </w:r>
      <w:proofErr w:type="spellEnd"/>
      <w:r w:rsidRPr="009879EC">
        <w:rPr>
          <w:i/>
          <w:szCs w:val="24"/>
        </w:rPr>
        <w:t xml:space="preserve"> is now available across town</w:t>
      </w:r>
      <w:r w:rsidRPr="009879EC">
        <w:rPr>
          <w:szCs w:val="24"/>
        </w:rPr>
        <w:t xml:space="preserve">. Apr 2016. Available at: </w:t>
      </w:r>
      <w:hyperlink r:id="rId95" w:history="1">
        <w:r w:rsidRPr="009879EC">
          <w:rPr>
            <w:rStyle w:val="Hyperlink"/>
            <w:szCs w:val="24"/>
          </w:rPr>
          <w:t>https://www.uber.com/blog/seattle/uberpool-in-seattle/</w:t>
        </w:r>
      </w:hyperlink>
      <w:r w:rsidRPr="009879EC">
        <w:rPr>
          <w:szCs w:val="24"/>
        </w:rPr>
        <w:t xml:space="preserve">. Accessed on Jun 19, 2019. </w:t>
      </w:r>
    </w:p>
    <w:p w14:paraId="031760BA" w14:textId="77777777" w:rsidR="004573FB" w:rsidRPr="009879EC" w:rsidRDefault="004573FB" w:rsidP="004573FB">
      <w:pPr>
        <w:pStyle w:val="ListParagraph"/>
        <w:numPr>
          <w:ilvl w:val="0"/>
          <w:numId w:val="24"/>
        </w:numPr>
        <w:spacing w:after="0"/>
        <w:ind w:left="360"/>
        <w:rPr>
          <w:szCs w:val="24"/>
          <w:shd w:val="clear" w:color="auto" w:fill="FFFFFF"/>
        </w:rPr>
      </w:pPr>
      <w:r w:rsidRPr="009879EC">
        <w:rPr>
          <w:szCs w:val="24"/>
        </w:rPr>
        <w:t xml:space="preserve">Lyft. </w:t>
      </w:r>
      <w:r w:rsidRPr="009879EC">
        <w:rPr>
          <w:i/>
          <w:szCs w:val="24"/>
        </w:rPr>
        <w:t>Lyft Line is now in Seattle!</w:t>
      </w:r>
      <w:r w:rsidRPr="009879EC">
        <w:rPr>
          <w:szCs w:val="24"/>
        </w:rPr>
        <w:t xml:space="preserve"> Apr 2016. Available at: </w:t>
      </w:r>
      <w:hyperlink r:id="rId96" w:history="1">
        <w:r w:rsidRPr="009879EC">
          <w:rPr>
            <w:rStyle w:val="Hyperlink"/>
            <w:szCs w:val="24"/>
          </w:rPr>
          <w:t>https://blog.lyft.com/posts/lyft-line-seattle</w:t>
        </w:r>
      </w:hyperlink>
      <w:r w:rsidRPr="009879EC">
        <w:rPr>
          <w:szCs w:val="24"/>
        </w:rPr>
        <w:t>. Accessed on Jun 19, 2019.</w:t>
      </w:r>
    </w:p>
    <w:p w14:paraId="32E67E23" w14:textId="77777777" w:rsidR="004573FB" w:rsidRPr="00BD1639" w:rsidRDefault="004573FB" w:rsidP="004573FB">
      <w:pPr>
        <w:pStyle w:val="ListParagraph"/>
        <w:numPr>
          <w:ilvl w:val="0"/>
          <w:numId w:val="24"/>
        </w:numPr>
        <w:spacing w:after="0"/>
        <w:ind w:left="360"/>
        <w:rPr>
          <w:szCs w:val="24"/>
          <w:shd w:val="clear" w:color="auto" w:fill="FFFFFF"/>
        </w:rPr>
      </w:pPr>
      <w:r w:rsidRPr="009879EC">
        <w:rPr>
          <w:szCs w:val="24"/>
        </w:rPr>
        <w:t xml:space="preserve">Greene, W.H., and D.A. Hensher. </w:t>
      </w:r>
      <w:r w:rsidRPr="009879EC">
        <w:rPr>
          <w:i/>
          <w:szCs w:val="24"/>
        </w:rPr>
        <w:t>Modeling Ordered Choices: A Primer</w:t>
      </w:r>
      <w:r w:rsidRPr="009879EC">
        <w:rPr>
          <w:szCs w:val="24"/>
        </w:rPr>
        <w:t>. Cambridge University Press, 2010.</w:t>
      </w:r>
    </w:p>
    <w:p w14:paraId="17ED0737" w14:textId="1FD029B4" w:rsidR="00180D27" w:rsidRPr="004573FB" w:rsidRDefault="004573FB" w:rsidP="004573FB">
      <w:pPr>
        <w:pStyle w:val="ListParagraph"/>
        <w:numPr>
          <w:ilvl w:val="0"/>
          <w:numId w:val="24"/>
        </w:numPr>
        <w:spacing w:after="0"/>
        <w:ind w:left="360"/>
        <w:rPr>
          <w:szCs w:val="24"/>
          <w:shd w:val="clear" w:color="auto" w:fill="FFFFFF"/>
        </w:rPr>
      </w:pPr>
      <w:r w:rsidRPr="00BD1639">
        <w:rPr>
          <w:rStyle w:val="selectable"/>
          <w:szCs w:val="24"/>
        </w:rPr>
        <w:t xml:space="preserve">Pew Research Center. </w:t>
      </w:r>
      <w:r w:rsidRPr="00BD1639">
        <w:rPr>
          <w:rStyle w:val="selectable"/>
          <w:i/>
          <w:szCs w:val="24"/>
        </w:rPr>
        <w:t>Mobile Fact Sheet</w:t>
      </w:r>
      <w:r w:rsidRPr="00BD1639">
        <w:rPr>
          <w:rStyle w:val="selectable"/>
          <w:szCs w:val="24"/>
        </w:rPr>
        <w:t xml:space="preserve">, Jun 2019. Available at: </w:t>
      </w:r>
      <w:hyperlink r:id="rId97" w:history="1">
        <w:r w:rsidRPr="00BD1639">
          <w:rPr>
            <w:rStyle w:val="Hyperlink"/>
            <w:szCs w:val="24"/>
          </w:rPr>
          <w:t>https://www.pewinternet.org/fact-sheet/mobile/</w:t>
        </w:r>
      </w:hyperlink>
      <w:r w:rsidRPr="00BD1639">
        <w:rPr>
          <w:rStyle w:val="selectable"/>
          <w:szCs w:val="24"/>
        </w:rPr>
        <w:t>. Accessed on Jun 19, 2109.</w:t>
      </w:r>
    </w:p>
    <w:sectPr w:rsidR="00180D27" w:rsidRPr="004573FB" w:rsidSect="00947E85">
      <w:headerReference w:type="default" r:id="rId98"/>
      <w:footerReference w:type="default" r:id="rId99"/>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94AA17" w14:textId="77777777" w:rsidR="000E138F" w:rsidRDefault="000E138F" w:rsidP="00194878">
      <w:r>
        <w:separator/>
      </w:r>
    </w:p>
  </w:endnote>
  <w:endnote w:type="continuationSeparator" w:id="0">
    <w:p w14:paraId="38AB4D02" w14:textId="77777777" w:rsidR="000E138F" w:rsidRDefault="000E138F" w:rsidP="00194878">
      <w:r>
        <w:continuationSeparator/>
      </w:r>
    </w:p>
  </w:endnote>
  <w:endnote w:type="continuationNotice" w:id="1">
    <w:p w14:paraId="48427940" w14:textId="77777777" w:rsidR="000E138F" w:rsidRDefault="000E13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7789174"/>
      <w:docPartObj>
        <w:docPartGallery w:val="Page Numbers (Bottom of Page)"/>
        <w:docPartUnique/>
      </w:docPartObj>
    </w:sdtPr>
    <w:sdtEndPr>
      <w:rPr>
        <w:rFonts w:ascii="Times New Roman" w:hAnsi="Times New Roman"/>
        <w:noProof/>
        <w:sz w:val="24"/>
        <w:szCs w:val="24"/>
      </w:rPr>
    </w:sdtEndPr>
    <w:sdtContent>
      <w:p w14:paraId="39122EAF" w14:textId="11A8B133" w:rsidR="00CA0E70" w:rsidRPr="001C3902" w:rsidRDefault="00CA0E70" w:rsidP="001C3902">
        <w:pPr>
          <w:pStyle w:val="Footer"/>
          <w:spacing w:after="0"/>
          <w:ind w:firstLine="0"/>
          <w:jc w:val="center"/>
          <w:rPr>
            <w:rFonts w:ascii="Times New Roman" w:hAnsi="Times New Roman"/>
            <w:sz w:val="24"/>
            <w:szCs w:val="24"/>
          </w:rPr>
        </w:pPr>
        <w:r w:rsidRPr="001C3902">
          <w:rPr>
            <w:rFonts w:ascii="Times New Roman" w:hAnsi="Times New Roman"/>
            <w:sz w:val="24"/>
            <w:szCs w:val="24"/>
          </w:rPr>
          <w:fldChar w:fldCharType="begin"/>
        </w:r>
        <w:r w:rsidRPr="001C3902">
          <w:rPr>
            <w:rFonts w:ascii="Times New Roman" w:hAnsi="Times New Roman"/>
            <w:sz w:val="24"/>
            <w:szCs w:val="24"/>
          </w:rPr>
          <w:instrText xml:space="preserve"> PAGE   \* MERGEFORMAT </w:instrText>
        </w:r>
        <w:r w:rsidRPr="001C3902">
          <w:rPr>
            <w:rFonts w:ascii="Times New Roman" w:hAnsi="Times New Roman"/>
            <w:sz w:val="24"/>
            <w:szCs w:val="24"/>
          </w:rPr>
          <w:fldChar w:fldCharType="separate"/>
        </w:r>
        <w:r>
          <w:rPr>
            <w:rFonts w:ascii="Times New Roman" w:hAnsi="Times New Roman"/>
            <w:noProof/>
            <w:sz w:val="24"/>
            <w:szCs w:val="24"/>
          </w:rPr>
          <w:t>8</w:t>
        </w:r>
        <w:r w:rsidRPr="001C3902">
          <w:rPr>
            <w:rFonts w:ascii="Times New Roman" w:hAnsi="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97B331" w14:textId="77777777" w:rsidR="000E138F" w:rsidRDefault="000E138F" w:rsidP="00194878">
      <w:r>
        <w:separator/>
      </w:r>
    </w:p>
  </w:footnote>
  <w:footnote w:type="continuationSeparator" w:id="0">
    <w:p w14:paraId="2FA7136D" w14:textId="77777777" w:rsidR="000E138F" w:rsidRDefault="000E138F" w:rsidP="00194878">
      <w:r>
        <w:continuationSeparator/>
      </w:r>
    </w:p>
  </w:footnote>
  <w:footnote w:type="continuationNotice" w:id="1">
    <w:p w14:paraId="36434243" w14:textId="77777777" w:rsidR="000E138F" w:rsidRDefault="000E13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D2C0D" w14:textId="6CD3D81D" w:rsidR="00CA0E70" w:rsidRPr="00322901" w:rsidRDefault="00CA0E70" w:rsidP="00322901">
    <w:pPr>
      <w:pStyle w:val="Header"/>
      <w:ind w:firstLine="0"/>
      <w:rPr>
        <w:rFonts w:asciiTheme="majorHAnsi" w:hAnsiTheme="majorHAnsi" w:cstheme="majorHAnsi"/>
        <w:sz w:val="22"/>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725CA" w14:textId="77777777" w:rsidR="00CA0E70" w:rsidRPr="00322901" w:rsidRDefault="00CA0E70" w:rsidP="00322901">
    <w:pPr>
      <w:pStyle w:val="Header"/>
      <w:ind w:firstLine="0"/>
      <w:rPr>
        <w:rFonts w:asciiTheme="majorHAnsi" w:hAnsiTheme="majorHAnsi" w:cstheme="majorHAnsi"/>
        <w:sz w:val="22"/>
        <w:lang w:val="pt-BR"/>
      </w:rPr>
    </w:pPr>
    <w:r w:rsidRPr="0030729E">
      <w:rPr>
        <w:rFonts w:asciiTheme="majorHAnsi" w:hAnsiTheme="majorHAnsi" w:cstheme="majorHAnsi"/>
        <w:sz w:val="22"/>
        <w:lang w:val="pt-BR"/>
      </w:rPr>
      <w:t>Dias, Kim, Bhat, Pendyala, Lam, Pinjari</w:t>
    </w:r>
    <w:r>
      <w:rPr>
        <w:rFonts w:asciiTheme="majorHAnsi" w:hAnsiTheme="majorHAnsi" w:cstheme="majorHAnsi"/>
        <w:sz w:val="22"/>
        <w:lang w:val="pt-BR"/>
      </w:rPr>
      <w:t xml:space="preserve">, </w:t>
    </w:r>
    <w:r w:rsidRPr="0030729E">
      <w:rPr>
        <w:rFonts w:asciiTheme="majorHAnsi" w:hAnsiTheme="majorHAnsi" w:cstheme="majorHAnsi"/>
        <w:sz w:val="22"/>
        <w:lang w:val="pt-BR"/>
      </w:rPr>
      <w:t>Srinivasan</w:t>
    </w:r>
    <w:r>
      <w:rPr>
        <w:rFonts w:asciiTheme="majorHAnsi" w:hAnsiTheme="majorHAnsi" w:cstheme="majorHAnsi"/>
        <w:sz w:val="22"/>
        <w:lang w:val="pt-BR"/>
      </w:rPr>
      <w:t xml:space="preserve"> and</w:t>
    </w:r>
    <w:r w:rsidRPr="0030729E">
      <w:rPr>
        <w:rFonts w:asciiTheme="majorHAnsi" w:hAnsiTheme="majorHAnsi" w:cstheme="majorHAnsi"/>
        <w:sz w:val="22"/>
        <w:lang w:val="pt-BR"/>
      </w:rPr>
      <w:t xml:space="preserve"> Ramadurai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BD995" w14:textId="77777777" w:rsidR="00CA0E70" w:rsidRPr="00322901" w:rsidRDefault="00CA0E70" w:rsidP="00322901">
    <w:pPr>
      <w:pStyle w:val="Header"/>
      <w:ind w:firstLine="0"/>
      <w:rPr>
        <w:rFonts w:asciiTheme="majorHAnsi" w:hAnsiTheme="majorHAnsi" w:cstheme="majorHAnsi"/>
        <w:sz w:val="22"/>
        <w:lang w:val="pt-BR"/>
      </w:rPr>
    </w:pPr>
    <w:r w:rsidRPr="0030729E">
      <w:rPr>
        <w:rFonts w:asciiTheme="majorHAnsi" w:hAnsiTheme="majorHAnsi" w:cstheme="majorHAnsi"/>
        <w:sz w:val="22"/>
        <w:lang w:val="pt-BR"/>
      </w:rPr>
      <w:t>Dias, Kim, Bhat, Pendyala, Lam, Pinjari</w:t>
    </w:r>
    <w:r>
      <w:rPr>
        <w:rFonts w:asciiTheme="majorHAnsi" w:hAnsiTheme="majorHAnsi" w:cstheme="majorHAnsi"/>
        <w:sz w:val="22"/>
        <w:lang w:val="pt-BR"/>
      </w:rPr>
      <w:t xml:space="preserve">, </w:t>
    </w:r>
    <w:r w:rsidRPr="0030729E">
      <w:rPr>
        <w:rFonts w:asciiTheme="majorHAnsi" w:hAnsiTheme="majorHAnsi" w:cstheme="majorHAnsi"/>
        <w:sz w:val="22"/>
        <w:lang w:val="pt-BR"/>
      </w:rPr>
      <w:t>Srinivasan</w:t>
    </w:r>
    <w:r>
      <w:rPr>
        <w:rFonts w:asciiTheme="majorHAnsi" w:hAnsiTheme="majorHAnsi" w:cstheme="majorHAnsi"/>
        <w:sz w:val="22"/>
        <w:lang w:val="pt-BR"/>
      </w:rPr>
      <w:t xml:space="preserve"> and</w:t>
    </w:r>
    <w:r w:rsidRPr="0030729E">
      <w:rPr>
        <w:rFonts w:asciiTheme="majorHAnsi" w:hAnsiTheme="majorHAnsi" w:cstheme="majorHAnsi"/>
        <w:sz w:val="22"/>
        <w:lang w:val="pt-BR"/>
      </w:rPr>
      <w:t xml:space="preserve"> Ramadurai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FF84FB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732F25"/>
    <w:multiLevelType w:val="multilevel"/>
    <w:tmpl w:val="7B4A60F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477782A"/>
    <w:multiLevelType w:val="hybridMultilevel"/>
    <w:tmpl w:val="669AB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ED0F9E"/>
    <w:multiLevelType w:val="hybridMultilevel"/>
    <w:tmpl w:val="C60E8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0E1F7A"/>
    <w:multiLevelType w:val="hybridMultilevel"/>
    <w:tmpl w:val="90D8294A"/>
    <w:lvl w:ilvl="0" w:tplc="04090001">
      <w:start w:val="1"/>
      <w:numFmt w:val="bullet"/>
      <w:lvlText w:val=""/>
      <w:lvlJc w:val="left"/>
      <w:pPr>
        <w:ind w:left="1426" w:hanging="360"/>
      </w:pPr>
      <w:rPr>
        <w:rFonts w:ascii="Symbol" w:hAnsi="Symbol"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5" w15:restartNumberingAfterBreak="0">
    <w:nsid w:val="10203F40"/>
    <w:multiLevelType w:val="hybridMultilevel"/>
    <w:tmpl w:val="71506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641D66"/>
    <w:multiLevelType w:val="multilevel"/>
    <w:tmpl w:val="7B4A60F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CEA726A"/>
    <w:multiLevelType w:val="multilevel"/>
    <w:tmpl w:val="7B8ABD3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43666D74"/>
    <w:multiLevelType w:val="hybridMultilevel"/>
    <w:tmpl w:val="9D041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F3521D"/>
    <w:multiLevelType w:val="hybridMultilevel"/>
    <w:tmpl w:val="EC6ECF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0842BA4"/>
    <w:multiLevelType w:val="hybridMultilevel"/>
    <w:tmpl w:val="7C4862CA"/>
    <w:lvl w:ilvl="0" w:tplc="C55A9B5A">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1" w15:restartNumberingAfterBreak="0">
    <w:nsid w:val="58324178"/>
    <w:multiLevelType w:val="hybridMultilevel"/>
    <w:tmpl w:val="BC84B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24761F"/>
    <w:multiLevelType w:val="multilevel"/>
    <w:tmpl w:val="B8841E82"/>
    <w:lvl w:ilvl="0">
      <w:start w:val="5"/>
      <w:numFmt w:val="decimal"/>
      <w:lvlText w:val="%1.0"/>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3" w15:restartNumberingAfterBreak="0">
    <w:nsid w:val="5BCB575B"/>
    <w:multiLevelType w:val="hybridMultilevel"/>
    <w:tmpl w:val="F2704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D91131"/>
    <w:multiLevelType w:val="hybridMultilevel"/>
    <w:tmpl w:val="889C2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BA17E0"/>
    <w:multiLevelType w:val="hybridMultilevel"/>
    <w:tmpl w:val="365CEB80"/>
    <w:lvl w:ilvl="0" w:tplc="04090001">
      <w:start w:val="1"/>
      <w:numFmt w:val="bullet"/>
      <w:lvlText w:val=""/>
      <w:lvlJc w:val="left"/>
      <w:pPr>
        <w:ind w:left="1426" w:hanging="360"/>
      </w:pPr>
      <w:rPr>
        <w:rFonts w:ascii="Symbol" w:hAnsi="Symbol"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16" w15:restartNumberingAfterBreak="0">
    <w:nsid w:val="67503D3B"/>
    <w:multiLevelType w:val="hybridMultilevel"/>
    <w:tmpl w:val="9F66A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834FF0"/>
    <w:multiLevelType w:val="hybridMultilevel"/>
    <w:tmpl w:val="BEE2613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70F77A98"/>
    <w:multiLevelType w:val="hybridMultilevel"/>
    <w:tmpl w:val="2732F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7A30D8"/>
    <w:multiLevelType w:val="hybridMultilevel"/>
    <w:tmpl w:val="30F232BC"/>
    <w:lvl w:ilvl="0" w:tplc="0409000F">
      <w:start w:val="1"/>
      <w:numFmt w:val="decimal"/>
      <w:lvlText w:val="%1."/>
      <w:lvlJc w:val="left"/>
      <w:pPr>
        <w:ind w:left="1426" w:hanging="360"/>
      </w:p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20" w15:restartNumberingAfterBreak="0">
    <w:nsid w:val="73623EE5"/>
    <w:multiLevelType w:val="hybridMultilevel"/>
    <w:tmpl w:val="4F90BEC2"/>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1" w15:restartNumberingAfterBreak="0">
    <w:nsid w:val="776B08A7"/>
    <w:multiLevelType w:val="hybridMultilevel"/>
    <w:tmpl w:val="2CF2B7BA"/>
    <w:lvl w:ilvl="0" w:tplc="04090001">
      <w:start w:val="1"/>
      <w:numFmt w:val="bullet"/>
      <w:lvlText w:val=""/>
      <w:lvlJc w:val="left"/>
      <w:pPr>
        <w:ind w:left="1426" w:hanging="360"/>
      </w:pPr>
      <w:rPr>
        <w:rFonts w:ascii="Symbol" w:hAnsi="Symbol"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22" w15:restartNumberingAfterBreak="0">
    <w:nsid w:val="7B3E53CB"/>
    <w:multiLevelType w:val="hybridMultilevel"/>
    <w:tmpl w:val="C61216B2"/>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3" w15:restartNumberingAfterBreak="0">
    <w:nsid w:val="7CF8027A"/>
    <w:multiLevelType w:val="hybridMultilevel"/>
    <w:tmpl w:val="4C52387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8"/>
  </w:num>
  <w:num w:numId="2">
    <w:abstractNumId w:val="20"/>
  </w:num>
  <w:num w:numId="3">
    <w:abstractNumId w:val="5"/>
  </w:num>
  <w:num w:numId="4">
    <w:abstractNumId w:val="22"/>
  </w:num>
  <w:num w:numId="5">
    <w:abstractNumId w:val="11"/>
  </w:num>
  <w:num w:numId="6">
    <w:abstractNumId w:val="18"/>
  </w:num>
  <w:num w:numId="7">
    <w:abstractNumId w:val="3"/>
  </w:num>
  <w:num w:numId="8">
    <w:abstractNumId w:val="13"/>
  </w:num>
  <w:num w:numId="9">
    <w:abstractNumId w:val="7"/>
  </w:num>
  <w:num w:numId="10">
    <w:abstractNumId w:val="12"/>
  </w:num>
  <w:num w:numId="11">
    <w:abstractNumId w:val="16"/>
  </w:num>
  <w:num w:numId="12">
    <w:abstractNumId w:val="23"/>
  </w:num>
  <w:num w:numId="13">
    <w:abstractNumId w:val="17"/>
  </w:num>
  <w:num w:numId="14">
    <w:abstractNumId w:val="6"/>
  </w:num>
  <w:num w:numId="15">
    <w:abstractNumId w:val="1"/>
  </w:num>
  <w:num w:numId="16">
    <w:abstractNumId w:val="19"/>
  </w:num>
  <w:num w:numId="17">
    <w:abstractNumId w:val="10"/>
  </w:num>
  <w:num w:numId="18">
    <w:abstractNumId w:val="4"/>
  </w:num>
  <w:num w:numId="19">
    <w:abstractNumId w:val="15"/>
  </w:num>
  <w:num w:numId="20">
    <w:abstractNumId w:val="14"/>
  </w:num>
  <w:num w:numId="21">
    <w:abstractNumId w:val="0"/>
  </w:num>
  <w:num w:numId="22">
    <w:abstractNumId w:val="9"/>
  </w:num>
  <w:num w:numId="23">
    <w:abstractNumId w:val="21"/>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defaultTabStop w:val="706"/>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CDB"/>
    <w:rsid w:val="000001AF"/>
    <w:rsid w:val="00000267"/>
    <w:rsid w:val="0000051B"/>
    <w:rsid w:val="000009C7"/>
    <w:rsid w:val="00001219"/>
    <w:rsid w:val="00001570"/>
    <w:rsid w:val="00001936"/>
    <w:rsid w:val="00001D4E"/>
    <w:rsid w:val="00002171"/>
    <w:rsid w:val="00002501"/>
    <w:rsid w:val="000027D6"/>
    <w:rsid w:val="0000283C"/>
    <w:rsid w:val="00002BD7"/>
    <w:rsid w:val="00002FE6"/>
    <w:rsid w:val="0000327A"/>
    <w:rsid w:val="000042EA"/>
    <w:rsid w:val="00004E17"/>
    <w:rsid w:val="000058BD"/>
    <w:rsid w:val="00005A58"/>
    <w:rsid w:val="000060F2"/>
    <w:rsid w:val="000061F7"/>
    <w:rsid w:val="0000632E"/>
    <w:rsid w:val="000068DD"/>
    <w:rsid w:val="00006FE9"/>
    <w:rsid w:val="00007171"/>
    <w:rsid w:val="000078EF"/>
    <w:rsid w:val="00007E84"/>
    <w:rsid w:val="00010377"/>
    <w:rsid w:val="00012ACB"/>
    <w:rsid w:val="00012EA1"/>
    <w:rsid w:val="000133DA"/>
    <w:rsid w:val="00013773"/>
    <w:rsid w:val="00013ACE"/>
    <w:rsid w:val="000141DB"/>
    <w:rsid w:val="0001481F"/>
    <w:rsid w:val="00014FF0"/>
    <w:rsid w:val="00015627"/>
    <w:rsid w:val="00015DD9"/>
    <w:rsid w:val="00015F0D"/>
    <w:rsid w:val="00015FE9"/>
    <w:rsid w:val="000168E5"/>
    <w:rsid w:val="00016DD0"/>
    <w:rsid w:val="00016F6D"/>
    <w:rsid w:val="0001708D"/>
    <w:rsid w:val="00017275"/>
    <w:rsid w:val="000202BC"/>
    <w:rsid w:val="00020890"/>
    <w:rsid w:val="000208CA"/>
    <w:rsid w:val="00020B7D"/>
    <w:rsid w:val="00020CDE"/>
    <w:rsid w:val="00020CFA"/>
    <w:rsid w:val="00020D7B"/>
    <w:rsid w:val="00021480"/>
    <w:rsid w:val="000219EE"/>
    <w:rsid w:val="00021CE7"/>
    <w:rsid w:val="000223C9"/>
    <w:rsid w:val="0002293B"/>
    <w:rsid w:val="00022A20"/>
    <w:rsid w:val="00022D1F"/>
    <w:rsid w:val="00022D25"/>
    <w:rsid w:val="0002393E"/>
    <w:rsid w:val="00023C18"/>
    <w:rsid w:val="000244CA"/>
    <w:rsid w:val="00024878"/>
    <w:rsid w:val="00024970"/>
    <w:rsid w:val="00024A80"/>
    <w:rsid w:val="00025195"/>
    <w:rsid w:val="000252B2"/>
    <w:rsid w:val="000253B3"/>
    <w:rsid w:val="00027260"/>
    <w:rsid w:val="00027FAC"/>
    <w:rsid w:val="00030C96"/>
    <w:rsid w:val="00030D91"/>
    <w:rsid w:val="00030F09"/>
    <w:rsid w:val="00031016"/>
    <w:rsid w:val="000318B3"/>
    <w:rsid w:val="00032389"/>
    <w:rsid w:val="00032930"/>
    <w:rsid w:val="000329C1"/>
    <w:rsid w:val="00032B4D"/>
    <w:rsid w:val="00033768"/>
    <w:rsid w:val="00033EEF"/>
    <w:rsid w:val="000347F7"/>
    <w:rsid w:val="00034A66"/>
    <w:rsid w:val="00034F01"/>
    <w:rsid w:val="00034F32"/>
    <w:rsid w:val="00034FE4"/>
    <w:rsid w:val="000351AB"/>
    <w:rsid w:val="00036465"/>
    <w:rsid w:val="000365D2"/>
    <w:rsid w:val="00036741"/>
    <w:rsid w:val="00037756"/>
    <w:rsid w:val="0003794A"/>
    <w:rsid w:val="000379E7"/>
    <w:rsid w:val="00037EC5"/>
    <w:rsid w:val="00037F8A"/>
    <w:rsid w:val="000405D3"/>
    <w:rsid w:val="00040B0D"/>
    <w:rsid w:val="00040E60"/>
    <w:rsid w:val="00040F22"/>
    <w:rsid w:val="0004157D"/>
    <w:rsid w:val="0004221C"/>
    <w:rsid w:val="000427B9"/>
    <w:rsid w:val="00042DBD"/>
    <w:rsid w:val="00043412"/>
    <w:rsid w:val="0004381E"/>
    <w:rsid w:val="0004384D"/>
    <w:rsid w:val="0004395C"/>
    <w:rsid w:val="00044340"/>
    <w:rsid w:val="000446A0"/>
    <w:rsid w:val="00044E09"/>
    <w:rsid w:val="00044EF4"/>
    <w:rsid w:val="00045463"/>
    <w:rsid w:val="00045611"/>
    <w:rsid w:val="0004615E"/>
    <w:rsid w:val="000461FF"/>
    <w:rsid w:val="00046842"/>
    <w:rsid w:val="000471E7"/>
    <w:rsid w:val="0004720B"/>
    <w:rsid w:val="00047C64"/>
    <w:rsid w:val="000500F4"/>
    <w:rsid w:val="00051088"/>
    <w:rsid w:val="0005153D"/>
    <w:rsid w:val="00051D30"/>
    <w:rsid w:val="000520A3"/>
    <w:rsid w:val="00052D0D"/>
    <w:rsid w:val="000532D5"/>
    <w:rsid w:val="00053DBB"/>
    <w:rsid w:val="00053F33"/>
    <w:rsid w:val="00055A4B"/>
    <w:rsid w:val="00055BD2"/>
    <w:rsid w:val="00056109"/>
    <w:rsid w:val="000561EB"/>
    <w:rsid w:val="000562CA"/>
    <w:rsid w:val="00056E2E"/>
    <w:rsid w:val="00056F9C"/>
    <w:rsid w:val="0005747C"/>
    <w:rsid w:val="00057723"/>
    <w:rsid w:val="00057BDD"/>
    <w:rsid w:val="00060A57"/>
    <w:rsid w:val="000613E6"/>
    <w:rsid w:val="0006177E"/>
    <w:rsid w:val="000619D6"/>
    <w:rsid w:val="00062DB5"/>
    <w:rsid w:val="00062EE9"/>
    <w:rsid w:val="0006321D"/>
    <w:rsid w:val="00063593"/>
    <w:rsid w:val="000635DF"/>
    <w:rsid w:val="00063E42"/>
    <w:rsid w:val="00064027"/>
    <w:rsid w:val="000646A7"/>
    <w:rsid w:val="0006535F"/>
    <w:rsid w:val="0006542B"/>
    <w:rsid w:val="00065B6E"/>
    <w:rsid w:val="00065F80"/>
    <w:rsid w:val="00066295"/>
    <w:rsid w:val="000662A1"/>
    <w:rsid w:val="00066622"/>
    <w:rsid w:val="00066B7F"/>
    <w:rsid w:val="00066C63"/>
    <w:rsid w:val="0006762A"/>
    <w:rsid w:val="000703A6"/>
    <w:rsid w:val="00070974"/>
    <w:rsid w:val="00070BD5"/>
    <w:rsid w:val="00070D8D"/>
    <w:rsid w:val="00070E8C"/>
    <w:rsid w:val="00070F0C"/>
    <w:rsid w:val="0007182F"/>
    <w:rsid w:val="00071C9F"/>
    <w:rsid w:val="0007220D"/>
    <w:rsid w:val="000725A3"/>
    <w:rsid w:val="00072E54"/>
    <w:rsid w:val="0007321A"/>
    <w:rsid w:val="0007364F"/>
    <w:rsid w:val="00073A29"/>
    <w:rsid w:val="00073EEC"/>
    <w:rsid w:val="00074024"/>
    <w:rsid w:val="00074586"/>
    <w:rsid w:val="000745C0"/>
    <w:rsid w:val="0007504D"/>
    <w:rsid w:val="0007509E"/>
    <w:rsid w:val="0007569D"/>
    <w:rsid w:val="00075BBB"/>
    <w:rsid w:val="00076223"/>
    <w:rsid w:val="00076665"/>
    <w:rsid w:val="00076F4E"/>
    <w:rsid w:val="000774A0"/>
    <w:rsid w:val="0007762E"/>
    <w:rsid w:val="0007768B"/>
    <w:rsid w:val="0007779E"/>
    <w:rsid w:val="00077959"/>
    <w:rsid w:val="00077C33"/>
    <w:rsid w:val="00080087"/>
    <w:rsid w:val="000804FC"/>
    <w:rsid w:val="00080A7B"/>
    <w:rsid w:val="00080C45"/>
    <w:rsid w:val="00080ED5"/>
    <w:rsid w:val="00080F8C"/>
    <w:rsid w:val="000813A6"/>
    <w:rsid w:val="000816F2"/>
    <w:rsid w:val="00081CEA"/>
    <w:rsid w:val="0008250F"/>
    <w:rsid w:val="00082637"/>
    <w:rsid w:val="00082EF7"/>
    <w:rsid w:val="000831A0"/>
    <w:rsid w:val="000836F3"/>
    <w:rsid w:val="00083EB5"/>
    <w:rsid w:val="00084847"/>
    <w:rsid w:val="000853D7"/>
    <w:rsid w:val="00085800"/>
    <w:rsid w:val="000868D3"/>
    <w:rsid w:val="000869B2"/>
    <w:rsid w:val="00086AF5"/>
    <w:rsid w:val="00086F70"/>
    <w:rsid w:val="000872AF"/>
    <w:rsid w:val="00087EEC"/>
    <w:rsid w:val="000902D2"/>
    <w:rsid w:val="000906AE"/>
    <w:rsid w:val="000909A9"/>
    <w:rsid w:val="00091BEF"/>
    <w:rsid w:val="00091E88"/>
    <w:rsid w:val="00092120"/>
    <w:rsid w:val="00092361"/>
    <w:rsid w:val="00092A01"/>
    <w:rsid w:val="00093A46"/>
    <w:rsid w:val="00093B0F"/>
    <w:rsid w:val="00093CC3"/>
    <w:rsid w:val="00093F5E"/>
    <w:rsid w:val="00094773"/>
    <w:rsid w:val="00094A95"/>
    <w:rsid w:val="000950B1"/>
    <w:rsid w:val="000950B7"/>
    <w:rsid w:val="000952ED"/>
    <w:rsid w:val="00095439"/>
    <w:rsid w:val="000960B2"/>
    <w:rsid w:val="00096711"/>
    <w:rsid w:val="00096911"/>
    <w:rsid w:val="00096A12"/>
    <w:rsid w:val="00096E1B"/>
    <w:rsid w:val="00096E5A"/>
    <w:rsid w:val="00097407"/>
    <w:rsid w:val="0009755F"/>
    <w:rsid w:val="00097AFA"/>
    <w:rsid w:val="00097D1D"/>
    <w:rsid w:val="000A00D7"/>
    <w:rsid w:val="000A03DF"/>
    <w:rsid w:val="000A0524"/>
    <w:rsid w:val="000A058F"/>
    <w:rsid w:val="000A0B90"/>
    <w:rsid w:val="000A0C8D"/>
    <w:rsid w:val="000A2507"/>
    <w:rsid w:val="000A2E0B"/>
    <w:rsid w:val="000A2E4C"/>
    <w:rsid w:val="000A40AA"/>
    <w:rsid w:val="000A412E"/>
    <w:rsid w:val="000A423D"/>
    <w:rsid w:val="000A432F"/>
    <w:rsid w:val="000A437F"/>
    <w:rsid w:val="000A4476"/>
    <w:rsid w:val="000A44A2"/>
    <w:rsid w:val="000A4DB3"/>
    <w:rsid w:val="000A4E70"/>
    <w:rsid w:val="000A4F2A"/>
    <w:rsid w:val="000A517B"/>
    <w:rsid w:val="000A522C"/>
    <w:rsid w:val="000A5437"/>
    <w:rsid w:val="000A55A1"/>
    <w:rsid w:val="000A58E7"/>
    <w:rsid w:val="000A5D05"/>
    <w:rsid w:val="000A7048"/>
    <w:rsid w:val="000A70CA"/>
    <w:rsid w:val="000A7130"/>
    <w:rsid w:val="000B056A"/>
    <w:rsid w:val="000B099A"/>
    <w:rsid w:val="000B10AF"/>
    <w:rsid w:val="000B16DF"/>
    <w:rsid w:val="000B1810"/>
    <w:rsid w:val="000B1888"/>
    <w:rsid w:val="000B1BEC"/>
    <w:rsid w:val="000B2817"/>
    <w:rsid w:val="000B2AF6"/>
    <w:rsid w:val="000B2B90"/>
    <w:rsid w:val="000B3183"/>
    <w:rsid w:val="000B3C52"/>
    <w:rsid w:val="000B4237"/>
    <w:rsid w:val="000B50D0"/>
    <w:rsid w:val="000B5413"/>
    <w:rsid w:val="000B541A"/>
    <w:rsid w:val="000B61AB"/>
    <w:rsid w:val="000B6A1A"/>
    <w:rsid w:val="000B6AE1"/>
    <w:rsid w:val="000B6BBE"/>
    <w:rsid w:val="000B6CE4"/>
    <w:rsid w:val="000B6DE2"/>
    <w:rsid w:val="000B6EA0"/>
    <w:rsid w:val="000B74D8"/>
    <w:rsid w:val="000B7E2B"/>
    <w:rsid w:val="000B7FF3"/>
    <w:rsid w:val="000C0169"/>
    <w:rsid w:val="000C0F56"/>
    <w:rsid w:val="000C163D"/>
    <w:rsid w:val="000C177C"/>
    <w:rsid w:val="000C19AF"/>
    <w:rsid w:val="000C1CB5"/>
    <w:rsid w:val="000C22D7"/>
    <w:rsid w:val="000C26B1"/>
    <w:rsid w:val="000C293E"/>
    <w:rsid w:val="000C2E3C"/>
    <w:rsid w:val="000C2EBC"/>
    <w:rsid w:val="000C306E"/>
    <w:rsid w:val="000C3733"/>
    <w:rsid w:val="000C3761"/>
    <w:rsid w:val="000C3BF5"/>
    <w:rsid w:val="000C3F7D"/>
    <w:rsid w:val="000C440A"/>
    <w:rsid w:val="000C5A27"/>
    <w:rsid w:val="000C5E8A"/>
    <w:rsid w:val="000C6911"/>
    <w:rsid w:val="000C77DF"/>
    <w:rsid w:val="000D0282"/>
    <w:rsid w:val="000D030B"/>
    <w:rsid w:val="000D04CF"/>
    <w:rsid w:val="000D0E7C"/>
    <w:rsid w:val="000D14ED"/>
    <w:rsid w:val="000D18A9"/>
    <w:rsid w:val="000D1EBD"/>
    <w:rsid w:val="000D2C8C"/>
    <w:rsid w:val="000D35BF"/>
    <w:rsid w:val="000D3818"/>
    <w:rsid w:val="000D3972"/>
    <w:rsid w:val="000D438E"/>
    <w:rsid w:val="000D458F"/>
    <w:rsid w:val="000D4FD8"/>
    <w:rsid w:val="000D5859"/>
    <w:rsid w:val="000D5D6D"/>
    <w:rsid w:val="000D5F31"/>
    <w:rsid w:val="000D634B"/>
    <w:rsid w:val="000D724D"/>
    <w:rsid w:val="000D7448"/>
    <w:rsid w:val="000E05C2"/>
    <w:rsid w:val="000E07DE"/>
    <w:rsid w:val="000E091A"/>
    <w:rsid w:val="000E0BC5"/>
    <w:rsid w:val="000E0D3F"/>
    <w:rsid w:val="000E138F"/>
    <w:rsid w:val="000E1D22"/>
    <w:rsid w:val="000E228C"/>
    <w:rsid w:val="000E22C3"/>
    <w:rsid w:val="000E25CA"/>
    <w:rsid w:val="000E2CD0"/>
    <w:rsid w:val="000E2D2C"/>
    <w:rsid w:val="000E359A"/>
    <w:rsid w:val="000E3D13"/>
    <w:rsid w:val="000E4488"/>
    <w:rsid w:val="000E4B3A"/>
    <w:rsid w:val="000E4D2C"/>
    <w:rsid w:val="000E51F8"/>
    <w:rsid w:val="000E53D6"/>
    <w:rsid w:val="000E567A"/>
    <w:rsid w:val="000E5859"/>
    <w:rsid w:val="000E5EB0"/>
    <w:rsid w:val="000E632C"/>
    <w:rsid w:val="000E69A2"/>
    <w:rsid w:val="000E7352"/>
    <w:rsid w:val="000E78DF"/>
    <w:rsid w:val="000E7971"/>
    <w:rsid w:val="000F02C1"/>
    <w:rsid w:val="000F0ADF"/>
    <w:rsid w:val="000F182B"/>
    <w:rsid w:val="000F1983"/>
    <w:rsid w:val="000F20FD"/>
    <w:rsid w:val="000F2FCA"/>
    <w:rsid w:val="000F34D5"/>
    <w:rsid w:val="000F358F"/>
    <w:rsid w:val="000F3CC4"/>
    <w:rsid w:val="000F424E"/>
    <w:rsid w:val="000F4412"/>
    <w:rsid w:val="000F4C44"/>
    <w:rsid w:val="000F4D81"/>
    <w:rsid w:val="000F5353"/>
    <w:rsid w:val="000F53B4"/>
    <w:rsid w:val="000F6522"/>
    <w:rsid w:val="000F6529"/>
    <w:rsid w:val="000F66B3"/>
    <w:rsid w:val="000F6ED1"/>
    <w:rsid w:val="000F6F91"/>
    <w:rsid w:val="000F7210"/>
    <w:rsid w:val="000F78DC"/>
    <w:rsid w:val="000F7C6E"/>
    <w:rsid w:val="0010012D"/>
    <w:rsid w:val="0010047A"/>
    <w:rsid w:val="0010047F"/>
    <w:rsid w:val="001005A6"/>
    <w:rsid w:val="0010079E"/>
    <w:rsid w:val="00100A06"/>
    <w:rsid w:val="00100D2D"/>
    <w:rsid w:val="00100D55"/>
    <w:rsid w:val="00100E73"/>
    <w:rsid w:val="00100E82"/>
    <w:rsid w:val="00100EB2"/>
    <w:rsid w:val="0010160D"/>
    <w:rsid w:val="0010168F"/>
    <w:rsid w:val="0010178C"/>
    <w:rsid w:val="00101B61"/>
    <w:rsid w:val="00101E35"/>
    <w:rsid w:val="00102594"/>
    <w:rsid w:val="001028DA"/>
    <w:rsid w:val="00103111"/>
    <w:rsid w:val="001033D9"/>
    <w:rsid w:val="00103D4B"/>
    <w:rsid w:val="0010433B"/>
    <w:rsid w:val="001049A1"/>
    <w:rsid w:val="00104B8D"/>
    <w:rsid w:val="00105010"/>
    <w:rsid w:val="00105667"/>
    <w:rsid w:val="00105AA7"/>
    <w:rsid w:val="00105C9F"/>
    <w:rsid w:val="0010606A"/>
    <w:rsid w:val="00106CA7"/>
    <w:rsid w:val="0010703D"/>
    <w:rsid w:val="00107B64"/>
    <w:rsid w:val="00111330"/>
    <w:rsid w:val="00111338"/>
    <w:rsid w:val="00111A97"/>
    <w:rsid w:val="00111ADA"/>
    <w:rsid w:val="00111F8C"/>
    <w:rsid w:val="00112009"/>
    <w:rsid w:val="0011262D"/>
    <w:rsid w:val="0011285B"/>
    <w:rsid w:val="00112E8E"/>
    <w:rsid w:val="00112F9E"/>
    <w:rsid w:val="0011371F"/>
    <w:rsid w:val="001139AA"/>
    <w:rsid w:val="00113A17"/>
    <w:rsid w:val="00113A4B"/>
    <w:rsid w:val="00114C84"/>
    <w:rsid w:val="00114E72"/>
    <w:rsid w:val="00114EB6"/>
    <w:rsid w:val="001155A5"/>
    <w:rsid w:val="00116429"/>
    <w:rsid w:val="00116604"/>
    <w:rsid w:val="001166BA"/>
    <w:rsid w:val="00116916"/>
    <w:rsid w:val="00116CAE"/>
    <w:rsid w:val="001173B4"/>
    <w:rsid w:val="001179B2"/>
    <w:rsid w:val="00120575"/>
    <w:rsid w:val="00120579"/>
    <w:rsid w:val="001205A5"/>
    <w:rsid w:val="0012076A"/>
    <w:rsid w:val="00120C2A"/>
    <w:rsid w:val="001211D8"/>
    <w:rsid w:val="0012182C"/>
    <w:rsid w:val="00121D5B"/>
    <w:rsid w:val="0012274C"/>
    <w:rsid w:val="0012288B"/>
    <w:rsid w:val="001228CD"/>
    <w:rsid w:val="00122B75"/>
    <w:rsid w:val="00123082"/>
    <w:rsid w:val="001235B2"/>
    <w:rsid w:val="0012377E"/>
    <w:rsid w:val="001237BA"/>
    <w:rsid w:val="001240DA"/>
    <w:rsid w:val="001241DF"/>
    <w:rsid w:val="00124242"/>
    <w:rsid w:val="00124422"/>
    <w:rsid w:val="00124FD6"/>
    <w:rsid w:val="00125FBE"/>
    <w:rsid w:val="001269A5"/>
    <w:rsid w:val="00126B11"/>
    <w:rsid w:val="00126B9E"/>
    <w:rsid w:val="0012770E"/>
    <w:rsid w:val="00127768"/>
    <w:rsid w:val="00127783"/>
    <w:rsid w:val="00130A53"/>
    <w:rsid w:val="001316E7"/>
    <w:rsid w:val="00131959"/>
    <w:rsid w:val="00131B16"/>
    <w:rsid w:val="001320C1"/>
    <w:rsid w:val="001322CE"/>
    <w:rsid w:val="001324BC"/>
    <w:rsid w:val="001327FE"/>
    <w:rsid w:val="001328ED"/>
    <w:rsid w:val="00132D22"/>
    <w:rsid w:val="00132FF9"/>
    <w:rsid w:val="00133736"/>
    <w:rsid w:val="00133D90"/>
    <w:rsid w:val="00134420"/>
    <w:rsid w:val="00134745"/>
    <w:rsid w:val="00136675"/>
    <w:rsid w:val="001369E4"/>
    <w:rsid w:val="00137262"/>
    <w:rsid w:val="001374E8"/>
    <w:rsid w:val="00137529"/>
    <w:rsid w:val="00137575"/>
    <w:rsid w:val="00137592"/>
    <w:rsid w:val="001376AF"/>
    <w:rsid w:val="0013782D"/>
    <w:rsid w:val="00137891"/>
    <w:rsid w:val="00137BC2"/>
    <w:rsid w:val="00137CB8"/>
    <w:rsid w:val="001408B9"/>
    <w:rsid w:val="0014118E"/>
    <w:rsid w:val="00141350"/>
    <w:rsid w:val="0014175B"/>
    <w:rsid w:val="001418F4"/>
    <w:rsid w:val="00141B39"/>
    <w:rsid w:val="00141C69"/>
    <w:rsid w:val="00141F8E"/>
    <w:rsid w:val="00142037"/>
    <w:rsid w:val="001420B2"/>
    <w:rsid w:val="001424B2"/>
    <w:rsid w:val="00142F7A"/>
    <w:rsid w:val="001431C6"/>
    <w:rsid w:val="00143440"/>
    <w:rsid w:val="001434F2"/>
    <w:rsid w:val="00143E8C"/>
    <w:rsid w:val="001443F2"/>
    <w:rsid w:val="001449C8"/>
    <w:rsid w:val="00144CB5"/>
    <w:rsid w:val="00144CE4"/>
    <w:rsid w:val="00145464"/>
    <w:rsid w:val="00145632"/>
    <w:rsid w:val="00145CBA"/>
    <w:rsid w:val="001460F2"/>
    <w:rsid w:val="0014635E"/>
    <w:rsid w:val="00146C28"/>
    <w:rsid w:val="001471EA"/>
    <w:rsid w:val="001500C2"/>
    <w:rsid w:val="0015128B"/>
    <w:rsid w:val="0015171F"/>
    <w:rsid w:val="001517CF"/>
    <w:rsid w:val="00151D65"/>
    <w:rsid w:val="00152201"/>
    <w:rsid w:val="00152313"/>
    <w:rsid w:val="0015231B"/>
    <w:rsid w:val="001528C1"/>
    <w:rsid w:val="001530E3"/>
    <w:rsid w:val="00153136"/>
    <w:rsid w:val="00153887"/>
    <w:rsid w:val="0015390E"/>
    <w:rsid w:val="00153FE5"/>
    <w:rsid w:val="00153FEF"/>
    <w:rsid w:val="001540A3"/>
    <w:rsid w:val="0015447D"/>
    <w:rsid w:val="00155341"/>
    <w:rsid w:val="00155C1E"/>
    <w:rsid w:val="00155D23"/>
    <w:rsid w:val="00156955"/>
    <w:rsid w:val="00157119"/>
    <w:rsid w:val="001573F4"/>
    <w:rsid w:val="00157736"/>
    <w:rsid w:val="00157E51"/>
    <w:rsid w:val="00157F07"/>
    <w:rsid w:val="00161A9E"/>
    <w:rsid w:val="0016268F"/>
    <w:rsid w:val="0016307A"/>
    <w:rsid w:val="00163677"/>
    <w:rsid w:val="00164F27"/>
    <w:rsid w:val="00165042"/>
    <w:rsid w:val="001651DE"/>
    <w:rsid w:val="001652A0"/>
    <w:rsid w:val="0016543F"/>
    <w:rsid w:val="00165CE7"/>
    <w:rsid w:val="00165FF3"/>
    <w:rsid w:val="00166356"/>
    <w:rsid w:val="00166B6D"/>
    <w:rsid w:val="001670B9"/>
    <w:rsid w:val="0017111B"/>
    <w:rsid w:val="0017150E"/>
    <w:rsid w:val="0017192D"/>
    <w:rsid w:val="00172199"/>
    <w:rsid w:val="00172B67"/>
    <w:rsid w:val="00172FE2"/>
    <w:rsid w:val="0017340A"/>
    <w:rsid w:val="00173546"/>
    <w:rsid w:val="00173950"/>
    <w:rsid w:val="001739AC"/>
    <w:rsid w:val="00173B3D"/>
    <w:rsid w:val="00173FEA"/>
    <w:rsid w:val="00173FFA"/>
    <w:rsid w:val="00174147"/>
    <w:rsid w:val="0017455F"/>
    <w:rsid w:val="001752D5"/>
    <w:rsid w:val="00175669"/>
    <w:rsid w:val="001756FA"/>
    <w:rsid w:val="00176470"/>
    <w:rsid w:val="00176F89"/>
    <w:rsid w:val="0017726D"/>
    <w:rsid w:val="00177309"/>
    <w:rsid w:val="00177657"/>
    <w:rsid w:val="00177934"/>
    <w:rsid w:val="00177D4A"/>
    <w:rsid w:val="00177F71"/>
    <w:rsid w:val="00180D27"/>
    <w:rsid w:val="00180D75"/>
    <w:rsid w:val="00181003"/>
    <w:rsid w:val="001821CA"/>
    <w:rsid w:val="00182C1E"/>
    <w:rsid w:val="00182DAC"/>
    <w:rsid w:val="00182E46"/>
    <w:rsid w:val="00183168"/>
    <w:rsid w:val="001837A2"/>
    <w:rsid w:val="00183DC3"/>
    <w:rsid w:val="00183F59"/>
    <w:rsid w:val="00183FC8"/>
    <w:rsid w:val="00184FEA"/>
    <w:rsid w:val="00185821"/>
    <w:rsid w:val="0018676A"/>
    <w:rsid w:val="00186A20"/>
    <w:rsid w:val="00186BF4"/>
    <w:rsid w:val="00186D91"/>
    <w:rsid w:val="0018732C"/>
    <w:rsid w:val="00187955"/>
    <w:rsid w:val="00187B95"/>
    <w:rsid w:val="00187BBD"/>
    <w:rsid w:val="00187C9E"/>
    <w:rsid w:val="00187E06"/>
    <w:rsid w:val="0019019F"/>
    <w:rsid w:val="00190676"/>
    <w:rsid w:val="00190802"/>
    <w:rsid w:val="00190D20"/>
    <w:rsid w:val="00190D59"/>
    <w:rsid w:val="00191246"/>
    <w:rsid w:val="001914C4"/>
    <w:rsid w:val="0019189C"/>
    <w:rsid w:val="001919B5"/>
    <w:rsid w:val="00192147"/>
    <w:rsid w:val="001927B2"/>
    <w:rsid w:val="001927B7"/>
    <w:rsid w:val="001935D2"/>
    <w:rsid w:val="0019374D"/>
    <w:rsid w:val="00193916"/>
    <w:rsid w:val="001947E1"/>
    <w:rsid w:val="00194878"/>
    <w:rsid w:val="00194A43"/>
    <w:rsid w:val="00194E71"/>
    <w:rsid w:val="00195572"/>
    <w:rsid w:val="001956BB"/>
    <w:rsid w:val="001958BA"/>
    <w:rsid w:val="00195E04"/>
    <w:rsid w:val="001964B1"/>
    <w:rsid w:val="00196889"/>
    <w:rsid w:val="0019703F"/>
    <w:rsid w:val="00197BB9"/>
    <w:rsid w:val="00197EF5"/>
    <w:rsid w:val="001A03A9"/>
    <w:rsid w:val="001A09A8"/>
    <w:rsid w:val="001A0ADD"/>
    <w:rsid w:val="001A0E47"/>
    <w:rsid w:val="001A1531"/>
    <w:rsid w:val="001A18DE"/>
    <w:rsid w:val="001A2271"/>
    <w:rsid w:val="001A2690"/>
    <w:rsid w:val="001A28AE"/>
    <w:rsid w:val="001A310B"/>
    <w:rsid w:val="001A32E2"/>
    <w:rsid w:val="001A3A5B"/>
    <w:rsid w:val="001A3C8E"/>
    <w:rsid w:val="001A4207"/>
    <w:rsid w:val="001A4AD5"/>
    <w:rsid w:val="001A4EFD"/>
    <w:rsid w:val="001A4F04"/>
    <w:rsid w:val="001A553B"/>
    <w:rsid w:val="001A615B"/>
    <w:rsid w:val="001A61F4"/>
    <w:rsid w:val="001A6457"/>
    <w:rsid w:val="001A65B9"/>
    <w:rsid w:val="001A69FA"/>
    <w:rsid w:val="001A6A1D"/>
    <w:rsid w:val="001A78D7"/>
    <w:rsid w:val="001A7B05"/>
    <w:rsid w:val="001A7B95"/>
    <w:rsid w:val="001B0081"/>
    <w:rsid w:val="001B02B0"/>
    <w:rsid w:val="001B069A"/>
    <w:rsid w:val="001B0BB6"/>
    <w:rsid w:val="001B0DA6"/>
    <w:rsid w:val="001B0F04"/>
    <w:rsid w:val="001B11A3"/>
    <w:rsid w:val="001B13AD"/>
    <w:rsid w:val="001B14A0"/>
    <w:rsid w:val="001B16C6"/>
    <w:rsid w:val="001B1E34"/>
    <w:rsid w:val="001B22F7"/>
    <w:rsid w:val="001B2454"/>
    <w:rsid w:val="001B2DA3"/>
    <w:rsid w:val="001B2EAA"/>
    <w:rsid w:val="001B3820"/>
    <w:rsid w:val="001B38E4"/>
    <w:rsid w:val="001B3B84"/>
    <w:rsid w:val="001B3B9C"/>
    <w:rsid w:val="001B41E3"/>
    <w:rsid w:val="001B4CC4"/>
    <w:rsid w:val="001B4CDB"/>
    <w:rsid w:val="001B5E53"/>
    <w:rsid w:val="001B70E3"/>
    <w:rsid w:val="001B7440"/>
    <w:rsid w:val="001B751C"/>
    <w:rsid w:val="001B799B"/>
    <w:rsid w:val="001B7B3B"/>
    <w:rsid w:val="001B7DFE"/>
    <w:rsid w:val="001C029F"/>
    <w:rsid w:val="001C066C"/>
    <w:rsid w:val="001C0FE9"/>
    <w:rsid w:val="001C1393"/>
    <w:rsid w:val="001C13F8"/>
    <w:rsid w:val="001C18E1"/>
    <w:rsid w:val="001C1A3A"/>
    <w:rsid w:val="001C1A7E"/>
    <w:rsid w:val="001C2121"/>
    <w:rsid w:val="001C2887"/>
    <w:rsid w:val="001C2F40"/>
    <w:rsid w:val="001C2F63"/>
    <w:rsid w:val="001C3001"/>
    <w:rsid w:val="001C343D"/>
    <w:rsid w:val="001C3454"/>
    <w:rsid w:val="001C362D"/>
    <w:rsid w:val="001C38BC"/>
    <w:rsid w:val="001C3902"/>
    <w:rsid w:val="001C399D"/>
    <w:rsid w:val="001C4E1F"/>
    <w:rsid w:val="001C521A"/>
    <w:rsid w:val="001C5C00"/>
    <w:rsid w:val="001C6340"/>
    <w:rsid w:val="001C6413"/>
    <w:rsid w:val="001C668A"/>
    <w:rsid w:val="001C6808"/>
    <w:rsid w:val="001C736A"/>
    <w:rsid w:val="001C7A20"/>
    <w:rsid w:val="001C7D48"/>
    <w:rsid w:val="001C7E91"/>
    <w:rsid w:val="001D0107"/>
    <w:rsid w:val="001D0D52"/>
    <w:rsid w:val="001D0EBF"/>
    <w:rsid w:val="001D1049"/>
    <w:rsid w:val="001D16AA"/>
    <w:rsid w:val="001D174A"/>
    <w:rsid w:val="001D197F"/>
    <w:rsid w:val="001D2284"/>
    <w:rsid w:val="001D287D"/>
    <w:rsid w:val="001D2F43"/>
    <w:rsid w:val="001D38F3"/>
    <w:rsid w:val="001D3D50"/>
    <w:rsid w:val="001D40CA"/>
    <w:rsid w:val="001D5901"/>
    <w:rsid w:val="001D663C"/>
    <w:rsid w:val="001D6C49"/>
    <w:rsid w:val="001D7145"/>
    <w:rsid w:val="001D7221"/>
    <w:rsid w:val="001D7248"/>
    <w:rsid w:val="001D7306"/>
    <w:rsid w:val="001D7318"/>
    <w:rsid w:val="001D7689"/>
    <w:rsid w:val="001D7748"/>
    <w:rsid w:val="001D7898"/>
    <w:rsid w:val="001E0673"/>
    <w:rsid w:val="001E06F9"/>
    <w:rsid w:val="001E12D5"/>
    <w:rsid w:val="001E1503"/>
    <w:rsid w:val="001E1792"/>
    <w:rsid w:val="001E196D"/>
    <w:rsid w:val="001E1BD5"/>
    <w:rsid w:val="001E1F5F"/>
    <w:rsid w:val="001E26CE"/>
    <w:rsid w:val="001E2A6A"/>
    <w:rsid w:val="001E2CB3"/>
    <w:rsid w:val="001E3152"/>
    <w:rsid w:val="001E3B0A"/>
    <w:rsid w:val="001E3FED"/>
    <w:rsid w:val="001E40F1"/>
    <w:rsid w:val="001E41EA"/>
    <w:rsid w:val="001E43E6"/>
    <w:rsid w:val="001E4627"/>
    <w:rsid w:val="001E4C4A"/>
    <w:rsid w:val="001E4F92"/>
    <w:rsid w:val="001E4FC4"/>
    <w:rsid w:val="001E50DE"/>
    <w:rsid w:val="001E5310"/>
    <w:rsid w:val="001E561B"/>
    <w:rsid w:val="001E5C68"/>
    <w:rsid w:val="001E616F"/>
    <w:rsid w:val="001E6675"/>
    <w:rsid w:val="001E689D"/>
    <w:rsid w:val="001E6EC2"/>
    <w:rsid w:val="001E7787"/>
    <w:rsid w:val="001F022D"/>
    <w:rsid w:val="001F0A0C"/>
    <w:rsid w:val="001F10E2"/>
    <w:rsid w:val="001F185F"/>
    <w:rsid w:val="001F1ED9"/>
    <w:rsid w:val="001F1F0B"/>
    <w:rsid w:val="001F20FD"/>
    <w:rsid w:val="001F2119"/>
    <w:rsid w:val="001F22FF"/>
    <w:rsid w:val="001F2C34"/>
    <w:rsid w:val="001F39F0"/>
    <w:rsid w:val="001F4F0F"/>
    <w:rsid w:val="001F5E4E"/>
    <w:rsid w:val="001F605C"/>
    <w:rsid w:val="001F69BF"/>
    <w:rsid w:val="001F6AD9"/>
    <w:rsid w:val="001F6EC8"/>
    <w:rsid w:val="001F7A21"/>
    <w:rsid w:val="001F7F0E"/>
    <w:rsid w:val="00200158"/>
    <w:rsid w:val="002002B7"/>
    <w:rsid w:val="002003F8"/>
    <w:rsid w:val="00200B60"/>
    <w:rsid w:val="00200CCD"/>
    <w:rsid w:val="00200F24"/>
    <w:rsid w:val="0020140C"/>
    <w:rsid w:val="0020179F"/>
    <w:rsid w:val="00201C50"/>
    <w:rsid w:val="00201D31"/>
    <w:rsid w:val="00201EB8"/>
    <w:rsid w:val="002021D1"/>
    <w:rsid w:val="00202394"/>
    <w:rsid w:val="00202569"/>
    <w:rsid w:val="00202BAB"/>
    <w:rsid w:val="00202D1E"/>
    <w:rsid w:val="00202D55"/>
    <w:rsid w:val="00202E14"/>
    <w:rsid w:val="0020320D"/>
    <w:rsid w:val="0020373A"/>
    <w:rsid w:val="00203D86"/>
    <w:rsid w:val="0020460C"/>
    <w:rsid w:val="00205339"/>
    <w:rsid w:val="002057DF"/>
    <w:rsid w:val="0020611F"/>
    <w:rsid w:val="002063DB"/>
    <w:rsid w:val="0020689E"/>
    <w:rsid w:val="00207439"/>
    <w:rsid w:val="00207470"/>
    <w:rsid w:val="00207977"/>
    <w:rsid w:val="00207CB4"/>
    <w:rsid w:val="00207D8C"/>
    <w:rsid w:val="00207E5F"/>
    <w:rsid w:val="0021021C"/>
    <w:rsid w:val="0021042A"/>
    <w:rsid w:val="00210464"/>
    <w:rsid w:val="00210835"/>
    <w:rsid w:val="00210865"/>
    <w:rsid w:val="0021091B"/>
    <w:rsid w:val="00211329"/>
    <w:rsid w:val="00211CFD"/>
    <w:rsid w:val="00211D81"/>
    <w:rsid w:val="00212092"/>
    <w:rsid w:val="00212706"/>
    <w:rsid w:val="00212E4C"/>
    <w:rsid w:val="00213158"/>
    <w:rsid w:val="00213188"/>
    <w:rsid w:val="00213392"/>
    <w:rsid w:val="002158EA"/>
    <w:rsid w:val="00215B7C"/>
    <w:rsid w:val="002164DE"/>
    <w:rsid w:val="00216D70"/>
    <w:rsid w:val="00216F0D"/>
    <w:rsid w:val="002170DB"/>
    <w:rsid w:val="00217642"/>
    <w:rsid w:val="00217A43"/>
    <w:rsid w:val="00220328"/>
    <w:rsid w:val="002208A8"/>
    <w:rsid w:val="0022111F"/>
    <w:rsid w:val="002214B6"/>
    <w:rsid w:val="00221530"/>
    <w:rsid w:val="0022189A"/>
    <w:rsid w:val="002219EC"/>
    <w:rsid w:val="00222067"/>
    <w:rsid w:val="0022248C"/>
    <w:rsid w:val="00222626"/>
    <w:rsid w:val="002228AA"/>
    <w:rsid w:val="002228E9"/>
    <w:rsid w:val="00222AB1"/>
    <w:rsid w:val="00223204"/>
    <w:rsid w:val="00223686"/>
    <w:rsid w:val="0022380B"/>
    <w:rsid w:val="0022383F"/>
    <w:rsid w:val="00223947"/>
    <w:rsid w:val="0022445D"/>
    <w:rsid w:val="0022464E"/>
    <w:rsid w:val="002255AA"/>
    <w:rsid w:val="0022592A"/>
    <w:rsid w:val="00225DFE"/>
    <w:rsid w:val="00226688"/>
    <w:rsid w:val="002275FD"/>
    <w:rsid w:val="0022778E"/>
    <w:rsid w:val="002277A8"/>
    <w:rsid w:val="0023004D"/>
    <w:rsid w:val="00230574"/>
    <w:rsid w:val="00230AE6"/>
    <w:rsid w:val="00231C06"/>
    <w:rsid w:val="00233543"/>
    <w:rsid w:val="002337C6"/>
    <w:rsid w:val="002338B6"/>
    <w:rsid w:val="002340BB"/>
    <w:rsid w:val="002345EC"/>
    <w:rsid w:val="0023494A"/>
    <w:rsid w:val="00234987"/>
    <w:rsid w:val="0023576F"/>
    <w:rsid w:val="00236082"/>
    <w:rsid w:val="0023695C"/>
    <w:rsid w:val="00236A22"/>
    <w:rsid w:val="002370C9"/>
    <w:rsid w:val="00237158"/>
    <w:rsid w:val="002376EA"/>
    <w:rsid w:val="00240197"/>
    <w:rsid w:val="00240558"/>
    <w:rsid w:val="00240917"/>
    <w:rsid w:val="00240951"/>
    <w:rsid w:val="00240C93"/>
    <w:rsid w:val="00240D77"/>
    <w:rsid w:val="0024119A"/>
    <w:rsid w:val="0024122D"/>
    <w:rsid w:val="002415DA"/>
    <w:rsid w:val="00241ADB"/>
    <w:rsid w:val="00241B2D"/>
    <w:rsid w:val="00242CAB"/>
    <w:rsid w:val="0024491D"/>
    <w:rsid w:val="002459E4"/>
    <w:rsid w:val="00245C22"/>
    <w:rsid w:val="00246088"/>
    <w:rsid w:val="00246CDB"/>
    <w:rsid w:val="00246EE8"/>
    <w:rsid w:val="00247162"/>
    <w:rsid w:val="002473D9"/>
    <w:rsid w:val="00247854"/>
    <w:rsid w:val="0025055A"/>
    <w:rsid w:val="002506E5"/>
    <w:rsid w:val="00250B3E"/>
    <w:rsid w:val="00250B66"/>
    <w:rsid w:val="00250D83"/>
    <w:rsid w:val="00251286"/>
    <w:rsid w:val="002512DD"/>
    <w:rsid w:val="00252063"/>
    <w:rsid w:val="0025253F"/>
    <w:rsid w:val="00252AA0"/>
    <w:rsid w:val="00252DAF"/>
    <w:rsid w:val="00252FB3"/>
    <w:rsid w:val="002531A8"/>
    <w:rsid w:val="00253800"/>
    <w:rsid w:val="00253A29"/>
    <w:rsid w:val="0025424F"/>
    <w:rsid w:val="00254A3A"/>
    <w:rsid w:val="00254ADE"/>
    <w:rsid w:val="00254B4B"/>
    <w:rsid w:val="00254C09"/>
    <w:rsid w:val="002562A6"/>
    <w:rsid w:val="00256517"/>
    <w:rsid w:val="002567F3"/>
    <w:rsid w:val="00256911"/>
    <w:rsid w:val="00256AF1"/>
    <w:rsid w:val="00256D20"/>
    <w:rsid w:val="00257064"/>
    <w:rsid w:val="002574CD"/>
    <w:rsid w:val="00257CC5"/>
    <w:rsid w:val="00260D9D"/>
    <w:rsid w:val="00261A0A"/>
    <w:rsid w:val="00261DFD"/>
    <w:rsid w:val="00261DFE"/>
    <w:rsid w:val="00261E94"/>
    <w:rsid w:val="002620EB"/>
    <w:rsid w:val="0026256E"/>
    <w:rsid w:val="00262CCC"/>
    <w:rsid w:val="002633AD"/>
    <w:rsid w:val="00263451"/>
    <w:rsid w:val="002639FD"/>
    <w:rsid w:val="00263EFC"/>
    <w:rsid w:val="0026505F"/>
    <w:rsid w:val="00265D96"/>
    <w:rsid w:val="002668E9"/>
    <w:rsid w:val="00266A11"/>
    <w:rsid w:val="00266EA9"/>
    <w:rsid w:val="00267029"/>
    <w:rsid w:val="002676AB"/>
    <w:rsid w:val="00267EE4"/>
    <w:rsid w:val="00267FA6"/>
    <w:rsid w:val="00270353"/>
    <w:rsid w:val="0027095E"/>
    <w:rsid w:val="002709CA"/>
    <w:rsid w:val="0027118B"/>
    <w:rsid w:val="0027120D"/>
    <w:rsid w:val="00271B39"/>
    <w:rsid w:val="00272C7D"/>
    <w:rsid w:val="00272FD2"/>
    <w:rsid w:val="0027316A"/>
    <w:rsid w:val="00273230"/>
    <w:rsid w:val="002735E7"/>
    <w:rsid w:val="00273915"/>
    <w:rsid w:val="002742B4"/>
    <w:rsid w:val="00274467"/>
    <w:rsid w:val="00274682"/>
    <w:rsid w:val="00275075"/>
    <w:rsid w:val="00275336"/>
    <w:rsid w:val="00275346"/>
    <w:rsid w:val="00275373"/>
    <w:rsid w:val="002754FF"/>
    <w:rsid w:val="00275566"/>
    <w:rsid w:val="00276B7A"/>
    <w:rsid w:val="00276C20"/>
    <w:rsid w:val="0027709A"/>
    <w:rsid w:val="00277268"/>
    <w:rsid w:val="00277A53"/>
    <w:rsid w:val="00277F1B"/>
    <w:rsid w:val="002802F9"/>
    <w:rsid w:val="002805A6"/>
    <w:rsid w:val="00280B65"/>
    <w:rsid w:val="0028135B"/>
    <w:rsid w:val="00281AD4"/>
    <w:rsid w:val="00282182"/>
    <w:rsid w:val="002826AE"/>
    <w:rsid w:val="002827DE"/>
    <w:rsid w:val="0028308A"/>
    <w:rsid w:val="00283228"/>
    <w:rsid w:val="00283438"/>
    <w:rsid w:val="002834A5"/>
    <w:rsid w:val="002836D0"/>
    <w:rsid w:val="002836E2"/>
    <w:rsid w:val="002839FD"/>
    <w:rsid w:val="002845C0"/>
    <w:rsid w:val="00284823"/>
    <w:rsid w:val="002849F4"/>
    <w:rsid w:val="00284A12"/>
    <w:rsid w:val="00284A90"/>
    <w:rsid w:val="00284C54"/>
    <w:rsid w:val="00285549"/>
    <w:rsid w:val="0028613A"/>
    <w:rsid w:val="002863F2"/>
    <w:rsid w:val="0028666A"/>
    <w:rsid w:val="00286E0E"/>
    <w:rsid w:val="0028720E"/>
    <w:rsid w:val="002874DF"/>
    <w:rsid w:val="00287C9C"/>
    <w:rsid w:val="002902A1"/>
    <w:rsid w:val="00290644"/>
    <w:rsid w:val="002908F1"/>
    <w:rsid w:val="00290F77"/>
    <w:rsid w:val="00291C35"/>
    <w:rsid w:val="00291DD2"/>
    <w:rsid w:val="00291F91"/>
    <w:rsid w:val="002928FB"/>
    <w:rsid w:val="00292FF3"/>
    <w:rsid w:val="0029348C"/>
    <w:rsid w:val="002935CE"/>
    <w:rsid w:val="00293987"/>
    <w:rsid w:val="002943CE"/>
    <w:rsid w:val="00294446"/>
    <w:rsid w:val="00294C80"/>
    <w:rsid w:val="00294FC6"/>
    <w:rsid w:val="00295044"/>
    <w:rsid w:val="002953FC"/>
    <w:rsid w:val="002954D9"/>
    <w:rsid w:val="0029573C"/>
    <w:rsid w:val="00295A40"/>
    <w:rsid w:val="00295FBF"/>
    <w:rsid w:val="0029614B"/>
    <w:rsid w:val="002963F1"/>
    <w:rsid w:val="00296A30"/>
    <w:rsid w:val="00296AF7"/>
    <w:rsid w:val="00297708"/>
    <w:rsid w:val="002A0036"/>
    <w:rsid w:val="002A0586"/>
    <w:rsid w:val="002A0832"/>
    <w:rsid w:val="002A0B2A"/>
    <w:rsid w:val="002A0B95"/>
    <w:rsid w:val="002A0BD8"/>
    <w:rsid w:val="002A0BE3"/>
    <w:rsid w:val="002A0D1E"/>
    <w:rsid w:val="002A1234"/>
    <w:rsid w:val="002A181F"/>
    <w:rsid w:val="002A230F"/>
    <w:rsid w:val="002A246B"/>
    <w:rsid w:val="002A2DD5"/>
    <w:rsid w:val="002A2E18"/>
    <w:rsid w:val="002A3749"/>
    <w:rsid w:val="002A465C"/>
    <w:rsid w:val="002A4789"/>
    <w:rsid w:val="002A47EC"/>
    <w:rsid w:val="002A4B87"/>
    <w:rsid w:val="002A4BD0"/>
    <w:rsid w:val="002A4D79"/>
    <w:rsid w:val="002A5542"/>
    <w:rsid w:val="002A6816"/>
    <w:rsid w:val="002A68ED"/>
    <w:rsid w:val="002A6A5A"/>
    <w:rsid w:val="002A6F38"/>
    <w:rsid w:val="002A7208"/>
    <w:rsid w:val="002A7780"/>
    <w:rsid w:val="002A7FF2"/>
    <w:rsid w:val="002B0038"/>
    <w:rsid w:val="002B0746"/>
    <w:rsid w:val="002B1103"/>
    <w:rsid w:val="002B1326"/>
    <w:rsid w:val="002B1656"/>
    <w:rsid w:val="002B172F"/>
    <w:rsid w:val="002B1759"/>
    <w:rsid w:val="002B1C4C"/>
    <w:rsid w:val="002B1E8A"/>
    <w:rsid w:val="002B2612"/>
    <w:rsid w:val="002B309B"/>
    <w:rsid w:val="002B3292"/>
    <w:rsid w:val="002B37FC"/>
    <w:rsid w:val="002B3FE6"/>
    <w:rsid w:val="002B45D5"/>
    <w:rsid w:val="002B471B"/>
    <w:rsid w:val="002B47C7"/>
    <w:rsid w:val="002B5063"/>
    <w:rsid w:val="002B5463"/>
    <w:rsid w:val="002B5A03"/>
    <w:rsid w:val="002B5C36"/>
    <w:rsid w:val="002B5C83"/>
    <w:rsid w:val="002B6067"/>
    <w:rsid w:val="002B627B"/>
    <w:rsid w:val="002B6C5D"/>
    <w:rsid w:val="002B6F11"/>
    <w:rsid w:val="002B7372"/>
    <w:rsid w:val="002B781C"/>
    <w:rsid w:val="002B7922"/>
    <w:rsid w:val="002B79FD"/>
    <w:rsid w:val="002B7CBA"/>
    <w:rsid w:val="002B7E7E"/>
    <w:rsid w:val="002C026D"/>
    <w:rsid w:val="002C0CBE"/>
    <w:rsid w:val="002C0D84"/>
    <w:rsid w:val="002C1531"/>
    <w:rsid w:val="002C15CA"/>
    <w:rsid w:val="002C175D"/>
    <w:rsid w:val="002C1B78"/>
    <w:rsid w:val="002C1C6E"/>
    <w:rsid w:val="002C1CAF"/>
    <w:rsid w:val="002C2019"/>
    <w:rsid w:val="002C2032"/>
    <w:rsid w:val="002C2B9B"/>
    <w:rsid w:val="002C35CF"/>
    <w:rsid w:val="002C368E"/>
    <w:rsid w:val="002C371B"/>
    <w:rsid w:val="002C3844"/>
    <w:rsid w:val="002C3FD0"/>
    <w:rsid w:val="002C45D5"/>
    <w:rsid w:val="002C48CB"/>
    <w:rsid w:val="002C5122"/>
    <w:rsid w:val="002C5DE7"/>
    <w:rsid w:val="002C5EC8"/>
    <w:rsid w:val="002C6390"/>
    <w:rsid w:val="002C6745"/>
    <w:rsid w:val="002C6D74"/>
    <w:rsid w:val="002C6D99"/>
    <w:rsid w:val="002C6EF0"/>
    <w:rsid w:val="002C73E0"/>
    <w:rsid w:val="002C75FF"/>
    <w:rsid w:val="002C7779"/>
    <w:rsid w:val="002C7F1A"/>
    <w:rsid w:val="002D020D"/>
    <w:rsid w:val="002D2BD4"/>
    <w:rsid w:val="002D2DF6"/>
    <w:rsid w:val="002D30D5"/>
    <w:rsid w:val="002D33D8"/>
    <w:rsid w:val="002D364E"/>
    <w:rsid w:val="002D4523"/>
    <w:rsid w:val="002D461C"/>
    <w:rsid w:val="002D4A48"/>
    <w:rsid w:val="002D4BEE"/>
    <w:rsid w:val="002D4CC9"/>
    <w:rsid w:val="002D4D7A"/>
    <w:rsid w:val="002D50E9"/>
    <w:rsid w:val="002D55C6"/>
    <w:rsid w:val="002D55DC"/>
    <w:rsid w:val="002D5F42"/>
    <w:rsid w:val="002D68CB"/>
    <w:rsid w:val="002D77DC"/>
    <w:rsid w:val="002D7D4C"/>
    <w:rsid w:val="002E0ACE"/>
    <w:rsid w:val="002E0E11"/>
    <w:rsid w:val="002E0E42"/>
    <w:rsid w:val="002E16EE"/>
    <w:rsid w:val="002E1BB6"/>
    <w:rsid w:val="002E331F"/>
    <w:rsid w:val="002E3D99"/>
    <w:rsid w:val="002E4602"/>
    <w:rsid w:val="002E495C"/>
    <w:rsid w:val="002E4B6E"/>
    <w:rsid w:val="002E5032"/>
    <w:rsid w:val="002E5224"/>
    <w:rsid w:val="002E57C8"/>
    <w:rsid w:val="002E57E0"/>
    <w:rsid w:val="002E585E"/>
    <w:rsid w:val="002E610D"/>
    <w:rsid w:val="002E6318"/>
    <w:rsid w:val="002E68AF"/>
    <w:rsid w:val="002E6DE2"/>
    <w:rsid w:val="002E6E1C"/>
    <w:rsid w:val="002E6FB2"/>
    <w:rsid w:val="002E77D5"/>
    <w:rsid w:val="002E7B79"/>
    <w:rsid w:val="002E7CB4"/>
    <w:rsid w:val="002E7E1C"/>
    <w:rsid w:val="002F0331"/>
    <w:rsid w:val="002F1266"/>
    <w:rsid w:val="002F165D"/>
    <w:rsid w:val="002F1ED2"/>
    <w:rsid w:val="002F2B40"/>
    <w:rsid w:val="002F3537"/>
    <w:rsid w:val="002F35BB"/>
    <w:rsid w:val="002F37D6"/>
    <w:rsid w:val="002F3D42"/>
    <w:rsid w:val="002F3DD7"/>
    <w:rsid w:val="002F43E4"/>
    <w:rsid w:val="002F486A"/>
    <w:rsid w:val="002F49DD"/>
    <w:rsid w:val="002F4A8B"/>
    <w:rsid w:val="002F4DC9"/>
    <w:rsid w:val="002F59D4"/>
    <w:rsid w:val="002F5D2F"/>
    <w:rsid w:val="002F5D65"/>
    <w:rsid w:val="002F6370"/>
    <w:rsid w:val="002F7608"/>
    <w:rsid w:val="002F7669"/>
    <w:rsid w:val="003002E8"/>
    <w:rsid w:val="00300505"/>
    <w:rsid w:val="00300887"/>
    <w:rsid w:val="00300FDF"/>
    <w:rsid w:val="00301189"/>
    <w:rsid w:val="003012CD"/>
    <w:rsid w:val="003012EC"/>
    <w:rsid w:val="003019B5"/>
    <w:rsid w:val="003020A7"/>
    <w:rsid w:val="003022FB"/>
    <w:rsid w:val="0030374D"/>
    <w:rsid w:val="00303788"/>
    <w:rsid w:val="003038F9"/>
    <w:rsid w:val="0030477E"/>
    <w:rsid w:val="0030489B"/>
    <w:rsid w:val="00304A76"/>
    <w:rsid w:val="00304F1B"/>
    <w:rsid w:val="0030500F"/>
    <w:rsid w:val="003059A2"/>
    <w:rsid w:val="0030614C"/>
    <w:rsid w:val="0030694B"/>
    <w:rsid w:val="00306DDC"/>
    <w:rsid w:val="00307273"/>
    <w:rsid w:val="0030729E"/>
    <w:rsid w:val="0030744D"/>
    <w:rsid w:val="0030756B"/>
    <w:rsid w:val="003075F6"/>
    <w:rsid w:val="0030783F"/>
    <w:rsid w:val="003078BB"/>
    <w:rsid w:val="00307DFE"/>
    <w:rsid w:val="00307E33"/>
    <w:rsid w:val="00307E7A"/>
    <w:rsid w:val="00310CF5"/>
    <w:rsid w:val="0031124F"/>
    <w:rsid w:val="00311357"/>
    <w:rsid w:val="0031164E"/>
    <w:rsid w:val="00312127"/>
    <w:rsid w:val="003121AA"/>
    <w:rsid w:val="003124E3"/>
    <w:rsid w:val="00312A55"/>
    <w:rsid w:val="00312BD3"/>
    <w:rsid w:val="003132CF"/>
    <w:rsid w:val="003132EE"/>
    <w:rsid w:val="003134E7"/>
    <w:rsid w:val="003135A8"/>
    <w:rsid w:val="0031386E"/>
    <w:rsid w:val="00314173"/>
    <w:rsid w:val="003143AF"/>
    <w:rsid w:val="003145C8"/>
    <w:rsid w:val="00314E5E"/>
    <w:rsid w:val="00315441"/>
    <w:rsid w:val="003154BE"/>
    <w:rsid w:val="0031561F"/>
    <w:rsid w:val="00316103"/>
    <w:rsid w:val="00316146"/>
    <w:rsid w:val="00316289"/>
    <w:rsid w:val="00316D92"/>
    <w:rsid w:val="00316DC7"/>
    <w:rsid w:val="00316DEC"/>
    <w:rsid w:val="00317527"/>
    <w:rsid w:val="003179BF"/>
    <w:rsid w:val="00317D9C"/>
    <w:rsid w:val="003201E1"/>
    <w:rsid w:val="00320D09"/>
    <w:rsid w:val="00320E61"/>
    <w:rsid w:val="003211E3"/>
    <w:rsid w:val="00322794"/>
    <w:rsid w:val="00322860"/>
    <w:rsid w:val="00322901"/>
    <w:rsid w:val="00322CBB"/>
    <w:rsid w:val="00323256"/>
    <w:rsid w:val="003234F6"/>
    <w:rsid w:val="00323547"/>
    <w:rsid w:val="003238D0"/>
    <w:rsid w:val="0032431B"/>
    <w:rsid w:val="00324F77"/>
    <w:rsid w:val="0032514C"/>
    <w:rsid w:val="0032532D"/>
    <w:rsid w:val="00325509"/>
    <w:rsid w:val="003261A2"/>
    <w:rsid w:val="00326296"/>
    <w:rsid w:val="003263BE"/>
    <w:rsid w:val="003265BE"/>
    <w:rsid w:val="00326888"/>
    <w:rsid w:val="0032690D"/>
    <w:rsid w:val="00326F60"/>
    <w:rsid w:val="00327B2F"/>
    <w:rsid w:val="00330A08"/>
    <w:rsid w:val="00330AA9"/>
    <w:rsid w:val="00330C8B"/>
    <w:rsid w:val="00330C9A"/>
    <w:rsid w:val="00331ED2"/>
    <w:rsid w:val="00331FA1"/>
    <w:rsid w:val="0033209B"/>
    <w:rsid w:val="0033268C"/>
    <w:rsid w:val="00332999"/>
    <w:rsid w:val="00333254"/>
    <w:rsid w:val="0033387D"/>
    <w:rsid w:val="003341EC"/>
    <w:rsid w:val="0033485A"/>
    <w:rsid w:val="00335A4D"/>
    <w:rsid w:val="00335E83"/>
    <w:rsid w:val="003364F4"/>
    <w:rsid w:val="003365DF"/>
    <w:rsid w:val="00336699"/>
    <w:rsid w:val="00336ED5"/>
    <w:rsid w:val="00337256"/>
    <w:rsid w:val="0033738A"/>
    <w:rsid w:val="003375B7"/>
    <w:rsid w:val="00337609"/>
    <w:rsid w:val="0033790B"/>
    <w:rsid w:val="003404DD"/>
    <w:rsid w:val="003407A8"/>
    <w:rsid w:val="0034084E"/>
    <w:rsid w:val="00340B8B"/>
    <w:rsid w:val="00340BF3"/>
    <w:rsid w:val="00341138"/>
    <w:rsid w:val="0034124B"/>
    <w:rsid w:val="00341470"/>
    <w:rsid w:val="003418BF"/>
    <w:rsid w:val="003419E6"/>
    <w:rsid w:val="0034232E"/>
    <w:rsid w:val="00342AAD"/>
    <w:rsid w:val="0034356C"/>
    <w:rsid w:val="003436CA"/>
    <w:rsid w:val="00343999"/>
    <w:rsid w:val="00343A30"/>
    <w:rsid w:val="0034436C"/>
    <w:rsid w:val="00344478"/>
    <w:rsid w:val="00344910"/>
    <w:rsid w:val="00344E36"/>
    <w:rsid w:val="003450DC"/>
    <w:rsid w:val="003451EC"/>
    <w:rsid w:val="00345720"/>
    <w:rsid w:val="003458B8"/>
    <w:rsid w:val="00345A26"/>
    <w:rsid w:val="00346598"/>
    <w:rsid w:val="00346AF9"/>
    <w:rsid w:val="00346CE1"/>
    <w:rsid w:val="00346F4D"/>
    <w:rsid w:val="003470BC"/>
    <w:rsid w:val="00347683"/>
    <w:rsid w:val="00347824"/>
    <w:rsid w:val="003500A2"/>
    <w:rsid w:val="00350126"/>
    <w:rsid w:val="003502C7"/>
    <w:rsid w:val="003507D9"/>
    <w:rsid w:val="00350CB3"/>
    <w:rsid w:val="00350CF0"/>
    <w:rsid w:val="003518B7"/>
    <w:rsid w:val="00352724"/>
    <w:rsid w:val="003530AD"/>
    <w:rsid w:val="0035368C"/>
    <w:rsid w:val="00353734"/>
    <w:rsid w:val="00353741"/>
    <w:rsid w:val="003537F8"/>
    <w:rsid w:val="00353D6D"/>
    <w:rsid w:val="003545E1"/>
    <w:rsid w:val="003546DD"/>
    <w:rsid w:val="003548C2"/>
    <w:rsid w:val="00354C99"/>
    <w:rsid w:val="00354FD7"/>
    <w:rsid w:val="00355169"/>
    <w:rsid w:val="00355565"/>
    <w:rsid w:val="00355578"/>
    <w:rsid w:val="0035578F"/>
    <w:rsid w:val="00355912"/>
    <w:rsid w:val="003559A7"/>
    <w:rsid w:val="00355A18"/>
    <w:rsid w:val="00355FE7"/>
    <w:rsid w:val="00356061"/>
    <w:rsid w:val="003564A9"/>
    <w:rsid w:val="003566DC"/>
    <w:rsid w:val="00356B95"/>
    <w:rsid w:val="00356BCE"/>
    <w:rsid w:val="00356CA1"/>
    <w:rsid w:val="003573FF"/>
    <w:rsid w:val="00357626"/>
    <w:rsid w:val="00357B0C"/>
    <w:rsid w:val="00357E17"/>
    <w:rsid w:val="00357E7E"/>
    <w:rsid w:val="00360033"/>
    <w:rsid w:val="0036029F"/>
    <w:rsid w:val="00360558"/>
    <w:rsid w:val="00360AC5"/>
    <w:rsid w:val="00360DFD"/>
    <w:rsid w:val="00360FEB"/>
    <w:rsid w:val="0036152B"/>
    <w:rsid w:val="0036154C"/>
    <w:rsid w:val="003618A7"/>
    <w:rsid w:val="00361F57"/>
    <w:rsid w:val="003622EE"/>
    <w:rsid w:val="003628F0"/>
    <w:rsid w:val="003630CD"/>
    <w:rsid w:val="0036334A"/>
    <w:rsid w:val="00363504"/>
    <w:rsid w:val="0036358D"/>
    <w:rsid w:val="00363648"/>
    <w:rsid w:val="00363DF8"/>
    <w:rsid w:val="00364848"/>
    <w:rsid w:val="00364987"/>
    <w:rsid w:val="003657E0"/>
    <w:rsid w:val="003669B6"/>
    <w:rsid w:val="00366F06"/>
    <w:rsid w:val="003677A4"/>
    <w:rsid w:val="00367866"/>
    <w:rsid w:val="00367D4A"/>
    <w:rsid w:val="00370946"/>
    <w:rsid w:val="0037096B"/>
    <w:rsid w:val="00370C95"/>
    <w:rsid w:val="00370CDE"/>
    <w:rsid w:val="00370FF4"/>
    <w:rsid w:val="0037169B"/>
    <w:rsid w:val="0037196A"/>
    <w:rsid w:val="00371DCB"/>
    <w:rsid w:val="00371DFD"/>
    <w:rsid w:val="0037242E"/>
    <w:rsid w:val="003728C2"/>
    <w:rsid w:val="00372929"/>
    <w:rsid w:val="003729EC"/>
    <w:rsid w:val="00372D1D"/>
    <w:rsid w:val="00372E4A"/>
    <w:rsid w:val="00373556"/>
    <w:rsid w:val="00374694"/>
    <w:rsid w:val="003746F2"/>
    <w:rsid w:val="003748B7"/>
    <w:rsid w:val="00374974"/>
    <w:rsid w:val="00375663"/>
    <w:rsid w:val="00375A44"/>
    <w:rsid w:val="003763BB"/>
    <w:rsid w:val="003769D1"/>
    <w:rsid w:val="00376AE1"/>
    <w:rsid w:val="00376C94"/>
    <w:rsid w:val="00376EF8"/>
    <w:rsid w:val="00377954"/>
    <w:rsid w:val="00377EDC"/>
    <w:rsid w:val="003803E8"/>
    <w:rsid w:val="003805B7"/>
    <w:rsid w:val="00380EF8"/>
    <w:rsid w:val="00381C51"/>
    <w:rsid w:val="00381D6B"/>
    <w:rsid w:val="00381F17"/>
    <w:rsid w:val="0038233C"/>
    <w:rsid w:val="0038250B"/>
    <w:rsid w:val="003825B8"/>
    <w:rsid w:val="00383AFE"/>
    <w:rsid w:val="00383C76"/>
    <w:rsid w:val="00383F15"/>
    <w:rsid w:val="003842A9"/>
    <w:rsid w:val="00384C13"/>
    <w:rsid w:val="00384CAE"/>
    <w:rsid w:val="0038518E"/>
    <w:rsid w:val="00385D50"/>
    <w:rsid w:val="0038619D"/>
    <w:rsid w:val="003863F3"/>
    <w:rsid w:val="00386412"/>
    <w:rsid w:val="0038675A"/>
    <w:rsid w:val="0038744A"/>
    <w:rsid w:val="0038765D"/>
    <w:rsid w:val="0038781B"/>
    <w:rsid w:val="00387E64"/>
    <w:rsid w:val="003905AD"/>
    <w:rsid w:val="00390A6F"/>
    <w:rsid w:val="003914BA"/>
    <w:rsid w:val="0039206E"/>
    <w:rsid w:val="00392259"/>
    <w:rsid w:val="00392BE1"/>
    <w:rsid w:val="00392F80"/>
    <w:rsid w:val="003933FC"/>
    <w:rsid w:val="003935A8"/>
    <w:rsid w:val="00393814"/>
    <w:rsid w:val="00393A21"/>
    <w:rsid w:val="003941A2"/>
    <w:rsid w:val="003942EC"/>
    <w:rsid w:val="0039431B"/>
    <w:rsid w:val="0039432F"/>
    <w:rsid w:val="003948D9"/>
    <w:rsid w:val="00394B50"/>
    <w:rsid w:val="00394BBD"/>
    <w:rsid w:val="00394CDE"/>
    <w:rsid w:val="00394F44"/>
    <w:rsid w:val="00395057"/>
    <w:rsid w:val="003959FB"/>
    <w:rsid w:val="00395DC9"/>
    <w:rsid w:val="003964E9"/>
    <w:rsid w:val="00396A0E"/>
    <w:rsid w:val="00397220"/>
    <w:rsid w:val="003A02FA"/>
    <w:rsid w:val="003A0A66"/>
    <w:rsid w:val="003A0EAA"/>
    <w:rsid w:val="003A1026"/>
    <w:rsid w:val="003A103C"/>
    <w:rsid w:val="003A12BD"/>
    <w:rsid w:val="003A150A"/>
    <w:rsid w:val="003A1681"/>
    <w:rsid w:val="003A21E7"/>
    <w:rsid w:val="003A284D"/>
    <w:rsid w:val="003A2BE0"/>
    <w:rsid w:val="003A2C1B"/>
    <w:rsid w:val="003A3FFE"/>
    <w:rsid w:val="003A4904"/>
    <w:rsid w:val="003A564E"/>
    <w:rsid w:val="003A5849"/>
    <w:rsid w:val="003A5FBA"/>
    <w:rsid w:val="003A624B"/>
    <w:rsid w:val="003A6A63"/>
    <w:rsid w:val="003A6A91"/>
    <w:rsid w:val="003A6C5E"/>
    <w:rsid w:val="003A6E5B"/>
    <w:rsid w:val="003A7085"/>
    <w:rsid w:val="003A721E"/>
    <w:rsid w:val="003A78A7"/>
    <w:rsid w:val="003A79C9"/>
    <w:rsid w:val="003A7B7E"/>
    <w:rsid w:val="003A7EF5"/>
    <w:rsid w:val="003B00FF"/>
    <w:rsid w:val="003B012E"/>
    <w:rsid w:val="003B0533"/>
    <w:rsid w:val="003B0603"/>
    <w:rsid w:val="003B066E"/>
    <w:rsid w:val="003B0694"/>
    <w:rsid w:val="003B10FE"/>
    <w:rsid w:val="003B2122"/>
    <w:rsid w:val="003B23A1"/>
    <w:rsid w:val="003B2768"/>
    <w:rsid w:val="003B2F1D"/>
    <w:rsid w:val="003B330E"/>
    <w:rsid w:val="003B334B"/>
    <w:rsid w:val="003B33E2"/>
    <w:rsid w:val="003B354C"/>
    <w:rsid w:val="003B39EF"/>
    <w:rsid w:val="003B3D2C"/>
    <w:rsid w:val="003B42BC"/>
    <w:rsid w:val="003B4312"/>
    <w:rsid w:val="003B48C7"/>
    <w:rsid w:val="003B53E2"/>
    <w:rsid w:val="003B5409"/>
    <w:rsid w:val="003B57D7"/>
    <w:rsid w:val="003B594A"/>
    <w:rsid w:val="003B5A5A"/>
    <w:rsid w:val="003B5CB9"/>
    <w:rsid w:val="003B66DB"/>
    <w:rsid w:val="003B6910"/>
    <w:rsid w:val="003B7A17"/>
    <w:rsid w:val="003B7B0F"/>
    <w:rsid w:val="003C009E"/>
    <w:rsid w:val="003C13EE"/>
    <w:rsid w:val="003C164D"/>
    <w:rsid w:val="003C1652"/>
    <w:rsid w:val="003C16F1"/>
    <w:rsid w:val="003C1F30"/>
    <w:rsid w:val="003C1F92"/>
    <w:rsid w:val="003C3018"/>
    <w:rsid w:val="003C318A"/>
    <w:rsid w:val="003C3E81"/>
    <w:rsid w:val="003C4556"/>
    <w:rsid w:val="003C462A"/>
    <w:rsid w:val="003C4ABD"/>
    <w:rsid w:val="003C4BD7"/>
    <w:rsid w:val="003C4C28"/>
    <w:rsid w:val="003C4F9D"/>
    <w:rsid w:val="003C5123"/>
    <w:rsid w:val="003C51BD"/>
    <w:rsid w:val="003C51C9"/>
    <w:rsid w:val="003C54B4"/>
    <w:rsid w:val="003C5B05"/>
    <w:rsid w:val="003C5DBD"/>
    <w:rsid w:val="003C6AA5"/>
    <w:rsid w:val="003C6B8C"/>
    <w:rsid w:val="003C703B"/>
    <w:rsid w:val="003C7049"/>
    <w:rsid w:val="003C71EC"/>
    <w:rsid w:val="003C7B8D"/>
    <w:rsid w:val="003C7FA1"/>
    <w:rsid w:val="003D02E7"/>
    <w:rsid w:val="003D079F"/>
    <w:rsid w:val="003D0D84"/>
    <w:rsid w:val="003D1356"/>
    <w:rsid w:val="003D135B"/>
    <w:rsid w:val="003D13EB"/>
    <w:rsid w:val="003D1712"/>
    <w:rsid w:val="003D1A60"/>
    <w:rsid w:val="003D236E"/>
    <w:rsid w:val="003D2EB7"/>
    <w:rsid w:val="003D330F"/>
    <w:rsid w:val="003D3730"/>
    <w:rsid w:val="003D3787"/>
    <w:rsid w:val="003D3892"/>
    <w:rsid w:val="003D3E86"/>
    <w:rsid w:val="003D4C0F"/>
    <w:rsid w:val="003D5A91"/>
    <w:rsid w:val="003D5DB1"/>
    <w:rsid w:val="003D6193"/>
    <w:rsid w:val="003D666F"/>
    <w:rsid w:val="003D69EC"/>
    <w:rsid w:val="003D7622"/>
    <w:rsid w:val="003D78A7"/>
    <w:rsid w:val="003E0652"/>
    <w:rsid w:val="003E0876"/>
    <w:rsid w:val="003E0B23"/>
    <w:rsid w:val="003E0C17"/>
    <w:rsid w:val="003E113B"/>
    <w:rsid w:val="003E1C6B"/>
    <w:rsid w:val="003E2144"/>
    <w:rsid w:val="003E22A6"/>
    <w:rsid w:val="003E23AE"/>
    <w:rsid w:val="003E2887"/>
    <w:rsid w:val="003E2C1D"/>
    <w:rsid w:val="003E3168"/>
    <w:rsid w:val="003E3947"/>
    <w:rsid w:val="003E49D1"/>
    <w:rsid w:val="003E4A7A"/>
    <w:rsid w:val="003E4EE0"/>
    <w:rsid w:val="003E4FB4"/>
    <w:rsid w:val="003E587F"/>
    <w:rsid w:val="003E5C0A"/>
    <w:rsid w:val="003E5D91"/>
    <w:rsid w:val="003E63BF"/>
    <w:rsid w:val="003E64CD"/>
    <w:rsid w:val="003E65BE"/>
    <w:rsid w:val="003E67C6"/>
    <w:rsid w:val="003E6F38"/>
    <w:rsid w:val="003E70C9"/>
    <w:rsid w:val="003E7437"/>
    <w:rsid w:val="003E74F2"/>
    <w:rsid w:val="003E751C"/>
    <w:rsid w:val="003E75B1"/>
    <w:rsid w:val="003E78BD"/>
    <w:rsid w:val="003E7C05"/>
    <w:rsid w:val="003E7CB8"/>
    <w:rsid w:val="003F00EF"/>
    <w:rsid w:val="003F0125"/>
    <w:rsid w:val="003F025A"/>
    <w:rsid w:val="003F0963"/>
    <w:rsid w:val="003F0965"/>
    <w:rsid w:val="003F0984"/>
    <w:rsid w:val="003F0BB5"/>
    <w:rsid w:val="003F0F40"/>
    <w:rsid w:val="003F2B63"/>
    <w:rsid w:val="003F2E69"/>
    <w:rsid w:val="003F3077"/>
    <w:rsid w:val="003F3237"/>
    <w:rsid w:val="003F32E7"/>
    <w:rsid w:val="003F32EB"/>
    <w:rsid w:val="003F3405"/>
    <w:rsid w:val="003F3FA5"/>
    <w:rsid w:val="003F41C8"/>
    <w:rsid w:val="003F4840"/>
    <w:rsid w:val="003F4F92"/>
    <w:rsid w:val="003F51D2"/>
    <w:rsid w:val="003F5CA5"/>
    <w:rsid w:val="003F6B32"/>
    <w:rsid w:val="003F6CB1"/>
    <w:rsid w:val="003F6DC9"/>
    <w:rsid w:val="003F786C"/>
    <w:rsid w:val="003F7DCC"/>
    <w:rsid w:val="00400044"/>
    <w:rsid w:val="00400132"/>
    <w:rsid w:val="00401460"/>
    <w:rsid w:val="00401521"/>
    <w:rsid w:val="00401605"/>
    <w:rsid w:val="00402181"/>
    <w:rsid w:val="00402B27"/>
    <w:rsid w:val="00403148"/>
    <w:rsid w:val="0040323D"/>
    <w:rsid w:val="0040351F"/>
    <w:rsid w:val="004035AF"/>
    <w:rsid w:val="00403A86"/>
    <w:rsid w:val="00403C26"/>
    <w:rsid w:val="00403FB0"/>
    <w:rsid w:val="00403FC4"/>
    <w:rsid w:val="0040415D"/>
    <w:rsid w:val="004043C8"/>
    <w:rsid w:val="004048BC"/>
    <w:rsid w:val="004061CE"/>
    <w:rsid w:val="004062FA"/>
    <w:rsid w:val="0040675E"/>
    <w:rsid w:val="00410970"/>
    <w:rsid w:val="00411503"/>
    <w:rsid w:val="00411793"/>
    <w:rsid w:val="00412896"/>
    <w:rsid w:val="00412C26"/>
    <w:rsid w:val="00412D87"/>
    <w:rsid w:val="00412DC7"/>
    <w:rsid w:val="00413223"/>
    <w:rsid w:val="004133E5"/>
    <w:rsid w:val="00413E13"/>
    <w:rsid w:val="0041407E"/>
    <w:rsid w:val="0041441E"/>
    <w:rsid w:val="00414B4B"/>
    <w:rsid w:val="00414DD1"/>
    <w:rsid w:val="00415263"/>
    <w:rsid w:val="0041564E"/>
    <w:rsid w:val="00415DDB"/>
    <w:rsid w:val="00415F9A"/>
    <w:rsid w:val="0041673E"/>
    <w:rsid w:val="00417272"/>
    <w:rsid w:val="004174AE"/>
    <w:rsid w:val="00417739"/>
    <w:rsid w:val="0041780E"/>
    <w:rsid w:val="00417BAE"/>
    <w:rsid w:val="0042001A"/>
    <w:rsid w:val="00420D3A"/>
    <w:rsid w:val="004217FA"/>
    <w:rsid w:val="004219A2"/>
    <w:rsid w:val="00421A17"/>
    <w:rsid w:val="00421A9D"/>
    <w:rsid w:val="0042202C"/>
    <w:rsid w:val="00422B61"/>
    <w:rsid w:val="00422CBE"/>
    <w:rsid w:val="00423067"/>
    <w:rsid w:val="00423AD3"/>
    <w:rsid w:val="00423B15"/>
    <w:rsid w:val="00423C34"/>
    <w:rsid w:val="0042411C"/>
    <w:rsid w:val="00424152"/>
    <w:rsid w:val="004243AE"/>
    <w:rsid w:val="004254A9"/>
    <w:rsid w:val="00425890"/>
    <w:rsid w:val="00425AAE"/>
    <w:rsid w:val="00425E7A"/>
    <w:rsid w:val="00426214"/>
    <w:rsid w:val="00426584"/>
    <w:rsid w:val="00426703"/>
    <w:rsid w:val="00427541"/>
    <w:rsid w:val="00427E38"/>
    <w:rsid w:val="00427FFE"/>
    <w:rsid w:val="004305BD"/>
    <w:rsid w:val="00430CB7"/>
    <w:rsid w:val="00430D83"/>
    <w:rsid w:val="0043106D"/>
    <w:rsid w:val="00431332"/>
    <w:rsid w:val="00432C0E"/>
    <w:rsid w:val="0043340F"/>
    <w:rsid w:val="00433CF6"/>
    <w:rsid w:val="00434C24"/>
    <w:rsid w:val="004353FA"/>
    <w:rsid w:val="004355D0"/>
    <w:rsid w:val="00435849"/>
    <w:rsid w:val="00435A97"/>
    <w:rsid w:val="00435C46"/>
    <w:rsid w:val="00435C4C"/>
    <w:rsid w:val="00435CD5"/>
    <w:rsid w:val="00435E7E"/>
    <w:rsid w:val="004360B8"/>
    <w:rsid w:val="004366EA"/>
    <w:rsid w:val="00436CA5"/>
    <w:rsid w:val="00436FAF"/>
    <w:rsid w:val="004370F2"/>
    <w:rsid w:val="00437338"/>
    <w:rsid w:val="004376D2"/>
    <w:rsid w:val="00437977"/>
    <w:rsid w:val="00437BCB"/>
    <w:rsid w:val="00437EC1"/>
    <w:rsid w:val="004400AA"/>
    <w:rsid w:val="004404C3"/>
    <w:rsid w:val="00440ED7"/>
    <w:rsid w:val="00440EFB"/>
    <w:rsid w:val="004410F3"/>
    <w:rsid w:val="004415A9"/>
    <w:rsid w:val="0044208C"/>
    <w:rsid w:val="0044285B"/>
    <w:rsid w:val="004429A5"/>
    <w:rsid w:val="00442A6D"/>
    <w:rsid w:val="00442D2E"/>
    <w:rsid w:val="004436B9"/>
    <w:rsid w:val="004440C9"/>
    <w:rsid w:val="004442D8"/>
    <w:rsid w:val="004448D8"/>
    <w:rsid w:val="00444C11"/>
    <w:rsid w:val="00444CBA"/>
    <w:rsid w:val="00445805"/>
    <w:rsid w:val="0044591F"/>
    <w:rsid w:val="00445E70"/>
    <w:rsid w:val="00446203"/>
    <w:rsid w:val="00446410"/>
    <w:rsid w:val="00446598"/>
    <w:rsid w:val="00446B5F"/>
    <w:rsid w:val="0044717B"/>
    <w:rsid w:val="004475EF"/>
    <w:rsid w:val="00447D3F"/>
    <w:rsid w:val="00447F26"/>
    <w:rsid w:val="00450760"/>
    <w:rsid w:val="00450778"/>
    <w:rsid w:val="00450824"/>
    <w:rsid w:val="004511C3"/>
    <w:rsid w:val="004513CB"/>
    <w:rsid w:val="004516A2"/>
    <w:rsid w:val="00451987"/>
    <w:rsid w:val="00451B3F"/>
    <w:rsid w:val="00451B56"/>
    <w:rsid w:val="004525A9"/>
    <w:rsid w:val="004530A1"/>
    <w:rsid w:val="0045328E"/>
    <w:rsid w:val="004532B9"/>
    <w:rsid w:val="00453778"/>
    <w:rsid w:val="00453931"/>
    <w:rsid w:val="00453AE1"/>
    <w:rsid w:val="00453CE4"/>
    <w:rsid w:val="00453D94"/>
    <w:rsid w:val="00454285"/>
    <w:rsid w:val="004543BC"/>
    <w:rsid w:val="00454508"/>
    <w:rsid w:val="004545B5"/>
    <w:rsid w:val="0045496F"/>
    <w:rsid w:val="00454DCD"/>
    <w:rsid w:val="0045512F"/>
    <w:rsid w:val="00455858"/>
    <w:rsid w:val="00455DFB"/>
    <w:rsid w:val="004563C2"/>
    <w:rsid w:val="004567C1"/>
    <w:rsid w:val="004573FB"/>
    <w:rsid w:val="0045743C"/>
    <w:rsid w:val="0045766B"/>
    <w:rsid w:val="0046051E"/>
    <w:rsid w:val="00460DA2"/>
    <w:rsid w:val="0046143E"/>
    <w:rsid w:val="00461836"/>
    <w:rsid w:val="00461878"/>
    <w:rsid w:val="0046206F"/>
    <w:rsid w:val="004627B3"/>
    <w:rsid w:val="004631CE"/>
    <w:rsid w:val="00463B8B"/>
    <w:rsid w:val="00463E9F"/>
    <w:rsid w:val="00463F7A"/>
    <w:rsid w:val="00463FA8"/>
    <w:rsid w:val="00464383"/>
    <w:rsid w:val="004649F3"/>
    <w:rsid w:val="00464A24"/>
    <w:rsid w:val="00464E1A"/>
    <w:rsid w:val="0046534A"/>
    <w:rsid w:val="00465864"/>
    <w:rsid w:val="00465DA3"/>
    <w:rsid w:val="00465E82"/>
    <w:rsid w:val="00465EAD"/>
    <w:rsid w:val="00466122"/>
    <w:rsid w:val="0046691F"/>
    <w:rsid w:val="004674A8"/>
    <w:rsid w:val="004675EE"/>
    <w:rsid w:val="00467F14"/>
    <w:rsid w:val="004700B5"/>
    <w:rsid w:val="004704CA"/>
    <w:rsid w:val="00470FA3"/>
    <w:rsid w:val="0047106A"/>
    <w:rsid w:val="0047108A"/>
    <w:rsid w:val="004717FA"/>
    <w:rsid w:val="00471A08"/>
    <w:rsid w:val="00472981"/>
    <w:rsid w:val="00472F4B"/>
    <w:rsid w:val="00473125"/>
    <w:rsid w:val="00473997"/>
    <w:rsid w:val="00473BAC"/>
    <w:rsid w:val="00473D01"/>
    <w:rsid w:val="0047457F"/>
    <w:rsid w:val="0047463B"/>
    <w:rsid w:val="00474F48"/>
    <w:rsid w:val="00475185"/>
    <w:rsid w:val="0047544A"/>
    <w:rsid w:val="00475D1D"/>
    <w:rsid w:val="004760B7"/>
    <w:rsid w:val="00476489"/>
    <w:rsid w:val="00476822"/>
    <w:rsid w:val="00476C28"/>
    <w:rsid w:val="00477F47"/>
    <w:rsid w:val="0048052B"/>
    <w:rsid w:val="00480666"/>
    <w:rsid w:val="00480729"/>
    <w:rsid w:val="00481090"/>
    <w:rsid w:val="004813FB"/>
    <w:rsid w:val="00481D70"/>
    <w:rsid w:val="004821B4"/>
    <w:rsid w:val="00482298"/>
    <w:rsid w:val="004822A6"/>
    <w:rsid w:val="00482696"/>
    <w:rsid w:val="00482A2C"/>
    <w:rsid w:val="00482C61"/>
    <w:rsid w:val="004830B3"/>
    <w:rsid w:val="00483C02"/>
    <w:rsid w:val="00483DA4"/>
    <w:rsid w:val="004844EE"/>
    <w:rsid w:val="004845B3"/>
    <w:rsid w:val="00484657"/>
    <w:rsid w:val="004846AA"/>
    <w:rsid w:val="00485472"/>
    <w:rsid w:val="004855C4"/>
    <w:rsid w:val="00485B62"/>
    <w:rsid w:val="00485BFA"/>
    <w:rsid w:val="00486095"/>
    <w:rsid w:val="00486331"/>
    <w:rsid w:val="00486413"/>
    <w:rsid w:val="00486907"/>
    <w:rsid w:val="00487231"/>
    <w:rsid w:val="00487329"/>
    <w:rsid w:val="00487847"/>
    <w:rsid w:val="00487958"/>
    <w:rsid w:val="00490246"/>
    <w:rsid w:val="00490927"/>
    <w:rsid w:val="00490D0F"/>
    <w:rsid w:val="004916DD"/>
    <w:rsid w:val="00491E53"/>
    <w:rsid w:val="00491EA1"/>
    <w:rsid w:val="004927FE"/>
    <w:rsid w:val="00492AEA"/>
    <w:rsid w:val="00492E5B"/>
    <w:rsid w:val="0049333A"/>
    <w:rsid w:val="0049444A"/>
    <w:rsid w:val="004950AB"/>
    <w:rsid w:val="004957D2"/>
    <w:rsid w:val="00495C15"/>
    <w:rsid w:val="0049616E"/>
    <w:rsid w:val="00496211"/>
    <w:rsid w:val="00496FA2"/>
    <w:rsid w:val="00497223"/>
    <w:rsid w:val="00497425"/>
    <w:rsid w:val="004974D1"/>
    <w:rsid w:val="004978F7"/>
    <w:rsid w:val="00497A32"/>
    <w:rsid w:val="00497A95"/>
    <w:rsid w:val="004A0527"/>
    <w:rsid w:val="004A0B4B"/>
    <w:rsid w:val="004A0BA4"/>
    <w:rsid w:val="004A0C6E"/>
    <w:rsid w:val="004A19F9"/>
    <w:rsid w:val="004A1D8F"/>
    <w:rsid w:val="004A1D90"/>
    <w:rsid w:val="004A20FB"/>
    <w:rsid w:val="004A262F"/>
    <w:rsid w:val="004A3281"/>
    <w:rsid w:val="004A3809"/>
    <w:rsid w:val="004A42C1"/>
    <w:rsid w:val="004A47A3"/>
    <w:rsid w:val="004A5851"/>
    <w:rsid w:val="004A622E"/>
    <w:rsid w:val="004A64EB"/>
    <w:rsid w:val="004A6624"/>
    <w:rsid w:val="004A7E51"/>
    <w:rsid w:val="004B03B2"/>
    <w:rsid w:val="004B050B"/>
    <w:rsid w:val="004B0851"/>
    <w:rsid w:val="004B0F9A"/>
    <w:rsid w:val="004B140F"/>
    <w:rsid w:val="004B19EE"/>
    <w:rsid w:val="004B1E68"/>
    <w:rsid w:val="004B29AB"/>
    <w:rsid w:val="004B2B8E"/>
    <w:rsid w:val="004B3540"/>
    <w:rsid w:val="004B35C0"/>
    <w:rsid w:val="004B54E4"/>
    <w:rsid w:val="004B5798"/>
    <w:rsid w:val="004B5E1C"/>
    <w:rsid w:val="004B6389"/>
    <w:rsid w:val="004B6613"/>
    <w:rsid w:val="004B66A0"/>
    <w:rsid w:val="004B7504"/>
    <w:rsid w:val="004B7803"/>
    <w:rsid w:val="004B7A70"/>
    <w:rsid w:val="004B7C82"/>
    <w:rsid w:val="004C0160"/>
    <w:rsid w:val="004C01EA"/>
    <w:rsid w:val="004C082C"/>
    <w:rsid w:val="004C0BB0"/>
    <w:rsid w:val="004C0E10"/>
    <w:rsid w:val="004C2406"/>
    <w:rsid w:val="004C2687"/>
    <w:rsid w:val="004C2877"/>
    <w:rsid w:val="004C2C3E"/>
    <w:rsid w:val="004C2DB8"/>
    <w:rsid w:val="004C3199"/>
    <w:rsid w:val="004C345C"/>
    <w:rsid w:val="004C35EF"/>
    <w:rsid w:val="004C3847"/>
    <w:rsid w:val="004C3B46"/>
    <w:rsid w:val="004C48CA"/>
    <w:rsid w:val="004C4EE0"/>
    <w:rsid w:val="004C50A3"/>
    <w:rsid w:val="004C55A2"/>
    <w:rsid w:val="004C5703"/>
    <w:rsid w:val="004C5C85"/>
    <w:rsid w:val="004C6171"/>
    <w:rsid w:val="004C6332"/>
    <w:rsid w:val="004C63DD"/>
    <w:rsid w:val="004C6BA5"/>
    <w:rsid w:val="004C6BF0"/>
    <w:rsid w:val="004C6D21"/>
    <w:rsid w:val="004D032E"/>
    <w:rsid w:val="004D04A9"/>
    <w:rsid w:val="004D0B40"/>
    <w:rsid w:val="004D1701"/>
    <w:rsid w:val="004D1AD4"/>
    <w:rsid w:val="004D1AEF"/>
    <w:rsid w:val="004D25DD"/>
    <w:rsid w:val="004D2705"/>
    <w:rsid w:val="004D29EE"/>
    <w:rsid w:val="004D2EB6"/>
    <w:rsid w:val="004D39B1"/>
    <w:rsid w:val="004D3F34"/>
    <w:rsid w:val="004D49E5"/>
    <w:rsid w:val="004D51A3"/>
    <w:rsid w:val="004D51F5"/>
    <w:rsid w:val="004D5463"/>
    <w:rsid w:val="004D5DD9"/>
    <w:rsid w:val="004D6973"/>
    <w:rsid w:val="004D6A05"/>
    <w:rsid w:val="004D6B7F"/>
    <w:rsid w:val="004D6DA1"/>
    <w:rsid w:val="004D703E"/>
    <w:rsid w:val="004D7385"/>
    <w:rsid w:val="004D75D8"/>
    <w:rsid w:val="004D78A9"/>
    <w:rsid w:val="004D7B57"/>
    <w:rsid w:val="004E010D"/>
    <w:rsid w:val="004E03CE"/>
    <w:rsid w:val="004E09C4"/>
    <w:rsid w:val="004E0B06"/>
    <w:rsid w:val="004E12D8"/>
    <w:rsid w:val="004E13A3"/>
    <w:rsid w:val="004E1894"/>
    <w:rsid w:val="004E2978"/>
    <w:rsid w:val="004E2BCB"/>
    <w:rsid w:val="004E2C45"/>
    <w:rsid w:val="004E3053"/>
    <w:rsid w:val="004E3275"/>
    <w:rsid w:val="004E3685"/>
    <w:rsid w:val="004E36B4"/>
    <w:rsid w:val="004E36BB"/>
    <w:rsid w:val="004E38CF"/>
    <w:rsid w:val="004E4867"/>
    <w:rsid w:val="004E4BE4"/>
    <w:rsid w:val="004E5AFE"/>
    <w:rsid w:val="004E5CDE"/>
    <w:rsid w:val="004E6040"/>
    <w:rsid w:val="004E627B"/>
    <w:rsid w:val="004E6428"/>
    <w:rsid w:val="004E6438"/>
    <w:rsid w:val="004E64B8"/>
    <w:rsid w:val="004E6BD8"/>
    <w:rsid w:val="004E6D88"/>
    <w:rsid w:val="004E6EE6"/>
    <w:rsid w:val="004E70E3"/>
    <w:rsid w:val="004E7B5E"/>
    <w:rsid w:val="004E7E23"/>
    <w:rsid w:val="004F0782"/>
    <w:rsid w:val="004F0E3A"/>
    <w:rsid w:val="004F1C2E"/>
    <w:rsid w:val="004F2464"/>
    <w:rsid w:val="004F2A25"/>
    <w:rsid w:val="004F2CEA"/>
    <w:rsid w:val="004F36C1"/>
    <w:rsid w:val="004F4AF3"/>
    <w:rsid w:val="004F4DF0"/>
    <w:rsid w:val="004F4E49"/>
    <w:rsid w:val="004F4F36"/>
    <w:rsid w:val="004F508C"/>
    <w:rsid w:val="004F578F"/>
    <w:rsid w:val="004F5B31"/>
    <w:rsid w:val="004F5BD5"/>
    <w:rsid w:val="004F652F"/>
    <w:rsid w:val="004F69BD"/>
    <w:rsid w:val="004F6A90"/>
    <w:rsid w:val="004F7534"/>
    <w:rsid w:val="00500295"/>
    <w:rsid w:val="00500634"/>
    <w:rsid w:val="0050107B"/>
    <w:rsid w:val="005011EB"/>
    <w:rsid w:val="00501427"/>
    <w:rsid w:val="00501B9B"/>
    <w:rsid w:val="00501C26"/>
    <w:rsid w:val="00501C2C"/>
    <w:rsid w:val="00502263"/>
    <w:rsid w:val="0050246F"/>
    <w:rsid w:val="005028BB"/>
    <w:rsid w:val="005029B7"/>
    <w:rsid w:val="00502F5D"/>
    <w:rsid w:val="0050307A"/>
    <w:rsid w:val="005036D4"/>
    <w:rsid w:val="0050397E"/>
    <w:rsid w:val="00503C96"/>
    <w:rsid w:val="00503D67"/>
    <w:rsid w:val="00503F86"/>
    <w:rsid w:val="0050431D"/>
    <w:rsid w:val="005045F3"/>
    <w:rsid w:val="00504D1C"/>
    <w:rsid w:val="00505133"/>
    <w:rsid w:val="005056CD"/>
    <w:rsid w:val="00505F14"/>
    <w:rsid w:val="00506D13"/>
    <w:rsid w:val="005077A4"/>
    <w:rsid w:val="005079A3"/>
    <w:rsid w:val="005102B5"/>
    <w:rsid w:val="0051067D"/>
    <w:rsid w:val="00510C02"/>
    <w:rsid w:val="005116F8"/>
    <w:rsid w:val="005117C0"/>
    <w:rsid w:val="00511BD8"/>
    <w:rsid w:val="00511CAE"/>
    <w:rsid w:val="005123F3"/>
    <w:rsid w:val="005125B4"/>
    <w:rsid w:val="0051276F"/>
    <w:rsid w:val="00512DA9"/>
    <w:rsid w:val="0051302F"/>
    <w:rsid w:val="00513AB3"/>
    <w:rsid w:val="00513BA1"/>
    <w:rsid w:val="00513F4C"/>
    <w:rsid w:val="005145D3"/>
    <w:rsid w:val="00514716"/>
    <w:rsid w:val="005149FF"/>
    <w:rsid w:val="00514D0D"/>
    <w:rsid w:val="005152BA"/>
    <w:rsid w:val="0051568A"/>
    <w:rsid w:val="005157F9"/>
    <w:rsid w:val="005167AA"/>
    <w:rsid w:val="005167B6"/>
    <w:rsid w:val="00516E18"/>
    <w:rsid w:val="005205C5"/>
    <w:rsid w:val="00520E5A"/>
    <w:rsid w:val="00520F34"/>
    <w:rsid w:val="0052127F"/>
    <w:rsid w:val="005216E0"/>
    <w:rsid w:val="005217AE"/>
    <w:rsid w:val="00521AAD"/>
    <w:rsid w:val="005228BA"/>
    <w:rsid w:val="00522B29"/>
    <w:rsid w:val="00522B37"/>
    <w:rsid w:val="00522B6C"/>
    <w:rsid w:val="00522EE7"/>
    <w:rsid w:val="005235CF"/>
    <w:rsid w:val="005236E5"/>
    <w:rsid w:val="0052399D"/>
    <w:rsid w:val="00523B6F"/>
    <w:rsid w:val="00524E65"/>
    <w:rsid w:val="00524EAB"/>
    <w:rsid w:val="0052519D"/>
    <w:rsid w:val="00526168"/>
    <w:rsid w:val="00526B56"/>
    <w:rsid w:val="00526D17"/>
    <w:rsid w:val="0052764C"/>
    <w:rsid w:val="0053020F"/>
    <w:rsid w:val="005306BA"/>
    <w:rsid w:val="00530CA7"/>
    <w:rsid w:val="005312D6"/>
    <w:rsid w:val="005312FA"/>
    <w:rsid w:val="0053164F"/>
    <w:rsid w:val="005321FA"/>
    <w:rsid w:val="005325CC"/>
    <w:rsid w:val="00532F21"/>
    <w:rsid w:val="005334B6"/>
    <w:rsid w:val="005338C0"/>
    <w:rsid w:val="00533F3C"/>
    <w:rsid w:val="00534233"/>
    <w:rsid w:val="005342C7"/>
    <w:rsid w:val="005342D1"/>
    <w:rsid w:val="00534C5D"/>
    <w:rsid w:val="00534D49"/>
    <w:rsid w:val="005358D6"/>
    <w:rsid w:val="00536498"/>
    <w:rsid w:val="00536646"/>
    <w:rsid w:val="00536663"/>
    <w:rsid w:val="005371AF"/>
    <w:rsid w:val="00537583"/>
    <w:rsid w:val="00537768"/>
    <w:rsid w:val="00537BF5"/>
    <w:rsid w:val="0054076B"/>
    <w:rsid w:val="00540AB5"/>
    <w:rsid w:val="00540B7B"/>
    <w:rsid w:val="0054144F"/>
    <w:rsid w:val="0054160C"/>
    <w:rsid w:val="00541B82"/>
    <w:rsid w:val="00541C55"/>
    <w:rsid w:val="00541F2F"/>
    <w:rsid w:val="00542919"/>
    <w:rsid w:val="00543DF3"/>
    <w:rsid w:val="005447D7"/>
    <w:rsid w:val="00544ACB"/>
    <w:rsid w:val="00544CD9"/>
    <w:rsid w:val="00545003"/>
    <w:rsid w:val="00545928"/>
    <w:rsid w:val="00545D12"/>
    <w:rsid w:val="00545DBF"/>
    <w:rsid w:val="00545E82"/>
    <w:rsid w:val="00545F59"/>
    <w:rsid w:val="00545FA2"/>
    <w:rsid w:val="00546609"/>
    <w:rsid w:val="00546B91"/>
    <w:rsid w:val="00546E58"/>
    <w:rsid w:val="00546EAB"/>
    <w:rsid w:val="005473FE"/>
    <w:rsid w:val="00547433"/>
    <w:rsid w:val="005474CD"/>
    <w:rsid w:val="005476D4"/>
    <w:rsid w:val="00547934"/>
    <w:rsid w:val="00547D39"/>
    <w:rsid w:val="00550682"/>
    <w:rsid w:val="00551396"/>
    <w:rsid w:val="005515D4"/>
    <w:rsid w:val="0055202B"/>
    <w:rsid w:val="00552076"/>
    <w:rsid w:val="0055261E"/>
    <w:rsid w:val="005526BA"/>
    <w:rsid w:val="00552A4D"/>
    <w:rsid w:val="00552B30"/>
    <w:rsid w:val="0055317F"/>
    <w:rsid w:val="005533E1"/>
    <w:rsid w:val="00553521"/>
    <w:rsid w:val="0055358C"/>
    <w:rsid w:val="00554442"/>
    <w:rsid w:val="005544D7"/>
    <w:rsid w:val="00554D33"/>
    <w:rsid w:val="00555246"/>
    <w:rsid w:val="005554DB"/>
    <w:rsid w:val="00555843"/>
    <w:rsid w:val="00555A20"/>
    <w:rsid w:val="00555B64"/>
    <w:rsid w:val="00555D4A"/>
    <w:rsid w:val="005562ED"/>
    <w:rsid w:val="00556900"/>
    <w:rsid w:val="00556B83"/>
    <w:rsid w:val="00556D38"/>
    <w:rsid w:val="00557512"/>
    <w:rsid w:val="00557974"/>
    <w:rsid w:val="00557D37"/>
    <w:rsid w:val="00557E33"/>
    <w:rsid w:val="00557F0F"/>
    <w:rsid w:val="00557FB4"/>
    <w:rsid w:val="00560018"/>
    <w:rsid w:val="005606F5"/>
    <w:rsid w:val="00560951"/>
    <w:rsid w:val="005610BF"/>
    <w:rsid w:val="00561544"/>
    <w:rsid w:val="00562036"/>
    <w:rsid w:val="00562161"/>
    <w:rsid w:val="005626BD"/>
    <w:rsid w:val="00563191"/>
    <w:rsid w:val="0056395C"/>
    <w:rsid w:val="00563CDC"/>
    <w:rsid w:val="00563D1B"/>
    <w:rsid w:val="005642B5"/>
    <w:rsid w:val="00564669"/>
    <w:rsid w:val="00564995"/>
    <w:rsid w:val="00564E00"/>
    <w:rsid w:val="005657C1"/>
    <w:rsid w:val="005668D1"/>
    <w:rsid w:val="00566BA6"/>
    <w:rsid w:val="005672FF"/>
    <w:rsid w:val="00567B81"/>
    <w:rsid w:val="00567B98"/>
    <w:rsid w:val="00567F5F"/>
    <w:rsid w:val="005701A8"/>
    <w:rsid w:val="005705FB"/>
    <w:rsid w:val="00570C51"/>
    <w:rsid w:val="00570E5D"/>
    <w:rsid w:val="00570EFE"/>
    <w:rsid w:val="00570F93"/>
    <w:rsid w:val="00571242"/>
    <w:rsid w:val="005714A6"/>
    <w:rsid w:val="005714E0"/>
    <w:rsid w:val="005719DA"/>
    <w:rsid w:val="00571DD3"/>
    <w:rsid w:val="00571DFD"/>
    <w:rsid w:val="00572612"/>
    <w:rsid w:val="00572F07"/>
    <w:rsid w:val="00573134"/>
    <w:rsid w:val="0057371A"/>
    <w:rsid w:val="005737C3"/>
    <w:rsid w:val="00573815"/>
    <w:rsid w:val="00574356"/>
    <w:rsid w:val="0057479E"/>
    <w:rsid w:val="00574B8E"/>
    <w:rsid w:val="00574F91"/>
    <w:rsid w:val="00575C0D"/>
    <w:rsid w:val="005760BB"/>
    <w:rsid w:val="0057659A"/>
    <w:rsid w:val="00576934"/>
    <w:rsid w:val="0057695A"/>
    <w:rsid w:val="00576D55"/>
    <w:rsid w:val="00577B4B"/>
    <w:rsid w:val="00577D3E"/>
    <w:rsid w:val="005810BA"/>
    <w:rsid w:val="005818E5"/>
    <w:rsid w:val="00581BA1"/>
    <w:rsid w:val="00582A50"/>
    <w:rsid w:val="00582CF5"/>
    <w:rsid w:val="00582D19"/>
    <w:rsid w:val="00583284"/>
    <w:rsid w:val="005835BD"/>
    <w:rsid w:val="0058374C"/>
    <w:rsid w:val="00583E2D"/>
    <w:rsid w:val="005848C5"/>
    <w:rsid w:val="00584F20"/>
    <w:rsid w:val="00584F91"/>
    <w:rsid w:val="00585FBB"/>
    <w:rsid w:val="00586264"/>
    <w:rsid w:val="005868F8"/>
    <w:rsid w:val="00586AB3"/>
    <w:rsid w:val="00586CF2"/>
    <w:rsid w:val="00587320"/>
    <w:rsid w:val="0058755C"/>
    <w:rsid w:val="0058789C"/>
    <w:rsid w:val="00587DF8"/>
    <w:rsid w:val="00587FA2"/>
    <w:rsid w:val="00590D9D"/>
    <w:rsid w:val="00590FAD"/>
    <w:rsid w:val="00591262"/>
    <w:rsid w:val="00591B31"/>
    <w:rsid w:val="00592500"/>
    <w:rsid w:val="00592993"/>
    <w:rsid w:val="00592BCF"/>
    <w:rsid w:val="0059374F"/>
    <w:rsid w:val="0059383D"/>
    <w:rsid w:val="00593A0A"/>
    <w:rsid w:val="00593AC1"/>
    <w:rsid w:val="00593C41"/>
    <w:rsid w:val="00593D2F"/>
    <w:rsid w:val="00593D63"/>
    <w:rsid w:val="00594122"/>
    <w:rsid w:val="005942FF"/>
    <w:rsid w:val="00594FB6"/>
    <w:rsid w:val="00595305"/>
    <w:rsid w:val="00595BF4"/>
    <w:rsid w:val="00595DBA"/>
    <w:rsid w:val="00595E93"/>
    <w:rsid w:val="005962DF"/>
    <w:rsid w:val="00596E81"/>
    <w:rsid w:val="00596F20"/>
    <w:rsid w:val="0059770A"/>
    <w:rsid w:val="005A024F"/>
    <w:rsid w:val="005A0526"/>
    <w:rsid w:val="005A0682"/>
    <w:rsid w:val="005A0BEF"/>
    <w:rsid w:val="005A122B"/>
    <w:rsid w:val="005A173D"/>
    <w:rsid w:val="005A1D76"/>
    <w:rsid w:val="005A1D7F"/>
    <w:rsid w:val="005A1EB0"/>
    <w:rsid w:val="005A2D14"/>
    <w:rsid w:val="005A2FAF"/>
    <w:rsid w:val="005A30E3"/>
    <w:rsid w:val="005A3148"/>
    <w:rsid w:val="005A344B"/>
    <w:rsid w:val="005A35A4"/>
    <w:rsid w:val="005A37A3"/>
    <w:rsid w:val="005A3F82"/>
    <w:rsid w:val="005A40BC"/>
    <w:rsid w:val="005A4496"/>
    <w:rsid w:val="005A4C27"/>
    <w:rsid w:val="005A4E46"/>
    <w:rsid w:val="005A504D"/>
    <w:rsid w:val="005A5101"/>
    <w:rsid w:val="005A5FB4"/>
    <w:rsid w:val="005A65C3"/>
    <w:rsid w:val="005A6826"/>
    <w:rsid w:val="005A68E3"/>
    <w:rsid w:val="005A6B22"/>
    <w:rsid w:val="005A7070"/>
    <w:rsid w:val="005A7096"/>
    <w:rsid w:val="005A7AAE"/>
    <w:rsid w:val="005B036A"/>
    <w:rsid w:val="005B036C"/>
    <w:rsid w:val="005B05AD"/>
    <w:rsid w:val="005B0EC8"/>
    <w:rsid w:val="005B10A8"/>
    <w:rsid w:val="005B1131"/>
    <w:rsid w:val="005B12ED"/>
    <w:rsid w:val="005B1384"/>
    <w:rsid w:val="005B1615"/>
    <w:rsid w:val="005B18A3"/>
    <w:rsid w:val="005B1E17"/>
    <w:rsid w:val="005B2857"/>
    <w:rsid w:val="005B29FE"/>
    <w:rsid w:val="005B2F12"/>
    <w:rsid w:val="005B31BF"/>
    <w:rsid w:val="005B4390"/>
    <w:rsid w:val="005B44F6"/>
    <w:rsid w:val="005B461C"/>
    <w:rsid w:val="005B4B1C"/>
    <w:rsid w:val="005B4BBB"/>
    <w:rsid w:val="005B4C8D"/>
    <w:rsid w:val="005B4DD3"/>
    <w:rsid w:val="005B5226"/>
    <w:rsid w:val="005B582C"/>
    <w:rsid w:val="005B590E"/>
    <w:rsid w:val="005B5C6D"/>
    <w:rsid w:val="005B64B7"/>
    <w:rsid w:val="005B6742"/>
    <w:rsid w:val="005B6D80"/>
    <w:rsid w:val="005B6F7F"/>
    <w:rsid w:val="005B71A6"/>
    <w:rsid w:val="005B7D27"/>
    <w:rsid w:val="005B7EA7"/>
    <w:rsid w:val="005C0B40"/>
    <w:rsid w:val="005C0B8E"/>
    <w:rsid w:val="005C16AE"/>
    <w:rsid w:val="005C187B"/>
    <w:rsid w:val="005C1A66"/>
    <w:rsid w:val="005C1DD9"/>
    <w:rsid w:val="005C224B"/>
    <w:rsid w:val="005C262E"/>
    <w:rsid w:val="005C3D11"/>
    <w:rsid w:val="005C3DDD"/>
    <w:rsid w:val="005C4603"/>
    <w:rsid w:val="005C4C58"/>
    <w:rsid w:val="005C4D6F"/>
    <w:rsid w:val="005C52C3"/>
    <w:rsid w:val="005C549A"/>
    <w:rsid w:val="005C577C"/>
    <w:rsid w:val="005C636A"/>
    <w:rsid w:val="005C67BD"/>
    <w:rsid w:val="005C697D"/>
    <w:rsid w:val="005C6A22"/>
    <w:rsid w:val="005C6A6C"/>
    <w:rsid w:val="005C729D"/>
    <w:rsid w:val="005C7760"/>
    <w:rsid w:val="005C7A75"/>
    <w:rsid w:val="005C7DED"/>
    <w:rsid w:val="005D00E6"/>
    <w:rsid w:val="005D01C7"/>
    <w:rsid w:val="005D0CBD"/>
    <w:rsid w:val="005D12DF"/>
    <w:rsid w:val="005D2227"/>
    <w:rsid w:val="005D223B"/>
    <w:rsid w:val="005D2651"/>
    <w:rsid w:val="005D2CE9"/>
    <w:rsid w:val="005D2E0F"/>
    <w:rsid w:val="005D2ED6"/>
    <w:rsid w:val="005D3052"/>
    <w:rsid w:val="005D32B8"/>
    <w:rsid w:val="005D32BF"/>
    <w:rsid w:val="005D3497"/>
    <w:rsid w:val="005D37FA"/>
    <w:rsid w:val="005D3922"/>
    <w:rsid w:val="005D3DE2"/>
    <w:rsid w:val="005D4185"/>
    <w:rsid w:val="005D41DB"/>
    <w:rsid w:val="005D43D2"/>
    <w:rsid w:val="005D4563"/>
    <w:rsid w:val="005D4F33"/>
    <w:rsid w:val="005D57B9"/>
    <w:rsid w:val="005D5E37"/>
    <w:rsid w:val="005D61D8"/>
    <w:rsid w:val="005D63F9"/>
    <w:rsid w:val="005D6469"/>
    <w:rsid w:val="005D688B"/>
    <w:rsid w:val="005D69C2"/>
    <w:rsid w:val="005D6C63"/>
    <w:rsid w:val="005D7177"/>
    <w:rsid w:val="005D7C3F"/>
    <w:rsid w:val="005E02D0"/>
    <w:rsid w:val="005E03D4"/>
    <w:rsid w:val="005E0438"/>
    <w:rsid w:val="005E13E3"/>
    <w:rsid w:val="005E15E8"/>
    <w:rsid w:val="005E1AEB"/>
    <w:rsid w:val="005E1B5D"/>
    <w:rsid w:val="005E205E"/>
    <w:rsid w:val="005E2470"/>
    <w:rsid w:val="005E2B7E"/>
    <w:rsid w:val="005E30D8"/>
    <w:rsid w:val="005E347C"/>
    <w:rsid w:val="005E3C90"/>
    <w:rsid w:val="005E45A3"/>
    <w:rsid w:val="005E4B49"/>
    <w:rsid w:val="005E51C1"/>
    <w:rsid w:val="005E5764"/>
    <w:rsid w:val="005E5C76"/>
    <w:rsid w:val="005E5C93"/>
    <w:rsid w:val="005E6174"/>
    <w:rsid w:val="005E635C"/>
    <w:rsid w:val="005E64EF"/>
    <w:rsid w:val="005E68DB"/>
    <w:rsid w:val="005E70DA"/>
    <w:rsid w:val="005E786F"/>
    <w:rsid w:val="005E7C90"/>
    <w:rsid w:val="005F0350"/>
    <w:rsid w:val="005F061D"/>
    <w:rsid w:val="005F0ED2"/>
    <w:rsid w:val="005F1166"/>
    <w:rsid w:val="005F15BD"/>
    <w:rsid w:val="005F1910"/>
    <w:rsid w:val="005F211A"/>
    <w:rsid w:val="005F2325"/>
    <w:rsid w:val="005F275E"/>
    <w:rsid w:val="005F285A"/>
    <w:rsid w:val="005F2A29"/>
    <w:rsid w:val="005F37A6"/>
    <w:rsid w:val="005F41D0"/>
    <w:rsid w:val="005F4239"/>
    <w:rsid w:val="005F48F0"/>
    <w:rsid w:val="005F4EE0"/>
    <w:rsid w:val="005F57B4"/>
    <w:rsid w:val="005F6731"/>
    <w:rsid w:val="005F6747"/>
    <w:rsid w:val="005F6C85"/>
    <w:rsid w:val="005F6DC9"/>
    <w:rsid w:val="005F758F"/>
    <w:rsid w:val="005F7613"/>
    <w:rsid w:val="005F7D96"/>
    <w:rsid w:val="00600530"/>
    <w:rsid w:val="00600E24"/>
    <w:rsid w:val="0060100A"/>
    <w:rsid w:val="00601CB7"/>
    <w:rsid w:val="006020B5"/>
    <w:rsid w:val="00602763"/>
    <w:rsid w:val="0060333E"/>
    <w:rsid w:val="00603D36"/>
    <w:rsid w:val="0060478B"/>
    <w:rsid w:val="0060481F"/>
    <w:rsid w:val="00604BB4"/>
    <w:rsid w:val="00604EAF"/>
    <w:rsid w:val="0060545F"/>
    <w:rsid w:val="00605CD4"/>
    <w:rsid w:val="00605DDB"/>
    <w:rsid w:val="0060635D"/>
    <w:rsid w:val="00606CEF"/>
    <w:rsid w:val="00606F1B"/>
    <w:rsid w:val="00607404"/>
    <w:rsid w:val="006074DB"/>
    <w:rsid w:val="00607B59"/>
    <w:rsid w:val="00607CE6"/>
    <w:rsid w:val="00607F0E"/>
    <w:rsid w:val="00610EFB"/>
    <w:rsid w:val="006114CD"/>
    <w:rsid w:val="00611674"/>
    <w:rsid w:val="00611A35"/>
    <w:rsid w:val="006123BE"/>
    <w:rsid w:val="006124BA"/>
    <w:rsid w:val="00612DF9"/>
    <w:rsid w:val="00612FCB"/>
    <w:rsid w:val="006131C3"/>
    <w:rsid w:val="006132C8"/>
    <w:rsid w:val="00613990"/>
    <w:rsid w:val="00614266"/>
    <w:rsid w:val="00614D53"/>
    <w:rsid w:val="00615452"/>
    <w:rsid w:val="006157B5"/>
    <w:rsid w:val="00615D03"/>
    <w:rsid w:val="006168BB"/>
    <w:rsid w:val="00616F37"/>
    <w:rsid w:val="00617BE5"/>
    <w:rsid w:val="006207C8"/>
    <w:rsid w:val="00620A2C"/>
    <w:rsid w:val="00621268"/>
    <w:rsid w:val="00621317"/>
    <w:rsid w:val="00621A2B"/>
    <w:rsid w:val="00621EB2"/>
    <w:rsid w:val="00621F1F"/>
    <w:rsid w:val="00622386"/>
    <w:rsid w:val="00622598"/>
    <w:rsid w:val="00623002"/>
    <w:rsid w:val="00623C95"/>
    <w:rsid w:val="0062407E"/>
    <w:rsid w:val="00624305"/>
    <w:rsid w:val="006245EF"/>
    <w:rsid w:val="00624B9D"/>
    <w:rsid w:val="00625049"/>
    <w:rsid w:val="006252B3"/>
    <w:rsid w:val="00625427"/>
    <w:rsid w:val="00625586"/>
    <w:rsid w:val="006256CA"/>
    <w:rsid w:val="00625996"/>
    <w:rsid w:val="00625DBB"/>
    <w:rsid w:val="00626719"/>
    <w:rsid w:val="006269F6"/>
    <w:rsid w:val="0062716B"/>
    <w:rsid w:val="00627CBE"/>
    <w:rsid w:val="00627CD1"/>
    <w:rsid w:val="00630581"/>
    <w:rsid w:val="006313DF"/>
    <w:rsid w:val="00631402"/>
    <w:rsid w:val="006316D9"/>
    <w:rsid w:val="0063173E"/>
    <w:rsid w:val="00631A43"/>
    <w:rsid w:val="00631FF8"/>
    <w:rsid w:val="00632702"/>
    <w:rsid w:val="006327F7"/>
    <w:rsid w:val="00632AC1"/>
    <w:rsid w:val="00632CCD"/>
    <w:rsid w:val="00633265"/>
    <w:rsid w:val="0063379B"/>
    <w:rsid w:val="006339DB"/>
    <w:rsid w:val="00633B3A"/>
    <w:rsid w:val="00633B57"/>
    <w:rsid w:val="006348CC"/>
    <w:rsid w:val="00635035"/>
    <w:rsid w:val="006352EB"/>
    <w:rsid w:val="006358D8"/>
    <w:rsid w:val="00635B5E"/>
    <w:rsid w:val="00635E1D"/>
    <w:rsid w:val="006365E6"/>
    <w:rsid w:val="00636C26"/>
    <w:rsid w:val="00637304"/>
    <w:rsid w:val="006375A7"/>
    <w:rsid w:val="00637967"/>
    <w:rsid w:val="00640478"/>
    <w:rsid w:val="00640546"/>
    <w:rsid w:val="00641251"/>
    <w:rsid w:val="0064137C"/>
    <w:rsid w:val="006413BF"/>
    <w:rsid w:val="00641D62"/>
    <w:rsid w:val="00642576"/>
    <w:rsid w:val="006427F1"/>
    <w:rsid w:val="00642C7A"/>
    <w:rsid w:val="00642CF1"/>
    <w:rsid w:val="00643098"/>
    <w:rsid w:val="0064311C"/>
    <w:rsid w:val="00643135"/>
    <w:rsid w:val="006431E1"/>
    <w:rsid w:val="006434F3"/>
    <w:rsid w:val="006438D5"/>
    <w:rsid w:val="00643B3F"/>
    <w:rsid w:val="00643CA9"/>
    <w:rsid w:val="00644315"/>
    <w:rsid w:val="00644395"/>
    <w:rsid w:val="006444DE"/>
    <w:rsid w:val="00644B7C"/>
    <w:rsid w:val="00644FC9"/>
    <w:rsid w:val="0064516A"/>
    <w:rsid w:val="00646095"/>
    <w:rsid w:val="006461D0"/>
    <w:rsid w:val="00646398"/>
    <w:rsid w:val="006467C5"/>
    <w:rsid w:val="00646E64"/>
    <w:rsid w:val="00646FCE"/>
    <w:rsid w:val="0064772B"/>
    <w:rsid w:val="006504EF"/>
    <w:rsid w:val="00650957"/>
    <w:rsid w:val="00650D68"/>
    <w:rsid w:val="00650E38"/>
    <w:rsid w:val="00650F8A"/>
    <w:rsid w:val="0065138F"/>
    <w:rsid w:val="00651DD5"/>
    <w:rsid w:val="006527AD"/>
    <w:rsid w:val="00652B27"/>
    <w:rsid w:val="00652F51"/>
    <w:rsid w:val="006531A3"/>
    <w:rsid w:val="0065369F"/>
    <w:rsid w:val="00653CE4"/>
    <w:rsid w:val="00653F73"/>
    <w:rsid w:val="0065418A"/>
    <w:rsid w:val="00655A1D"/>
    <w:rsid w:val="00655A9B"/>
    <w:rsid w:val="00656280"/>
    <w:rsid w:val="006562E1"/>
    <w:rsid w:val="0065647C"/>
    <w:rsid w:val="006564EF"/>
    <w:rsid w:val="006578FD"/>
    <w:rsid w:val="006615A7"/>
    <w:rsid w:val="00661641"/>
    <w:rsid w:val="00661CFF"/>
    <w:rsid w:val="00662098"/>
    <w:rsid w:val="006620B4"/>
    <w:rsid w:val="0066220C"/>
    <w:rsid w:val="0066248D"/>
    <w:rsid w:val="006624D3"/>
    <w:rsid w:val="00662DB5"/>
    <w:rsid w:val="0066399E"/>
    <w:rsid w:val="00663A8B"/>
    <w:rsid w:val="006647AA"/>
    <w:rsid w:val="00665166"/>
    <w:rsid w:val="006657F4"/>
    <w:rsid w:val="00665E79"/>
    <w:rsid w:val="0066657E"/>
    <w:rsid w:val="006669E6"/>
    <w:rsid w:val="00666A56"/>
    <w:rsid w:val="00666C11"/>
    <w:rsid w:val="00666D41"/>
    <w:rsid w:val="00667527"/>
    <w:rsid w:val="00667A58"/>
    <w:rsid w:val="00667D2E"/>
    <w:rsid w:val="0067016B"/>
    <w:rsid w:val="00670D9D"/>
    <w:rsid w:val="00670DCE"/>
    <w:rsid w:val="00670E01"/>
    <w:rsid w:val="00670E81"/>
    <w:rsid w:val="00671063"/>
    <w:rsid w:val="006717AB"/>
    <w:rsid w:val="00671889"/>
    <w:rsid w:val="00671ADA"/>
    <w:rsid w:val="00671B70"/>
    <w:rsid w:val="0067234E"/>
    <w:rsid w:val="006724E5"/>
    <w:rsid w:val="006728D9"/>
    <w:rsid w:val="00672AB2"/>
    <w:rsid w:val="00672F39"/>
    <w:rsid w:val="006734E9"/>
    <w:rsid w:val="00673DDE"/>
    <w:rsid w:val="00673F0C"/>
    <w:rsid w:val="0067426E"/>
    <w:rsid w:val="0067445F"/>
    <w:rsid w:val="00674CBD"/>
    <w:rsid w:val="006756B2"/>
    <w:rsid w:val="006759BC"/>
    <w:rsid w:val="00675A2C"/>
    <w:rsid w:val="00675CEB"/>
    <w:rsid w:val="00676931"/>
    <w:rsid w:val="00677841"/>
    <w:rsid w:val="0067787C"/>
    <w:rsid w:val="00677E15"/>
    <w:rsid w:val="006803E7"/>
    <w:rsid w:val="0068068F"/>
    <w:rsid w:val="00680ADC"/>
    <w:rsid w:val="006817AD"/>
    <w:rsid w:val="0068271F"/>
    <w:rsid w:val="00682E5B"/>
    <w:rsid w:val="00683775"/>
    <w:rsid w:val="00683E86"/>
    <w:rsid w:val="00683FAC"/>
    <w:rsid w:val="006840F3"/>
    <w:rsid w:val="006849D2"/>
    <w:rsid w:val="006849FD"/>
    <w:rsid w:val="00685748"/>
    <w:rsid w:val="00685786"/>
    <w:rsid w:val="00685CD6"/>
    <w:rsid w:val="00685E48"/>
    <w:rsid w:val="00686848"/>
    <w:rsid w:val="006904BC"/>
    <w:rsid w:val="0069084E"/>
    <w:rsid w:val="00691B6C"/>
    <w:rsid w:val="0069286F"/>
    <w:rsid w:val="006929F7"/>
    <w:rsid w:val="0069324F"/>
    <w:rsid w:val="006935B8"/>
    <w:rsid w:val="00693A04"/>
    <w:rsid w:val="00693C78"/>
    <w:rsid w:val="006940F7"/>
    <w:rsid w:val="00694327"/>
    <w:rsid w:val="0069439B"/>
    <w:rsid w:val="0069476E"/>
    <w:rsid w:val="00694C34"/>
    <w:rsid w:val="00695001"/>
    <w:rsid w:val="0069540D"/>
    <w:rsid w:val="00695546"/>
    <w:rsid w:val="00695CA8"/>
    <w:rsid w:val="00695E3A"/>
    <w:rsid w:val="00696297"/>
    <w:rsid w:val="006964BC"/>
    <w:rsid w:val="006969E7"/>
    <w:rsid w:val="00696A68"/>
    <w:rsid w:val="00696B36"/>
    <w:rsid w:val="00696E7D"/>
    <w:rsid w:val="00697E3A"/>
    <w:rsid w:val="006A01DB"/>
    <w:rsid w:val="006A031B"/>
    <w:rsid w:val="006A0897"/>
    <w:rsid w:val="006A0A2B"/>
    <w:rsid w:val="006A0B96"/>
    <w:rsid w:val="006A0D07"/>
    <w:rsid w:val="006A1109"/>
    <w:rsid w:val="006A1223"/>
    <w:rsid w:val="006A17FB"/>
    <w:rsid w:val="006A249F"/>
    <w:rsid w:val="006A27A8"/>
    <w:rsid w:val="006A2870"/>
    <w:rsid w:val="006A2FAA"/>
    <w:rsid w:val="006A320F"/>
    <w:rsid w:val="006A3262"/>
    <w:rsid w:val="006A3602"/>
    <w:rsid w:val="006A3A21"/>
    <w:rsid w:val="006A3A78"/>
    <w:rsid w:val="006A3B61"/>
    <w:rsid w:val="006A41A0"/>
    <w:rsid w:val="006A44E2"/>
    <w:rsid w:val="006A4CDE"/>
    <w:rsid w:val="006A50B2"/>
    <w:rsid w:val="006A52EA"/>
    <w:rsid w:val="006A53E3"/>
    <w:rsid w:val="006A63FC"/>
    <w:rsid w:val="006A69FE"/>
    <w:rsid w:val="006A6FAC"/>
    <w:rsid w:val="006A731E"/>
    <w:rsid w:val="006A77A2"/>
    <w:rsid w:val="006A7A34"/>
    <w:rsid w:val="006A7ACD"/>
    <w:rsid w:val="006B0417"/>
    <w:rsid w:val="006B0841"/>
    <w:rsid w:val="006B0BF3"/>
    <w:rsid w:val="006B0BFC"/>
    <w:rsid w:val="006B0FC5"/>
    <w:rsid w:val="006B1999"/>
    <w:rsid w:val="006B1F22"/>
    <w:rsid w:val="006B208F"/>
    <w:rsid w:val="006B22E1"/>
    <w:rsid w:val="006B2C0A"/>
    <w:rsid w:val="006B4317"/>
    <w:rsid w:val="006B456F"/>
    <w:rsid w:val="006B4723"/>
    <w:rsid w:val="006B4991"/>
    <w:rsid w:val="006B4AF5"/>
    <w:rsid w:val="006B4BF2"/>
    <w:rsid w:val="006B4E63"/>
    <w:rsid w:val="006B4FCE"/>
    <w:rsid w:val="006B5582"/>
    <w:rsid w:val="006B56CA"/>
    <w:rsid w:val="006B606C"/>
    <w:rsid w:val="006B60FC"/>
    <w:rsid w:val="006B6161"/>
    <w:rsid w:val="006B64A9"/>
    <w:rsid w:val="006B6F0A"/>
    <w:rsid w:val="006B735C"/>
    <w:rsid w:val="006B7B4A"/>
    <w:rsid w:val="006B7E41"/>
    <w:rsid w:val="006C0251"/>
    <w:rsid w:val="006C032B"/>
    <w:rsid w:val="006C03CF"/>
    <w:rsid w:val="006C057F"/>
    <w:rsid w:val="006C0756"/>
    <w:rsid w:val="006C1251"/>
    <w:rsid w:val="006C125E"/>
    <w:rsid w:val="006C13CD"/>
    <w:rsid w:val="006C14D1"/>
    <w:rsid w:val="006C1A82"/>
    <w:rsid w:val="006C1C0E"/>
    <w:rsid w:val="006C2213"/>
    <w:rsid w:val="006C2952"/>
    <w:rsid w:val="006C297C"/>
    <w:rsid w:val="006C2AEB"/>
    <w:rsid w:val="006C2EA8"/>
    <w:rsid w:val="006C3769"/>
    <w:rsid w:val="006C37D4"/>
    <w:rsid w:val="006C3F74"/>
    <w:rsid w:val="006C4157"/>
    <w:rsid w:val="006C4AB4"/>
    <w:rsid w:val="006C4E21"/>
    <w:rsid w:val="006C55C8"/>
    <w:rsid w:val="006C56E3"/>
    <w:rsid w:val="006C5945"/>
    <w:rsid w:val="006C646B"/>
    <w:rsid w:val="006C771B"/>
    <w:rsid w:val="006C793D"/>
    <w:rsid w:val="006C7CDB"/>
    <w:rsid w:val="006C7E75"/>
    <w:rsid w:val="006C7E78"/>
    <w:rsid w:val="006D0906"/>
    <w:rsid w:val="006D0ABA"/>
    <w:rsid w:val="006D0C96"/>
    <w:rsid w:val="006D1B9F"/>
    <w:rsid w:val="006D1DD6"/>
    <w:rsid w:val="006D2D59"/>
    <w:rsid w:val="006D3097"/>
    <w:rsid w:val="006D3332"/>
    <w:rsid w:val="006D3499"/>
    <w:rsid w:val="006D42BF"/>
    <w:rsid w:val="006D42D7"/>
    <w:rsid w:val="006D4651"/>
    <w:rsid w:val="006D48FA"/>
    <w:rsid w:val="006D5B0F"/>
    <w:rsid w:val="006D5C86"/>
    <w:rsid w:val="006D5E86"/>
    <w:rsid w:val="006D6447"/>
    <w:rsid w:val="006D64FB"/>
    <w:rsid w:val="006D6859"/>
    <w:rsid w:val="006D6908"/>
    <w:rsid w:val="006D6A43"/>
    <w:rsid w:val="006D6A4D"/>
    <w:rsid w:val="006D6A71"/>
    <w:rsid w:val="006D6C59"/>
    <w:rsid w:val="006D76C7"/>
    <w:rsid w:val="006D775F"/>
    <w:rsid w:val="006D78B3"/>
    <w:rsid w:val="006D7FE8"/>
    <w:rsid w:val="006E054C"/>
    <w:rsid w:val="006E0767"/>
    <w:rsid w:val="006E0F7B"/>
    <w:rsid w:val="006E3383"/>
    <w:rsid w:val="006E36C4"/>
    <w:rsid w:val="006E3FED"/>
    <w:rsid w:val="006E4311"/>
    <w:rsid w:val="006E4771"/>
    <w:rsid w:val="006E4908"/>
    <w:rsid w:val="006E4A5F"/>
    <w:rsid w:val="006E4C3D"/>
    <w:rsid w:val="006E4E61"/>
    <w:rsid w:val="006E60A2"/>
    <w:rsid w:val="006E6181"/>
    <w:rsid w:val="006E6390"/>
    <w:rsid w:val="006E6706"/>
    <w:rsid w:val="006E6855"/>
    <w:rsid w:val="006E6B63"/>
    <w:rsid w:val="006E7105"/>
    <w:rsid w:val="006E7136"/>
    <w:rsid w:val="006E77F8"/>
    <w:rsid w:val="006E7BFD"/>
    <w:rsid w:val="006F0A13"/>
    <w:rsid w:val="006F22DC"/>
    <w:rsid w:val="006F236E"/>
    <w:rsid w:val="006F36B1"/>
    <w:rsid w:val="006F39CB"/>
    <w:rsid w:val="006F3B26"/>
    <w:rsid w:val="006F3C0D"/>
    <w:rsid w:val="006F3C31"/>
    <w:rsid w:val="006F3EF7"/>
    <w:rsid w:val="006F3FD0"/>
    <w:rsid w:val="006F3FED"/>
    <w:rsid w:val="006F41EA"/>
    <w:rsid w:val="006F5D41"/>
    <w:rsid w:val="006F665D"/>
    <w:rsid w:val="006F6943"/>
    <w:rsid w:val="006F72D5"/>
    <w:rsid w:val="006F735A"/>
    <w:rsid w:val="006F766D"/>
    <w:rsid w:val="007005E0"/>
    <w:rsid w:val="00700DFF"/>
    <w:rsid w:val="00700F28"/>
    <w:rsid w:val="00701BB8"/>
    <w:rsid w:val="00702048"/>
    <w:rsid w:val="007022B9"/>
    <w:rsid w:val="0070300C"/>
    <w:rsid w:val="00703033"/>
    <w:rsid w:val="007038D0"/>
    <w:rsid w:val="00703BF5"/>
    <w:rsid w:val="00704257"/>
    <w:rsid w:val="0070446F"/>
    <w:rsid w:val="00704998"/>
    <w:rsid w:val="0070519B"/>
    <w:rsid w:val="00705CEB"/>
    <w:rsid w:val="00705DBD"/>
    <w:rsid w:val="00705FE4"/>
    <w:rsid w:val="00705FF0"/>
    <w:rsid w:val="007062BC"/>
    <w:rsid w:val="007063E4"/>
    <w:rsid w:val="00706BF8"/>
    <w:rsid w:val="00706D2D"/>
    <w:rsid w:val="0070780E"/>
    <w:rsid w:val="0070785E"/>
    <w:rsid w:val="007103D6"/>
    <w:rsid w:val="00710478"/>
    <w:rsid w:val="007109E9"/>
    <w:rsid w:val="00710C3F"/>
    <w:rsid w:val="00710C5A"/>
    <w:rsid w:val="00710EE1"/>
    <w:rsid w:val="00710EF1"/>
    <w:rsid w:val="007110AE"/>
    <w:rsid w:val="00711293"/>
    <w:rsid w:val="007114A8"/>
    <w:rsid w:val="00711C37"/>
    <w:rsid w:val="007122CF"/>
    <w:rsid w:val="007125DB"/>
    <w:rsid w:val="0071261C"/>
    <w:rsid w:val="007127E0"/>
    <w:rsid w:val="00712A16"/>
    <w:rsid w:val="00712A96"/>
    <w:rsid w:val="00712AA3"/>
    <w:rsid w:val="00712CFF"/>
    <w:rsid w:val="007131A4"/>
    <w:rsid w:val="00713970"/>
    <w:rsid w:val="00713A4D"/>
    <w:rsid w:val="00713EA0"/>
    <w:rsid w:val="007141EA"/>
    <w:rsid w:val="0071443A"/>
    <w:rsid w:val="00714F19"/>
    <w:rsid w:val="00715707"/>
    <w:rsid w:val="00715842"/>
    <w:rsid w:val="00715A68"/>
    <w:rsid w:val="00715B35"/>
    <w:rsid w:val="007163FC"/>
    <w:rsid w:val="007167EC"/>
    <w:rsid w:val="0071697B"/>
    <w:rsid w:val="007169F5"/>
    <w:rsid w:val="00716D2C"/>
    <w:rsid w:val="00716E2E"/>
    <w:rsid w:val="00716F9A"/>
    <w:rsid w:val="007172B0"/>
    <w:rsid w:val="0071742F"/>
    <w:rsid w:val="00717450"/>
    <w:rsid w:val="0071778B"/>
    <w:rsid w:val="00717CC3"/>
    <w:rsid w:val="00720128"/>
    <w:rsid w:val="007202AD"/>
    <w:rsid w:val="0072055D"/>
    <w:rsid w:val="007205E8"/>
    <w:rsid w:val="00720B6D"/>
    <w:rsid w:val="00720FB1"/>
    <w:rsid w:val="00720FC3"/>
    <w:rsid w:val="007210A2"/>
    <w:rsid w:val="007217CC"/>
    <w:rsid w:val="00721F97"/>
    <w:rsid w:val="00722127"/>
    <w:rsid w:val="00722297"/>
    <w:rsid w:val="00722826"/>
    <w:rsid w:val="00722B96"/>
    <w:rsid w:val="00722BA5"/>
    <w:rsid w:val="00723558"/>
    <w:rsid w:val="007236FC"/>
    <w:rsid w:val="0072376E"/>
    <w:rsid w:val="00723795"/>
    <w:rsid w:val="00723B50"/>
    <w:rsid w:val="007249F7"/>
    <w:rsid w:val="00724E06"/>
    <w:rsid w:val="00725B3C"/>
    <w:rsid w:val="00725C16"/>
    <w:rsid w:val="00725CCC"/>
    <w:rsid w:val="007260CE"/>
    <w:rsid w:val="00726850"/>
    <w:rsid w:val="00726E2B"/>
    <w:rsid w:val="00726FAF"/>
    <w:rsid w:val="00727B5A"/>
    <w:rsid w:val="00730343"/>
    <w:rsid w:val="00730448"/>
    <w:rsid w:val="00730D9B"/>
    <w:rsid w:val="00730F2D"/>
    <w:rsid w:val="007313E9"/>
    <w:rsid w:val="00731B3A"/>
    <w:rsid w:val="007326D9"/>
    <w:rsid w:val="00732A6E"/>
    <w:rsid w:val="00733149"/>
    <w:rsid w:val="007338CD"/>
    <w:rsid w:val="00733D27"/>
    <w:rsid w:val="00733F91"/>
    <w:rsid w:val="00733FEA"/>
    <w:rsid w:val="007340C6"/>
    <w:rsid w:val="007341C4"/>
    <w:rsid w:val="0073423A"/>
    <w:rsid w:val="007346C1"/>
    <w:rsid w:val="007348C1"/>
    <w:rsid w:val="00734CE4"/>
    <w:rsid w:val="00735193"/>
    <w:rsid w:val="0073524C"/>
    <w:rsid w:val="00735438"/>
    <w:rsid w:val="007356FF"/>
    <w:rsid w:val="007357D3"/>
    <w:rsid w:val="00736679"/>
    <w:rsid w:val="00737440"/>
    <w:rsid w:val="00737B94"/>
    <w:rsid w:val="00737C78"/>
    <w:rsid w:val="007400AC"/>
    <w:rsid w:val="00740F5D"/>
    <w:rsid w:val="00741747"/>
    <w:rsid w:val="00741CEB"/>
    <w:rsid w:val="00742B23"/>
    <w:rsid w:val="0074305E"/>
    <w:rsid w:val="0074329A"/>
    <w:rsid w:val="00744530"/>
    <w:rsid w:val="0074497F"/>
    <w:rsid w:val="007449CA"/>
    <w:rsid w:val="0074530E"/>
    <w:rsid w:val="0074581E"/>
    <w:rsid w:val="007465BA"/>
    <w:rsid w:val="0074662D"/>
    <w:rsid w:val="00746B58"/>
    <w:rsid w:val="00747575"/>
    <w:rsid w:val="007476D7"/>
    <w:rsid w:val="007479A6"/>
    <w:rsid w:val="00747DF6"/>
    <w:rsid w:val="00751193"/>
    <w:rsid w:val="00751415"/>
    <w:rsid w:val="007515B4"/>
    <w:rsid w:val="00751803"/>
    <w:rsid w:val="00751C98"/>
    <w:rsid w:val="00751EEB"/>
    <w:rsid w:val="00751F1F"/>
    <w:rsid w:val="00752199"/>
    <w:rsid w:val="0075250B"/>
    <w:rsid w:val="00752C98"/>
    <w:rsid w:val="00752E58"/>
    <w:rsid w:val="00752FA7"/>
    <w:rsid w:val="00753B0C"/>
    <w:rsid w:val="007540E4"/>
    <w:rsid w:val="007541B9"/>
    <w:rsid w:val="007542AA"/>
    <w:rsid w:val="007546A1"/>
    <w:rsid w:val="007547E3"/>
    <w:rsid w:val="00754A28"/>
    <w:rsid w:val="00754CB6"/>
    <w:rsid w:val="007553AB"/>
    <w:rsid w:val="00755442"/>
    <w:rsid w:val="007557FC"/>
    <w:rsid w:val="00755A85"/>
    <w:rsid w:val="00755E1C"/>
    <w:rsid w:val="007560DF"/>
    <w:rsid w:val="00756155"/>
    <w:rsid w:val="00756B88"/>
    <w:rsid w:val="00757405"/>
    <w:rsid w:val="00757536"/>
    <w:rsid w:val="00757D68"/>
    <w:rsid w:val="00760479"/>
    <w:rsid w:val="00761175"/>
    <w:rsid w:val="00762008"/>
    <w:rsid w:val="0076202D"/>
    <w:rsid w:val="007623A2"/>
    <w:rsid w:val="00762E59"/>
    <w:rsid w:val="00763355"/>
    <w:rsid w:val="0076362E"/>
    <w:rsid w:val="0076382F"/>
    <w:rsid w:val="007639BE"/>
    <w:rsid w:val="00763A72"/>
    <w:rsid w:val="007641DC"/>
    <w:rsid w:val="007645FA"/>
    <w:rsid w:val="00765014"/>
    <w:rsid w:val="00765076"/>
    <w:rsid w:val="007651B6"/>
    <w:rsid w:val="00765859"/>
    <w:rsid w:val="007660EB"/>
    <w:rsid w:val="007664A3"/>
    <w:rsid w:val="0076675A"/>
    <w:rsid w:val="00766A5F"/>
    <w:rsid w:val="00766EE6"/>
    <w:rsid w:val="00766F05"/>
    <w:rsid w:val="00767821"/>
    <w:rsid w:val="00770083"/>
    <w:rsid w:val="00770318"/>
    <w:rsid w:val="00770490"/>
    <w:rsid w:val="00770F36"/>
    <w:rsid w:val="007716D9"/>
    <w:rsid w:val="00771BAD"/>
    <w:rsid w:val="00771BEA"/>
    <w:rsid w:val="00771F7D"/>
    <w:rsid w:val="00772945"/>
    <w:rsid w:val="00772F54"/>
    <w:rsid w:val="00773336"/>
    <w:rsid w:val="0077338B"/>
    <w:rsid w:val="00773C54"/>
    <w:rsid w:val="00773CE5"/>
    <w:rsid w:val="00774023"/>
    <w:rsid w:val="00775DE3"/>
    <w:rsid w:val="007760FF"/>
    <w:rsid w:val="00776261"/>
    <w:rsid w:val="00776D2D"/>
    <w:rsid w:val="007775D9"/>
    <w:rsid w:val="00777CAE"/>
    <w:rsid w:val="00777DD4"/>
    <w:rsid w:val="007803E9"/>
    <w:rsid w:val="0078044B"/>
    <w:rsid w:val="007804D1"/>
    <w:rsid w:val="00780817"/>
    <w:rsid w:val="00780A69"/>
    <w:rsid w:val="00780BEE"/>
    <w:rsid w:val="0078196A"/>
    <w:rsid w:val="00781F6F"/>
    <w:rsid w:val="00782FDE"/>
    <w:rsid w:val="007834D2"/>
    <w:rsid w:val="007834EE"/>
    <w:rsid w:val="00783690"/>
    <w:rsid w:val="00783728"/>
    <w:rsid w:val="00783932"/>
    <w:rsid w:val="00783AA5"/>
    <w:rsid w:val="0078403A"/>
    <w:rsid w:val="007842E7"/>
    <w:rsid w:val="00784A66"/>
    <w:rsid w:val="007850B6"/>
    <w:rsid w:val="00785D57"/>
    <w:rsid w:val="00786221"/>
    <w:rsid w:val="00786CF5"/>
    <w:rsid w:val="0078742F"/>
    <w:rsid w:val="0078776C"/>
    <w:rsid w:val="00787EBE"/>
    <w:rsid w:val="007903D9"/>
    <w:rsid w:val="0079041A"/>
    <w:rsid w:val="0079130E"/>
    <w:rsid w:val="00791586"/>
    <w:rsid w:val="007917E5"/>
    <w:rsid w:val="00791BB7"/>
    <w:rsid w:val="00792265"/>
    <w:rsid w:val="00792AE4"/>
    <w:rsid w:val="00792BBD"/>
    <w:rsid w:val="00792D42"/>
    <w:rsid w:val="00792FA6"/>
    <w:rsid w:val="00793285"/>
    <w:rsid w:val="007935D2"/>
    <w:rsid w:val="00793D8E"/>
    <w:rsid w:val="00794222"/>
    <w:rsid w:val="007947F1"/>
    <w:rsid w:val="00794C02"/>
    <w:rsid w:val="007950F9"/>
    <w:rsid w:val="0079527F"/>
    <w:rsid w:val="0079593B"/>
    <w:rsid w:val="0079641E"/>
    <w:rsid w:val="00796A55"/>
    <w:rsid w:val="00796FB7"/>
    <w:rsid w:val="00796FCA"/>
    <w:rsid w:val="007977A3"/>
    <w:rsid w:val="00797990"/>
    <w:rsid w:val="00797E57"/>
    <w:rsid w:val="00797F5F"/>
    <w:rsid w:val="007A0387"/>
    <w:rsid w:val="007A13B2"/>
    <w:rsid w:val="007A15A3"/>
    <w:rsid w:val="007A171C"/>
    <w:rsid w:val="007A1CC6"/>
    <w:rsid w:val="007A283C"/>
    <w:rsid w:val="007A2C31"/>
    <w:rsid w:val="007A315D"/>
    <w:rsid w:val="007A3732"/>
    <w:rsid w:val="007A40A1"/>
    <w:rsid w:val="007A4369"/>
    <w:rsid w:val="007A51D6"/>
    <w:rsid w:val="007A53B1"/>
    <w:rsid w:val="007A5DEC"/>
    <w:rsid w:val="007A5E9B"/>
    <w:rsid w:val="007A5F74"/>
    <w:rsid w:val="007A6018"/>
    <w:rsid w:val="007A657C"/>
    <w:rsid w:val="007A65B9"/>
    <w:rsid w:val="007A6928"/>
    <w:rsid w:val="007A6F6F"/>
    <w:rsid w:val="007A780E"/>
    <w:rsid w:val="007A7CFC"/>
    <w:rsid w:val="007A7FEA"/>
    <w:rsid w:val="007B0394"/>
    <w:rsid w:val="007B081C"/>
    <w:rsid w:val="007B0A9B"/>
    <w:rsid w:val="007B0C35"/>
    <w:rsid w:val="007B0C7D"/>
    <w:rsid w:val="007B0E22"/>
    <w:rsid w:val="007B15B4"/>
    <w:rsid w:val="007B17D4"/>
    <w:rsid w:val="007B3252"/>
    <w:rsid w:val="007B3353"/>
    <w:rsid w:val="007B34E8"/>
    <w:rsid w:val="007B3E5E"/>
    <w:rsid w:val="007B4050"/>
    <w:rsid w:val="007B41DA"/>
    <w:rsid w:val="007B498C"/>
    <w:rsid w:val="007B4BA5"/>
    <w:rsid w:val="007B5060"/>
    <w:rsid w:val="007B52FC"/>
    <w:rsid w:val="007B5615"/>
    <w:rsid w:val="007B5BF4"/>
    <w:rsid w:val="007B60EA"/>
    <w:rsid w:val="007B65E9"/>
    <w:rsid w:val="007B68A5"/>
    <w:rsid w:val="007B6AD2"/>
    <w:rsid w:val="007B70D4"/>
    <w:rsid w:val="007B73D2"/>
    <w:rsid w:val="007B743A"/>
    <w:rsid w:val="007B752E"/>
    <w:rsid w:val="007B76E8"/>
    <w:rsid w:val="007C01CD"/>
    <w:rsid w:val="007C0271"/>
    <w:rsid w:val="007C0362"/>
    <w:rsid w:val="007C1153"/>
    <w:rsid w:val="007C12E5"/>
    <w:rsid w:val="007C173F"/>
    <w:rsid w:val="007C1A57"/>
    <w:rsid w:val="007C1B10"/>
    <w:rsid w:val="007C1E76"/>
    <w:rsid w:val="007C1FEA"/>
    <w:rsid w:val="007C2268"/>
    <w:rsid w:val="007C2746"/>
    <w:rsid w:val="007C3107"/>
    <w:rsid w:val="007C3796"/>
    <w:rsid w:val="007C3B2A"/>
    <w:rsid w:val="007C428B"/>
    <w:rsid w:val="007C42F0"/>
    <w:rsid w:val="007C4915"/>
    <w:rsid w:val="007C4B2E"/>
    <w:rsid w:val="007C506E"/>
    <w:rsid w:val="007C54E7"/>
    <w:rsid w:val="007C68A3"/>
    <w:rsid w:val="007C69B2"/>
    <w:rsid w:val="007C6AB7"/>
    <w:rsid w:val="007C6B3A"/>
    <w:rsid w:val="007C7D64"/>
    <w:rsid w:val="007D0703"/>
    <w:rsid w:val="007D0AAC"/>
    <w:rsid w:val="007D0B01"/>
    <w:rsid w:val="007D0B59"/>
    <w:rsid w:val="007D1320"/>
    <w:rsid w:val="007D1D78"/>
    <w:rsid w:val="007D1FE1"/>
    <w:rsid w:val="007D3414"/>
    <w:rsid w:val="007D3557"/>
    <w:rsid w:val="007D38B6"/>
    <w:rsid w:val="007D3D62"/>
    <w:rsid w:val="007D3E6E"/>
    <w:rsid w:val="007D3F61"/>
    <w:rsid w:val="007D4AB9"/>
    <w:rsid w:val="007D4F07"/>
    <w:rsid w:val="007D5355"/>
    <w:rsid w:val="007D630B"/>
    <w:rsid w:val="007D64F5"/>
    <w:rsid w:val="007D66AD"/>
    <w:rsid w:val="007D685E"/>
    <w:rsid w:val="007D6EEE"/>
    <w:rsid w:val="007D6F05"/>
    <w:rsid w:val="007D763D"/>
    <w:rsid w:val="007D7CF4"/>
    <w:rsid w:val="007E0466"/>
    <w:rsid w:val="007E07DC"/>
    <w:rsid w:val="007E16CE"/>
    <w:rsid w:val="007E2A45"/>
    <w:rsid w:val="007E2BAC"/>
    <w:rsid w:val="007E2F5C"/>
    <w:rsid w:val="007E2FD6"/>
    <w:rsid w:val="007E336F"/>
    <w:rsid w:val="007E3AE8"/>
    <w:rsid w:val="007E4AFA"/>
    <w:rsid w:val="007E4F46"/>
    <w:rsid w:val="007E5802"/>
    <w:rsid w:val="007E68DA"/>
    <w:rsid w:val="007E7074"/>
    <w:rsid w:val="007E73C3"/>
    <w:rsid w:val="007E756D"/>
    <w:rsid w:val="007E779D"/>
    <w:rsid w:val="007E7973"/>
    <w:rsid w:val="007E7C89"/>
    <w:rsid w:val="007E7D99"/>
    <w:rsid w:val="007F06C1"/>
    <w:rsid w:val="007F0713"/>
    <w:rsid w:val="007F087E"/>
    <w:rsid w:val="007F0DA9"/>
    <w:rsid w:val="007F0E72"/>
    <w:rsid w:val="007F10E2"/>
    <w:rsid w:val="007F1845"/>
    <w:rsid w:val="007F1A9F"/>
    <w:rsid w:val="007F22BE"/>
    <w:rsid w:val="007F25DC"/>
    <w:rsid w:val="007F2741"/>
    <w:rsid w:val="007F28B7"/>
    <w:rsid w:val="007F29DB"/>
    <w:rsid w:val="007F2AD0"/>
    <w:rsid w:val="007F2CB8"/>
    <w:rsid w:val="007F2E86"/>
    <w:rsid w:val="007F37D4"/>
    <w:rsid w:val="007F3AB7"/>
    <w:rsid w:val="007F3B4D"/>
    <w:rsid w:val="007F3D7D"/>
    <w:rsid w:val="007F4019"/>
    <w:rsid w:val="007F41DD"/>
    <w:rsid w:val="007F4AF1"/>
    <w:rsid w:val="007F4BFD"/>
    <w:rsid w:val="007F5932"/>
    <w:rsid w:val="007F6595"/>
    <w:rsid w:val="007F7299"/>
    <w:rsid w:val="007F73C3"/>
    <w:rsid w:val="007F7D90"/>
    <w:rsid w:val="007F7E10"/>
    <w:rsid w:val="00800E11"/>
    <w:rsid w:val="00800ECE"/>
    <w:rsid w:val="008011D9"/>
    <w:rsid w:val="0080136B"/>
    <w:rsid w:val="0080139F"/>
    <w:rsid w:val="00801BD3"/>
    <w:rsid w:val="0080225F"/>
    <w:rsid w:val="008026B5"/>
    <w:rsid w:val="008034FB"/>
    <w:rsid w:val="00803B7A"/>
    <w:rsid w:val="00804556"/>
    <w:rsid w:val="00804AB2"/>
    <w:rsid w:val="00804CA6"/>
    <w:rsid w:val="0080537C"/>
    <w:rsid w:val="00805904"/>
    <w:rsid w:val="00805FA1"/>
    <w:rsid w:val="0080607A"/>
    <w:rsid w:val="008060D4"/>
    <w:rsid w:val="00806537"/>
    <w:rsid w:val="008070D9"/>
    <w:rsid w:val="0080789F"/>
    <w:rsid w:val="00807C0D"/>
    <w:rsid w:val="00807F5F"/>
    <w:rsid w:val="008100B4"/>
    <w:rsid w:val="00810A27"/>
    <w:rsid w:val="00810ECD"/>
    <w:rsid w:val="00812141"/>
    <w:rsid w:val="008123EC"/>
    <w:rsid w:val="00812AFD"/>
    <w:rsid w:val="00812BAD"/>
    <w:rsid w:val="00812C0C"/>
    <w:rsid w:val="00812CBC"/>
    <w:rsid w:val="008132F4"/>
    <w:rsid w:val="008133B2"/>
    <w:rsid w:val="008135DB"/>
    <w:rsid w:val="00813BB9"/>
    <w:rsid w:val="0081410D"/>
    <w:rsid w:val="008144D3"/>
    <w:rsid w:val="00814660"/>
    <w:rsid w:val="008147A3"/>
    <w:rsid w:val="00814B51"/>
    <w:rsid w:val="00815727"/>
    <w:rsid w:val="00815C08"/>
    <w:rsid w:val="00815C6E"/>
    <w:rsid w:val="00815ED7"/>
    <w:rsid w:val="008160DF"/>
    <w:rsid w:val="00816D94"/>
    <w:rsid w:val="00816DCD"/>
    <w:rsid w:val="00816F05"/>
    <w:rsid w:val="00817570"/>
    <w:rsid w:val="008177FA"/>
    <w:rsid w:val="00817CFB"/>
    <w:rsid w:val="00817EAB"/>
    <w:rsid w:val="00817F36"/>
    <w:rsid w:val="0082010D"/>
    <w:rsid w:val="00821898"/>
    <w:rsid w:val="00822063"/>
    <w:rsid w:val="00822265"/>
    <w:rsid w:val="00822531"/>
    <w:rsid w:val="00822699"/>
    <w:rsid w:val="008226B9"/>
    <w:rsid w:val="00822D42"/>
    <w:rsid w:val="00822FD4"/>
    <w:rsid w:val="008232BB"/>
    <w:rsid w:val="008233E9"/>
    <w:rsid w:val="008236D7"/>
    <w:rsid w:val="00823D4B"/>
    <w:rsid w:val="0082413D"/>
    <w:rsid w:val="008248A1"/>
    <w:rsid w:val="008249D8"/>
    <w:rsid w:val="00824AA7"/>
    <w:rsid w:val="00824B40"/>
    <w:rsid w:val="00824C77"/>
    <w:rsid w:val="008252E6"/>
    <w:rsid w:val="00825458"/>
    <w:rsid w:val="008255F6"/>
    <w:rsid w:val="00825765"/>
    <w:rsid w:val="00825C0A"/>
    <w:rsid w:val="00825D4A"/>
    <w:rsid w:val="00825F5B"/>
    <w:rsid w:val="0082620B"/>
    <w:rsid w:val="00826333"/>
    <w:rsid w:val="00826745"/>
    <w:rsid w:val="00826C9F"/>
    <w:rsid w:val="00826CD9"/>
    <w:rsid w:val="00827094"/>
    <w:rsid w:val="0082776A"/>
    <w:rsid w:val="008278BD"/>
    <w:rsid w:val="00827A6C"/>
    <w:rsid w:val="00827E48"/>
    <w:rsid w:val="00827E54"/>
    <w:rsid w:val="0083086A"/>
    <w:rsid w:val="0083093B"/>
    <w:rsid w:val="00830CE3"/>
    <w:rsid w:val="00830EC6"/>
    <w:rsid w:val="00831393"/>
    <w:rsid w:val="0083140C"/>
    <w:rsid w:val="0083219E"/>
    <w:rsid w:val="00832E4E"/>
    <w:rsid w:val="00833F84"/>
    <w:rsid w:val="00834006"/>
    <w:rsid w:val="00834032"/>
    <w:rsid w:val="00834156"/>
    <w:rsid w:val="008347FC"/>
    <w:rsid w:val="00834830"/>
    <w:rsid w:val="00834AD9"/>
    <w:rsid w:val="0083528C"/>
    <w:rsid w:val="00835DFC"/>
    <w:rsid w:val="00835FBD"/>
    <w:rsid w:val="00836046"/>
    <w:rsid w:val="008360E9"/>
    <w:rsid w:val="00836320"/>
    <w:rsid w:val="008364DF"/>
    <w:rsid w:val="008366D0"/>
    <w:rsid w:val="00836B24"/>
    <w:rsid w:val="00836D4A"/>
    <w:rsid w:val="00836EAD"/>
    <w:rsid w:val="00837104"/>
    <w:rsid w:val="008373AB"/>
    <w:rsid w:val="008373BB"/>
    <w:rsid w:val="00837DF9"/>
    <w:rsid w:val="00837F07"/>
    <w:rsid w:val="00837F95"/>
    <w:rsid w:val="008400D3"/>
    <w:rsid w:val="008415DD"/>
    <w:rsid w:val="008415E4"/>
    <w:rsid w:val="00841830"/>
    <w:rsid w:val="00842990"/>
    <w:rsid w:val="00842B8C"/>
    <w:rsid w:val="0084331B"/>
    <w:rsid w:val="00843B61"/>
    <w:rsid w:val="008440C4"/>
    <w:rsid w:val="00844D8E"/>
    <w:rsid w:val="00845B8A"/>
    <w:rsid w:val="00845F96"/>
    <w:rsid w:val="008460B6"/>
    <w:rsid w:val="008460F3"/>
    <w:rsid w:val="0084633D"/>
    <w:rsid w:val="008465E5"/>
    <w:rsid w:val="00846641"/>
    <w:rsid w:val="008466EE"/>
    <w:rsid w:val="008467DF"/>
    <w:rsid w:val="008468E3"/>
    <w:rsid w:val="00847900"/>
    <w:rsid w:val="00847A45"/>
    <w:rsid w:val="00847F89"/>
    <w:rsid w:val="00847FFB"/>
    <w:rsid w:val="008505A2"/>
    <w:rsid w:val="00850AAC"/>
    <w:rsid w:val="00850AF8"/>
    <w:rsid w:val="0085155D"/>
    <w:rsid w:val="00851D67"/>
    <w:rsid w:val="008520BD"/>
    <w:rsid w:val="0085266A"/>
    <w:rsid w:val="008526AB"/>
    <w:rsid w:val="00852913"/>
    <w:rsid w:val="00852F01"/>
    <w:rsid w:val="00852F81"/>
    <w:rsid w:val="00853471"/>
    <w:rsid w:val="00854989"/>
    <w:rsid w:val="00854E82"/>
    <w:rsid w:val="00855542"/>
    <w:rsid w:val="0085699D"/>
    <w:rsid w:val="00856A22"/>
    <w:rsid w:val="00856BEB"/>
    <w:rsid w:val="00856EDA"/>
    <w:rsid w:val="00856F4B"/>
    <w:rsid w:val="00857403"/>
    <w:rsid w:val="00857FA3"/>
    <w:rsid w:val="00860DED"/>
    <w:rsid w:val="00861867"/>
    <w:rsid w:val="00862463"/>
    <w:rsid w:val="00862719"/>
    <w:rsid w:val="0086279C"/>
    <w:rsid w:val="0086287B"/>
    <w:rsid w:val="00862D33"/>
    <w:rsid w:val="00864810"/>
    <w:rsid w:val="00864C73"/>
    <w:rsid w:val="00866926"/>
    <w:rsid w:val="008669C8"/>
    <w:rsid w:val="00866CE8"/>
    <w:rsid w:val="008671D3"/>
    <w:rsid w:val="00867409"/>
    <w:rsid w:val="00867438"/>
    <w:rsid w:val="008676C9"/>
    <w:rsid w:val="0087011B"/>
    <w:rsid w:val="00870664"/>
    <w:rsid w:val="00870681"/>
    <w:rsid w:val="008706D1"/>
    <w:rsid w:val="00871A59"/>
    <w:rsid w:val="00871B97"/>
    <w:rsid w:val="00872140"/>
    <w:rsid w:val="008723A7"/>
    <w:rsid w:val="008726EE"/>
    <w:rsid w:val="00872F07"/>
    <w:rsid w:val="00873050"/>
    <w:rsid w:val="00873463"/>
    <w:rsid w:val="00873CC9"/>
    <w:rsid w:val="0087583B"/>
    <w:rsid w:val="00875858"/>
    <w:rsid w:val="00875A46"/>
    <w:rsid w:val="00875B00"/>
    <w:rsid w:val="00876028"/>
    <w:rsid w:val="008761EA"/>
    <w:rsid w:val="008763F0"/>
    <w:rsid w:val="008764BF"/>
    <w:rsid w:val="008765E5"/>
    <w:rsid w:val="00876620"/>
    <w:rsid w:val="00876C74"/>
    <w:rsid w:val="00876E28"/>
    <w:rsid w:val="008771A1"/>
    <w:rsid w:val="0087727B"/>
    <w:rsid w:val="008772DC"/>
    <w:rsid w:val="00877CF6"/>
    <w:rsid w:val="00877DF5"/>
    <w:rsid w:val="00877E90"/>
    <w:rsid w:val="00880052"/>
    <w:rsid w:val="008800FF"/>
    <w:rsid w:val="0088073B"/>
    <w:rsid w:val="0088076B"/>
    <w:rsid w:val="00880A07"/>
    <w:rsid w:val="00880D81"/>
    <w:rsid w:val="008810F4"/>
    <w:rsid w:val="00881AF9"/>
    <w:rsid w:val="00881F25"/>
    <w:rsid w:val="008821B3"/>
    <w:rsid w:val="0088227E"/>
    <w:rsid w:val="008825CC"/>
    <w:rsid w:val="008826B2"/>
    <w:rsid w:val="00882754"/>
    <w:rsid w:val="0088291E"/>
    <w:rsid w:val="00882A7B"/>
    <w:rsid w:val="00882B76"/>
    <w:rsid w:val="00882F89"/>
    <w:rsid w:val="00883B4F"/>
    <w:rsid w:val="00883F9B"/>
    <w:rsid w:val="00884E3E"/>
    <w:rsid w:val="00884FBF"/>
    <w:rsid w:val="0088512D"/>
    <w:rsid w:val="0088643A"/>
    <w:rsid w:val="00886DA3"/>
    <w:rsid w:val="00886E39"/>
    <w:rsid w:val="00887163"/>
    <w:rsid w:val="00887214"/>
    <w:rsid w:val="0088789B"/>
    <w:rsid w:val="00887A8C"/>
    <w:rsid w:val="00887B6A"/>
    <w:rsid w:val="00887DBD"/>
    <w:rsid w:val="00890157"/>
    <w:rsid w:val="00890580"/>
    <w:rsid w:val="00890D01"/>
    <w:rsid w:val="00891E59"/>
    <w:rsid w:val="008926BC"/>
    <w:rsid w:val="008927DC"/>
    <w:rsid w:val="00892F98"/>
    <w:rsid w:val="00893384"/>
    <w:rsid w:val="00893510"/>
    <w:rsid w:val="0089378B"/>
    <w:rsid w:val="008937FA"/>
    <w:rsid w:val="00893A28"/>
    <w:rsid w:val="0089628E"/>
    <w:rsid w:val="00896442"/>
    <w:rsid w:val="00896608"/>
    <w:rsid w:val="008968CF"/>
    <w:rsid w:val="00896D4A"/>
    <w:rsid w:val="00897227"/>
    <w:rsid w:val="0089746D"/>
    <w:rsid w:val="0089794C"/>
    <w:rsid w:val="008979F5"/>
    <w:rsid w:val="00897AA7"/>
    <w:rsid w:val="00897FF6"/>
    <w:rsid w:val="008A080F"/>
    <w:rsid w:val="008A0DDE"/>
    <w:rsid w:val="008A1426"/>
    <w:rsid w:val="008A184E"/>
    <w:rsid w:val="008A1D8A"/>
    <w:rsid w:val="008A2142"/>
    <w:rsid w:val="008A2287"/>
    <w:rsid w:val="008A29DD"/>
    <w:rsid w:val="008A2D00"/>
    <w:rsid w:val="008A3297"/>
    <w:rsid w:val="008A34D1"/>
    <w:rsid w:val="008A374A"/>
    <w:rsid w:val="008A390A"/>
    <w:rsid w:val="008A3AC6"/>
    <w:rsid w:val="008A3B0B"/>
    <w:rsid w:val="008A3C2A"/>
    <w:rsid w:val="008A3C32"/>
    <w:rsid w:val="008A3F33"/>
    <w:rsid w:val="008A4552"/>
    <w:rsid w:val="008A48D0"/>
    <w:rsid w:val="008A4AA0"/>
    <w:rsid w:val="008A4EE3"/>
    <w:rsid w:val="008A61FE"/>
    <w:rsid w:val="008A6B2E"/>
    <w:rsid w:val="008A7CD2"/>
    <w:rsid w:val="008B02E0"/>
    <w:rsid w:val="008B05B3"/>
    <w:rsid w:val="008B1401"/>
    <w:rsid w:val="008B1E96"/>
    <w:rsid w:val="008B1F6A"/>
    <w:rsid w:val="008B20FF"/>
    <w:rsid w:val="008B2297"/>
    <w:rsid w:val="008B2475"/>
    <w:rsid w:val="008B27C0"/>
    <w:rsid w:val="008B2F7A"/>
    <w:rsid w:val="008B3D31"/>
    <w:rsid w:val="008B489F"/>
    <w:rsid w:val="008B4A12"/>
    <w:rsid w:val="008B4AD9"/>
    <w:rsid w:val="008B4BAA"/>
    <w:rsid w:val="008B50BF"/>
    <w:rsid w:val="008B5175"/>
    <w:rsid w:val="008B589A"/>
    <w:rsid w:val="008B5AAE"/>
    <w:rsid w:val="008B5D13"/>
    <w:rsid w:val="008B623A"/>
    <w:rsid w:val="008B6AAC"/>
    <w:rsid w:val="008B6B6E"/>
    <w:rsid w:val="008B6F94"/>
    <w:rsid w:val="008B7295"/>
    <w:rsid w:val="008B7586"/>
    <w:rsid w:val="008B7FAE"/>
    <w:rsid w:val="008C0092"/>
    <w:rsid w:val="008C0381"/>
    <w:rsid w:val="008C0610"/>
    <w:rsid w:val="008C064B"/>
    <w:rsid w:val="008C08C8"/>
    <w:rsid w:val="008C0B16"/>
    <w:rsid w:val="008C0DEA"/>
    <w:rsid w:val="008C1AE3"/>
    <w:rsid w:val="008C1D8F"/>
    <w:rsid w:val="008C2F64"/>
    <w:rsid w:val="008C32E4"/>
    <w:rsid w:val="008C3D6B"/>
    <w:rsid w:val="008C3DB8"/>
    <w:rsid w:val="008C3F94"/>
    <w:rsid w:val="008C3FE1"/>
    <w:rsid w:val="008C4688"/>
    <w:rsid w:val="008C4CC3"/>
    <w:rsid w:val="008C5118"/>
    <w:rsid w:val="008C513B"/>
    <w:rsid w:val="008C531A"/>
    <w:rsid w:val="008C539A"/>
    <w:rsid w:val="008C5EC7"/>
    <w:rsid w:val="008C6062"/>
    <w:rsid w:val="008C65A4"/>
    <w:rsid w:val="008C6785"/>
    <w:rsid w:val="008C67FA"/>
    <w:rsid w:val="008C6A14"/>
    <w:rsid w:val="008C6A5A"/>
    <w:rsid w:val="008C6B19"/>
    <w:rsid w:val="008C6D37"/>
    <w:rsid w:val="008C6EC1"/>
    <w:rsid w:val="008C6F2E"/>
    <w:rsid w:val="008C7511"/>
    <w:rsid w:val="008C7614"/>
    <w:rsid w:val="008C77E2"/>
    <w:rsid w:val="008C7CBD"/>
    <w:rsid w:val="008D027E"/>
    <w:rsid w:val="008D078C"/>
    <w:rsid w:val="008D0CD1"/>
    <w:rsid w:val="008D1084"/>
    <w:rsid w:val="008D162A"/>
    <w:rsid w:val="008D1A63"/>
    <w:rsid w:val="008D203F"/>
    <w:rsid w:val="008D3C6D"/>
    <w:rsid w:val="008D4D03"/>
    <w:rsid w:val="008D4E1F"/>
    <w:rsid w:val="008D5B84"/>
    <w:rsid w:val="008D5CA6"/>
    <w:rsid w:val="008D65ED"/>
    <w:rsid w:val="008D6987"/>
    <w:rsid w:val="008D6B7B"/>
    <w:rsid w:val="008D6CD1"/>
    <w:rsid w:val="008D7109"/>
    <w:rsid w:val="008D71B1"/>
    <w:rsid w:val="008D7C02"/>
    <w:rsid w:val="008D7D65"/>
    <w:rsid w:val="008D7EE7"/>
    <w:rsid w:val="008E0C7E"/>
    <w:rsid w:val="008E134A"/>
    <w:rsid w:val="008E1893"/>
    <w:rsid w:val="008E1A32"/>
    <w:rsid w:val="008E21AE"/>
    <w:rsid w:val="008E26FC"/>
    <w:rsid w:val="008E2D23"/>
    <w:rsid w:val="008E2D2E"/>
    <w:rsid w:val="008E2F48"/>
    <w:rsid w:val="008E3C3D"/>
    <w:rsid w:val="008E3DDA"/>
    <w:rsid w:val="008E41B6"/>
    <w:rsid w:val="008E41D6"/>
    <w:rsid w:val="008E4461"/>
    <w:rsid w:val="008E46D9"/>
    <w:rsid w:val="008E46E6"/>
    <w:rsid w:val="008E4882"/>
    <w:rsid w:val="008E4972"/>
    <w:rsid w:val="008E4999"/>
    <w:rsid w:val="008E4A08"/>
    <w:rsid w:val="008E4DC1"/>
    <w:rsid w:val="008E5084"/>
    <w:rsid w:val="008E5806"/>
    <w:rsid w:val="008E5F4C"/>
    <w:rsid w:val="008E5FB9"/>
    <w:rsid w:val="008E6035"/>
    <w:rsid w:val="008E649B"/>
    <w:rsid w:val="008E6823"/>
    <w:rsid w:val="008E79FF"/>
    <w:rsid w:val="008E7A0F"/>
    <w:rsid w:val="008E7D2D"/>
    <w:rsid w:val="008E7E76"/>
    <w:rsid w:val="008F0186"/>
    <w:rsid w:val="008F05E1"/>
    <w:rsid w:val="008F0BF9"/>
    <w:rsid w:val="008F1341"/>
    <w:rsid w:val="008F13F0"/>
    <w:rsid w:val="008F150A"/>
    <w:rsid w:val="008F1639"/>
    <w:rsid w:val="008F1A92"/>
    <w:rsid w:val="008F1C96"/>
    <w:rsid w:val="008F1CEF"/>
    <w:rsid w:val="008F2351"/>
    <w:rsid w:val="008F2789"/>
    <w:rsid w:val="008F2FD0"/>
    <w:rsid w:val="008F366F"/>
    <w:rsid w:val="008F37CA"/>
    <w:rsid w:val="008F3D93"/>
    <w:rsid w:val="008F4C9F"/>
    <w:rsid w:val="008F5B60"/>
    <w:rsid w:val="008F6584"/>
    <w:rsid w:val="008F682B"/>
    <w:rsid w:val="008F6843"/>
    <w:rsid w:val="008F6BEF"/>
    <w:rsid w:val="008F6D1C"/>
    <w:rsid w:val="00900721"/>
    <w:rsid w:val="009014F2"/>
    <w:rsid w:val="00901756"/>
    <w:rsid w:val="00901DBC"/>
    <w:rsid w:val="0090277F"/>
    <w:rsid w:val="009028FF"/>
    <w:rsid w:val="00902CA9"/>
    <w:rsid w:val="00902F59"/>
    <w:rsid w:val="009033EB"/>
    <w:rsid w:val="009037F9"/>
    <w:rsid w:val="00904CFE"/>
    <w:rsid w:val="00904DF7"/>
    <w:rsid w:val="00904E16"/>
    <w:rsid w:val="00905186"/>
    <w:rsid w:val="00905900"/>
    <w:rsid w:val="00905B4C"/>
    <w:rsid w:val="00905DDD"/>
    <w:rsid w:val="00906047"/>
    <w:rsid w:val="0090621E"/>
    <w:rsid w:val="009063CF"/>
    <w:rsid w:val="00907116"/>
    <w:rsid w:val="009072EB"/>
    <w:rsid w:val="00910A3F"/>
    <w:rsid w:val="00910CD7"/>
    <w:rsid w:val="00911065"/>
    <w:rsid w:val="0091183C"/>
    <w:rsid w:val="009119BE"/>
    <w:rsid w:val="0091200E"/>
    <w:rsid w:val="009124BE"/>
    <w:rsid w:val="00912CFF"/>
    <w:rsid w:val="009137DE"/>
    <w:rsid w:val="00913C91"/>
    <w:rsid w:val="009147C7"/>
    <w:rsid w:val="009148E1"/>
    <w:rsid w:val="00914BB9"/>
    <w:rsid w:val="00914C1F"/>
    <w:rsid w:val="00915468"/>
    <w:rsid w:val="00915AA0"/>
    <w:rsid w:val="00916338"/>
    <w:rsid w:val="00916429"/>
    <w:rsid w:val="00916A84"/>
    <w:rsid w:val="00916D73"/>
    <w:rsid w:val="00917254"/>
    <w:rsid w:val="00917FD6"/>
    <w:rsid w:val="009200EB"/>
    <w:rsid w:val="009200FB"/>
    <w:rsid w:val="009202C7"/>
    <w:rsid w:val="0092049A"/>
    <w:rsid w:val="009206CA"/>
    <w:rsid w:val="00920801"/>
    <w:rsid w:val="00920AAB"/>
    <w:rsid w:val="00920C6C"/>
    <w:rsid w:val="00920C6D"/>
    <w:rsid w:val="00920DEA"/>
    <w:rsid w:val="009210CD"/>
    <w:rsid w:val="009213C3"/>
    <w:rsid w:val="0092192A"/>
    <w:rsid w:val="00921BD4"/>
    <w:rsid w:val="00921FEA"/>
    <w:rsid w:val="00922221"/>
    <w:rsid w:val="009222E5"/>
    <w:rsid w:val="00922540"/>
    <w:rsid w:val="0092268C"/>
    <w:rsid w:val="00922C64"/>
    <w:rsid w:val="00922DAE"/>
    <w:rsid w:val="009237C9"/>
    <w:rsid w:val="00923BAE"/>
    <w:rsid w:val="00923C98"/>
    <w:rsid w:val="00923CCF"/>
    <w:rsid w:val="0092525F"/>
    <w:rsid w:val="00925862"/>
    <w:rsid w:val="00925E26"/>
    <w:rsid w:val="00926D78"/>
    <w:rsid w:val="00927076"/>
    <w:rsid w:val="00927119"/>
    <w:rsid w:val="00927438"/>
    <w:rsid w:val="00927502"/>
    <w:rsid w:val="009277C6"/>
    <w:rsid w:val="009278A4"/>
    <w:rsid w:val="0093006F"/>
    <w:rsid w:val="00930814"/>
    <w:rsid w:val="00930869"/>
    <w:rsid w:val="0093182C"/>
    <w:rsid w:val="00931B28"/>
    <w:rsid w:val="00931B6E"/>
    <w:rsid w:val="009320D0"/>
    <w:rsid w:val="009328B0"/>
    <w:rsid w:val="00932B21"/>
    <w:rsid w:val="00932B50"/>
    <w:rsid w:val="00932D04"/>
    <w:rsid w:val="00932F6D"/>
    <w:rsid w:val="00933940"/>
    <w:rsid w:val="00933A38"/>
    <w:rsid w:val="00933C3B"/>
    <w:rsid w:val="0093471F"/>
    <w:rsid w:val="00935C7B"/>
    <w:rsid w:val="00935E94"/>
    <w:rsid w:val="00935FF6"/>
    <w:rsid w:val="009361E8"/>
    <w:rsid w:val="0093620E"/>
    <w:rsid w:val="009362B6"/>
    <w:rsid w:val="00936C86"/>
    <w:rsid w:val="009377CE"/>
    <w:rsid w:val="00937CED"/>
    <w:rsid w:val="00937E4F"/>
    <w:rsid w:val="009405A3"/>
    <w:rsid w:val="0094095D"/>
    <w:rsid w:val="00940EEF"/>
    <w:rsid w:val="0094188E"/>
    <w:rsid w:val="00941932"/>
    <w:rsid w:val="00941AF6"/>
    <w:rsid w:val="00941B82"/>
    <w:rsid w:val="00941F81"/>
    <w:rsid w:val="00942485"/>
    <w:rsid w:val="00942D00"/>
    <w:rsid w:val="00943674"/>
    <w:rsid w:val="009437A7"/>
    <w:rsid w:val="009439D4"/>
    <w:rsid w:val="00943C14"/>
    <w:rsid w:val="0094428B"/>
    <w:rsid w:val="00944954"/>
    <w:rsid w:val="00944982"/>
    <w:rsid w:val="00945BDA"/>
    <w:rsid w:val="00945CFC"/>
    <w:rsid w:val="00945D1D"/>
    <w:rsid w:val="00945D20"/>
    <w:rsid w:val="009467BD"/>
    <w:rsid w:val="00946CE4"/>
    <w:rsid w:val="00947E85"/>
    <w:rsid w:val="00947E88"/>
    <w:rsid w:val="0095006A"/>
    <w:rsid w:val="00950B91"/>
    <w:rsid w:val="00950CA9"/>
    <w:rsid w:val="009512A5"/>
    <w:rsid w:val="009513A2"/>
    <w:rsid w:val="00951B92"/>
    <w:rsid w:val="00952470"/>
    <w:rsid w:val="00953244"/>
    <w:rsid w:val="009534DE"/>
    <w:rsid w:val="0095423A"/>
    <w:rsid w:val="00954275"/>
    <w:rsid w:val="00954488"/>
    <w:rsid w:val="00955825"/>
    <w:rsid w:val="00955A63"/>
    <w:rsid w:val="00955CBA"/>
    <w:rsid w:val="00956DCB"/>
    <w:rsid w:val="00957128"/>
    <w:rsid w:val="00957895"/>
    <w:rsid w:val="00957B5D"/>
    <w:rsid w:val="00957F3D"/>
    <w:rsid w:val="00960717"/>
    <w:rsid w:val="0096085D"/>
    <w:rsid w:val="00961AF3"/>
    <w:rsid w:val="00961D08"/>
    <w:rsid w:val="00961F89"/>
    <w:rsid w:val="009620FC"/>
    <w:rsid w:val="009625BC"/>
    <w:rsid w:val="0096260C"/>
    <w:rsid w:val="009631B6"/>
    <w:rsid w:val="00963F3D"/>
    <w:rsid w:val="00963FDF"/>
    <w:rsid w:val="009641C3"/>
    <w:rsid w:val="00964630"/>
    <w:rsid w:val="009648BB"/>
    <w:rsid w:val="00964FFD"/>
    <w:rsid w:val="009656F9"/>
    <w:rsid w:val="00965C75"/>
    <w:rsid w:val="00965EB9"/>
    <w:rsid w:val="00965F2A"/>
    <w:rsid w:val="00966C51"/>
    <w:rsid w:val="00967444"/>
    <w:rsid w:val="00967496"/>
    <w:rsid w:val="00967858"/>
    <w:rsid w:val="00967B18"/>
    <w:rsid w:val="00967DD1"/>
    <w:rsid w:val="00970490"/>
    <w:rsid w:val="009704E1"/>
    <w:rsid w:val="00970ED9"/>
    <w:rsid w:val="00971533"/>
    <w:rsid w:val="009716F4"/>
    <w:rsid w:val="009717FB"/>
    <w:rsid w:val="00971D54"/>
    <w:rsid w:val="009726E8"/>
    <w:rsid w:val="0097284E"/>
    <w:rsid w:val="00972919"/>
    <w:rsid w:val="00972CCC"/>
    <w:rsid w:val="00972D16"/>
    <w:rsid w:val="00972E26"/>
    <w:rsid w:val="009733A2"/>
    <w:rsid w:val="00973472"/>
    <w:rsid w:val="00973B19"/>
    <w:rsid w:val="00973C1D"/>
    <w:rsid w:val="00973FAA"/>
    <w:rsid w:val="00974366"/>
    <w:rsid w:val="00974A91"/>
    <w:rsid w:val="00974BD1"/>
    <w:rsid w:val="00974F1A"/>
    <w:rsid w:val="009754CB"/>
    <w:rsid w:val="00975E9E"/>
    <w:rsid w:val="009760B8"/>
    <w:rsid w:val="0097627A"/>
    <w:rsid w:val="009769BC"/>
    <w:rsid w:val="0097710A"/>
    <w:rsid w:val="00980146"/>
    <w:rsid w:val="00980460"/>
    <w:rsid w:val="00980984"/>
    <w:rsid w:val="009809E1"/>
    <w:rsid w:val="00980C53"/>
    <w:rsid w:val="009811C2"/>
    <w:rsid w:val="00981498"/>
    <w:rsid w:val="009814A1"/>
    <w:rsid w:val="00981625"/>
    <w:rsid w:val="009817B1"/>
    <w:rsid w:val="009818F4"/>
    <w:rsid w:val="00981DAC"/>
    <w:rsid w:val="0098249E"/>
    <w:rsid w:val="00982A59"/>
    <w:rsid w:val="00982FEB"/>
    <w:rsid w:val="00983735"/>
    <w:rsid w:val="0098396F"/>
    <w:rsid w:val="0098399E"/>
    <w:rsid w:val="00983A3A"/>
    <w:rsid w:val="009842EF"/>
    <w:rsid w:val="0098463B"/>
    <w:rsid w:val="00984782"/>
    <w:rsid w:val="00984F6E"/>
    <w:rsid w:val="009850F9"/>
    <w:rsid w:val="009851F9"/>
    <w:rsid w:val="00985A41"/>
    <w:rsid w:val="00985F76"/>
    <w:rsid w:val="00986162"/>
    <w:rsid w:val="00987129"/>
    <w:rsid w:val="0098727B"/>
    <w:rsid w:val="00987D43"/>
    <w:rsid w:val="00990686"/>
    <w:rsid w:val="00990A4D"/>
    <w:rsid w:val="00990A90"/>
    <w:rsid w:val="00990E7F"/>
    <w:rsid w:val="009915F0"/>
    <w:rsid w:val="00991924"/>
    <w:rsid w:val="0099222C"/>
    <w:rsid w:val="0099243A"/>
    <w:rsid w:val="009925A9"/>
    <w:rsid w:val="00992621"/>
    <w:rsid w:val="0099297C"/>
    <w:rsid w:val="00992FE9"/>
    <w:rsid w:val="009931BB"/>
    <w:rsid w:val="00993476"/>
    <w:rsid w:val="00993A4F"/>
    <w:rsid w:val="00993A75"/>
    <w:rsid w:val="00994F96"/>
    <w:rsid w:val="009950F1"/>
    <w:rsid w:val="00995743"/>
    <w:rsid w:val="009969E3"/>
    <w:rsid w:val="009978E7"/>
    <w:rsid w:val="009A018C"/>
    <w:rsid w:val="009A11E4"/>
    <w:rsid w:val="009A1225"/>
    <w:rsid w:val="009A1808"/>
    <w:rsid w:val="009A1B0B"/>
    <w:rsid w:val="009A3145"/>
    <w:rsid w:val="009A3552"/>
    <w:rsid w:val="009A36A6"/>
    <w:rsid w:val="009A3C95"/>
    <w:rsid w:val="009A50D2"/>
    <w:rsid w:val="009A52DA"/>
    <w:rsid w:val="009A536C"/>
    <w:rsid w:val="009A54F6"/>
    <w:rsid w:val="009A5C24"/>
    <w:rsid w:val="009A61D8"/>
    <w:rsid w:val="009A6B51"/>
    <w:rsid w:val="009A6F41"/>
    <w:rsid w:val="009B0B02"/>
    <w:rsid w:val="009B19E1"/>
    <w:rsid w:val="009B1F77"/>
    <w:rsid w:val="009B20E0"/>
    <w:rsid w:val="009B3720"/>
    <w:rsid w:val="009B38D3"/>
    <w:rsid w:val="009B3A68"/>
    <w:rsid w:val="009B3DA6"/>
    <w:rsid w:val="009B3F54"/>
    <w:rsid w:val="009B4772"/>
    <w:rsid w:val="009B517F"/>
    <w:rsid w:val="009B63D1"/>
    <w:rsid w:val="009B6575"/>
    <w:rsid w:val="009B68CA"/>
    <w:rsid w:val="009B68F0"/>
    <w:rsid w:val="009B70C7"/>
    <w:rsid w:val="009B72C8"/>
    <w:rsid w:val="009B72E5"/>
    <w:rsid w:val="009B73ED"/>
    <w:rsid w:val="009B789A"/>
    <w:rsid w:val="009B7C20"/>
    <w:rsid w:val="009B7F36"/>
    <w:rsid w:val="009C058E"/>
    <w:rsid w:val="009C072E"/>
    <w:rsid w:val="009C1562"/>
    <w:rsid w:val="009C1DBF"/>
    <w:rsid w:val="009C2165"/>
    <w:rsid w:val="009C22A7"/>
    <w:rsid w:val="009C2307"/>
    <w:rsid w:val="009C28A3"/>
    <w:rsid w:val="009C2A15"/>
    <w:rsid w:val="009C2E8B"/>
    <w:rsid w:val="009C3117"/>
    <w:rsid w:val="009C342E"/>
    <w:rsid w:val="009C3C87"/>
    <w:rsid w:val="009C4C50"/>
    <w:rsid w:val="009C5960"/>
    <w:rsid w:val="009C5BC9"/>
    <w:rsid w:val="009C5C17"/>
    <w:rsid w:val="009C68B8"/>
    <w:rsid w:val="009C6B2A"/>
    <w:rsid w:val="009C700A"/>
    <w:rsid w:val="009C77AF"/>
    <w:rsid w:val="009C7FB4"/>
    <w:rsid w:val="009D01E3"/>
    <w:rsid w:val="009D0349"/>
    <w:rsid w:val="009D0A25"/>
    <w:rsid w:val="009D13FE"/>
    <w:rsid w:val="009D14AD"/>
    <w:rsid w:val="009D1546"/>
    <w:rsid w:val="009D1887"/>
    <w:rsid w:val="009D1888"/>
    <w:rsid w:val="009D2200"/>
    <w:rsid w:val="009D278E"/>
    <w:rsid w:val="009D2F8C"/>
    <w:rsid w:val="009D348D"/>
    <w:rsid w:val="009D3594"/>
    <w:rsid w:val="009D6442"/>
    <w:rsid w:val="009D6C23"/>
    <w:rsid w:val="009D6FAA"/>
    <w:rsid w:val="009D7B00"/>
    <w:rsid w:val="009D7E39"/>
    <w:rsid w:val="009E0329"/>
    <w:rsid w:val="009E0885"/>
    <w:rsid w:val="009E0B54"/>
    <w:rsid w:val="009E0C95"/>
    <w:rsid w:val="009E0FD3"/>
    <w:rsid w:val="009E1720"/>
    <w:rsid w:val="009E19FF"/>
    <w:rsid w:val="009E2AFD"/>
    <w:rsid w:val="009E32FE"/>
    <w:rsid w:val="009E3EEF"/>
    <w:rsid w:val="009E4191"/>
    <w:rsid w:val="009E44FA"/>
    <w:rsid w:val="009E501C"/>
    <w:rsid w:val="009E50C0"/>
    <w:rsid w:val="009E5411"/>
    <w:rsid w:val="009E598A"/>
    <w:rsid w:val="009E602A"/>
    <w:rsid w:val="009E60FD"/>
    <w:rsid w:val="009E664E"/>
    <w:rsid w:val="009E6BE3"/>
    <w:rsid w:val="009E6E61"/>
    <w:rsid w:val="009E6F88"/>
    <w:rsid w:val="009E72B1"/>
    <w:rsid w:val="009E73B3"/>
    <w:rsid w:val="009E77BA"/>
    <w:rsid w:val="009E7A45"/>
    <w:rsid w:val="009F0107"/>
    <w:rsid w:val="009F05E6"/>
    <w:rsid w:val="009F1AA9"/>
    <w:rsid w:val="009F2125"/>
    <w:rsid w:val="009F2298"/>
    <w:rsid w:val="009F26BC"/>
    <w:rsid w:val="009F28DE"/>
    <w:rsid w:val="009F3030"/>
    <w:rsid w:val="009F3A5E"/>
    <w:rsid w:val="009F3C46"/>
    <w:rsid w:val="009F3F5A"/>
    <w:rsid w:val="009F3FF8"/>
    <w:rsid w:val="009F4A92"/>
    <w:rsid w:val="009F4C7A"/>
    <w:rsid w:val="009F4E11"/>
    <w:rsid w:val="009F5BB8"/>
    <w:rsid w:val="009F5C92"/>
    <w:rsid w:val="009F66A7"/>
    <w:rsid w:val="009F6863"/>
    <w:rsid w:val="009F6D32"/>
    <w:rsid w:val="009F6D3E"/>
    <w:rsid w:val="009F702E"/>
    <w:rsid w:val="009F7083"/>
    <w:rsid w:val="009F77DA"/>
    <w:rsid w:val="009F79DC"/>
    <w:rsid w:val="009F7C85"/>
    <w:rsid w:val="009F7F92"/>
    <w:rsid w:val="00A00A63"/>
    <w:rsid w:val="00A00A69"/>
    <w:rsid w:val="00A00D52"/>
    <w:rsid w:val="00A014F1"/>
    <w:rsid w:val="00A02027"/>
    <w:rsid w:val="00A027A9"/>
    <w:rsid w:val="00A02A22"/>
    <w:rsid w:val="00A0365A"/>
    <w:rsid w:val="00A03C90"/>
    <w:rsid w:val="00A042E8"/>
    <w:rsid w:val="00A04B0D"/>
    <w:rsid w:val="00A04D75"/>
    <w:rsid w:val="00A04F8E"/>
    <w:rsid w:val="00A05BD3"/>
    <w:rsid w:val="00A05C33"/>
    <w:rsid w:val="00A06AB6"/>
    <w:rsid w:val="00A06AD0"/>
    <w:rsid w:val="00A070B2"/>
    <w:rsid w:val="00A07161"/>
    <w:rsid w:val="00A07905"/>
    <w:rsid w:val="00A10F66"/>
    <w:rsid w:val="00A1103A"/>
    <w:rsid w:val="00A11130"/>
    <w:rsid w:val="00A12077"/>
    <w:rsid w:val="00A12115"/>
    <w:rsid w:val="00A12F13"/>
    <w:rsid w:val="00A12F45"/>
    <w:rsid w:val="00A13D2D"/>
    <w:rsid w:val="00A13DA1"/>
    <w:rsid w:val="00A141D7"/>
    <w:rsid w:val="00A1467F"/>
    <w:rsid w:val="00A14E77"/>
    <w:rsid w:val="00A15441"/>
    <w:rsid w:val="00A15633"/>
    <w:rsid w:val="00A160C0"/>
    <w:rsid w:val="00A1613B"/>
    <w:rsid w:val="00A16609"/>
    <w:rsid w:val="00A1703E"/>
    <w:rsid w:val="00A17093"/>
    <w:rsid w:val="00A17756"/>
    <w:rsid w:val="00A17B0F"/>
    <w:rsid w:val="00A17B33"/>
    <w:rsid w:val="00A17C04"/>
    <w:rsid w:val="00A20378"/>
    <w:rsid w:val="00A20875"/>
    <w:rsid w:val="00A20884"/>
    <w:rsid w:val="00A20BD8"/>
    <w:rsid w:val="00A20C4A"/>
    <w:rsid w:val="00A2256C"/>
    <w:rsid w:val="00A2280F"/>
    <w:rsid w:val="00A23026"/>
    <w:rsid w:val="00A23494"/>
    <w:rsid w:val="00A23670"/>
    <w:rsid w:val="00A23998"/>
    <w:rsid w:val="00A240C4"/>
    <w:rsid w:val="00A244BB"/>
    <w:rsid w:val="00A24827"/>
    <w:rsid w:val="00A24E49"/>
    <w:rsid w:val="00A25152"/>
    <w:rsid w:val="00A2562E"/>
    <w:rsid w:val="00A2583E"/>
    <w:rsid w:val="00A25AF6"/>
    <w:rsid w:val="00A25CB1"/>
    <w:rsid w:val="00A26226"/>
    <w:rsid w:val="00A2668E"/>
    <w:rsid w:val="00A26A78"/>
    <w:rsid w:val="00A26B4C"/>
    <w:rsid w:val="00A26E75"/>
    <w:rsid w:val="00A30143"/>
    <w:rsid w:val="00A313AD"/>
    <w:rsid w:val="00A31551"/>
    <w:rsid w:val="00A31B12"/>
    <w:rsid w:val="00A31B4A"/>
    <w:rsid w:val="00A31CEA"/>
    <w:rsid w:val="00A327D5"/>
    <w:rsid w:val="00A32DF5"/>
    <w:rsid w:val="00A34119"/>
    <w:rsid w:val="00A34B1D"/>
    <w:rsid w:val="00A34BA4"/>
    <w:rsid w:val="00A34DA4"/>
    <w:rsid w:val="00A34EC8"/>
    <w:rsid w:val="00A34FC7"/>
    <w:rsid w:val="00A356CB"/>
    <w:rsid w:val="00A35FB6"/>
    <w:rsid w:val="00A363CB"/>
    <w:rsid w:val="00A365D4"/>
    <w:rsid w:val="00A36719"/>
    <w:rsid w:val="00A36BB4"/>
    <w:rsid w:val="00A37702"/>
    <w:rsid w:val="00A37E2A"/>
    <w:rsid w:val="00A37FA9"/>
    <w:rsid w:val="00A40852"/>
    <w:rsid w:val="00A409FF"/>
    <w:rsid w:val="00A40CF5"/>
    <w:rsid w:val="00A41BDD"/>
    <w:rsid w:val="00A41C7B"/>
    <w:rsid w:val="00A41E19"/>
    <w:rsid w:val="00A423DF"/>
    <w:rsid w:val="00A42873"/>
    <w:rsid w:val="00A42B88"/>
    <w:rsid w:val="00A43860"/>
    <w:rsid w:val="00A43BA6"/>
    <w:rsid w:val="00A43CF8"/>
    <w:rsid w:val="00A4423A"/>
    <w:rsid w:val="00A453BF"/>
    <w:rsid w:val="00A45404"/>
    <w:rsid w:val="00A455CE"/>
    <w:rsid w:val="00A45B62"/>
    <w:rsid w:val="00A45D25"/>
    <w:rsid w:val="00A45FEC"/>
    <w:rsid w:val="00A4600B"/>
    <w:rsid w:val="00A469F4"/>
    <w:rsid w:val="00A473C5"/>
    <w:rsid w:val="00A47BC2"/>
    <w:rsid w:val="00A504C5"/>
    <w:rsid w:val="00A51631"/>
    <w:rsid w:val="00A51A07"/>
    <w:rsid w:val="00A51F1A"/>
    <w:rsid w:val="00A524C9"/>
    <w:rsid w:val="00A52B88"/>
    <w:rsid w:val="00A53465"/>
    <w:rsid w:val="00A54097"/>
    <w:rsid w:val="00A54156"/>
    <w:rsid w:val="00A54687"/>
    <w:rsid w:val="00A54724"/>
    <w:rsid w:val="00A5481F"/>
    <w:rsid w:val="00A54855"/>
    <w:rsid w:val="00A54F03"/>
    <w:rsid w:val="00A552AB"/>
    <w:rsid w:val="00A55689"/>
    <w:rsid w:val="00A55807"/>
    <w:rsid w:val="00A558D5"/>
    <w:rsid w:val="00A5609F"/>
    <w:rsid w:val="00A56B8E"/>
    <w:rsid w:val="00A56DAD"/>
    <w:rsid w:val="00A56EFF"/>
    <w:rsid w:val="00A572BD"/>
    <w:rsid w:val="00A5742E"/>
    <w:rsid w:val="00A57592"/>
    <w:rsid w:val="00A579D4"/>
    <w:rsid w:val="00A57DAF"/>
    <w:rsid w:val="00A609FE"/>
    <w:rsid w:val="00A60F50"/>
    <w:rsid w:val="00A6137B"/>
    <w:rsid w:val="00A613C2"/>
    <w:rsid w:val="00A61866"/>
    <w:rsid w:val="00A61E63"/>
    <w:rsid w:val="00A61FB1"/>
    <w:rsid w:val="00A62B5E"/>
    <w:rsid w:val="00A62C6A"/>
    <w:rsid w:val="00A62F94"/>
    <w:rsid w:val="00A633AE"/>
    <w:rsid w:val="00A63BDB"/>
    <w:rsid w:val="00A63DC1"/>
    <w:rsid w:val="00A63EA4"/>
    <w:rsid w:val="00A65300"/>
    <w:rsid w:val="00A65652"/>
    <w:rsid w:val="00A65689"/>
    <w:rsid w:val="00A65DE2"/>
    <w:rsid w:val="00A65F6E"/>
    <w:rsid w:val="00A66359"/>
    <w:rsid w:val="00A6677D"/>
    <w:rsid w:val="00A66B5B"/>
    <w:rsid w:val="00A66BBD"/>
    <w:rsid w:val="00A67225"/>
    <w:rsid w:val="00A6726E"/>
    <w:rsid w:val="00A6729D"/>
    <w:rsid w:val="00A67837"/>
    <w:rsid w:val="00A6783E"/>
    <w:rsid w:val="00A678B6"/>
    <w:rsid w:val="00A67987"/>
    <w:rsid w:val="00A67F0D"/>
    <w:rsid w:val="00A67FD1"/>
    <w:rsid w:val="00A71BCD"/>
    <w:rsid w:val="00A71CE8"/>
    <w:rsid w:val="00A7253B"/>
    <w:rsid w:val="00A7359C"/>
    <w:rsid w:val="00A73AA6"/>
    <w:rsid w:val="00A73AF5"/>
    <w:rsid w:val="00A73FFC"/>
    <w:rsid w:val="00A7413D"/>
    <w:rsid w:val="00A744D2"/>
    <w:rsid w:val="00A7465E"/>
    <w:rsid w:val="00A74D22"/>
    <w:rsid w:val="00A74F5A"/>
    <w:rsid w:val="00A75327"/>
    <w:rsid w:val="00A753CD"/>
    <w:rsid w:val="00A75A67"/>
    <w:rsid w:val="00A75F9C"/>
    <w:rsid w:val="00A76582"/>
    <w:rsid w:val="00A76BE8"/>
    <w:rsid w:val="00A76CE3"/>
    <w:rsid w:val="00A76DE1"/>
    <w:rsid w:val="00A76F09"/>
    <w:rsid w:val="00A770ED"/>
    <w:rsid w:val="00A77258"/>
    <w:rsid w:val="00A77A1A"/>
    <w:rsid w:val="00A77B6A"/>
    <w:rsid w:val="00A77C19"/>
    <w:rsid w:val="00A77ED5"/>
    <w:rsid w:val="00A800B6"/>
    <w:rsid w:val="00A80F97"/>
    <w:rsid w:val="00A81A53"/>
    <w:rsid w:val="00A82C6E"/>
    <w:rsid w:val="00A82D81"/>
    <w:rsid w:val="00A82E9E"/>
    <w:rsid w:val="00A837CA"/>
    <w:rsid w:val="00A83AB0"/>
    <w:rsid w:val="00A83C30"/>
    <w:rsid w:val="00A83D2F"/>
    <w:rsid w:val="00A83F30"/>
    <w:rsid w:val="00A8498F"/>
    <w:rsid w:val="00A84A41"/>
    <w:rsid w:val="00A85377"/>
    <w:rsid w:val="00A8560E"/>
    <w:rsid w:val="00A85800"/>
    <w:rsid w:val="00A859C2"/>
    <w:rsid w:val="00A86CBA"/>
    <w:rsid w:val="00A86E67"/>
    <w:rsid w:val="00A8727E"/>
    <w:rsid w:val="00A874F5"/>
    <w:rsid w:val="00A875D8"/>
    <w:rsid w:val="00A87A08"/>
    <w:rsid w:val="00A87FA9"/>
    <w:rsid w:val="00A9037A"/>
    <w:rsid w:val="00A903C2"/>
    <w:rsid w:val="00A906A9"/>
    <w:rsid w:val="00A90D5C"/>
    <w:rsid w:val="00A90DBC"/>
    <w:rsid w:val="00A91D67"/>
    <w:rsid w:val="00A91F34"/>
    <w:rsid w:val="00A92439"/>
    <w:rsid w:val="00A926EB"/>
    <w:rsid w:val="00A9323C"/>
    <w:rsid w:val="00A93AB0"/>
    <w:rsid w:val="00A94352"/>
    <w:rsid w:val="00A94424"/>
    <w:rsid w:val="00A950AC"/>
    <w:rsid w:val="00A951C0"/>
    <w:rsid w:val="00A96EFC"/>
    <w:rsid w:val="00A96FA5"/>
    <w:rsid w:val="00A9749F"/>
    <w:rsid w:val="00A97E66"/>
    <w:rsid w:val="00A97EE2"/>
    <w:rsid w:val="00A97F91"/>
    <w:rsid w:val="00AA01C6"/>
    <w:rsid w:val="00AA0924"/>
    <w:rsid w:val="00AA0B3E"/>
    <w:rsid w:val="00AA10FE"/>
    <w:rsid w:val="00AA1624"/>
    <w:rsid w:val="00AA176F"/>
    <w:rsid w:val="00AA1BB7"/>
    <w:rsid w:val="00AA1CA3"/>
    <w:rsid w:val="00AA1CB8"/>
    <w:rsid w:val="00AA3044"/>
    <w:rsid w:val="00AA31AD"/>
    <w:rsid w:val="00AA3214"/>
    <w:rsid w:val="00AA3339"/>
    <w:rsid w:val="00AA37C7"/>
    <w:rsid w:val="00AA4279"/>
    <w:rsid w:val="00AA463F"/>
    <w:rsid w:val="00AA4656"/>
    <w:rsid w:val="00AA4BE6"/>
    <w:rsid w:val="00AA549D"/>
    <w:rsid w:val="00AA5736"/>
    <w:rsid w:val="00AA5C99"/>
    <w:rsid w:val="00AA5CF4"/>
    <w:rsid w:val="00AA630F"/>
    <w:rsid w:val="00AA6565"/>
    <w:rsid w:val="00AA68F6"/>
    <w:rsid w:val="00AA6ECF"/>
    <w:rsid w:val="00AA7413"/>
    <w:rsid w:val="00AA7977"/>
    <w:rsid w:val="00AA79DB"/>
    <w:rsid w:val="00AB0116"/>
    <w:rsid w:val="00AB0345"/>
    <w:rsid w:val="00AB0478"/>
    <w:rsid w:val="00AB04CC"/>
    <w:rsid w:val="00AB0D16"/>
    <w:rsid w:val="00AB1010"/>
    <w:rsid w:val="00AB1C6E"/>
    <w:rsid w:val="00AB20DD"/>
    <w:rsid w:val="00AB258A"/>
    <w:rsid w:val="00AB2F44"/>
    <w:rsid w:val="00AB2F91"/>
    <w:rsid w:val="00AB3A58"/>
    <w:rsid w:val="00AB3CCB"/>
    <w:rsid w:val="00AB4484"/>
    <w:rsid w:val="00AB474F"/>
    <w:rsid w:val="00AB47D5"/>
    <w:rsid w:val="00AB4F76"/>
    <w:rsid w:val="00AB51F4"/>
    <w:rsid w:val="00AB5519"/>
    <w:rsid w:val="00AB5865"/>
    <w:rsid w:val="00AB6616"/>
    <w:rsid w:val="00AB6A9A"/>
    <w:rsid w:val="00AB6E59"/>
    <w:rsid w:val="00AB7273"/>
    <w:rsid w:val="00AB7F5B"/>
    <w:rsid w:val="00AC051A"/>
    <w:rsid w:val="00AC0712"/>
    <w:rsid w:val="00AC0DA8"/>
    <w:rsid w:val="00AC14B2"/>
    <w:rsid w:val="00AC168F"/>
    <w:rsid w:val="00AC16F6"/>
    <w:rsid w:val="00AC2466"/>
    <w:rsid w:val="00AC251E"/>
    <w:rsid w:val="00AC2913"/>
    <w:rsid w:val="00AC2AE6"/>
    <w:rsid w:val="00AC31FA"/>
    <w:rsid w:val="00AC35EF"/>
    <w:rsid w:val="00AC3623"/>
    <w:rsid w:val="00AC3740"/>
    <w:rsid w:val="00AC3E15"/>
    <w:rsid w:val="00AC5359"/>
    <w:rsid w:val="00AC594B"/>
    <w:rsid w:val="00AC6565"/>
    <w:rsid w:val="00AC6988"/>
    <w:rsid w:val="00AC69D4"/>
    <w:rsid w:val="00AC738D"/>
    <w:rsid w:val="00AC7AD2"/>
    <w:rsid w:val="00AC7B0E"/>
    <w:rsid w:val="00AC7CC4"/>
    <w:rsid w:val="00AC7DAE"/>
    <w:rsid w:val="00AD001B"/>
    <w:rsid w:val="00AD08FB"/>
    <w:rsid w:val="00AD0BD1"/>
    <w:rsid w:val="00AD0DC9"/>
    <w:rsid w:val="00AD172B"/>
    <w:rsid w:val="00AD19BD"/>
    <w:rsid w:val="00AD1B0C"/>
    <w:rsid w:val="00AD1D82"/>
    <w:rsid w:val="00AD3097"/>
    <w:rsid w:val="00AD33E9"/>
    <w:rsid w:val="00AD3768"/>
    <w:rsid w:val="00AD3C95"/>
    <w:rsid w:val="00AD3D5B"/>
    <w:rsid w:val="00AD407D"/>
    <w:rsid w:val="00AD43E1"/>
    <w:rsid w:val="00AD4A35"/>
    <w:rsid w:val="00AD5E11"/>
    <w:rsid w:val="00AD6611"/>
    <w:rsid w:val="00AD69CD"/>
    <w:rsid w:val="00AD6EBF"/>
    <w:rsid w:val="00AD6F4F"/>
    <w:rsid w:val="00AD72EC"/>
    <w:rsid w:val="00AD72FF"/>
    <w:rsid w:val="00AD79A3"/>
    <w:rsid w:val="00AD7E09"/>
    <w:rsid w:val="00AE00CA"/>
    <w:rsid w:val="00AE02F3"/>
    <w:rsid w:val="00AE068B"/>
    <w:rsid w:val="00AE079E"/>
    <w:rsid w:val="00AE113D"/>
    <w:rsid w:val="00AE151A"/>
    <w:rsid w:val="00AE1A31"/>
    <w:rsid w:val="00AE21CE"/>
    <w:rsid w:val="00AE2785"/>
    <w:rsid w:val="00AE2882"/>
    <w:rsid w:val="00AE2F23"/>
    <w:rsid w:val="00AE2FF9"/>
    <w:rsid w:val="00AE31DF"/>
    <w:rsid w:val="00AE320A"/>
    <w:rsid w:val="00AE35A7"/>
    <w:rsid w:val="00AE3693"/>
    <w:rsid w:val="00AE3CBC"/>
    <w:rsid w:val="00AE456C"/>
    <w:rsid w:val="00AE4AC7"/>
    <w:rsid w:val="00AE50BC"/>
    <w:rsid w:val="00AE52A3"/>
    <w:rsid w:val="00AE61AA"/>
    <w:rsid w:val="00AE64B2"/>
    <w:rsid w:val="00AE66F8"/>
    <w:rsid w:val="00AE69CD"/>
    <w:rsid w:val="00AE740A"/>
    <w:rsid w:val="00AE7422"/>
    <w:rsid w:val="00AE7510"/>
    <w:rsid w:val="00AE7732"/>
    <w:rsid w:val="00AE791B"/>
    <w:rsid w:val="00AE7C96"/>
    <w:rsid w:val="00AF00AB"/>
    <w:rsid w:val="00AF068D"/>
    <w:rsid w:val="00AF0893"/>
    <w:rsid w:val="00AF09FF"/>
    <w:rsid w:val="00AF0A82"/>
    <w:rsid w:val="00AF0EAF"/>
    <w:rsid w:val="00AF1375"/>
    <w:rsid w:val="00AF15CC"/>
    <w:rsid w:val="00AF209D"/>
    <w:rsid w:val="00AF21B3"/>
    <w:rsid w:val="00AF2484"/>
    <w:rsid w:val="00AF2DF2"/>
    <w:rsid w:val="00AF2F5C"/>
    <w:rsid w:val="00AF2F7A"/>
    <w:rsid w:val="00AF471C"/>
    <w:rsid w:val="00AF48EC"/>
    <w:rsid w:val="00AF49D7"/>
    <w:rsid w:val="00AF4D4D"/>
    <w:rsid w:val="00AF5206"/>
    <w:rsid w:val="00AF52D2"/>
    <w:rsid w:val="00AF5A7C"/>
    <w:rsid w:val="00AF6B24"/>
    <w:rsid w:val="00AF6BA7"/>
    <w:rsid w:val="00AF71BC"/>
    <w:rsid w:val="00AF78D9"/>
    <w:rsid w:val="00B0083E"/>
    <w:rsid w:val="00B0092D"/>
    <w:rsid w:val="00B00BDF"/>
    <w:rsid w:val="00B00D82"/>
    <w:rsid w:val="00B01D53"/>
    <w:rsid w:val="00B01E94"/>
    <w:rsid w:val="00B024A2"/>
    <w:rsid w:val="00B03711"/>
    <w:rsid w:val="00B03B6C"/>
    <w:rsid w:val="00B040BB"/>
    <w:rsid w:val="00B04308"/>
    <w:rsid w:val="00B046E9"/>
    <w:rsid w:val="00B055AA"/>
    <w:rsid w:val="00B05E59"/>
    <w:rsid w:val="00B062CD"/>
    <w:rsid w:val="00B065FB"/>
    <w:rsid w:val="00B07934"/>
    <w:rsid w:val="00B07D96"/>
    <w:rsid w:val="00B10A65"/>
    <w:rsid w:val="00B10CD6"/>
    <w:rsid w:val="00B116CA"/>
    <w:rsid w:val="00B1182C"/>
    <w:rsid w:val="00B11CB0"/>
    <w:rsid w:val="00B12D94"/>
    <w:rsid w:val="00B13119"/>
    <w:rsid w:val="00B1323B"/>
    <w:rsid w:val="00B133CB"/>
    <w:rsid w:val="00B13422"/>
    <w:rsid w:val="00B13ADB"/>
    <w:rsid w:val="00B13F61"/>
    <w:rsid w:val="00B145E7"/>
    <w:rsid w:val="00B15A91"/>
    <w:rsid w:val="00B15C29"/>
    <w:rsid w:val="00B165E3"/>
    <w:rsid w:val="00B16830"/>
    <w:rsid w:val="00B16833"/>
    <w:rsid w:val="00B171AF"/>
    <w:rsid w:val="00B17229"/>
    <w:rsid w:val="00B176D6"/>
    <w:rsid w:val="00B17EB6"/>
    <w:rsid w:val="00B17F3E"/>
    <w:rsid w:val="00B203CD"/>
    <w:rsid w:val="00B20478"/>
    <w:rsid w:val="00B207A4"/>
    <w:rsid w:val="00B20B1B"/>
    <w:rsid w:val="00B21475"/>
    <w:rsid w:val="00B218F5"/>
    <w:rsid w:val="00B219AB"/>
    <w:rsid w:val="00B21B6B"/>
    <w:rsid w:val="00B21DF3"/>
    <w:rsid w:val="00B22182"/>
    <w:rsid w:val="00B228EB"/>
    <w:rsid w:val="00B22B0F"/>
    <w:rsid w:val="00B22C87"/>
    <w:rsid w:val="00B22D12"/>
    <w:rsid w:val="00B2362B"/>
    <w:rsid w:val="00B240C4"/>
    <w:rsid w:val="00B24158"/>
    <w:rsid w:val="00B242D6"/>
    <w:rsid w:val="00B246AC"/>
    <w:rsid w:val="00B24D9C"/>
    <w:rsid w:val="00B257DB"/>
    <w:rsid w:val="00B26A0D"/>
    <w:rsid w:val="00B2713F"/>
    <w:rsid w:val="00B2791B"/>
    <w:rsid w:val="00B3073E"/>
    <w:rsid w:val="00B3083E"/>
    <w:rsid w:val="00B3087D"/>
    <w:rsid w:val="00B30AAE"/>
    <w:rsid w:val="00B30CAC"/>
    <w:rsid w:val="00B3150C"/>
    <w:rsid w:val="00B31949"/>
    <w:rsid w:val="00B31E07"/>
    <w:rsid w:val="00B31FBA"/>
    <w:rsid w:val="00B32291"/>
    <w:rsid w:val="00B325BC"/>
    <w:rsid w:val="00B32C32"/>
    <w:rsid w:val="00B32F5C"/>
    <w:rsid w:val="00B33B7E"/>
    <w:rsid w:val="00B33E7E"/>
    <w:rsid w:val="00B33F78"/>
    <w:rsid w:val="00B33FB7"/>
    <w:rsid w:val="00B34182"/>
    <w:rsid w:val="00B343B1"/>
    <w:rsid w:val="00B34BB7"/>
    <w:rsid w:val="00B353F8"/>
    <w:rsid w:val="00B35B78"/>
    <w:rsid w:val="00B35EF5"/>
    <w:rsid w:val="00B36AEE"/>
    <w:rsid w:val="00B3722C"/>
    <w:rsid w:val="00B3724D"/>
    <w:rsid w:val="00B400A2"/>
    <w:rsid w:val="00B4011A"/>
    <w:rsid w:val="00B405F3"/>
    <w:rsid w:val="00B40AF2"/>
    <w:rsid w:val="00B40B2C"/>
    <w:rsid w:val="00B410A7"/>
    <w:rsid w:val="00B410DD"/>
    <w:rsid w:val="00B419B9"/>
    <w:rsid w:val="00B419F5"/>
    <w:rsid w:val="00B41B6B"/>
    <w:rsid w:val="00B41D19"/>
    <w:rsid w:val="00B42111"/>
    <w:rsid w:val="00B424C1"/>
    <w:rsid w:val="00B42CD1"/>
    <w:rsid w:val="00B432EF"/>
    <w:rsid w:val="00B4362F"/>
    <w:rsid w:val="00B43860"/>
    <w:rsid w:val="00B438EA"/>
    <w:rsid w:val="00B43E96"/>
    <w:rsid w:val="00B444BA"/>
    <w:rsid w:val="00B44691"/>
    <w:rsid w:val="00B44AA1"/>
    <w:rsid w:val="00B44CFB"/>
    <w:rsid w:val="00B45669"/>
    <w:rsid w:val="00B45B3F"/>
    <w:rsid w:val="00B45D45"/>
    <w:rsid w:val="00B45D64"/>
    <w:rsid w:val="00B46186"/>
    <w:rsid w:val="00B46612"/>
    <w:rsid w:val="00B46C28"/>
    <w:rsid w:val="00B46F1A"/>
    <w:rsid w:val="00B47A43"/>
    <w:rsid w:val="00B47B81"/>
    <w:rsid w:val="00B50FDC"/>
    <w:rsid w:val="00B50FFB"/>
    <w:rsid w:val="00B517F5"/>
    <w:rsid w:val="00B51FD8"/>
    <w:rsid w:val="00B529EB"/>
    <w:rsid w:val="00B52D64"/>
    <w:rsid w:val="00B5382B"/>
    <w:rsid w:val="00B53BEE"/>
    <w:rsid w:val="00B53F1E"/>
    <w:rsid w:val="00B540BD"/>
    <w:rsid w:val="00B5429A"/>
    <w:rsid w:val="00B54C50"/>
    <w:rsid w:val="00B54C52"/>
    <w:rsid w:val="00B552F5"/>
    <w:rsid w:val="00B554EE"/>
    <w:rsid w:val="00B55C91"/>
    <w:rsid w:val="00B55D14"/>
    <w:rsid w:val="00B569FD"/>
    <w:rsid w:val="00B56EF7"/>
    <w:rsid w:val="00B57453"/>
    <w:rsid w:val="00B574DC"/>
    <w:rsid w:val="00B5767D"/>
    <w:rsid w:val="00B57C9A"/>
    <w:rsid w:val="00B57D91"/>
    <w:rsid w:val="00B60077"/>
    <w:rsid w:val="00B600C5"/>
    <w:rsid w:val="00B60343"/>
    <w:rsid w:val="00B61842"/>
    <w:rsid w:val="00B618AA"/>
    <w:rsid w:val="00B61FAB"/>
    <w:rsid w:val="00B61FC1"/>
    <w:rsid w:val="00B623D6"/>
    <w:rsid w:val="00B63111"/>
    <w:rsid w:val="00B635FF"/>
    <w:rsid w:val="00B63A26"/>
    <w:rsid w:val="00B63B9F"/>
    <w:rsid w:val="00B63FD9"/>
    <w:rsid w:val="00B64288"/>
    <w:rsid w:val="00B644B3"/>
    <w:rsid w:val="00B648C7"/>
    <w:rsid w:val="00B64B0D"/>
    <w:rsid w:val="00B64F9D"/>
    <w:rsid w:val="00B651D0"/>
    <w:rsid w:val="00B653C7"/>
    <w:rsid w:val="00B65481"/>
    <w:rsid w:val="00B659DE"/>
    <w:rsid w:val="00B65F62"/>
    <w:rsid w:val="00B6645E"/>
    <w:rsid w:val="00B66687"/>
    <w:rsid w:val="00B66A8F"/>
    <w:rsid w:val="00B6711F"/>
    <w:rsid w:val="00B67DB4"/>
    <w:rsid w:val="00B702F1"/>
    <w:rsid w:val="00B711F3"/>
    <w:rsid w:val="00B71745"/>
    <w:rsid w:val="00B71C8A"/>
    <w:rsid w:val="00B71F78"/>
    <w:rsid w:val="00B72C10"/>
    <w:rsid w:val="00B7309D"/>
    <w:rsid w:val="00B734F5"/>
    <w:rsid w:val="00B73901"/>
    <w:rsid w:val="00B73B51"/>
    <w:rsid w:val="00B7438D"/>
    <w:rsid w:val="00B74918"/>
    <w:rsid w:val="00B75523"/>
    <w:rsid w:val="00B7558D"/>
    <w:rsid w:val="00B755E4"/>
    <w:rsid w:val="00B75687"/>
    <w:rsid w:val="00B75F2A"/>
    <w:rsid w:val="00B7616F"/>
    <w:rsid w:val="00B76310"/>
    <w:rsid w:val="00B7646F"/>
    <w:rsid w:val="00B764D1"/>
    <w:rsid w:val="00B76592"/>
    <w:rsid w:val="00B7663E"/>
    <w:rsid w:val="00B77AB1"/>
    <w:rsid w:val="00B77AB2"/>
    <w:rsid w:val="00B77B09"/>
    <w:rsid w:val="00B77EAF"/>
    <w:rsid w:val="00B8055D"/>
    <w:rsid w:val="00B81496"/>
    <w:rsid w:val="00B81760"/>
    <w:rsid w:val="00B81924"/>
    <w:rsid w:val="00B81FD6"/>
    <w:rsid w:val="00B82539"/>
    <w:rsid w:val="00B826C1"/>
    <w:rsid w:val="00B833EC"/>
    <w:rsid w:val="00B83768"/>
    <w:rsid w:val="00B83DCB"/>
    <w:rsid w:val="00B845CF"/>
    <w:rsid w:val="00B848B6"/>
    <w:rsid w:val="00B84A75"/>
    <w:rsid w:val="00B854F5"/>
    <w:rsid w:val="00B855B1"/>
    <w:rsid w:val="00B86102"/>
    <w:rsid w:val="00B86899"/>
    <w:rsid w:val="00B86A24"/>
    <w:rsid w:val="00B86A72"/>
    <w:rsid w:val="00B86FD7"/>
    <w:rsid w:val="00B87307"/>
    <w:rsid w:val="00B8765B"/>
    <w:rsid w:val="00B87DBB"/>
    <w:rsid w:val="00B87ED5"/>
    <w:rsid w:val="00B87EE3"/>
    <w:rsid w:val="00B907A9"/>
    <w:rsid w:val="00B90B48"/>
    <w:rsid w:val="00B90FA9"/>
    <w:rsid w:val="00B90FEA"/>
    <w:rsid w:val="00B915B9"/>
    <w:rsid w:val="00B9167C"/>
    <w:rsid w:val="00B91BD0"/>
    <w:rsid w:val="00B920E3"/>
    <w:rsid w:val="00B9246C"/>
    <w:rsid w:val="00B9263E"/>
    <w:rsid w:val="00B9296B"/>
    <w:rsid w:val="00B94770"/>
    <w:rsid w:val="00B94B25"/>
    <w:rsid w:val="00B94D60"/>
    <w:rsid w:val="00B950A8"/>
    <w:rsid w:val="00B952D5"/>
    <w:rsid w:val="00B95732"/>
    <w:rsid w:val="00B96CE0"/>
    <w:rsid w:val="00B96D40"/>
    <w:rsid w:val="00BA0D36"/>
    <w:rsid w:val="00BA16C5"/>
    <w:rsid w:val="00BA1E89"/>
    <w:rsid w:val="00BA1FF0"/>
    <w:rsid w:val="00BA26FA"/>
    <w:rsid w:val="00BA28B5"/>
    <w:rsid w:val="00BA2EF7"/>
    <w:rsid w:val="00BA2FF1"/>
    <w:rsid w:val="00BA3240"/>
    <w:rsid w:val="00BA4ACB"/>
    <w:rsid w:val="00BA4B92"/>
    <w:rsid w:val="00BA4C04"/>
    <w:rsid w:val="00BA5BB2"/>
    <w:rsid w:val="00BA5D94"/>
    <w:rsid w:val="00BA61ED"/>
    <w:rsid w:val="00BA6F1B"/>
    <w:rsid w:val="00BA6F98"/>
    <w:rsid w:val="00BA71C7"/>
    <w:rsid w:val="00BA7422"/>
    <w:rsid w:val="00BA78B8"/>
    <w:rsid w:val="00BB0145"/>
    <w:rsid w:val="00BB08D0"/>
    <w:rsid w:val="00BB0919"/>
    <w:rsid w:val="00BB0B24"/>
    <w:rsid w:val="00BB0C9F"/>
    <w:rsid w:val="00BB0D54"/>
    <w:rsid w:val="00BB0FDA"/>
    <w:rsid w:val="00BB15F0"/>
    <w:rsid w:val="00BB23AE"/>
    <w:rsid w:val="00BB256A"/>
    <w:rsid w:val="00BB2E0A"/>
    <w:rsid w:val="00BB2E68"/>
    <w:rsid w:val="00BB44F4"/>
    <w:rsid w:val="00BB47AB"/>
    <w:rsid w:val="00BB48CD"/>
    <w:rsid w:val="00BB52BD"/>
    <w:rsid w:val="00BB5EC6"/>
    <w:rsid w:val="00BB6115"/>
    <w:rsid w:val="00BB6448"/>
    <w:rsid w:val="00BB6715"/>
    <w:rsid w:val="00BB6954"/>
    <w:rsid w:val="00BB6E8B"/>
    <w:rsid w:val="00BB708D"/>
    <w:rsid w:val="00BB728F"/>
    <w:rsid w:val="00BB7527"/>
    <w:rsid w:val="00BB7571"/>
    <w:rsid w:val="00BB7BDE"/>
    <w:rsid w:val="00BC1359"/>
    <w:rsid w:val="00BC14A2"/>
    <w:rsid w:val="00BC14EF"/>
    <w:rsid w:val="00BC154A"/>
    <w:rsid w:val="00BC1615"/>
    <w:rsid w:val="00BC2553"/>
    <w:rsid w:val="00BC271C"/>
    <w:rsid w:val="00BC2DA9"/>
    <w:rsid w:val="00BC306D"/>
    <w:rsid w:val="00BC38A5"/>
    <w:rsid w:val="00BC44F0"/>
    <w:rsid w:val="00BC4B00"/>
    <w:rsid w:val="00BC4C8D"/>
    <w:rsid w:val="00BC4D70"/>
    <w:rsid w:val="00BC4EFA"/>
    <w:rsid w:val="00BC5402"/>
    <w:rsid w:val="00BC54B6"/>
    <w:rsid w:val="00BC5735"/>
    <w:rsid w:val="00BC58B0"/>
    <w:rsid w:val="00BC5A1A"/>
    <w:rsid w:val="00BC5B91"/>
    <w:rsid w:val="00BC5C00"/>
    <w:rsid w:val="00BC5EEE"/>
    <w:rsid w:val="00BC61CF"/>
    <w:rsid w:val="00BC62D0"/>
    <w:rsid w:val="00BC644B"/>
    <w:rsid w:val="00BC6A8B"/>
    <w:rsid w:val="00BC711D"/>
    <w:rsid w:val="00BC734C"/>
    <w:rsid w:val="00BC7F9B"/>
    <w:rsid w:val="00BD0321"/>
    <w:rsid w:val="00BD0653"/>
    <w:rsid w:val="00BD11EA"/>
    <w:rsid w:val="00BD1561"/>
    <w:rsid w:val="00BD16D9"/>
    <w:rsid w:val="00BD19E1"/>
    <w:rsid w:val="00BD1A93"/>
    <w:rsid w:val="00BD1D76"/>
    <w:rsid w:val="00BD1F11"/>
    <w:rsid w:val="00BD24A5"/>
    <w:rsid w:val="00BD2739"/>
    <w:rsid w:val="00BD2B2E"/>
    <w:rsid w:val="00BD32DD"/>
    <w:rsid w:val="00BD3456"/>
    <w:rsid w:val="00BD3653"/>
    <w:rsid w:val="00BD3E12"/>
    <w:rsid w:val="00BD40E0"/>
    <w:rsid w:val="00BD4186"/>
    <w:rsid w:val="00BD4397"/>
    <w:rsid w:val="00BD473C"/>
    <w:rsid w:val="00BD4C95"/>
    <w:rsid w:val="00BD4D2C"/>
    <w:rsid w:val="00BD5393"/>
    <w:rsid w:val="00BD5844"/>
    <w:rsid w:val="00BD600E"/>
    <w:rsid w:val="00BD6991"/>
    <w:rsid w:val="00BD6DED"/>
    <w:rsid w:val="00BD6FD8"/>
    <w:rsid w:val="00BD7AA1"/>
    <w:rsid w:val="00BE04FF"/>
    <w:rsid w:val="00BE09D1"/>
    <w:rsid w:val="00BE0C82"/>
    <w:rsid w:val="00BE0DAE"/>
    <w:rsid w:val="00BE118B"/>
    <w:rsid w:val="00BE146A"/>
    <w:rsid w:val="00BE17E0"/>
    <w:rsid w:val="00BE1E5A"/>
    <w:rsid w:val="00BE2AB4"/>
    <w:rsid w:val="00BE2C6A"/>
    <w:rsid w:val="00BE34A1"/>
    <w:rsid w:val="00BE34AB"/>
    <w:rsid w:val="00BE3EE4"/>
    <w:rsid w:val="00BE3F0A"/>
    <w:rsid w:val="00BE4114"/>
    <w:rsid w:val="00BE53E8"/>
    <w:rsid w:val="00BE5A7C"/>
    <w:rsid w:val="00BE6516"/>
    <w:rsid w:val="00BE6707"/>
    <w:rsid w:val="00BE6B9F"/>
    <w:rsid w:val="00BE6BBE"/>
    <w:rsid w:val="00BE6F90"/>
    <w:rsid w:val="00BE7446"/>
    <w:rsid w:val="00BE750D"/>
    <w:rsid w:val="00BF0298"/>
    <w:rsid w:val="00BF0AD4"/>
    <w:rsid w:val="00BF223A"/>
    <w:rsid w:val="00BF275E"/>
    <w:rsid w:val="00BF2A75"/>
    <w:rsid w:val="00BF38D9"/>
    <w:rsid w:val="00BF3C3B"/>
    <w:rsid w:val="00BF3F98"/>
    <w:rsid w:val="00BF4195"/>
    <w:rsid w:val="00BF48D3"/>
    <w:rsid w:val="00BF4E7C"/>
    <w:rsid w:val="00BF50D3"/>
    <w:rsid w:val="00BF5465"/>
    <w:rsid w:val="00BF6411"/>
    <w:rsid w:val="00BF6878"/>
    <w:rsid w:val="00BF7C7A"/>
    <w:rsid w:val="00BF7C9B"/>
    <w:rsid w:val="00C00957"/>
    <w:rsid w:val="00C00A8B"/>
    <w:rsid w:val="00C00AA0"/>
    <w:rsid w:val="00C010C9"/>
    <w:rsid w:val="00C01970"/>
    <w:rsid w:val="00C01CF3"/>
    <w:rsid w:val="00C01CF6"/>
    <w:rsid w:val="00C0265B"/>
    <w:rsid w:val="00C0293C"/>
    <w:rsid w:val="00C0315D"/>
    <w:rsid w:val="00C034F3"/>
    <w:rsid w:val="00C035EC"/>
    <w:rsid w:val="00C039A7"/>
    <w:rsid w:val="00C03FC1"/>
    <w:rsid w:val="00C04057"/>
    <w:rsid w:val="00C048D3"/>
    <w:rsid w:val="00C04C9D"/>
    <w:rsid w:val="00C04E34"/>
    <w:rsid w:val="00C05957"/>
    <w:rsid w:val="00C05DD5"/>
    <w:rsid w:val="00C06087"/>
    <w:rsid w:val="00C06F93"/>
    <w:rsid w:val="00C0723F"/>
    <w:rsid w:val="00C07610"/>
    <w:rsid w:val="00C078E8"/>
    <w:rsid w:val="00C10074"/>
    <w:rsid w:val="00C10D27"/>
    <w:rsid w:val="00C10FE6"/>
    <w:rsid w:val="00C11578"/>
    <w:rsid w:val="00C118F5"/>
    <w:rsid w:val="00C11C8F"/>
    <w:rsid w:val="00C11F79"/>
    <w:rsid w:val="00C12095"/>
    <w:rsid w:val="00C124CC"/>
    <w:rsid w:val="00C125CF"/>
    <w:rsid w:val="00C127ED"/>
    <w:rsid w:val="00C13A47"/>
    <w:rsid w:val="00C13C75"/>
    <w:rsid w:val="00C14741"/>
    <w:rsid w:val="00C14CD0"/>
    <w:rsid w:val="00C14EF0"/>
    <w:rsid w:val="00C1529C"/>
    <w:rsid w:val="00C15795"/>
    <w:rsid w:val="00C15CE2"/>
    <w:rsid w:val="00C15E9D"/>
    <w:rsid w:val="00C15FF5"/>
    <w:rsid w:val="00C161FF"/>
    <w:rsid w:val="00C16237"/>
    <w:rsid w:val="00C1626B"/>
    <w:rsid w:val="00C16D98"/>
    <w:rsid w:val="00C200A0"/>
    <w:rsid w:val="00C20A66"/>
    <w:rsid w:val="00C20BA8"/>
    <w:rsid w:val="00C20CE4"/>
    <w:rsid w:val="00C2123F"/>
    <w:rsid w:val="00C217E7"/>
    <w:rsid w:val="00C219AF"/>
    <w:rsid w:val="00C21B08"/>
    <w:rsid w:val="00C21CC7"/>
    <w:rsid w:val="00C22385"/>
    <w:rsid w:val="00C22902"/>
    <w:rsid w:val="00C22A77"/>
    <w:rsid w:val="00C22C5B"/>
    <w:rsid w:val="00C22F1D"/>
    <w:rsid w:val="00C23918"/>
    <w:rsid w:val="00C23D46"/>
    <w:rsid w:val="00C24258"/>
    <w:rsid w:val="00C244C6"/>
    <w:rsid w:val="00C247BE"/>
    <w:rsid w:val="00C250FA"/>
    <w:rsid w:val="00C25410"/>
    <w:rsid w:val="00C25843"/>
    <w:rsid w:val="00C25A1B"/>
    <w:rsid w:val="00C25CC0"/>
    <w:rsid w:val="00C25E13"/>
    <w:rsid w:val="00C260F6"/>
    <w:rsid w:val="00C2634C"/>
    <w:rsid w:val="00C26656"/>
    <w:rsid w:val="00C26893"/>
    <w:rsid w:val="00C26894"/>
    <w:rsid w:val="00C26C36"/>
    <w:rsid w:val="00C26EDD"/>
    <w:rsid w:val="00C27275"/>
    <w:rsid w:val="00C272E2"/>
    <w:rsid w:val="00C278EC"/>
    <w:rsid w:val="00C27AB7"/>
    <w:rsid w:val="00C30014"/>
    <w:rsid w:val="00C309AD"/>
    <w:rsid w:val="00C30EA8"/>
    <w:rsid w:val="00C31012"/>
    <w:rsid w:val="00C31040"/>
    <w:rsid w:val="00C31B79"/>
    <w:rsid w:val="00C31E8A"/>
    <w:rsid w:val="00C31EE0"/>
    <w:rsid w:val="00C3217C"/>
    <w:rsid w:val="00C32422"/>
    <w:rsid w:val="00C34024"/>
    <w:rsid w:val="00C34477"/>
    <w:rsid w:val="00C345DD"/>
    <w:rsid w:val="00C347C6"/>
    <w:rsid w:val="00C34899"/>
    <w:rsid w:val="00C35711"/>
    <w:rsid w:val="00C35B8A"/>
    <w:rsid w:val="00C35C50"/>
    <w:rsid w:val="00C35D6D"/>
    <w:rsid w:val="00C36593"/>
    <w:rsid w:val="00C36DF4"/>
    <w:rsid w:val="00C37140"/>
    <w:rsid w:val="00C40CA8"/>
    <w:rsid w:val="00C41337"/>
    <w:rsid w:val="00C4147E"/>
    <w:rsid w:val="00C41A8A"/>
    <w:rsid w:val="00C41C97"/>
    <w:rsid w:val="00C4371B"/>
    <w:rsid w:val="00C43857"/>
    <w:rsid w:val="00C43F73"/>
    <w:rsid w:val="00C44480"/>
    <w:rsid w:val="00C4464C"/>
    <w:rsid w:val="00C448CA"/>
    <w:rsid w:val="00C449CC"/>
    <w:rsid w:val="00C44E0D"/>
    <w:rsid w:val="00C45016"/>
    <w:rsid w:val="00C4559A"/>
    <w:rsid w:val="00C456C4"/>
    <w:rsid w:val="00C45B5A"/>
    <w:rsid w:val="00C45E1D"/>
    <w:rsid w:val="00C4676F"/>
    <w:rsid w:val="00C46877"/>
    <w:rsid w:val="00C46909"/>
    <w:rsid w:val="00C46BC4"/>
    <w:rsid w:val="00C4722F"/>
    <w:rsid w:val="00C50332"/>
    <w:rsid w:val="00C50576"/>
    <w:rsid w:val="00C51411"/>
    <w:rsid w:val="00C517C4"/>
    <w:rsid w:val="00C51DA4"/>
    <w:rsid w:val="00C524A1"/>
    <w:rsid w:val="00C52774"/>
    <w:rsid w:val="00C5290D"/>
    <w:rsid w:val="00C52D40"/>
    <w:rsid w:val="00C52D71"/>
    <w:rsid w:val="00C539C9"/>
    <w:rsid w:val="00C53E1D"/>
    <w:rsid w:val="00C53E31"/>
    <w:rsid w:val="00C54404"/>
    <w:rsid w:val="00C54520"/>
    <w:rsid w:val="00C54766"/>
    <w:rsid w:val="00C54A4D"/>
    <w:rsid w:val="00C54AAD"/>
    <w:rsid w:val="00C54B4A"/>
    <w:rsid w:val="00C552C8"/>
    <w:rsid w:val="00C556F2"/>
    <w:rsid w:val="00C55BDB"/>
    <w:rsid w:val="00C55F78"/>
    <w:rsid w:val="00C5643E"/>
    <w:rsid w:val="00C56AA4"/>
    <w:rsid w:val="00C56E3B"/>
    <w:rsid w:val="00C570E9"/>
    <w:rsid w:val="00C576CA"/>
    <w:rsid w:val="00C57862"/>
    <w:rsid w:val="00C57C06"/>
    <w:rsid w:val="00C605D7"/>
    <w:rsid w:val="00C61681"/>
    <w:rsid w:val="00C6170B"/>
    <w:rsid w:val="00C627FE"/>
    <w:rsid w:val="00C62BAE"/>
    <w:rsid w:val="00C62E08"/>
    <w:rsid w:val="00C63F97"/>
    <w:rsid w:val="00C64623"/>
    <w:rsid w:val="00C64CE7"/>
    <w:rsid w:val="00C655BC"/>
    <w:rsid w:val="00C6561B"/>
    <w:rsid w:val="00C65A37"/>
    <w:rsid w:val="00C65A4B"/>
    <w:rsid w:val="00C65AA9"/>
    <w:rsid w:val="00C65AAA"/>
    <w:rsid w:val="00C65D22"/>
    <w:rsid w:val="00C66201"/>
    <w:rsid w:val="00C6659F"/>
    <w:rsid w:val="00C668D7"/>
    <w:rsid w:val="00C66D87"/>
    <w:rsid w:val="00C6712A"/>
    <w:rsid w:val="00C67363"/>
    <w:rsid w:val="00C67390"/>
    <w:rsid w:val="00C67D03"/>
    <w:rsid w:val="00C67E63"/>
    <w:rsid w:val="00C7032F"/>
    <w:rsid w:val="00C7075C"/>
    <w:rsid w:val="00C7121B"/>
    <w:rsid w:val="00C7128C"/>
    <w:rsid w:val="00C71892"/>
    <w:rsid w:val="00C71AC4"/>
    <w:rsid w:val="00C71D70"/>
    <w:rsid w:val="00C71E96"/>
    <w:rsid w:val="00C72218"/>
    <w:rsid w:val="00C725A0"/>
    <w:rsid w:val="00C725CF"/>
    <w:rsid w:val="00C72B60"/>
    <w:rsid w:val="00C72EC9"/>
    <w:rsid w:val="00C7356D"/>
    <w:rsid w:val="00C74018"/>
    <w:rsid w:val="00C74496"/>
    <w:rsid w:val="00C74E40"/>
    <w:rsid w:val="00C750C6"/>
    <w:rsid w:val="00C75467"/>
    <w:rsid w:val="00C75A41"/>
    <w:rsid w:val="00C75A68"/>
    <w:rsid w:val="00C75B88"/>
    <w:rsid w:val="00C766F2"/>
    <w:rsid w:val="00C76764"/>
    <w:rsid w:val="00C7695C"/>
    <w:rsid w:val="00C76E2D"/>
    <w:rsid w:val="00C76E33"/>
    <w:rsid w:val="00C7789B"/>
    <w:rsid w:val="00C77D7E"/>
    <w:rsid w:val="00C80A2F"/>
    <w:rsid w:val="00C8108F"/>
    <w:rsid w:val="00C811B3"/>
    <w:rsid w:val="00C813D3"/>
    <w:rsid w:val="00C813EF"/>
    <w:rsid w:val="00C82235"/>
    <w:rsid w:val="00C83725"/>
    <w:rsid w:val="00C837D6"/>
    <w:rsid w:val="00C83CE4"/>
    <w:rsid w:val="00C84911"/>
    <w:rsid w:val="00C84919"/>
    <w:rsid w:val="00C85880"/>
    <w:rsid w:val="00C85C23"/>
    <w:rsid w:val="00C85FD5"/>
    <w:rsid w:val="00C860D6"/>
    <w:rsid w:val="00C86BC9"/>
    <w:rsid w:val="00C86BF3"/>
    <w:rsid w:val="00C871F1"/>
    <w:rsid w:val="00C877DA"/>
    <w:rsid w:val="00C87BED"/>
    <w:rsid w:val="00C87CD0"/>
    <w:rsid w:val="00C87D4D"/>
    <w:rsid w:val="00C905B1"/>
    <w:rsid w:val="00C905FC"/>
    <w:rsid w:val="00C90DAB"/>
    <w:rsid w:val="00C91A69"/>
    <w:rsid w:val="00C91CD9"/>
    <w:rsid w:val="00C91E57"/>
    <w:rsid w:val="00C91F27"/>
    <w:rsid w:val="00C92372"/>
    <w:rsid w:val="00C925EF"/>
    <w:rsid w:val="00C934FA"/>
    <w:rsid w:val="00C9362D"/>
    <w:rsid w:val="00C93844"/>
    <w:rsid w:val="00C94364"/>
    <w:rsid w:val="00C9496F"/>
    <w:rsid w:val="00C95060"/>
    <w:rsid w:val="00C95107"/>
    <w:rsid w:val="00C95268"/>
    <w:rsid w:val="00C9596D"/>
    <w:rsid w:val="00C95B46"/>
    <w:rsid w:val="00C9608F"/>
    <w:rsid w:val="00C968C4"/>
    <w:rsid w:val="00C969FE"/>
    <w:rsid w:val="00C96AC1"/>
    <w:rsid w:val="00C96AD1"/>
    <w:rsid w:val="00C96AFA"/>
    <w:rsid w:val="00C96B41"/>
    <w:rsid w:val="00C96B79"/>
    <w:rsid w:val="00C9746C"/>
    <w:rsid w:val="00C97635"/>
    <w:rsid w:val="00C97B66"/>
    <w:rsid w:val="00C97C07"/>
    <w:rsid w:val="00C97CAA"/>
    <w:rsid w:val="00CA04BD"/>
    <w:rsid w:val="00CA0E70"/>
    <w:rsid w:val="00CA0FF4"/>
    <w:rsid w:val="00CA1123"/>
    <w:rsid w:val="00CA14B6"/>
    <w:rsid w:val="00CA17C3"/>
    <w:rsid w:val="00CA2EA5"/>
    <w:rsid w:val="00CA325C"/>
    <w:rsid w:val="00CA393A"/>
    <w:rsid w:val="00CA3F59"/>
    <w:rsid w:val="00CA44C3"/>
    <w:rsid w:val="00CA4968"/>
    <w:rsid w:val="00CA4AD6"/>
    <w:rsid w:val="00CA4EA5"/>
    <w:rsid w:val="00CA54DB"/>
    <w:rsid w:val="00CA55F2"/>
    <w:rsid w:val="00CA5701"/>
    <w:rsid w:val="00CA65A4"/>
    <w:rsid w:val="00CA6F9D"/>
    <w:rsid w:val="00CA73E0"/>
    <w:rsid w:val="00CA7506"/>
    <w:rsid w:val="00CA7936"/>
    <w:rsid w:val="00CA7AC3"/>
    <w:rsid w:val="00CA7AEE"/>
    <w:rsid w:val="00CA7AFC"/>
    <w:rsid w:val="00CA7E10"/>
    <w:rsid w:val="00CA7F85"/>
    <w:rsid w:val="00CA7FD9"/>
    <w:rsid w:val="00CB0A25"/>
    <w:rsid w:val="00CB0D7D"/>
    <w:rsid w:val="00CB109C"/>
    <w:rsid w:val="00CB1A64"/>
    <w:rsid w:val="00CB1C3E"/>
    <w:rsid w:val="00CB1F86"/>
    <w:rsid w:val="00CB1FA2"/>
    <w:rsid w:val="00CB39B5"/>
    <w:rsid w:val="00CB3AB0"/>
    <w:rsid w:val="00CB44AC"/>
    <w:rsid w:val="00CB4846"/>
    <w:rsid w:val="00CB485C"/>
    <w:rsid w:val="00CB516A"/>
    <w:rsid w:val="00CB610C"/>
    <w:rsid w:val="00CB6D8D"/>
    <w:rsid w:val="00CB6FFB"/>
    <w:rsid w:val="00CB7077"/>
    <w:rsid w:val="00CB708F"/>
    <w:rsid w:val="00CB73A8"/>
    <w:rsid w:val="00CC0EA2"/>
    <w:rsid w:val="00CC1515"/>
    <w:rsid w:val="00CC173A"/>
    <w:rsid w:val="00CC17B7"/>
    <w:rsid w:val="00CC220C"/>
    <w:rsid w:val="00CC2279"/>
    <w:rsid w:val="00CC2413"/>
    <w:rsid w:val="00CC286F"/>
    <w:rsid w:val="00CC2E3B"/>
    <w:rsid w:val="00CC2FBC"/>
    <w:rsid w:val="00CC336C"/>
    <w:rsid w:val="00CC4849"/>
    <w:rsid w:val="00CC4E98"/>
    <w:rsid w:val="00CC4F2A"/>
    <w:rsid w:val="00CC516B"/>
    <w:rsid w:val="00CC5275"/>
    <w:rsid w:val="00CC5661"/>
    <w:rsid w:val="00CC60D4"/>
    <w:rsid w:val="00CC63FB"/>
    <w:rsid w:val="00CC64DD"/>
    <w:rsid w:val="00CC6966"/>
    <w:rsid w:val="00CC6F57"/>
    <w:rsid w:val="00CC71F1"/>
    <w:rsid w:val="00CC7363"/>
    <w:rsid w:val="00CC7417"/>
    <w:rsid w:val="00CD03A4"/>
    <w:rsid w:val="00CD0454"/>
    <w:rsid w:val="00CD11A3"/>
    <w:rsid w:val="00CD1259"/>
    <w:rsid w:val="00CD14B4"/>
    <w:rsid w:val="00CD1CD1"/>
    <w:rsid w:val="00CD2226"/>
    <w:rsid w:val="00CD324E"/>
    <w:rsid w:val="00CD3282"/>
    <w:rsid w:val="00CD47C5"/>
    <w:rsid w:val="00CD51CF"/>
    <w:rsid w:val="00CD5346"/>
    <w:rsid w:val="00CD5C49"/>
    <w:rsid w:val="00CD5E53"/>
    <w:rsid w:val="00CD67EF"/>
    <w:rsid w:val="00CD6B3E"/>
    <w:rsid w:val="00CD6CA8"/>
    <w:rsid w:val="00CD7014"/>
    <w:rsid w:val="00CD7229"/>
    <w:rsid w:val="00CD7778"/>
    <w:rsid w:val="00CD7A7D"/>
    <w:rsid w:val="00CD7F4F"/>
    <w:rsid w:val="00CE0110"/>
    <w:rsid w:val="00CE02B2"/>
    <w:rsid w:val="00CE0C6F"/>
    <w:rsid w:val="00CE0D04"/>
    <w:rsid w:val="00CE1174"/>
    <w:rsid w:val="00CE1242"/>
    <w:rsid w:val="00CE13A8"/>
    <w:rsid w:val="00CE1DD1"/>
    <w:rsid w:val="00CE2948"/>
    <w:rsid w:val="00CE2D4B"/>
    <w:rsid w:val="00CE2F7A"/>
    <w:rsid w:val="00CE32A1"/>
    <w:rsid w:val="00CE3456"/>
    <w:rsid w:val="00CE350E"/>
    <w:rsid w:val="00CE3677"/>
    <w:rsid w:val="00CE401D"/>
    <w:rsid w:val="00CE41C5"/>
    <w:rsid w:val="00CE479F"/>
    <w:rsid w:val="00CE4BAB"/>
    <w:rsid w:val="00CE4D6F"/>
    <w:rsid w:val="00CE523B"/>
    <w:rsid w:val="00CE523E"/>
    <w:rsid w:val="00CE58CE"/>
    <w:rsid w:val="00CE5ACD"/>
    <w:rsid w:val="00CE66E4"/>
    <w:rsid w:val="00CE704C"/>
    <w:rsid w:val="00CE7396"/>
    <w:rsid w:val="00CE739E"/>
    <w:rsid w:val="00CE74FC"/>
    <w:rsid w:val="00CE759C"/>
    <w:rsid w:val="00CE78C3"/>
    <w:rsid w:val="00CF07DE"/>
    <w:rsid w:val="00CF089A"/>
    <w:rsid w:val="00CF0B63"/>
    <w:rsid w:val="00CF0E96"/>
    <w:rsid w:val="00CF1265"/>
    <w:rsid w:val="00CF17D9"/>
    <w:rsid w:val="00CF1A4E"/>
    <w:rsid w:val="00CF1D26"/>
    <w:rsid w:val="00CF1FF1"/>
    <w:rsid w:val="00CF2087"/>
    <w:rsid w:val="00CF2140"/>
    <w:rsid w:val="00CF237E"/>
    <w:rsid w:val="00CF28F4"/>
    <w:rsid w:val="00CF2BE4"/>
    <w:rsid w:val="00CF2EDD"/>
    <w:rsid w:val="00CF3422"/>
    <w:rsid w:val="00CF3447"/>
    <w:rsid w:val="00CF3817"/>
    <w:rsid w:val="00CF3E12"/>
    <w:rsid w:val="00CF3F2D"/>
    <w:rsid w:val="00CF441E"/>
    <w:rsid w:val="00CF4A16"/>
    <w:rsid w:val="00CF4A54"/>
    <w:rsid w:val="00CF4AE3"/>
    <w:rsid w:val="00CF590B"/>
    <w:rsid w:val="00CF5A5C"/>
    <w:rsid w:val="00CF5DCF"/>
    <w:rsid w:val="00CF5F87"/>
    <w:rsid w:val="00CF6475"/>
    <w:rsid w:val="00CF66D8"/>
    <w:rsid w:val="00CF6C8C"/>
    <w:rsid w:val="00CF75FA"/>
    <w:rsid w:val="00D0031C"/>
    <w:rsid w:val="00D004E3"/>
    <w:rsid w:val="00D00565"/>
    <w:rsid w:val="00D00928"/>
    <w:rsid w:val="00D01C32"/>
    <w:rsid w:val="00D02464"/>
    <w:rsid w:val="00D02638"/>
    <w:rsid w:val="00D036E4"/>
    <w:rsid w:val="00D03BEA"/>
    <w:rsid w:val="00D03C28"/>
    <w:rsid w:val="00D03D07"/>
    <w:rsid w:val="00D03EAC"/>
    <w:rsid w:val="00D03EAD"/>
    <w:rsid w:val="00D03EB5"/>
    <w:rsid w:val="00D03F22"/>
    <w:rsid w:val="00D0400B"/>
    <w:rsid w:val="00D04056"/>
    <w:rsid w:val="00D0406E"/>
    <w:rsid w:val="00D04339"/>
    <w:rsid w:val="00D0446D"/>
    <w:rsid w:val="00D04797"/>
    <w:rsid w:val="00D048D5"/>
    <w:rsid w:val="00D04A87"/>
    <w:rsid w:val="00D0503E"/>
    <w:rsid w:val="00D05047"/>
    <w:rsid w:val="00D052D1"/>
    <w:rsid w:val="00D055D9"/>
    <w:rsid w:val="00D056E5"/>
    <w:rsid w:val="00D0582C"/>
    <w:rsid w:val="00D05895"/>
    <w:rsid w:val="00D05CE0"/>
    <w:rsid w:val="00D05DD8"/>
    <w:rsid w:val="00D0626A"/>
    <w:rsid w:val="00D06B5A"/>
    <w:rsid w:val="00D074A3"/>
    <w:rsid w:val="00D10232"/>
    <w:rsid w:val="00D102FA"/>
    <w:rsid w:val="00D10A5D"/>
    <w:rsid w:val="00D11CC6"/>
    <w:rsid w:val="00D11D7E"/>
    <w:rsid w:val="00D1209D"/>
    <w:rsid w:val="00D123F9"/>
    <w:rsid w:val="00D12606"/>
    <w:rsid w:val="00D1292C"/>
    <w:rsid w:val="00D1293E"/>
    <w:rsid w:val="00D13143"/>
    <w:rsid w:val="00D13390"/>
    <w:rsid w:val="00D134B3"/>
    <w:rsid w:val="00D13F15"/>
    <w:rsid w:val="00D143FF"/>
    <w:rsid w:val="00D152AE"/>
    <w:rsid w:val="00D15833"/>
    <w:rsid w:val="00D15D60"/>
    <w:rsid w:val="00D15F76"/>
    <w:rsid w:val="00D163A9"/>
    <w:rsid w:val="00D16D27"/>
    <w:rsid w:val="00D17557"/>
    <w:rsid w:val="00D20488"/>
    <w:rsid w:val="00D208F3"/>
    <w:rsid w:val="00D21471"/>
    <w:rsid w:val="00D215A6"/>
    <w:rsid w:val="00D2206D"/>
    <w:rsid w:val="00D22344"/>
    <w:rsid w:val="00D2245B"/>
    <w:rsid w:val="00D22BE2"/>
    <w:rsid w:val="00D23BE9"/>
    <w:rsid w:val="00D24458"/>
    <w:rsid w:val="00D2461B"/>
    <w:rsid w:val="00D246FB"/>
    <w:rsid w:val="00D255F0"/>
    <w:rsid w:val="00D2584B"/>
    <w:rsid w:val="00D26C12"/>
    <w:rsid w:val="00D2740F"/>
    <w:rsid w:val="00D279AD"/>
    <w:rsid w:val="00D27B56"/>
    <w:rsid w:val="00D3062E"/>
    <w:rsid w:val="00D307B4"/>
    <w:rsid w:val="00D3083E"/>
    <w:rsid w:val="00D313FB"/>
    <w:rsid w:val="00D314E1"/>
    <w:rsid w:val="00D314F6"/>
    <w:rsid w:val="00D3210C"/>
    <w:rsid w:val="00D321F7"/>
    <w:rsid w:val="00D32300"/>
    <w:rsid w:val="00D32416"/>
    <w:rsid w:val="00D325C8"/>
    <w:rsid w:val="00D328F1"/>
    <w:rsid w:val="00D32F46"/>
    <w:rsid w:val="00D32F6E"/>
    <w:rsid w:val="00D33462"/>
    <w:rsid w:val="00D33515"/>
    <w:rsid w:val="00D336A2"/>
    <w:rsid w:val="00D33802"/>
    <w:rsid w:val="00D33B73"/>
    <w:rsid w:val="00D341D1"/>
    <w:rsid w:val="00D34439"/>
    <w:rsid w:val="00D34DFC"/>
    <w:rsid w:val="00D34E66"/>
    <w:rsid w:val="00D35422"/>
    <w:rsid w:val="00D35796"/>
    <w:rsid w:val="00D35BFD"/>
    <w:rsid w:val="00D36CCA"/>
    <w:rsid w:val="00D36E59"/>
    <w:rsid w:val="00D36EF1"/>
    <w:rsid w:val="00D371C2"/>
    <w:rsid w:val="00D4053D"/>
    <w:rsid w:val="00D405E5"/>
    <w:rsid w:val="00D40A97"/>
    <w:rsid w:val="00D40D15"/>
    <w:rsid w:val="00D40EFB"/>
    <w:rsid w:val="00D41996"/>
    <w:rsid w:val="00D41D60"/>
    <w:rsid w:val="00D41E2E"/>
    <w:rsid w:val="00D41E71"/>
    <w:rsid w:val="00D42249"/>
    <w:rsid w:val="00D42A27"/>
    <w:rsid w:val="00D4300E"/>
    <w:rsid w:val="00D43A07"/>
    <w:rsid w:val="00D43A95"/>
    <w:rsid w:val="00D43FD0"/>
    <w:rsid w:val="00D444B6"/>
    <w:rsid w:val="00D44577"/>
    <w:rsid w:val="00D447E6"/>
    <w:rsid w:val="00D44E0E"/>
    <w:rsid w:val="00D44FF8"/>
    <w:rsid w:val="00D450A3"/>
    <w:rsid w:val="00D4526C"/>
    <w:rsid w:val="00D458B9"/>
    <w:rsid w:val="00D46D30"/>
    <w:rsid w:val="00D477E6"/>
    <w:rsid w:val="00D47DA4"/>
    <w:rsid w:val="00D47DA6"/>
    <w:rsid w:val="00D50178"/>
    <w:rsid w:val="00D51344"/>
    <w:rsid w:val="00D5184F"/>
    <w:rsid w:val="00D51C01"/>
    <w:rsid w:val="00D5240E"/>
    <w:rsid w:val="00D52613"/>
    <w:rsid w:val="00D5270E"/>
    <w:rsid w:val="00D5277C"/>
    <w:rsid w:val="00D53B67"/>
    <w:rsid w:val="00D541A3"/>
    <w:rsid w:val="00D543B5"/>
    <w:rsid w:val="00D5496C"/>
    <w:rsid w:val="00D5504A"/>
    <w:rsid w:val="00D563D6"/>
    <w:rsid w:val="00D56B7A"/>
    <w:rsid w:val="00D56F40"/>
    <w:rsid w:val="00D5707A"/>
    <w:rsid w:val="00D57715"/>
    <w:rsid w:val="00D57888"/>
    <w:rsid w:val="00D606CA"/>
    <w:rsid w:val="00D607AD"/>
    <w:rsid w:val="00D60935"/>
    <w:rsid w:val="00D60AF3"/>
    <w:rsid w:val="00D60CE8"/>
    <w:rsid w:val="00D61139"/>
    <w:rsid w:val="00D6180F"/>
    <w:rsid w:val="00D6182B"/>
    <w:rsid w:val="00D61FD1"/>
    <w:rsid w:val="00D6201D"/>
    <w:rsid w:val="00D62033"/>
    <w:rsid w:val="00D62085"/>
    <w:rsid w:val="00D6218E"/>
    <w:rsid w:val="00D62637"/>
    <w:rsid w:val="00D62E11"/>
    <w:rsid w:val="00D63C31"/>
    <w:rsid w:val="00D63CD9"/>
    <w:rsid w:val="00D63D5F"/>
    <w:rsid w:val="00D640E4"/>
    <w:rsid w:val="00D64D60"/>
    <w:rsid w:val="00D64EC7"/>
    <w:rsid w:val="00D65292"/>
    <w:rsid w:val="00D65598"/>
    <w:rsid w:val="00D65C31"/>
    <w:rsid w:val="00D6606C"/>
    <w:rsid w:val="00D66DC9"/>
    <w:rsid w:val="00D66E44"/>
    <w:rsid w:val="00D66F66"/>
    <w:rsid w:val="00D66F8A"/>
    <w:rsid w:val="00D702A6"/>
    <w:rsid w:val="00D702F6"/>
    <w:rsid w:val="00D706DA"/>
    <w:rsid w:val="00D719DF"/>
    <w:rsid w:val="00D71C37"/>
    <w:rsid w:val="00D727BE"/>
    <w:rsid w:val="00D72823"/>
    <w:rsid w:val="00D72CF3"/>
    <w:rsid w:val="00D73730"/>
    <w:rsid w:val="00D7384D"/>
    <w:rsid w:val="00D739CF"/>
    <w:rsid w:val="00D73A22"/>
    <w:rsid w:val="00D73B12"/>
    <w:rsid w:val="00D740B8"/>
    <w:rsid w:val="00D74398"/>
    <w:rsid w:val="00D74572"/>
    <w:rsid w:val="00D74EB8"/>
    <w:rsid w:val="00D752E2"/>
    <w:rsid w:val="00D757EC"/>
    <w:rsid w:val="00D75A84"/>
    <w:rsid w:val="00D75B6F"/>
    <w:rsid w:val="00D76793"/>
    <w:rsid w:val="00D769B7"/>
    <w:rsid w:val="00D7706E"/>
    <w:rsid w:val="00D777A1"/>
    <w:rsid w:val="00D77954"/>
    <w:rsid w:val="00D810C8"/>
    <w:rsid w:val="00D817CA"/>
    <w:rsid w:val="00D8222E"/>
    <w:rsid w:val="00D822FE"/>
    <w:rsid w:val="00D82CFA"/>
    <w:rsid w:val="00D830F5"/>
    <w:rsid w:val="00D83511"/>
    <w:rsid w:val="00D839A8"/>
    <w:rsid w:val="00D83C3A"/>
    <w:rsid w:val="00D8402D"/>
    <w:rsid w:val="00D8408D"/>
    <w:rsid w:val="00D84B37"/>
    <w:rsid w:val="00D855A4"/>
    <w:rsid w:val="00D85773"/>
    <w:rsid w:val="00D86245"/>
    <w:rsid w:val="00D865EB"/>
    <w:rsid w:val="00D86B3C"/>
    <w:rsid w:val="00D87DA1"/>
    <w:rsid w:val="00D90208"/>
    <w:rsid w:val="00D90210"/>
    <w:rsid w:val="00D9047D"/>
    <w:rsid w:val="00D90763"/>
    <w:rsid w:val="00D908A3"/>
    <w:rsid w:val="00D90FD2"/>
    <w:rsid w:val="00D91186"/>
    <w:rsid w:val="00D91670"/>
    <w:rsid w:val="00D919E9"/>
    <w:rsid w:val="00D91C82"/>
    <w:rsid w:val="00D91DEC"/>
    <w:rsid w:val="00D92266"/>
    <w:rsid w:val="00D924AE"/>
    <w:rsid w:val="00D9264E"/>
    <w:rsid w:val="00D92AA7"/>
    <w:rsid w:val="00D92B8C"/>
    <w:rsid w:val="00D92F11"/>
    <w:rsid w:val="00D931CE"/>
    <w:rsid w:val="00D931D1"/>
    <w:rsid w:val="00D93CD3"/>
    <w:rsid w:val="00D93E7E"/>
    <w:rsid w:val="00D946F9"/>
    <w:rsid w:val="00D94885"/>
    <w:rsid w:val="00D951C6"/>
    <w:rsid w:val="00D9578C"/>
    <w:rsid w:val="00D95938"/>
    <w:rsid w:val="00D95FD9"/>
    <w:rsid w:val="00D95FE1"/>
    <w:rsid w:val="00D9613B"/>
    <w:rsid w:val="00D96823"/>
    <w:rsid w:val="00D96C2C"/>
    <w:rsid w:val="00D96CB4"/>
    <w:rsid w:val="00D96D88"/>
    <w:rsid w:val="00D96E61"/>
    <w:rsid w:val="00D97142"/>
    <w:rsid w:val="00D97674"/>
    <w:rsid w:val="00D97D04"/>
    <w:rsid w:val="00DA092F"/>
    <w:rsid w:val="00DA1514"/>
    <w:rsid w:val="00DA18FA"/>
    <w:rsid w:val="00DA1D9B"/>
    <w:rsid w:val="00DA1E1D"/>
    <w:rsid w:val="00DA2890"/>
    <w:rsid w:val="00DA2A59"/>
    <w:rsid w:val="00DA30AF"/>
    <w:rsid w:val="00DA32F6"/>
    <w:rsid w:val="00DA4267"/>
    <w:rsid w:val="00DA467C"/>
    <w:rsid w:val="00DA5400"/>
    <w:rsid w:val="00DA5637"/>
    <w:rsid w:val="00DA5988"/>
    <w:rsid w:val="00DA609B"/>
    <w:rsid w:val="00DA65E7"/>
    <w:rsid w:val="00DA68A8"/>
    <w:rsid w:val="00DA6CD8"/>
    <w:rsid w:val="00DA7C9B"/>
    <w:rsid w:val="00DB040D"/>
    <w:rsid w:val="00DB0610"/>
    <w:rsid w:val="00DB0637"/>
    <w:rsid w:val="00DB11BD"/>
    <w:rsid w:val="00DB18F2"/>
    <w:rsid w:val="00DB194A"/>
    <w:rsid w:val="00DB1E01"/>
    <w:rsid w:val="00DB2094"/>
    <w:rsid w:val="00DB2632"/>
    <w:rsid w:val="00DB2996"/>
    <w:rsid w:val="00DB2A47"/>
    <w:rsid w:val="00DB2D2F"/>
    <w:rsid w:val="00DB30FD"/>
    <w:rsid w:val="00DB315C"/>
    <w:rsid w:val="00DB367B"/>
    <w:rsid w:val="00DB3E72"/>
    <w:rsid w:val="00DB4020"/>
    <w:rsid w:val="00DB405D"/>
    <w:rsid w:val="00DB451B"/>
    <w:rsid w:val="00DB453C"/>
    <w:rsid w:val="00DB4A40"/>
    <w:rsid w:val="00DB4B82"/>
    <w:rsid w:val="00DB4D7A"/>
    <w:rsid w:val="00DB5831"/>
    <w:rsid w:val="00DB5B98"/>
    <w:rsid w:val="00DB5BF8"/>
    <w:rsid w:val="00DB645A"/>
    <w:rsid w:val="00DB688E"/>
    <w:rsid w:val="00DB6F01"/>
    <w:rsid w:val="00DB6FE2"/>
    <w:rsid w:val="00DB701F"/>
    <w:rsid w:val="00DB762C"/>
    <w:rsid w:val="00DB769F"/>
    <w:rsid w:val="00DB7F3E"/>
    <w:rsid w:val="00DC0029"/>
    <w:rsid w:val="00DC0766"/>
    <w:rsid w:val="00DC1397"/>
    <w:rsid w:val="00DC1BBE"/>
    <w:rsid w:val="00DC1FC1"/>
    <w:rsid w:val="00DC2047"/>
    <w:rsid w:val="00DC21F7"/>
    <w:rsid w:val="00DC2741"/>
    <w:rsid w:val="00DC2AE1"/>
    <w:rsid w:val="00DC33EC"/>
    <w:rsid w:val="00DC3D3F"/>
    <w:rsid w:val="00DC3DFA"/>
    <w:rsid w:val="00DC429C"/>
    <w:rsid w:val="00DC52F7"/>
    <w:rsid w:val="00DC5445"/>
    <w:rsid w:val="00DC5ED1"/>
    <w:rsid w:val="00DC6A9B"/>
    <w:rsid w:val="00DC6CBF"/>
    <w:rsid w:val="00DC6D52"/>
    <w:rsid w:val="00DC7B11"/>
    <w:rsid w:val="00DD0375"/>
    <w:rsid w:val="00DD0549"/>
    <w:rsid w:val="00DD09B5"/>
    <w:rsid w:val="00DD0C09"/>
    <w:rsid w:val="00DD1278"/>
    <w:rsid w:val="00DD12F6"/>
    <w:rsid w:val="00DD1325"/>
    <w:rsid w:val="00DD1368"/>
    <w:rsid w:val="00DD164B"/>
    <w:rsid w:val="00DD190A"/>
    <w:rsid w:val="00DD198C"/>
    <w:rsid w:val="00DD1AD7"/>
    <w:rsid w:val="00DD24CD"/>
    <w:rsid w:val="00DD2663"/>
    <w:rsid w:val="00DD2824"/>
    <w:rsid w:val="00DD299D"/>
    <w:rsid w:val="00DD2D71"/>
    <w:rsid w:val="00DD2FA3"/>
    <w:rsid w:val="00DD32A1"/>
    <w:rsid w:val="00DD3760"/>
    <w:rsid w:val="00DD37EF"/>
    <w:rsid w:val="00DD397F"/>
    <w:rsid w:val="00DD3BBD"/>
    <w:rsid w:val="00DD4369"/>
    <w:rsid w:val="00DD4527"/>
    <w:rsid w:val="00DD4BCF"/>
    <w:rsid w:val="00DD5935"/>
    <w:rsid w:val="00DD5E2C"/>
    <w:rsid w:val="00DD67E0"/>
    <w:rsid w:val="00DD6B8B"/>
    <w:rsid w:val="00DD7F22"/>
    <w:rsid w:val="00DE0A5D"/>
    <w:rsid w:val="00DE0EAE"/>
    <w:rsid w:val="00DE28EE"/>
    <w:rsid w:val="00DE2C66"/>
    <w:rsid w:val="00DE3178"/>
    <w:rsid w:val="00DE3D8C"/>
    <w:rsid w:val="00DE4412"/>
    <w:rsid w:val="00DE4C6A"/>
    <w:rsid w:val="00DE53AB"/>
    <w:rsid w:val="00DE5DE8"/>
    <w:rsid w:val="00DE6012"/>
    <w:rsid w:val="00DE6684"/>
    <w:rsid w:val="00DE6A3E"/>
    <w:rsid w:val="00DE7650"/>
    <w:rsid w:val="00DE7985"/>
    <w:rsid w:val="00DE7A8D"/>
    <w:rsid w:val="00DE7F99"/>
    <w:rsid w:val="00DF00E2"/>
    <w:rsid w:val="00DF072C"/>
    <w:rsid w:val="00DF11FD"/>
    <w:rsid w:val="00DF12CD"/>
    <w:rsid w:val="00DF199E"/>
    <w:rsid w:val="00DF1BB0"/>
    <w:rsid w:val="00DF1C10"/>
    <w:rsid w:val="00DF1EF6"/>
    <w:rsid w:val="00DF2045"/>
    <w:rsid w:val="00DF22F2"/>
    <w:rsid w:val="00DF2828"/>
    <w:rsid w:val="00DF2F0F"/>
    <w:rsid w:val="00DF330B"/>
    <w:rsid w:val="00DF33AF"/>
    <w:rsid w:val="00DF37D2"/>
    <w:rsid w:val="00DF3C14"/>
    <w:rsid w:val="00DF3D86"/>
    <w:rsid w:val="00DF48C9"/>
    <w:rsid w:val="00DF58F5"/>
    <w:rsid w:val="00DF5F5C"/>
    <w:rsid w:val="00DF617D"/>
    <w:rsid w:val="00DF754E"/>
    <w:rsid w:val="00DF7983"/>
    <w:rsid w:val="00DF7E5E"/>
    <w:rsid w:val="00E00254"/>
    <w:rsid w:val="00E004FC"/>
    <w:rsid w:val="00E00E6B"/>
    <w:rsid w:val="00E01699"/>
    <w:rsid w:val="00E01A09"/>
    <w:rsid w:val="00E024F1"/>
    <w:rsid w:val="00E02DC5"/>
    <w:rsid w:val="00E032C2"/>
    <w:rsid w:val="00E0398E"/>
    <w:rsid w:val="00E03BD2"/>
    <w:rsid w:val="00E03E25"/>
    <w:rsid w:val="00E03E7F"/>
    <w:rsid w:val="00E04194"/>
    <w:rsid w:val="00E04669"/>
    <w:rsid w:val="00E04A61"/>
    <w:rsid w:val="00E04AB7"/>
    <w:rsid w:val="00E0525E"/>
    <w:rsid w:val="00E0551D"/>
    <w:rsid w:val="00E0562C"/>
    <w:rsid w:val="00E06A55"/>
    <w:rsid w:val="00E06B71"/>
    <w:rsid w:val="00E07125"/>
    <w:rsid w:val="00E075D2"/>
    <w:rsid w:val="00E07806"/>
    <w:rsid w:val="00E10004"/>
    <w:rsid w:val="00E108BB"/>
    <w:rsid w:val="00E10DD7"/>
    <w:rsid w:val="00E10E99"/>
    <w:rsid w:val="00E1161B"/>
    <w:rsid w:val="00E11977"/>
    <w:rsid w:val="00E12071"/>
    <w:rsid w:val="00E123A0"/>
    <w:rsid w:val="00E125B8"/>
    <w:rsid w:val="00E12954"/>
    <w:rsid w:val="00E12D1E"/>
    <w:rsid w:val="00E139B8"/>
    <w:rsid w:val="00E146C6"/>
    <w:rsid w:val="00E158C1"/>
    <w:rsid w:val="00E15A09"/>
    <w:rsid w:val="00E15AFA"/>
    <w:rsid w:val="00E15EB8"/>
    <w:rsid w:val="00E16D93"/>
    <w:rsid w:val="00E17A2D"/>
    <w:rsid w:val="00E17A5E"/>
    <w:rsid w:val="00E17CFF"/>
    <w:rsid w:val="00E17F6E"/>
    <w:rsid w:val="00E200CA"/>
    <w:rsid w:val="00E20305"/>
    <w:rsid w:val="00E207EA"/>
    <w:rsid w:val="00E20EFD"/>
    <w:rsid w:val="00E21E5C"/>
    <w:rsid w:val="00E224A3"/>
    <w:rsid w:val="00E225A0"/>
    <w:rsid w:val="00E228C5"/>
    <w:rsid w:val="00E22A77"/>
    <w:rsid w:val="00E22B66"/>
    <w:rsid w:val="00E22BF7"/>
    <w:rsid w:val="00E22D28"/>
    <w:rsid w:val="00E23972"/>
    <w:rsid w:val="00E23E60"/>
    <w:rsid w:val="00E243D9"/>
    <w:rsid w:val="00E248C5"/>
    <w:rsid w:val="00E248E3"/>
    <w:rsid w:val="00E24A96"/>
    <w:rsid w:val="00E250D2"/>
    <w:rsid w:val="00E256D8"/>
    <w:rsid w:val="00E2628F"/>
    <w:rsid w:val="00E265B3"/>
    <w:rsid w:val="00E26A02"/>
    <w:rsid w:val="00E26D38"/>
    <w:rsid w:val="00E271B8"/>
    <w:rsid w:val="00E272DD"/>
    <w:rsid w:val="00E2730B"/>
    <w:rsid w:val="00E2733D"/>
    <w:rsid w:val="00E27DF5"/>
    <w:rsid w:val="00E3001C"/>
    <w:rsid w:val="00E300B7"/>
    <w:rsid w:val="00E301B9"/>
    <w:rsid w:val="00E30EB4"/>
    <w:rsid w:val="00E30F7D"/>
    <w:rsid w:val="00E31946"/>
    <w:rsid w:val="00E319D2"/>
    <w:rsid w:val="00E31A99"/>
    <w:rsid w:val="00E31C0C"/>
    <w:rsid w:val="00E32BCA"/>
    <w:rsid w:val="00E32C49"/>
    <w:rsid w:val="00E3330C"/>
    <w:rsid w:val="00E33B5E"/>
    <w:rsid w:val="00E33B75"/>
    <w:rsid w:val="00E346ED"/>
    <w:rsid w:val="00E34ADB"/>
    <w:rsid w:val="00E350D3"/>
    <w:rsid w:val="00E35EEF"/>
    <w:rsid w:val="00E36482"/>
    <w:rsid w:val="00E36564"/>
    <w:rsid w:val="00E36708"/>
    <w:rsid w:val="00E36731"/>
    <w:rsid w:val="00E36F93"/>
    <w:rsid w:val="00E37037"/>
    <w:rsid w:val="00E37BC1"/>
    <w:rsid w:val="00E37EA4"/>
    <w:rsid w:val="00E40032"/>
    <w:rsid w:val="00E40740"/>
    <w:rsid w:val="00E4090A"/>
    <w:rsid w:val="00E40B82"/>
    <w:rsid w:val="00E40FA5"/>
    <w:rsid w:val="00E41326"/>
    <w:rsid w:val="00E41595"/>
    <w:rsid w:val="00E41817"/>
    <w:rsid w:val="00E418E3"/>
    <w:rsid w:val="00E41DC1"/>
    <w:rsid w:val="00E4228F"/>
    <w:rsid w:val="00E4285A"/>
    <w:rsid w:val="00E428B3"/>
    <w:rsid w:val="00E42BE4"/>
    <w:rsid w:val="00E42FE3"/>
    <w:rsid w:val="00E4334A"/>
    <w:rsid w:val="00E441A1"/>
    <w:rsid w:val="00E44B19"/>
    <w:rsid w:val="00E4533E"/>
    <w:rsid w:val="00E453DF"/>
    <w:rsid w:val="00E45844"/>
    <w:rsid w:val="00E45B77"/>
    <w:rsid w:val="00E45C93"/>
    <w:rsid w:val="00E45D6A"/>
    <w:rsid w:val="00E45EC9"/>
    <w:rsid w:val="00E4649F"/>
    <w:rsid w:val="00E47157"/>
    <w:rsid w:val="00E4734C"/>
    <w:rsid w:val="00E47A15"/>
    <w:rsid w:val="00E47AFB"/>
    <w:rsid w:val="00E47B36"/>
    <w:rsid w:val="00E47EA1"/>
    <w:rsid w:val="00E50604"/>
    <w:rsid w:val="00E50CF3"/>
    <w:rsid w:val="00E515EE"/>
    <w:rsid w:val="00E5188C"/>
    <w:rsid w:val="00E5194C"/>
    <w:rsid w:val="00E51B33"/>
    <w:rsid w:val="00E51CCC"/>
    <w:rsid w:val="00E51CF9"/>
    <w:rsid w:val="00E5253C"/>
    <w:rsid w:val="00E527E1"/>
    <w:rsid w:val="00E529F4"/>
    <w:rsid w:val="00E52F95"/>
    <w:rsid w:val="00E5313A"/>
    <w:rsid w:val="00E53A65"/>
    <w:rsid w:val="00E53DD6"/>
    <w:rsid w:val="00E5405E"/>
    <w:rsid w:val="00E54806"/>
    <w:rsid w:val="00E54E56"/>
    <w:rsid w:val="00E55244"/>
    <w:rsid w:val="00E55498"/>
    <w:rsid w:val="00E554DF"/>
    <w:rsid w:val="00E5573D"/>
    <w:rsid w:val="00E55A95"/>
    <w:rsid w:val="00E5627E"/>
    <w:rsid w:val="00E571B4"/>
    <w:rsid w:val="00E57C32"/>
    <w:rsid w:val="00E600E6"/>
    <w:rsid w:val="00E602CB"/>
    <w:rsid w:val="00E606B6"/>
    <w:rsid w:val="00E607D4"/>
    <w:rsid w:val="00E60874"/>
    <w:rsid w:val="00E61996"/>
    <w:rsid w:val="00E62A02"/>
    <w:rsid w:val="00E62C71"/>
    <w:rsid w:val="00E62D19"/>
    <w:rsid w:val="00E63226"/>
    <w:rsid w:val="00E632E8"/>
    <w:rsid w:val="00E633AF"/>
    <w:rsid w:val="00E63CDA"/>
    <w:rsid w:val="00E64642"/>
    <w:rsid w:val="00E6469C"/>
    <w:rsid w:val="00E64731"/>
    <w:rsid w:val="00E652F0"/>
    <w:rsid w:val="00E65444"/>
    <w:rsid w:val="00E65B0E"/>
    <w:rsid w:val="00E65D0A"/>
    <w:rsid w:val="00E65F51"/>
    <w:rsid w:val="00E66A28"/>
    <w:rsid w:val="00E66F34"/>
    <w:rsid w:val="00E672D0"/>
    <w:rsid w:val="00E67FF3"/>
    <w:rsid w:val="00E7005D"/>
    <w:rsid w:val="00E70496"/>
    <w:rsid w:val="00E710E2"/>
    <w:rsid w:val="00E719A7"/>
    <w:rsid w:val="00E71EDA"/>
    <w:rsid w:val="00E7224E"/>
    <w:rsid w:val="00E72515"/>
    <w:rsid w:val="00E725E4"/>
    <w:rsid w:val="00E73A81"/>
    <w:rsid w:val="00E7442C"/>
    <w:rsid w:val="00E749D6"/>
    <w:rsid w:val="00E74D3A"/>
    <w:rsid w:val="00E75074"/>
    <w:rsid w:val="00E75796"/>
    <w:rsid w:val="00E75D95"/>
    <w:rsid w:val="00E76BB1"/>
    <w:rsid w:val="00E76C34"/>
    <w:rsid w:val="00E76DA0"/>
    <w:rsid w:val="00E778C9"/>
    <w:rsid w:val="00E77C69"/>
    <w:rsid w:val="00E77E55"/>
    <w:rsid w:val="00E800D7"/>
    <w:rsid w:val="00E805C7"/>
    <w:rsid w:val="00E80D85"/>
    <w:rsid w:val="00E80DA5"/>
    <w:rsid w:val="00E81163"/>
    <w:rsid w:val="00E8132B"/>
    <w:rsid w:val="00E8137B"/>
    <w:rsid w:val="00E8176E"/>
    <w:rsid w:val="00E818AD"/>
    <w:rsid w:val="00E81B50"/>
    <w:rsid w:val="00E81C4F"/>
    <w:rsid w:val="00E81E73"/>
    <w:rsid w:val="00E8224E"/>
    <w:rsid w:val="00E824D7"/>
    <w:rsid w:val="00E8275A"/>
    <w:rsid w:val="00E830BD"/>
    <w:rsid w:val="00E831C9"/>
    <w:rsid w:val="00E83DA6"/>
    <w:rsid w:val="00E84165"/>
    <w:rsid w:val="00E84392"/>
    <w:rsid w:val="00E84CBA"/>
    <w:rsid w:val="00E84DCF"/>
    <w:rsid w:val="00E85295"/>
    <w:rsid w:val="00E854C2"/>
    <w:rsid w:val="00E85747"/>
    <w:rsid w:val="00E857A8"/>
    <w:rsid w:val="00E858AD"/>
    <w:rsid w:val="00E85E77"/>
    <w:rsid w:val="00E86249"/>
    <w:rsid w:val="00E8693E"/>
    <w:rsid w:val="00E8696E"/>
    <w:rsid w:val="00E86EB3"/>
    <w:rsid w:val="00E87101"/>
    <w:rsid w:val="00E87E5C"/>
    <w:rsid w:val="00E9041C"/>
    <w:rsid w:val="00E9089C"/>
    <w:rsid w:val="00E91820"/>
    <w:rsid w:val="00E9195C"/>
    <w:rsid w:val="00E91B47"/>
    <w:rsid w:val="00E92AC7"/>
    <w:rsid w:val="00E92D94"/>
    <w:rsid w:val="00E92E12"/>
    <w:rsid w:val="00E9351C"/>
    <w:rsid w:val="00E93658"/>
    <w:rsid w:val="00E93900"/>
    <w:rsid w:val="00E93D0D"/>
    <w:rsid w:val="00E9466F"/>
    <w:rsid w:val="00E94B1D"/>
    <w:rsid w:val="00E94E23"/>
    <w:rsid w:val="00E94ED8"/>
    <w:rsid w:val="00E95269"/>
    <w:rsid w:val="00E954E2"/>
    <w:rsid w:val="00E9621D"/>
    <w:rsid w:val="00E96311"/>
    <w:rsid w:val="00E96FCB"/>
    <w:rsid w:val="00E97094"/>
    <w:rsid w:val="00E9794E"/>
    <w:rsid w:val="00E97A8C"/>
    <w:rsid w:val="00EA04DE"/>
    <w:rsid w:val="00EA050D"/>
    <w:rsid w:val="00EA0825"/>
    <w:rsid w:val="00EA0DE1"/>
    <w:rsid w:val="00EA0E53"/>
    <w:rsid w:val="00EA10C4"/>
    <w:rsid w:val="00EA10DE"/>
    <w:rsid w:val="00EA1153"/>
    <w:rsid w:val="00EA11B8"/>
    <w:rsid w:val="00EA11ED"/>
    <w:rsid w:val="00EA13D3"/>
    <w:rsid w:val="00EA13FD"/>
    <w:rsid w:val="00EA1457"/>
    <w:rsid w:val="00EA1920"/>
    <w:rsid w:val="00EA1AD1"/>
    <w:rsid w:val="00EA1BAE"/>
    <w:rsid w:val="00EA1D46"/>
    <w:rsid w:val="00EA1D82"/>
    <w:rsid w:val="00EA1F3C"/>
    <w:rsid w:val="00EA293F"/>
    <w:rsid w:val="00EA3263"/>
    <w:rsid w:val="00EA32EA"/>
    <w:rsid w:val="00EA37D7"/>
    <w:rsid w:val="00EA3D46"/>
    <w:rsid w:val="00EA411B"/>
    <w:rsid w:val="00EA416C"/>
    <w:rsid w:val="00EA472D"/>
    <w:rsid w:val="00EA5029"/>
    <w:rsid w:val="00EA65E5"/>
    <w:rsid w:val="00EA66AF"/>
    <w:rsid w:val="00EA66D7"/>
    <w:rsid w:val="00EA6700"/>
    <w:rsid w:val="00EA71FF"/>
    <w:rsid w:val="00EA72A4"/>
    <w:rsid w:val="00EA7B99"/>
    <w:rsid w:val="00EA7D4D"/>
    <w:rsid w:val="00EB04EB"/>
    <w:rsid w:val="00EB0E24"/>
    <w:rsid w:val="00EB15AB"/>
    <w:rsid w:val="00EB2013"/>
    <w:rsid w:val="00EB2884"/>
    <w:rsid w:val="00EB2D7F"/>
    <w:rsid w:val="00EB2FC1"/>
    <w:rsid w:val="00EB3660"/>
    <w:rsid w:val="00EB36DD"/>
    <w:rsid w:val="00EB42F7"/>
    <w:rsid w:val="00EB47E6"/>
    <w:rsid w:val="00EB4A75"/>
    <w:rsid w:val="00EB5160"/>
    <w:rsid w:val="00EB55B2"/>
    <w:rsid w:val="00EB56AE"/>
    <w:rsid w:val="00EB575F"/>
    <w:rsid w:val="00EB5962"/>
    <w:rsid w:val="00EB5966"/>
    <w:rsid w:val="00EB5B0A"/>
    <w:rsid w:val="00EB5BB6"/>
    <w:rsid w:val="00EB5D19"/>
    <w:rsid w:val="00EB6219"/>
    <w:rsid w:val="00EB6429"/>
    <w:rsid w:val="00EB64A0"/>
    <w:rsid w:val="00EB64D1"/>
    <w:rsid w:val="00EB6E45"/>
    <w:rsid w:val="00EB6F47"/>
    <w:rsid w:val="00EB706A"/>
    <w:rsid w:val="00EB7DAC"/>
    <w:rsid w:val="00EC0A53"/>
    <w:rsid w:val="00EC193D"/>
    <w:rsid w:val="00EC2415"/>
    <w:rsid w:val="00EC32D3"/>
    <w:rsid w:val="00EC36D0"/>
    <w:rsid w:val="00EC3C82"/>
    <w:rsid w:val="00EC3F62"/>
    <w:rsid w:val="00EC416C"/>
    <w:rsid w:val="00EC45F0"/>
    <w:rsid w:val="00EC490B"/>
    <w:rsid w:val="00EC5602"/>
    <w:rsid w:val="00EC64C6"/>
    <w:rsid w:val="00EC75EE"/>
    <w:rsid w:val="00EC7BC2"/>
    <w:rsid w:val="00ED02CF"/>
    <w:rsid w:val="00ED0315"/>
    <w:rsid w:val="00ED0320"/>
    <w:rsid w:val="00ED0E32"/>
    <w:rsid w:val="00ED1885"/>
    <w:rsid w:val="00ED19B3"/>
    <w:rsid w:val="00ED1D88"/>
    <w:rsid w:val="00ED23B8"/>
    <w:rsid w:val="00ED25D0"/>
    <w:rsid w:val="00ED3043"/>
    <w:rsid w:val="00ED4865"/>
    <w:rsid w:val="00ED49CE"/>
    <w:rsid w:val="00ED505E"/>
    <w:rsid w:val="00ED511C"/>
    <w:rsid w:val="00ED5C69"/>
    <w:rsid w:val="00ED5C7E"/>
    <w:rsid w:val="00ED6340"/>
    <w:rsid w:val="00ED6A06"/>
    <w:rsid w:val="00ED6FE5"/>
    <w:rsid w:val="00ED767A"/>
    <w:rsid w:val="00ED77BB"/>
    <w:rsid w:val="00ED7AFE"/>
    <w:rsid w:val="00EE0A00"/>
    <w:rsid w:val="00EE24E3"/>
    <w:rsid w:val="00EE2879"/>
    <w:rsid w:val="00EE29D8"/>
    <w:rsid w:val="00EE3026"/>
    <w:rsid w:val="00EE305B"/>
    <w:rsid w:val="00EE31FA"/>
    <w:rsid w:val="00EE35F7"/>
    <w:rsid w:val="00EE4CF1"/>
    <w:rsid w:val="00EE4F74"/>
    <w:rsid w:val="00EE5531"/>
    <w:rsid w:val="00EE583C"/>
    <w:rsid w:val="00EE5E7D"/>
    <w:rsid w:val="00EE5EA8"/>
    <w:rsid w:val="00EE6727"/>
    <w:rsid w:val="00EE677B"/>
    <w:rsid w:val="00EE6949"/>
    <w:rsid w:val="00EE708A"/>
    <w:rsid w:val="00EE7D31"/>
    <w:rsid w:val="00EE7D5A"/>
    <w:rsid w:val="00EF04CE"/>
    <w:rsid w:val="00EF0648"/>
    <w:rsid w:val="00EF08E2"/>
    <w:rsid w:val="00EF09A9"/>
    <w:rsid w:val="00EF124F"/>
    <w:rsid w:val="00EF14B1"/>
    <w:rsid w:val="00EF1741"/>
    <w:rsid w:val="00EF1C37"/>
    <w:rsid w:val="00EF2202"/>
    <w:rsid w:val="00EF2239"/>
    <w:rsid w:val="00EF22C9"/>
    <w:rsid w:val="00EF2329"/>
    <w:rsid w:val="00EF237B"/>
    <w:rsid w:val="00EF24ED"/>
    <w:rsid w:val="00EF287F"/>
    <w:rsid w:val="00EF2D72"/>
    <w:rsid w:val="00EF3368"/>
    <w:rsid w:val="00EF3A8A"/>
    <w:rsid w:val="00EF41F1"/>
    <w:rsid w:val="00EF431E"/>
    <w:rsid w:val="00EF4D20"/>
    <w:rsid w:val="00EF4DE1"/>
    <w:rsid w:val="00EF61F9"/>
    <w:rsid w:val="00EF6495"/>
    <w:rsid w:val="00EF7132"/>
    <w:rsid w:val="00EF7F0D"/>
    <w:rsid w:val="00F00285"/>
    <w:rsid w:val="00F002F2"/>
    <w:rsid w:val="00F00608"/>
    <w:rsid w:val="00F0066B"/>
    <w:rsid w:val="00F008BA"/>
    <w:rsid w:val="00F008CD"/>
    <w:rsid w:val="00F0139A"/>
    <w:rsid w:val="00F01431"/>
    <w:rsid w:val="00F01526"/>
    <w:rsid w:val="00F02154"/>
    <w:rsid w:val="00F022EA"/>
    <w:rsid w:val="00F02646"/>
    <w:rsid w:val="00F02A33"/>
    <w:rsid w:val="00F02FA2"/>
    <w:rsid w:val="00F03049"/>
    <w:rsid w:val="00F03610"/>
    <w:rsid w:val="00F037F3"/>
    <w:rsid w:val="00F03808"/>
    <w:rsid w:val="00F04063"/>
    <w:rsid w:val="00F0424F"/>
    <w:rsid w:val="00F0458C"/>
    <w:rsid w:val="00F04E52"/>
    <w:rsid w:val="00F050A2"/>
    <w:rsid w:val="00F05586"/>
    <w:rsid w:val="00F059AB"/>
    <w:rsid w:val="00F05B6B"/>
    <w:rsid w:val="00F05DA9"/>
    <w:rsid w:val="00F06931"/>
    <w:rsid w:val="00F06DF0"/>
    <w:rsid w:val="00F073B0"/>
    <w:rsid w:val="00F07AB3"/>
    <w:rsid w:val="00F107AF"/>
    <w:rsid w:val="00F11394"/>
    <w:rsid w:val="00F11FA9"/>
    <w:rsid w:val="00F123AC"/>
    <w:rsid w:val="00F1246C"/>
    <w:rsid w:val="00F126D0"/>
    <w:rsid w:val="00F12801"/>
    <w:rsid w:val="00F12834"/>
    <w:rsid w:val="00F12A06"/>
    <w:rsid w:val="00F12FEB"/>
    <w:rsid w:val="00F133AF"/>
    <w:rsid w:val="00F135B1"/>
    <w:rsid w:val="00F13850"/>
    <w:rsid w:val="00F13A25"/>
    <w:rsid w:val="00F13F3D"/>
    <w:rsid w:val="00F13FD6"/>
    <w:rsid w:val="00F141FF"/>
    <w:rsid w:val="00F142DF"/>
    <w:rsid w:val="00F146A1"/>
    <w:rsid w:val="00F148CB"/>
    <w:rsid w:val="00F153F3"/>
    <w:rsid w:val="00F1562F"/>
    <w:rsid w:val="00F15681"/>
    <w:rsid w:val="00F15EC4"/>
    <w:rsid w:val="00F16F8E"/>
    <w:rsid w:val="00F17425"/>
    <w:rsid w:val="00F200A3"/>
    <w:rsid w:val="00F201D2"/>
    <w:rsid w:val="00F20478"/>
    <w:rsid w:val="00F205BA"/>
    <w:rsid w:val="00F211BF"/>
    <w:rsid w:val="00F21C64"/>
    <w:rsid w:val="00F22520"/>
    <w:rsid w:val="00F22852"/>
    <w:rsid w:val="00F22AA7"/>
    <w:rsid w:val="00F22AD7"/>
    <w:rsid w:val="00F22EDB"/>
    <w:rsid w:val="00F22FEA"/>
    <w:rsid w:val="00F230AD"/>
    <w:rsid w:val="00F235F7"/>
    <w:rsid w:val="00F23A54"/>
    <w:rsid w:val="00F23CEA"/>
    <w:rsid w:val="00F240D2"/>
    <w:rsid w:val="00F248AF"/>
    <w:rsid w:val="00F252DF"/>
    <w:rsid w:val="00F254E1"/>
    <w:rsid w:val="00F258CD"/>
    <w:rsid w:val="00F25AA8"/>
    <w:rsid w:val="00F25FB0"/>
    <w:rsid w:val="00F26411"/>
    <w:rsid w:val="00F266D3"/>
    <w:rsid w:val="00F267F1"/>
    <w:rsid w:val="00F26A63"/>
    <w:rsid w:val="00F27184"/>
    <w:rsid w:val="00F2736E"/>
    <w:rsid w:val="00F274BC"/>
    <w:rsid w:val="00F2767F"/>
    <w:rsid w:val="00F278CA"/>
    <w:rsid w:val="00F27FF6"/>
    <w:rsid w:val="00F30AFB"/>
    <w:rsid w:val="00F30B54"/>
    <w:rsid w:val="00F30C9D"/>
    <w:rsid w:val="00F3143A"/>
    <w:rsid w:val="00F318F7"/>
    <w:rsid w:val="00F31C1E"/>
    <w:rsid w:val="00F31D5D"/>
    <w:rsid w:val="00F322BE"/>
    <w:rsid w:val="00F323B9"/>
    <w:rsid w:val="00F32412"/>
    <w:rsid w:val="00F32844"/>
    <w:rsid w:val="00F32EE6"/>
    <w:rsid w:val="00F3338B"/>
    <w:rsid w:val="00F3371A"/>
    <w:rsid w:val="00F33D4F"/>
    <w:rsid w:val="00F346FB"/>
    <w:rsid w:val="00F35E48"/>
    <w:rsid w:val="00F3612F"/>
    <w:rsid w:val="00F3620A"/>
    <w:rsid w:val="00F36ED0"/>
    <w:rsid w:val="00F3723B"/>
    <w:rsid w:val="00F37A1A"/>
    <w:rsid w:val="00F412F7"/>
    <w:rsid w:val="00F415E1"/>
    <w:rsid w:val="00F42372"/>
    <w:rsid w:val="00F426BA"/>
    <w:rsid w:val="00F4302C"/>
    <w:rsid w:val="00F4361B"/>
    <w:rsid w:val="00F43869"/>
    <w:rsid w:val="00F44AF1"/>
    <w:rsid w:val="00F45B0C"/>
    <w:rsid w:val="00F45CBA"/>
    <w:rsid w:val="00F45F12"/>
    <w:rsid w:val="00F46558"/>
    <w:rsid w:val="00F46668"/>
    <w:rsid w:val="00F466CF"/>
    <w:rsid w:val="00F46F0A"/>
    <w:rsid w:val="00F47583"/>
    <w:rsid w:val="00F47687"/>
    <w:rsid w:val="00F4794E"/>
    <w:rsid w:val="00F47CDA"/>
    <w:rsid w:val="00F5027B"/>
    <w:rsid w:val="00F50565"/>
    <w:rsid w:val="00F508B4"/>
    <w:rsid w:val="00F51353"/>
    <w:rsid w:val="00F514B6"/>
    <w:rsid w:val="00F5170E"/>
    <w:rsid w:val="00F51A65"/>
    <w:rsid w:val="00F520AE"/>
    <w:rsid w:val="00F523BC"/>
    <w:rsid w:val="00F52AC0"/>
    <w:rsid w:val="00F5335A"/>
    <w:rsid w:val="00F53BC3"/>
    <w:rsid w:val="00F53E08"/>
    <w:rsid w:val="00F5409F"/>
    <w:rsid w:val="00F546D9"/>
    <w:rsid w:val="00F54924"/>
    <w:rsid w:val="00F54A87"/>
    <w:rsid w:val="00F54C06"/>
    <w:rsid w:val="00F553EB"/>
    <w:rsid w:val="00F557F6"/>
    <w:rsid w:val="00F55B2A"/>
    <w:rsid w:val="00F55DCC"/>
    <w:rsid w:val="00F56E18"/>
    <w:rsid w:val="00F572CA"/>
    <w:rsid w:val="00F579E2"/>
    <w:rsid w:val="00F57FBD"/>
    <w:rsid w:val="00F606ED"/>
    <w:rsid w:val="00F60A37"/>
    <w:rsid w:val="00F60D28"/>
    <w:rsid w:val="00F614FA"/>
    <w:rsid w:val="00F61605"/>
    <w:rsid w:val="00F61AF5"/>
    <w:rsid w:val="00F61BC8"/>
    <w:rsid w:val="00F622E4"/>
    <w:rsid w:val="00F62461"/>
    <w:rsid w:val="00F626D4"/>
    <w:rsid w:val="00F62BD3"/>
    <w:rsid w:val="00F6326D"/>
    <w:rsid w:val="00F63557"/>
    <w:rsid w:val="00F63564"/>
    <w:rsid w:val="00F6391D"/>
    <w:rsid w:val="00F63DC6"/>
    <w:rsid w:val="00F640AB"/>
    <w:rsid w:val="00F6471C"/>
    <w:rsid w:val="00F64F90"/>
    <w:rsid w:val="00F652CB"/>
    <w:rsid w:val="00F65547"/>
    <w:rsid w:val="00F65752"/>
    <w:rsid w:val="00F6589A"/>
    <w:rsid w:val="00F65A96"/>
    <w:rsid w:val="00F65BB2"/>
    <w:rsid w:val="00F666AA"/>
    <w:rsid w:val="00F66D7F"/>
    <w:rsid w:val="00F67879"/>
    <w:rsid w:val="00F67BAC"/>
    <w:rsid w:val="00F67CDE"/>
    <w:rsid w:val="00F67F6E"/>
    <w:rsid w:val="00F7011D"/>
    <w:rsid w:val="00F701F1"/>
    <w:rsid w:val="00F70C00"/>
    <w:rsid w:val="00F70CD5"/>
    <w:rsid w:val="00F71118"/>
    <w:rsid w:val="00F712FF"/>
    <w:rsid w:val="00F716D4"/>
    <w:rsid w:val="00F716DD"/>
    <w:rsid w:val="00F71D6F"/>
    <w:rsid w:val="00F72957"/>
    <w:rsid w:val="00F72AD1"/>
    <w:rsid w:val="00F732A2"/>
    <w:rsid w:val="00F732EC"/>
    <w:rsid w:val="00F7363B"/>
    <w:rsid w:val="00F7395F"/>
    <w:rsid w:val="00F73C96"/>
    <w:rsid w:val="00F73CBD"/>
    <w:rsid w:val="00F74A8D"/>
    <w:rsid w:val="00F75CDE"/>
    <w:rsid w:val="00F76305"/>
    <w:rsid w:val="00F776C3"/>
    <w:rsid w:val="00F801D2"/>
    <w:rsid w:val="00F803D9"/>
    <w:rsid w:val="00F80E35"/>
    <w:rsid w:val="00F811E3"/>
    <w:rsid w:val="00F81201"/>
    <w:rsid w:val="00F819BD"/>
    <w:rsid w:val="00F82311"/>
    <w:rsid w:val="00F82605"/>
    <w:rsid w:val="00F82B3F"/>
    <w:rsid w:val="00F83668"/>
    <w:rsid w:val="00F839AB"/>
    <w:rsid w:val="00F83AF1"/>
    <w:rsid w:val="00F84A6C"/>
    <w:rsid w:val="00F8505B"/>
    <w:rsid w:val="00F8535B"/>
    <w:rsid w:val="00F85686"/>
    <w:rsid w:val="00F85997"/>
    <w:rsid w:val="00F859CC"/>
    <w:rsid w:val="00F85F7A"/>
    <w:rsid w:val="00F8607B"/>
    <w:rsid w:val="00F86121"/>
    <w:rsid w:val="00F8618E"/>
    <w:rsid w:val="00F863CC"/>
    <w:rsid w:val="00F866B1"/>
    <w:rsid w:val="00F86C67"/>
    <w:rsid w:val="00F86E62"/>
    <w:rsid w:val="00F86EC9"/>
    <w:rsid w:val="00F8772B"/>
    <w:rsid w:val="00F87EFF"/>
    <w:rsid w:val="00F87FD2"/>
    <w:rsid w:val="00F90465"/>
    <w:rsid w:val="00F90619"/>
    <w:rsid w:val="00F91544"/>
    <w:rsid w:val="00F92133"/>
    <w:rsid w:val="00F92781"/>
    <w:rsid w:val="00F9285C"/>
    <w:rsid w:val="00F92B81"/>
    <w:rsid w:val="00F93011"/>
    <w:rsid w:val="00F930D3"/>
    <w:rsid w:val="00F93305"/>
    <w:rsid w:val="00F9341E"/>
    <w:rsid w:val="00F9344F"/>
    <w:rsid w:val="00F935EC"/>
    <w:rsid w:val="00F93911"/>
    <w:rsid w:val="00F940EA"/>
    <w:rsid w:val="00F941A4"/>
    <w:rsid w:val="00F9473A"/>
    <w:rsid w:val="00F94CDC"/>
    <w:rsid w:val="00F94F50"/>
    <w:rsid w:val="00F951B2"/>
    <w:rsid w:val="00F955CE"/>
    <w:rsid w:val="00F958A1"/>
    <w:rsid w:val="00F9595F"/>
    <w:rsid w:val="00F95AE9"/>
    <w:rsid w:val="00F95FBA"/>
    <w:rsid w:val="00F96151"/>
    <w:rsid w:val="00F961E0"/>
    <w:rsid w:val="00F96592"/>
    <w:rsid w:val="00F968DB"/>
    <w:rsid w:val="00F97150"/>
    <w:rsid w:val="00F978EB"/>
    <w:rsid w:val="00F97AFB"/>
    <w:rsid w:val="00F97E4C"/>
    <w:rsid w:val="00FA01B1"/>
    <w:rsid w:val="00FA0397"/>
    <w:rsid w:val="00FA03AF"/>
    <w:rsid w:val="00FA06B3"/>
    <w:rsid w:val="00FA0A29"/>
    <w:rsid w:val="00FA0F10"/>
    <w:rsid w:val="00FA1791"/>
    <w:rsid w:val="00FA1F8E"/>
    <w:rsid w:val="00FA2321"/>
    <w:rsid w:val="00FA2C98"/>
    <w:rsid w:val="00FA39F8"/>
    <w:rsid w:val="00FA4247"/>
    <w:rsid w:val="00FA4309"/>
    <w:rsid w:val="00FA4A21"/>
    <w:rsid w:val="00FA4D63"/>
    <w:rsid w:val="00FA4DA3"/>
    <w:rsid w:val="00FA56BA"/>
    <w:rsid w:val="00FA6808"/>
    <w:rsid w:val="00FA6974"/>
    <w:rsid w:val="00FA6B8D"/>
    <w:rsid w:val="00FA6D6C"/>
    <w:rsid w:val="00FA6E91"/>
    <w:rsid w:val="00FA6F08"/>
    <w:rsid w:val="00FA7223"/>
    <w:rsid w:val="00FA79C2"/>
    <w:rsid w:val="00FA7C00"/>
    <w:rsid w:val="00FB0814"/>
    <w:rsid w:val="00FB0DE3"/>
    <w:rsid w:val="00FB1A65"/>
    <w:rsid w:val="00FB1B64"/>
    <w:rsid w:val="00FB1B70"/>
    <w:rsid w:val="00FB1C5D"/>
    <w:rsid w:val="00FB1F50"/>
    <w:rsid w:val="00FB1F8F"/>
    <w:rsid w:val="00FB2C9F"/>
    <w:rsid w:val="00FB2D43"/>
    <w:rsid w:val="00FB3022"/>
    <w:rsid w:val="00FB35AC"/>
    <w:rsid w:val="00FB3655"/>
    <w:rsid w:val="00FB3EBF"/>
    <w:rsid w:val="00FB4261"/>
    <w:rsid w:val="00FB4540"/>
    <w:rsid w:val="00FB4551"/>
    <w:rsid w:val="00FB4671"/>
    <w:rsid w:val="00FB498A"/>
    <w:rsid w:val="00FB592C"/>
    <w:rsid w:val="00FB6078"/>
    <w:rsid w:val="00FB6176"/>
    <w:rsid w:val="00FB619F"/>
    <w:rsid w:val="00FB621B"/>
    <w:rsid w:val="00FB66B8"/>
    <w:rsid w:val="00FB6727"/>
    <w:rsid w:val="00FB6A59"/>
    <w:rsid w:val="00FB6DFC"/>
    <w:rsid w:val="00FB7C3D"/>
    <w:rsid w:val="00FB7FE1"/>
    <w:rsid w:val="00FC03FD"/>
    <w:rsid w:val="00FC046A"/>
    <w:rsid w:val="00FC05B9"/>
    <w:rsid w:val="00FC076B"/>
    <w:rsid w:val="00FC0E03"/>
    <w:rsid w:val="00FC1204"/>
    <w:rsid w:val="00FC17D2"/>
    <w:rsid w:val="00FC185B"/>
    <w:rsid w:val="00FC18CB"/>
    <w:rsid w:val="00FC198B"/>
    <w:rsid w:val="00FC19A3"/>
    <w:rsid w:val="00FC222B"/>
    <w:rsid w:val="00FC26FE"/>
    <w:rsid w:val="00FC29D3"/>
    <w:rsid w:val="00FC2EDE"/>
    <w:rsid w:val="00FC2EE3"/>
    <w:rsid w:val="00FC304B"/>
    <w:rsid w:val="00FC4187"/>
    <w:rsid w:val="00FC4345"/>
    <w:rsid w:val="00FC571E"/>
    <w:rsid w:val="00FC5B04"/>
    <w:rsid w:val="00FC600A"/>
    <w:rsid w:val="00FC6635"/>
    <w:rsid w:val="00FC66FC"/>
    <w:rsid w:val="00FC6B41"/>
    <w:rsid w:val="00FC7484"/>
    <w:rsid w:val="00FC7692"/>
    <w:rsid w:val="00FC7A5D"/>
    <w:rsid w:val="00FC7FFB"/>
    <w:rsid w:val="00FD025D"/>
    <w:rsid w:val="00FD0484"/>
    <w:rsid w:val="00FD1F32"/>
    <w:rsid w:val="00FD20F8"/>
    <w:rsid w:val="00FD21B8"/>
    <w:rsid w:val="00FD2E47"/>
    <w:rsid w:val="00FD3A96"/>
    <w:rsid w:val="00FD3FD1"/>
    <w:rsid w:val="00FD47FF"/>
    <w:rsid w:val="00FD49D3"/>
    <w:rsid w:val="00FD4B14"/>
    <w:rsid w:val="00FD4ED8"/>
    <w:rsid w:val="00FD5085"/>
    <w:rsid w:val="00FD52ED"/>
    <w:rsid w:val="00FD5E25"/>
    <w:rsid w:val="00FD6251"/>
    <w:rsid w:val="00FD6FC1"/>
    <w:rsid w:val="00FD735B"/>
    <w:rsid w:val="00FD772A"/>
    <w:rsid w:val="00FD795A"/>
    <w:rsid w:val="00FD7B8E"/>
    <w:rsid w:val="00FE068F"/>
    <w:rsid w:val="00FE0823"/>
    <w:rsid w:val="00FE11E2"/>
    <w:rsid w:val="00FE1208"/>
    <w:rsid w:val="00FE12D7"/>
    <w:rsid w:val="00FE1503"/>
    <w:rsid w:val="00FE19F9"/>
    <w:rsid w:val="00FE1DB4"/>
    <w:rsid w:val="00FE2105"/>
    <w:rsid w:val="00FE2897"/>
    <w:rsid w:val="00FE2D05"/>
    <w:rsid w:val="00FE3038"/>
    <w:rsid w:val="00FE3901"/>
    <w:rsid w:val="00FE39CC"/>
    <w:rsid w:val="00FE3B4B"/>
    <w:rsid w:val="00FE41F3"/>
    <w:rsid w:val="00FE4241"/>
    <w:rsid w:val="00FE464A"/>
    <w:rsid w:val="00FE48C1"/>
    <w:rsid w:val="00FE4AE4"/>
    <w:rsid w:val="00FE4C06"/>
    <w:rsid w:val="00FE4E68"/>
    <w:rsid w:val="00FE521D"/>
    <w:rsid w:val="00FE5421"/>
    <w:rsid w:val="00FE54A6"/>
    <w:rsid w:val="00FE5782"/>
    <w:rsid w:val="00FE592E"/>
    <w:rsid w:val="00FE5A40"/>
    <w:rsid w:val="00FE5B6F"/>
    <w:rsid w:val="00FE5EAB"/>
    <w:rsid w:val="00FE62C2"/>
    <w:rsid w:val="00FE6BFA"/>
    <w:rsid w:val="00FE72F8"/>
    <w:rsid w:val="00FF10EE"/>
    <w:rsid w:val="00FF1CEF"/>
    <w:rsid w:val="00FF1FF6"/>
    <w:rsid w:val="00FF2414"/>
    <w:rsid w:val="00FF2D14"/>
    <w:rsid w:val="00FF40B9"/>
    <w:rsid w:val="00FF4339"/>
    <w:rsid w:val="00FF44FA"/>
    <w:rsid w:val="00FF4668"/>
    <w:rsid w:val="00FF54CB"/>
    <w:rsid w:val="00FF5586"/>
    <w:rsid w:val="00FF59F3"/>
    <w:rsid w:val="00FF5C86"/>
    <w:rsid w:val="00FF6362"/>
    <w:rsid w:val="00FF6BDB"/>
    <w:rsid w:val="00FF7355"/>
    <w:rsid w:val="00FF7520"/>
    <w:rsid w:val="00FF7873"/>
    <w:rsid w:val="00FF7F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DAF855"/>
  <w15:docId w15:val="{1B4E5922-1C41-42F5-BE4B-9D9B076A9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79F5"/>
    <w:pPr>
      <w:spacing w:after="120" w:line="240" w:lineRule="auto"/>
      <w:ind w:firstLine="706"/>
      <w:jc w:val="both"/>
    </w:pPr>
    <w:rPr>
      <w:rFonts w:ascii="Times New Roman" w:hAnsi="Times New Roman" w:cs="Times New Roman"/>
      <w:sz w:val="24"/>
      <w:lang w:val="en-US"/>
    </w:rPr>
  </w:style>
  <w:style w:type="paragraph" w:styleId="Heading1">
    <w:name w:val="heading 1"/>
    <w:basedOn w:val="ListParagraph"/>
    <w:next w:val="Normal"/>
    <w:link w:val="Heading1Char"/>
    <w:uiPriority w:val="9"/>
    <w:qFormat/>
    <w:rsid w:val="007D763D"/>
    <w:pPr>
      <w:numPr>
        <w:numId w:val="9"/>
      </w:numPr>
      <w:spacing w:before="240" w:after="240"/>
      <w:ind w:left="431" w:hanging="431"/>
      <w:outlineLvl w:val="0"/>
    </w:pPr>
    <w:rPr>
      <w:b/>
      <w:caps/>
      <w:szCs w:val="24"/>
    </w:rPr>
  </w:style>
  <w:style w:type="paragraph" w:styleId="Heading2">
    <w:name w:val="heading 2"/>
    <w:basedOn w:val="Normal"/>
    <w:next w:val="Normal"/>
    <w:link w:val="Heading2Char"/>
    <w:uiPriority w:val="9"/>
    <w:unhideWhenUsed/>
    <w:qFormat/>
    <w:rsid w:val="00226688"/>
    <w:pPr>
      <w:numPr>
        <w:ilvl w:val="1"/>
        <w:numId w:val="9"/>
      </w:numPr>
      <w:spacing w:before="120"/>
      <w:outlineLvl w:val="1"/>
    </w:pPr>
    <w:rPr>
      <w:b/>
      <w:szCs w:val="24"/>
    </w:rPr>
  </w:style>
  <w:style w:type="paragraph" w:styleId="Heading3">
    <w:name w:val="heading 3"/>
    <w:basedOn w:val="Normal"/>
    <w:next w:val="Normal"/>
    <w:link w:val="Heading3Char"/>
    <w:uiPriority w:val="9"/>
    <w:unhideWhenUsed/>
    <w:qFormat/>
    <w:rsid w:val="00A6783E"/>
    <w:pPr>
      <w:keepNext/>
      <w:keepLines/>
      <w:numPr>
        <w:ilvl w:val="2"/>
        <w:numId w:val="9"/>
      </w:numPr>
      <w:spacing w:before="120"/>
      <w:outlineLvl w:val="2"/>
    </w:pPr>
    <w:rPr>
      <w:rFonts w:eastAsiaTheme="majorEastAsia" w:cstheme="majorBidi"/>
      <w:i/>
      <w:szCs w:val="24"/>
    </w:rPr>
  </w:style>
  <w:style w:type="paragraph" w:styleId="Heading4">
    <w:name w:val="heading 4"/>
    <w:basedOn w:val="Normal"/>
    <w:next w:val="Normal"/>
    <w:link w:val="Heading4Char"/>
    <w:uiPriority w:val="9"/>
    <w:semiHidden/>
    <w:unhideWhenUsed/>
    <w:qFormat/>
    <w:rsid w:val="00E123A0"/>
    <w:pPr>
      <w:keepNext/>
      <w:keepLines/>
      <w:numPr>
        <w:ilvl w:val="3"/>
        <w:numId w:val="9"/>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123A0"/>
    <w:pPr>
      <w:keepNext/>
      <w:keepLines/>
      <w:numPr>
        <w:ilvl w:val="4"/>
        <w:numId w:val="9"/>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123A0"/>
    <w:pPr>
      <w:keepNext/>
      <w:keepLines/>
      <w:numPr>
        <w:ilvl w:val="5"/>
        <w:numId w:val="9"/>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123A0"/>
    <w:pPr>
      <w:keepNext/>
      <w:keepLines/>
      <w:numPr>
        <w:ilvl w:val="6"/>
        <w:numId w:val="9"/>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123A0"/>
    <w:pPr>
      <w:keepNext/>
      <w:keepLines/>
      <w:numPr>
        <w:ilvl w:val="7"/>
        <w:numId w:val="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23A0"/>
    <w:pPr>
      <w:keepNext/>
      <w:keepLines/>
      <w:numPr>
        <w:ilvl w:val="8"/>
        <w:numId w:val="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C7CDB"/>
    <w:pPr>
      <w:ind w:left="720"/>
      <w:contextualSpacing/>
    </w:pPr>
  </w:style>
  <w:style w:type="character" w:styleId="CommentReference">
    <w:name w:val="annotation reference"/>
    <w:basedOn w:val="DefaultParagraphFont"/>
    <w:uiPriority w:val="99"/>
    <w:semiHidden/>
    <w:unhideWhenUsed/>
    <w:rsid w:val="00D42A27"/>
    <w:rPr>
      <w:sz w:val="16"/>
      <w:szCs w:val="16"/>
    </w:rPr>
  </w:style>
  <w:style w:type="paragraph" w:styleId="CommentText">
    <w:name w:val="annotation text"/>
    <w:basedOn w:val="Normal"/>
    <w:link w:val="CommentTextChar"/>
    <w:uiPriority w:val="99"/>
    <w:semiHidden/>
    <w:unhideWhenUsed/>
    <w:rsid w:val="00D42A27"/>
    <w:rPr>
      <w:sz w:val="20"/>
      <w:szCs w:val="20"/>
    </w:rPr>
  </w:style>
  <w:style w:type="character" w:customStyle="1" w:styleId="CommentTextChar">
    <w:name w:val="Comment Text Char"/>
    <w:basedOn w:val="DefaultParagraphFont"/>
    <w:link w:val="CommentText"/>
    <w:uiPriority w:val="99"/>
    <w:semiHidden/>
    <w:rsid w:val="00D42A27"/>
    <w:rPr>
      <w:rFonts w:ascii="Times New Roman" w:hAnsi="Times New Roman"/>
      <w:sz w:val="20"/>
      <w:szCs w:val="20"/>
      <w:lang w:val="en-US"/>
    </w:rPr>
  </w:style>
  <w:style w:type="paragraph" w:styleId="CommentSubject">
    <w:name w:val="annotation subject"/>
    <w:basedOn w:val="CommentText"/>
    <w:next w:val="CommentText"/>
    <w:link w:val="CommentSubjectChar"/>
    <w:uiPriority w:val="99"/>
    <w:semiHidden/>
    <w:unhideWhenUsed/>
    <w:rsid w:val="00D42A27"/>
    <w:rPr>
      <w:b/>
      <w:bCs/>
    </w:rPr>
  </w:style>
  <w:style w:type="character" w:customStyle="1" w:styleId="CommentSubjectChar">
    <w:name w:val="Comment Subject Char"/>
    <w:basedOn w:val="CommentTextChar"/>
    <w:link w:val="CommentSubject"/>
    <w:uiPriority w:val="99"/>
    <w:semiHidden/>
    <w:rsid w:val="00D42A27"/>
    <w:rPr>
      <w:rFonts w:ascii="Times New Roman" w:hAnsi="Times New Roman"/>
      <w:b/>
      <w:bCs/>
      <w:sz w:val="20"/>
      <w:szCs w:val="20"/>
      <w:lang w:val="en-US"/>
    </w:rPr>
  </w:style>
  <w:style w:type="paragraph" w:styleId="BalloonText">
    <w:name w:val="Balloon Text"/>
    <w:basedOn w:val="Normal"/>
    <w:link w:val="BalloonTextChar"/>
    <w:uiPriority w:val="99"/>
    <w:semiHidden/>
    <w:unhideWhenUsed/>
    <w:rsid w:val="00D42A27"/>
    <w:rPr>
      <w:rFonts w:ascii="Tahoma" w:hAnsi="Tahoma" w:cs="Tahoma"/>
      <w:sz w:val="16"/>
      <w:szCs w:val="16"/>
    </w:rPr>
  </w:style>
  <w:style w:type="character" w:customStyle="1" w:styleId="BalloonTextChar">
    <w:name w:val="Balloon Text Char"/>
    <w:basedOn w:val="DefaultParagraphFont"/>
    <w:link w:val="BalloonText"/>
    <w:uiPriority w:val="99"/>
    <w:semiHidden/>
    <w:rsid w:val="00D42A27"/>
    <w:rPr>
      <w:rFonts w:ascii="Tahoma" w:hAnsi="Tahoma" w:cs="Tahoma"/>
      <w:sz w:val="16"/>
      <w:szCs w:val="16"/>
      <w:lang w:val="en-US"/>
    </w:rPr>
  </w:style>
  <w:style w:type="paragraph" w:styleId="Bibliography">
    <w:name w:val="Bibliography"/>
    <w:basedOn w:val="Normal"/>
    <w:next w:val="Normal"/>
    <w:uiPriority w:val="37"/>
    <w:semiHidden/>
    <w:unhideWhenUsed/>
    <w:rsid w:val="00973C1D"/>
  </w:style>
  <w:style w:type="character" w:styleId="Hyperlink">
    <w:name w:val="Hyperlink"/>
    <w:basedOn w:val="DefaultParagraphFont"/>
    <w:uiPriority w:val="99"/>
    <w:unhideWhenUsed/>
    <w:rsid w:val="008F3D93"/>
    <w:rPr>
      <w:color w:val="0000FF" w:themeColor="hyperlink"/>
      <w:u w:val="single"/>
    </w:rPr>
  </w:style>
  <w:style w:type="paragraph" w:styleId="FootnoteText">
    <w:name w:val="footnote text"/>
    <w:basedOn w:val="Normal"/>
    <w:link w:val="FootnoteTextChar"/>
    <w:uiPriority w:val="99"/>
    <w:semiHidden/>
    <w:rsid w:val="008F1CEF"/>
    <w:pPr>
      <w:jc w:val="left"/>
    </w:pPr>
    <w:rPr>
      <w:rFonts w:eastAsia="Calibri"/>
      <w:sz w:val="20"/>
      <w:szCs w:val="20"/>
      <w:lang w:val="x-none" w:eastAsia="x-none"/>
    </w:rPr>
  </w:style>
  <w:style w:type="character" w:customStyle="1" w:styleId="FootnoteTextChar">
    <w:name w:val="Footnote Text Char"/>
    <w:basedOn w:val="DefaultParagraphFont"/>
    <w:link w:val="FootnoteText"/>
    <w:uiPriority w:val="99"/>
    <w:semiHidden/>
    <w:rsid w:val="008F1CEF"/>
    <w:rPr>
      <w:rFonts w:ascii="Times New Roman" w:eastAsia="Calibri" w:hAnsi="Times New Roman" w:cs="Times New Roman"/>
      <w:sz w:val="20"/>
      <w:szCs w:val="20"/>
      <w:lang w:val="x-none" w:eastAsia="x-none"/>
    </w:rPr>
  </w:style>
  <w:style w:type="character" w:styleId="FootnoteReference">
    <w:name w:val="footnote reference"/>
    <w:uiPriority w:val="99"/>
    <w:semiHidden/>
    <w:rsid w:val="007D64F5"/>
    <w:rPr>
      <w:rFonts w:cs="Times New Roman"/>
      <w:vertAlign w:val="superscript"/>
    </w:rPr>
  </w:style>
  <w:style w:type="paragraph" w:styleId="Header">
    <w:name w:val="header"/>
    <w:basedOn w:val="Normal"/>
    <w:link w:val="HeaderChar"/>
    <w:uiPriority w:val="99"/>
    <w:rsid w:val="007D64F5"/>
    <w:pPr>
      <w:tabs>
        <w:tab w:val="center" w:pos="4680"/>
        <w:tab w:val="right" w:pos="9360"/>
      </w:tabs>
      <w:jc w:val="left"/>
    </w:pPr>
    <w:rPr>
      <w:rFonts w:ascii="Calibri" w:eastAsia="Calibri" w:hAnsi="Calibri"/>
      <w:sz w:val="20"/>
      <w:szCs w:val="20"/>
      <w:lang w:val="x-none" w:eastAsia="x-none"/>
    </w:rPr>
  </w:style>
  <w:style w:type="character" w:customStyle="1" w:styleId="HeaderChar">
    <w:name w:val="Header Char"/>
    <w:basedOn w:val="DefaultParagraphFont"/>
    <w:link w:val="Header"/>
    <w:uiPriority w:val="99"/>
    <w:rsid w:val="007D64F5"/>
    <w:rPr>
      <w:rFonts w:ascii="Calibri" w:eastAsia="Calibri" w:hAnsi="Calibri" w:cs="Times New Roman"/>
      <w:sz w:val="20"/>
      <w:szCs w:val="20"/>
      <w:lang w:val="x-none" w:eastAsia="x-none"/>
    </w:rPr>
  </w:style>
  <w:style w:type="paragraph" w:styleId="Footer">
    <w:name w:val="footer"/>
    <w:basedOn w:val="Normal"/>
    <w:link w:val="FooterChar"/>
    <w:uiPriority w:val="99"/>
    <w:rsid w:val="007D64F5"/>
    <w:pPr>
      <w:tabs>
        <w:tab w:val="center" w:pos="4680"/>
        <w:tab w:val="right" w:pos="9360"/>
      </w:tabs>
      <w:jc w:val="left"/>
    </w:pPr>
    <w:rPr>
      <w:rFonts w:ascii="Calibri" w:eastAsia="Calibri" w:hAnsi="Calibri"/>
      <w:sz w:val="20"/>
      <w:szCs w:val="20"/>
      <w:lang w:val="x-none" w:eastAsia="x-none"/>
    </w:rPr>
  </w:style>
  <w:style w:type="character" w:customStyle="1" w:styleId="FooterChar">
    <w:name w:val="Footer Char"/>
    <w:basedOn w:val="DefaultParagraphFont"/>
    <w:link w:val="Footer"/>
    <w:uiPriority w:val="99"/>
    <w:rsid w:val="007D64F5"/>
    <w:rPr>
      <w:rFonts w:ascii="Calibri" w:eastAsia="Calibri" w:hAnsi="Calibri" w:cs="Times New Roman"/>
      <w:sz w:val="20"/>
      <w:szCs w:val="20"/>
      <w:lang w:val="x-none" w:eastAsia="x-none"/>
    </w:rPr>
  </w:style>
  <w:style w:type="paragraph" w:styleId="Revision">
    <w:name w:val="Revision"/>
    <w:hidden/>
    <w:uiPriority w:val="99"/>
    <w:semiHidden/>
    <w:rsid w:val="007D64F5"/>
    <w:pPr>
      <w:spacing w:after="0" w:line="240" w:lineRule="auto"/>
    </w:pPr>
    <w:rPr>
      <w:rFonts w:ascii="Calibri" w:eastAsia="Calibri" w:hAnsi="Calibri" w:cs="Times New Roman"/>
      <w:lang w:val="en-US"/>
    </w:rPr>
  </w:style>
  <w:style w:type="character" w:customStyle="1" w:styleId="ListParagraphChar">
    <w:name w:val="List Paragraph Char"/>
    <w:link w:val="ListParagraph"/>
    <w:uiPriority w:val="99"/>
    <w:locked/>
    <w:rsid w:val="007D64F5"/>
    <w:rPr>
      <w:rFonts w:ascii="Times New Roman" w:hAnsi="Times New Roman"/>
      <w:lang w:val="en-US"/>
    </w:rPr>
  </w:style>
  <w:style w:type="paragraph" w:customStyle="1" w:styleId="authors">
    <w:name w:val="authors"/>
    <w:basedOn w:val="Normal"/>
    <w:rsid w:val="007D64F5"/>
    <w:pPr>
      <w:spacing w:before="100" w:beforeAutospacing="1" w:after="100" w:afterAutospacing="1"/>
      <w:jc w:val="left"/>
    </w:pPr>
    <w:rPr>
      <w:rFonts w:eastAsia="Times New Roman"/>
      <w:szCs w:val="24"/>
    </w:rPr>
  </w:style>
  <w:style w:type="character" w:customStyle="1" w:styleId="author">
    <w:name w:val="author"/>
    <w:basedOn w:val="DefaultParagraphFont"/>
    <w:rsid w:val="007D64F5"/>
  </w:style>
  <w:style w:type="character" w:customStyle="1" w:styleId="a-plus-plus">
    <w:name w:val="a-plus-plus"/>
    <w:basedOn w:val="DefaultParagraphFont"/>
    <w:rsid w:val="007D64F5"/>
  </w:style>
  <w:style w:type="paragraph" w:styleId="EndnoteText">
    <w:name w:val="endnote text"/>
    <w:basedOn w:val="Normal"/>
    <w:link w:val="EndnoteTextChar"/>
    <w:uiPriority w:val="99"/>
    <w:semiHidden/>
    <w:unhideWhenUsed/>
    <w:rsid w:val="007D64F5"/>
    <w:pPr>
      <w:spacing w:after="200"/>
      <w:jc w:val="left"/>
    </w:pPr>
    <w:rPr>
      <w:rFonts w:ascii="Calibri" w:eastAsia="Calibri" w:hAnsi="Calibri"/>
      <w:sz w:val="20"/>
      <w:szCs w:val="20"/>
    </w:rPr>
  </w:style>
  <w:style w:type="character" w:customStyle="1" w:styleId="EndnoteTextChar">
    <w:name w:val="Endnote Text Char"/>
    <w:basedOn w:val="DefaultParagraphFont"/>
    <w:link w:val="EndnoteText"/>
    <w:uiPriority w:val="99"/>
    <w:semiHidden/>
    <w:rsid w:val="007D64F5"/>
    <w:rPr>
      <w:rFonts w:ascii="Calibri" w:eastAsia="Calibri" w:hAnsi="Calibri" w:cs="Times New Roman"/>
      <w:sz w:val="20"/>
      <w:szCs w:val="20"/>
      <w:lang w:val="en-US"/>
    </w:rPr>
  </w:style>
  <w:style w:type="character" w:styleId="EndnoteReference">
    <w:name w:val="endnote reference"/>
    <w:basedOn w:val="DefaultParagraphFont"/>
    <w:uiPriority w:val="99"/>
    <w:semiHidden/>
    <w:unhideWhenUsed/>
    <w:rsid w:val="007D64F5"/>
    <w:rPr>
      <w:vertAlign w:val="superscript"/>
    </w:rPr>
  </w:style>
  <w:style w:type="character" w:customStyle="1" w:styleId="googqs-tidbit1">
    <w:name w:val="goog_qs-tidbit1"/>
    <w:basedOn w:val="DefaultParagraphFont"/>
    <w:rsid w:val="007D64F5"/>
    <w:rPr>
      <w:vanish w:val="0"/>
      <w:webHidden w:val="0"/>
      <w:specVanish w:val="0"/>
    </w:rPr>
  </w:style>
  <w:style w:type="paragraph" w:customStyle="1" w:styleId="Names">
    <w:name w:val="Names"/>
    <w:basedOn w:val="Normal"/>
    <w:link w:val="NamesChar"/>
    <w:qFormat/>
    <w:rsid w:val="00762008"/>
    <w:pPr>
      <w:ind w:firstLine="0"/>
    </w:pPr>
  </w:style>
  <w:style w:type="character" w:customStyle="1" w:styleId="NamesChar">
    <w:name w:val="Names Char"/>
    <w:basedOn w:val="DefaultParagraphFont"/>
    <w:link w:val="Names"/>
    <w:rsid w:val="00762008"/>
    <w:rPr>
      <w:rFonts w:ascii="Times New Roman" w:hAnsi="Times New Roman" w:cs="Times New Roman"/>
      <w:sz w:val="24"/>
      <w:lang w:val="en-US"/>
    </w:rPr>
  </w:style>
  <w:style w:type="character" w:styleId="LineNumber">
    <w:name w:val="line number"/>
    <w:basedOn w:val="DefaultParagraphFont"/>
    <w:uiPriority w:val="99"/>
    <w:semiHidden/>
    <w:unhideWhenUsed/>
    <w:rsid w:val="00A76CE3"/>
  </w:style>
  <w:style w:type="table" w:styleId="TableGrid">
    <w:name w:val="Table Grid"/>
    <w:basedOn w:val="TableNormal"/>
    <w:uiPriority w:val="39"/>
    <w:unhideWhenUsed/>
    <w:rsid w:val="00113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D763D"/>
    <w:rPr>
      <w:rFonts w:ascii="Times New Roman" w:hAnsi="Times New Roman" w:cs="Times New Roman"/>
      <w:b/>
      <w:caps/>
      <w:sz w:val="24"/>
      <w:szCs w:val="24"/>
      <w:lang w:val="en-US"/>
    </w:rPr>
  </w:style>
  <w:style w:type="character" w:customStyle="1" w:styleId="Heading2Char">
    <w:name w:val="Heading 2 Char"/>
    <w:basedOn w:val="DefaultParagraphFont"/>
    <w:link w:val="Heading2"/>
    <w:uiPriority w:val="9"/>
    <w:rsid w:val="00226688"/>
    <w:rPr>
      <w:rFonts w:ascii="Times New Roman" w:hAnsi="Times New Roman" w:cs="Times New Roman"/>
      <w:b/>
      <w:sz w:val="24"/>
      <w:szCs w:val="24"/>
      <w:lang w:val="en-US"/>
    </w:rPr>
  </w:style>
  <w:style w:type="character" w:customStyle="1" w:styleId="Heading3Char">
    <w:name w:val="Heading 3 Char"/>
    <w:basedOn w:val="DefaultParagraphFont"/>
    <w:link w:val="Heading3"/>
    <w:uiPriority w:val="9"/>
    <w:rsid w:val="00A6783E"/>
    <w:rPr>
      <w:rFonts w:ascii="Times New Roman" w:eastAsiaTheme="majorEastAsia" w:hAnsi="Times New Roman" w:cstheme="majorBidi"/>
      <w:i/>
      <w:sz w:val="24"/>
      <w:szCs w:val="24"/>
      <w:lang w:val="en-US"/>
    </w:rPr>
  </w:style>
  <w:style w:type="character" w:customStyle="1" w:styleId="Heading4Char">
    <w:name w:val="Heading 4 Char"/>
    <w:basedOn w:val="DefaultParagraphFont"/>
    <w:link w:val="Heading4"/>
    <w:uiPriority w:val="9"/>
    <w:semiHidden/>
    <w:rsid w:val="00E123A0"/>
    <w:rPr>
      <w:rFonts w:asciiTheme="majorHAnsi" w:eastAsiaTheme="majorEastAsia" w:hAnsiTheme="majorHAnsi" w:cstheme="majorBidi"/>
      <w:i/>
      <w:iCs/>
      <w:color w:val="365F91" w:themeColor="accent1" w:themeShade="BF"/>
      <w:lang w:val="en-US"/>
    </w:rPr>
  </w:style>
  <w:style w:type="character" w:customStyle="1" w:styleId="Heading5Char">
    <w:name w:val="Heading 5 Char"/>
    <w:basedOn w:val="DefaultParagraphFont"/>
    <w:link w:val="Heading5"/>
    <w:uiPriority w:val="9"/>
    <w:semiHidden/>
    <w:rsid w:val="00E123A0"/>
    <w:rPr>
      <w:rFonts w:asciiTheme="majorHAnsi" w:eastAsiaTheme="majorEastAsia" w:hAnsiTheme="majorHAnsi" w:cstheme="majorBidi"/>
      <w:color w:val="365F91" w:themeColor="accent1" w:themeShade="BF"/>
      <w:lang w:val="en-US"/>
    </w:rPr>
  </w:style>
  <w:style w:type="character" w:customStyle="1" w:styleId="Heading6Char">
    <w:name w:val="Heading 6 Char"/>
    <w:basedOn w:val="DefaultParagraphFont"/>
    <w:link w:val="Heading6"/>
    <w:uiPriority w:val="9"/>
    <w:semiHidden/>
    <w:rsid w:val="00E123A0"/>
    <w:rPr>
      <w:rFonts w:asciiTheme="majorHAnsi" w:eastAsiaTheme="majorEastAsia" w:hAnsiTheme="majorHAnsi" w:cstheme="majorBidi"/>
      <w:color w:val="243F60" w:themeColor="accent1" w:themeShade="7F"/>
      <w:lang w:val="en-US"/>
    </w:rPr>
  </w:style>
  <w:style w:type="character" w:customStyle="1" w:styleId="Heading7Char">
    <w:name w:val="Heading 7 Char"/>
    <w:basedOn w:val="DefaultParagraphFont"/>
    <w:link w:val="Heading7"/>
    <w:uiPriority w:val="9"/>
    <w:semiHidden/>
    <w:rsid w:val="00E123A0"/>
    <w:rPr>
      <w:rFonts w:asciiTheme="majorHAnsi" w:eastAsiaTheme="majorEastAsia" w:hAnsiTheme="majorHAnsi" w:cstheme="majorBidi"/>
      <w:i/>
      <w:iCs/>
      <w:color w:val="243F60" w:themeColor="accent1" w:themeShade="7F"/>
      <w:lang w:val="en-US"/>
    </w:rPr>
  </w:style>
  <w:style w:type="character" w:customStyle="1" w:styleId="Heading8Char">
    <w:name w:val="Heading 8 Char"/>
    <w:basedOn w:val="DefaultParagraphFont"/>
    <w:link w:val="Heading8"/>
    <w:uiPriority w:val="9"/>
    <w:semiHidden/>
    <w:rsid w:val="00E123A0"/>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E123A0"/>
    <w:rPr>
      <w:rFonts w:asciiTheme="majorHAnsi" w:eastAsiaTheme="majorEastAsia" w:hAnsiTheme="majorHAnsi" w:cstheme="majorBidi"/>
      <w:i/>
      <w:iCs/>
      <w:color w:val="272727" w:themeColor="text1" w:themeTint="D8"/>
      <w:sz w:val="21"/>
      <w:szCs w:val="21"/>
      <w:lang w:val="en-US"/>
    </w:rPr>
  </w:style>
  <w:style w:type="paragraph" w:styleId="Title">
    <w:name w:val="Title"/>
    <w:basedOn w:val="Normal"/>
    <w:next w:val="Normal"/>
    <w:link w:val="TitleChar"/>
    <w:uiPriority w:val="10"/>
    <w:qFormat/>
    <w:rsid w:val="003E3947"/>
    <w:pPr>
      <w:ind w:firstLine="0"/>
    </w:pPr>
    <w:rPr>
      <w:b/>
    </w:rPr>
  </w:style>
  <w:style w:type="character" w:customStyle="1" w:styleId="TitleChar">
    <w:name w:val="Title Char"/>
    <w:basedOn w:val="DefaultParagraphFont"/>
    <w:link w:val="Title"/>
    <w:uiPriority w:val="10"/>
    <w:rsid w:val="003E3947"/>
    <w:rPr>
      <w:rFonts w:ascii="Times New Roman" w:hAnsi="Times New Roman" w:cs="Times New Roman"/>
      <w:b/>
      <w:sz w:val="24"/>
      <w:lang w:val="en-US"/>
    </w:rPr>
  </w:style>
  <w:style w:type="character" w:styleId="FollowedHyperlink">
    <w:name w:val="FollowedHyperlink"/>
    <w:basedOn w:val="DefaultParagraphFont"/>
    <w:uiPriority w:val="99"/>
    <w:semiHidden/>
    <w:unhideWhenUsed/>
    <w:rsid w:val="004F0782"/>
    <w:rPr>
      <w:color w:val="800080" w:themeColor="followedHyperlink"/>
      <w:u w:val="single"/>
    </w:rPr>
  </w:style>
  <w:style w:type="paragraph" w:styleId="Caption">
    <w:name w:val="caption"/>
    <w:basedOn w:val="Normal"/>
    <w:next w:val="Normal"/>
    <w:uiPriority w:val="35"/>
    <w:unhideWhenUsed/>
    <w:qFormat/>
    <w:rsid w:val="00585FBB"/>
    <w:pPr>
      <w:spacing w:after="200"/>
      <w:ind w:firstLine="0"/>
      <w:jc w:val="center"/>
    </w:pPr>
    <w:rPr>
      <w:b/>
      <w:bCs/>
      <w:sz w:val="22"/>
      <w:szCs w:val="18"/>
    </w:rPr>
  </w:style>
  <w:style w:type="paragraph" w:customStyle="1" w:styleId="Tabledata">
    <w:name w:val="Table data"/>
    <w:link w:val="TabledataChar"/>
    <w:qFormat/>
    <w:rsid w:val="001651DE"/>
    <w:pPr>
      <w:spacing w:after="0" w:line="240" w:lineRule="auto"/>
    </w:pPr>
    <w:rPr>
      <w:rFonts w:ascii="Consolas" w:eastAsia="Times New Roman" w:hAnsi="Consolas" w:cs="Consolas"/>
      <w:color w:val="000000"/>
      <w:sz w:val="18"/>
      <w:szCs w:val="18"/>
      <w:lang w:val="en-US"/>
    </w:rPr>
  </w:style>
  <w:style w:type="character" w:customStyle="1" w:styleId="selectable">
    <w:name w:val="selectable"/>
    <w:basedOn w:val="DefaultParagraphFont"/>
    <w:rsid w:val="005A2FAF"/>
  </w:style>
  <w:style w:type="character" w:customStyle="1" w:styleId="TabledataChar">
    <w:name w:val="Table data Char"/>
    <w:basedOn w:val="DefaultParagraphFont"/>
    <w:link w:val="Tabledata"/>
    <w:rsid w:val="001651DE"/>
    <w:rPr>
      <w:rFonts w:ascii="Consolas" w:eastAsia="Times New Roman" w:hAnsi="Consolas" w:cs="Consolas"/>
      <w:color w:val="000000"/>
      <w:sz w:val="18"/>
      <w:szCs w:val="18"/>
      <w:lang w:val="en-US"/>
    </w:rPr>
  </w:style>
  <w:style w:type="character" w:styleId="PlaceholderText">
    <w:name w:val="Placeholder Text"/>
    <w:basedOn w:val="DefaultParagraphFont"/>
    <w:uiPriority w:val="99"/>
    <w:semiHidden/>
    <w:rsid w:val="004511C3"/>
    <w:rPr>
      <w:color w:val="808080"/>
    </w:rPr>
  </w:style>
  <w:style w:type="paragraph" w:styleId="ListBullet">
    <w:name w:val="List Bullet"/>
    <w:basedOn w:val="Normal"/>
    <w:uiPriority w:val="99"/>
    <w:unhideWhenUsed/>
    <w:rsid w:val="005D01C7"/>
    <w:pPr>
      <w:numPr>
        <w:numId w:val="21"/>
      </w:numPr>
      <w:contextualSpacing/>
    </w:pPr>
  </w:style>
  <w:style w:type="character" w:customStyle="1" w:styleId="UnresolvedMention1">
    <w:name w:val="Unresolved Mention1"/>
    <w:basedOn w:val="DefaultParagraphFont"/>
    <w:uiPriority w:val="99"/>
    <w:semiHidden/>
    <w:unhideWhenUsed/>
    <w:rsid w:val="00FD49D3"/>
    <w:rPr>
      <w:color w:val="605E5C"/>
      <w:shd w:val="clear" w:color="auto" w:fill="E1DFDD"/>
    </w:rPr>
  </w:style>
  <w:style w:type="character" w:styleId="Emphasis">
    <w:name w:val="Emphasis"/>
    <w:basedOn w:val="DefaultParagraphFont"/>
    <w:uiPriority w:val="20"/>
    <w:qFormat/>
    <w:rsid w:val="00985F76"/>
    <w:rPr>
      <w:i/>
      <w:iCs/>
    </w:rPr>
  </w:style>
  <w:style w:type="paragraph" w:customStyle="1" w:styleId="reference">
    <w:name w:val="reference"/>
    <w:aliases w:val="ref"/>
    <w:basedOn w:val="Normal"/>
    <w:qFormat/>
    <w:rsid w:val="007C173F"/>
    <w:pPr>
      <w:overflowPunct w:val="0"/>
      <w:autoSpaceDE w:val="0"/>
      <w:autoSpaceDN w:val="0"/>
      <w:adjustRightInd w:val="0"/>
      <w:spacing w:before="120"/>
      <w:ind w:left="720" w:hanging="720"/>
      <w:textAlignment w:val="baseline"/>
    </w:pPr>
    <w:rPr>
      <w:rFonts w:eastAsia="Times New Roman"/>
      <w:szCs w:val="20"/>
    </w:rPr>
  </w:style>
  <w:style w:type="paragraph" w:styleId="PlainText">
    <w:name w:val="Plain Text"/>
    <w:basedOn w:val="Normal"/>
    <w:link w:val="PlainTextChar"/>
    <w:uiPriority w:val="99"/>
    <w:semiHidden/>
    <w:unhideWhenUsed/>
    <w:rsid w:val="00CE3456"/>
    <w:pPr>
      <w:spacing w:after="0"/>
      <w:ind w:firstLine="0"/>
      <w:jc w:val="left"/>
    </w:pPr>
    <w:rPr>
      <w:rFonts w:ascii="Calibri" w:hAnsi="Calibri" w:cstheme="minorBidi"/>
      <w:sz w:val="22"/>
      <w:szCs w:val="21"/>
    </w:rPr>
  </w:style>
  <w:style w:type="character" w:customStyle="1" w:styleId="PlainTextChar">
    <w:name w:val="Plain Text Char"/>
    <w:basedOn w:val="DefaultParagraphFont"/>
    <w:link w:val="PlainText"/>
    <w:uiPriority w:val="99"/>
    <w:semiHidden/>
    <w:rsid w:val="00CE3456"/>
    <w:rPr>
      <w:rFonts w:ascii="Calibri" w:hAnsi="Calibri"/>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60284">
      <w:bodyDiv w:val="1"/>
      <w:marLeft w:val="0"/>
      <w:marRight w:val="0"/>
      <w:marTop w:val="0"/>
      <w:marBottom w:val="0"/>
      <w:divBdr>
        <w:top w:val="none" w:sz="0" w:space="0" w:color="auto"/>
        <w:left w:val="none" w:sz="0" w:space="0" w:color="auto"/>
        <w:bottom w:val="none" w:sz="0" w:space="0" w:color="auto"/>
        <w:right w:val="none" w:sz="0" w:space="0" w:color="auto"/>
      </w:divBdr>
    </w:div>
    <w:div w:id="44568161">
      <w:bodyDiv w:val="1"/>
      <w:marLeft w:val="0"/>
      <w:marRight w:val="0"/>
      <w:marTop w:val="0"/>
      <w:marBottom w:val="0"/>
      <w:divBdr>
        <w:top w:val="none" w:sz="0" w:space="0" w:color="auto"/>
        <w:left w:val="none" w:sz="0" w:space="0" w:color="auto"/>
        <w:bottom w:val="none" w:sz="0" w:space="0" w:color="auto"/>
        <w:right w:val="none" w:sz="0" w:space="0" w:color="auto"/>
      </w:divBdr>
    </w:div>
    <w:div w:id="106512551">
      <w:bodyDiv w:val="1"/>
      <w:marLeft w:val="0"/>
      <w:marRight w:val="0"/>
      <w:marTop w:val="0"/>
      <w:marBottom w:val="0"/>
      <w:divBdr>
        <w:top w:val="none" w:sz="0" w:space="0" w:color="auto"/>
        <w:left w:val="none" w:sz="0" w:space="0" w:color="auto"/>
        <w:bottom w:val="none" w:sz="0" w:space="0" w:color="auto"/>
        <w:right w:val="none" w:sz="0" w:space="0" w:color="auto"/>
      </w:divBdr>
    </w:div>
    <w:div w:id="130247333">
      <w:bodyDiv w:val="1"/>
      <w:marLeft w:val="0"/>
      <w:marRight w:val="0"/>
      <w:marTop w:val="0"/>
      <w:marBottom w:val="0"/>
      <w:divBdr>
        <w:top w:val="none" w:sz="0" w:space="0" w:color="auto"/>
        <w:left w:val="none" w:sz="0" w:space="0" w:color="auto"/>
        <w:bottom w:val="none" w:sz="0" w:space="0" w:color="auto"/>
        <w:right w:val="none" w:sz="0" w:space="0" w:color="auto"/>
      </w:divBdr>
    </w:div>
    <w:div w:id="151215236">
      <w:bodyDiv w:val="1"/>
      <w:marLeft w:val="0"/>
      <w:marRight w:val="0"/>
      <w:marTop w:val="0"/>
      <w:marBottom w:val="0"/>
      <w:divBdr>
        <w:top w:val="none" w:sz="0" w:space="0" w:color="auto"/>
        <w:left w:val="none" w:sz="0" w:space="0" w:color="auto"/>
        <w:bottom w:val="none" w:sz="0" w:space="0" w:color="auto"/>
        <w:right w:val="none" w:sz="0" w:space="0" w:color="auto"/>
      </w:divBdr>
    </w:div>
    <w:div w:id="195700176">
      <w:bodyDiv w:val="1"/>
      <w:marLeft w:val="0"/>
      <w:marRight w:val="0"/>
      <w:marTop w:val="0"/>
      <w:marBottom w:val="0"/>
      <w:divBdr>
        <w:top w:val="none" w:sz="0" w:space="0" w:color="auto"/>
        <w:left w:val="none" w:sz="0" w:space="0" w:color="auto"/>
        <w:bottom w:val="none" w:sz="0" w:space="0" w:color="auto"/>
        <w:right w:val="none" w:sz="0" w:space="0" w:color="auto"/>
      </w:divBdr>
      <w:divsChild>
        <w:div w:id="847646031">
          <w:marLeft w:val="0"/>
          <w:marRight w:val="0"/>
          <w:marTop w:val="0"/>
          <w:marBottom w:val="0"/>
          <w:divBdr>
            <w:top w:val="none" w:sz="0" w:space="0" w:color="auto"/>
            <w:left w:val="none" w:sz="0" w:space="0" w:color="auto"/>
            <w:bottom w:val="none" w:sz="0" w:space="0" w:color="auto"/>
            <w:right w:val="none" w:sz="0" w:space="0" w:color="auto"/>
          </w:divBdr>
        </w:div>
      </w:divsChild>
    </w:div>
    <w:div w:id="217474696">
      <w:bodyDiv w:val="1"/>
      <w:marLeft w:val="0"/>
      <w:marRight w:val="0"/>
      <w:marTop w:val="0"/>
      <w:marBottom w:val="0"/>
      <w:divBdr>
        <w:top w:val="none" w:sz="0" w:space="0" w:color="auto"/>
        <w:left w:val="none" w:sz="0" w:space="0" w:color="auto"/>
        <w:bottom w:val="none" w:sz="0" w:space="0" w:color="auto"/>
        <w:right w:val="none" w:sz="0" w:space="0" w:color="auto"/>
      </w:divBdr>
    </w:div>
    <w:div w:id="279340191">
      <w:bodyDiv w:val="1"/>
      <w:marLeft w:val="0"/>
      <w:marRight w:val="0"/>
      <w:marTop w:val="0"/>
      <w:marBottom w:val="0"/>
      <w:divBdr>
        <w:top w:val="none" w:sz="0" w:space="0" w:color="auto"/>
        <w:left w:val="none" w:sz="0" w:space="0" w:color="auto"/>
        <w:bottom w:val="none" w:sz="0" w:space="0" w:color="auto"/>
        <w:right w:val="none" w:sz="0" w:space="0" w:color="auto"/>
      </w:divBdr>
    </w:div>
    <w:div w:id="494686134">
      <w:bodyDiv w:val="1"/>
      <w:marLeft w:val="0"/>
      <w:marRight w:val="0"/>
      <w:marTop w:val="0"/>
      <w:marBottom w:val="0"/>
      <w:divBdr>
        <w:top w:val="none" w:sz="0" w:space="0" w:color="auto"/>
        <w:left w:val="none" w:sz="0" w:space="0" w:color="auto"/>
        <w:bottom w:val="none" w:sz="0" w:space="0" w:color="auto"/>
        <w:right w:val="none" w:sz="0" w:space="0" w:color="auto"/>
      </w:divBdr>
    </w:div>
    <w:div w:id="598221604">
      <w:bodyDiv w:val="1"/>
      <w:marLeft w:val="0"/>
      <w:marRight w:val="0"/>
      <w:marTop w:val="0"/>
      <w:marBottom w:val="0"/>
      <w:divBdr>
        <w:top w:val="none" w:sz="0" w:space="0" w:color="auto"/>
        <w:left w:val="none" w:sz="0" w:space="0" w:color="auto"/>
        <w:bottom w:val="none" w:sz="0" w:space="0" w:color="auto"/>
        <w:right w:val="none" w:sz="0" w:space="0" w:color="auto"/>
      </w:divBdr>
    </w:div>
    <w:div w:id="716854729">
      <w:bodyDiv w:val="1"/>
      <w:marLeft w:val="0"/>
      <w:marRight w:val="0"/>
      <w:marTop w:val="0"/>
      <w:marBottom w:val="0"/>
      <w:divBdr>
        <w:top w:val="none" w:sz="0" w:space="0" w:color="auto"/>
        <w:left w:val="none" w:sz="0" w:space="0" w:color="auto"/>
        <w:bottom w:val="none" w:sz="0" w:space="0" w:color="auto"/>
        <w:right w:val="none" w:sz="0" w:space="0" w:color="auto"/>
      </w:divBdr>
    </w:div>
    <w:div w:id="780611620">
      <w:bodyDiv w:val="1"/>
      <w:marLeft w:val="0"/>
      <w:marRight w:val="0"/>
      <w:marTop w:val="0"/>
      <w:marBottom w:val="0"/>
      <w:divBdr>
        <w:top w:val="none" w:sz="0" w:space="0" w:color="auto"/>
        <w:left w:val="none" w:sz="0" w:space="0" w:color="auto"/>
        <w:bottom w:val="none" w:sz="0" w:space="0" w:color="auto"/>
        <w:right w:val="none" w:sz="0" w:space="0" w:color="auto"/>
      </w:divBdr>
    </w:div>
    <w:div w:id="808934300">
      <w:bodyDiv w:val="1"/>
      <w:marLeft w:val="0"/>
      <w:marRight w:val="0"/>
      <w:marTop w:val="0"/>
      <w:marBottom w:val="0"/>
      <w:divBdr>
        <w:top w:val="none" w:sz="0" w:space="0" w:color="auto"/>
        <w:left w:val="none" w:sz="0" w:space="0" w:color="auto"/>
        <w:bottom w:val="none" w:sz="0" w:space="0" w:color="auto"/>
        <w:right w:val="none" w:sz="0" w:space="0" w:color="auto"/>
      </w:divBdr>
    </w:div>
    <w:div w:id="827206319">
      <w:bodyDiv w:val="1"/>
      <w:marLeft w:val="0"/>
      <w:marRight w:val="0"/>
      <w:marTop w:val="0"/>
      <w:marBottom w:val="0"/>
      <w:divBdr>
        <w:top w:val="none" w:sz="0" w:space="0" w:color="auto"/>
        <w:left w:val="none" w:sz="0" w:space="0" w:color="auto"/>
        <w:bottom w:val="none" w:sz="0" w:space="0" w:color="auto"/>
        <w:right w:val="none" w:sz="0" w:space="0" w:color="auto"/>
      </w:divBdr>
    </w:div>
    <w:div w:id="854005639">
      <w:bodyDiv w:val="1"/>
      <w:marLeft w:val="0"/>
      <w:marRight w:val="0"/>
      <w:marTop w:val="0"/>
      <w:marBottom w:val="0"/>
      <w:divBdr>
        <w:top w:val="none" w:sz="0" w:space="0" w:color="auto"/>
        <w:left w:val="none" w:sz="0" w:space="0" w:color="auto"/>
        <w:bottom w:val="none" w:sz="0" w:space="0" w:color="auto"/>
        <w:right w:val="none" w:sz="0" w:space="0" w:color="auto"/>
      </w:divBdr>
    </w:div>
    <w:div w:id="905266230">
      <w:bodyDiv w:val="1"/>
      <w:marLeft w:val="0"/>
      <w:marRight w:val="0"/>
      <w:marTop w:val="0"/>
      <w:marBottom w:val="0"/>
      <w:divBdr>
        <w:top w:val="none" w:sz="0" w:space="0" w:color="auto"/>
        <w:left w:val="none" w:sz="0" w:space="0" w:color="auto"/>
        <w:bottom w:val="none" w:sz="0" w:space="0" w:color="auto"/>
        <w:right w:val="none" w:sz="0" w:space="0" w:color="auto"/>
      </w:divBdr>
      <w:divsChild>
        <w:div w:id="1106997771">
          <w:marLeft w:val="0"/>
          <w:marRight w:val="0"/>
          <w:marTop w:val="0"/>
          <w:marBottom w:val="0"/>
          <w:divBdr>
            <w:top w:val="none" w:sz="0" w:space="0" w:color="auto"/>
            <w:left w:val="none" w:sz="0" w:space="0" w:color="auto"/>
            <w:bottom w:val="none" w:sz="0" w:space="0" w:color="auto"/>
            <w:right w:val="none" w:sz="0" w:space="0" w:color="auto"/>
          </w:divBdr>
        </w:div>
      </w:divsChild>
    </w:div>
    <w:div w:id="999698772">
      <w:bodyDiv w:val="1"/>
      <w:marLeft w:val="0"/>
      <w:marRight w:val="0"/>
      <w:marTop w:val="0"/>
      <w:marBottom w:val="0"/>
      <w:divBdr>
        <w:top w:val="none" w:sz="0" w:space="0" w:color="auto"/>
        <w:left w:val="none" w:sz="0" w:space="0" w:color="auto"/>
        <w:bottom w:val="none" w:sz="0" w:space="0" w:color="auto"/>
        <w:right w:val="none" w:sz="0" w:space="0" w:color="auto"/>
      </w:divBdr>
    </w:div>
    <w:div w:id="1057586816">
      <w:bodyDiv w:val="1"/>
      <w:marLeft w:val="0"/>
      <w:marRight w:val="0"/>
      <w:marTop w:val="0"/>
      <w:marBottom w:val="0"/>
      <w:divBdr>
        <w:top w:val="none" w:sz="0" w:space="0" w:color="auto"/>
        <w:left w:val="none" w:sz="0" w:space="0" w:color="auto"/>
        <w:bottom w:val="none" w:sz="0" w:space="0" w:color="auto"/>
        <w:right w:val="none" w:sz="0" w:space="0" w:color="auto"/>
      </w:divBdr>
    </w:div>
    <w:div w:id="1138063899">
      <w:bodyDiv w:val="1"/>
      <w:marLeft w:val="0"/>
      <w:marRight w:val="0"/>
      <w:marTop w:val="0"/>
      <w:marBottom w:val="0"/>
      <w:divBdr>
        <w:top w:val="none" w:sz="0" w:space="0" w:color="auto"/>
        <w:left w:val="none" w:sz="0" w:space="0" w:color="auto"/>
        <w:bottom w:val="none" w:sz="0" w:space="0" w:color="auto"/>
        <w:right w:val="none" w:sz="0" w:space="0" w:color="auto"/>
      </w:divBdr>
    </w:div>
    <w:div w:id="1187403347">
      <w:bodyDiv w:val="1"/>
      <w:marLeft w:val="0"/>
      <w:marRight w:val="0"/>
      <w:marTop w:val="0"/>
      <w:marBottom w:val="0"/>
      <w:divBdr>
        <w:top w:val="none" w:sz="0" w:space="0" w:color="auto"/>
        <w:left w:val="none" w:sz="0" w:space="0" w:color="auto"/>
        <w:bottom w:val="none" w:sz="0" w:space="0" w:color="auto"/>
        <w:right w:val="none" w:sz="0" w:space="0" w:color="auto"/>
      </w:divBdr>
    </w:div>
    <w:div w:id="1196429712">
      <w:bodyDiv w:val="1"/>
      <w:marLeft w:val="0"/>
      <w:marRight w:val="0"/>
      <w:marTop w:val="0"/>
      <w:marBottom w:val="0"/>
      <w:divBdr>
        <w:top w:val="none" w:sz="0" w:space="0" w:color="auto"/>
        <w:left w:val="none" w:sz="0" w:space="0" w:color="auto"/>
        <w:bottom w:val="none" w:sz="0" w:space="0" w:color="auto"/>
        <w:right w:val="none" w:sz="0" w:space="0" w:color="auto"/>
      </w:divBdr>
    </w:div>
    <w:div w:id="1263223483">
      <w:bodyDiv w:val="1"/>
      <w:marLeft w:val="0"/>
      <w:marRight w:val="0"/>
      <w:marTop w:val="0"/>
      <w:marBottom w:val="0"/>
      <w:divBdr>
        <w:top w:val="none" w:sz="0" w:space="0" w:color="auto"/>
        <w:left w:val="none" w:sz="0" w:space="0" w:color="auto"/>
        <w:bottom w:val="none" w:sz="0" w:space="0" w:color="auto"/>
        <w:right w:val="none" w:sz="0" w:space="0" w:color="auto"/>
      </w:divBdr>
    </w:div>
    <w:div w:id="1329795186">
      <w:bodyDiv w:val="1"/>
      <w:marLeft w:val="0"/>
      <w:marRight w:val="0"/>
      <w:marTop w:val="0"/>
      <w:marBottom w:val="0"/>
      <w:divBdr>
        <w:top w:val="none" w:sz="0" w:space="0" w:color="auto"/>
        <w:left w:val="none" w:sz="0" w:space="0" w:color="auto"/>
        <w:bottom w:val="none" w:sz="0" w:space="0" w:color="auto"/>
        <w:right w:val="none" w:sz="0" w:space="0" w:color="auto"/>
      </w:divBdr>
    </w:div>
    <w:div w:id="1344625663">
      <w:bodyDiv w:val="1"/>
      <w:marLeft w:val="0"/>
      <w:marRight w:val="0"/>
      <w:marTop w:val="0"/>
      <w:marBottom w:val="0"/>
      <w:divBdr>
        <w:top w:val="none" w:sz="0" w:space="0" w:color="auto"/>
        <w:left w:val="none" w:sz="0" w:space="0" w:color="auto"/>
        <w:bottom w:val="none" w:sz="0" w:space="0" w:color="auto"/>
        <w:right w:val="none" w:sz="0" w:space="0" w:color="auto"/>
      </w:divBdr>
      <w:divsChild>
        <w:div w:id="1186746936">
          <w:marLeft w:val="0"/>
          <w:marRight w:val="0"/>
          <w:marTop w:val="0"/>
          <w:marBottom w:val="0"/>
          <w:divBdr>
            <w:top w:val="none" w:sz="0" w:space="0" w:color="auto"/>
            <w:left w:val="none" w:sz="0" w:space="0" w:color="auto"/>
            <w:bottom w:val="none" w:sz="0" w:space="0" w:color="auto"/>
            <w:right w:val="none" w:sz="0" w:space="0" w:color="auto"/>
          </w:divBdr>
        </w:div>
      </w:divsChild>
    </w:div>
    <w:div w:id="1401175953">
      <w:bodyDiv w:val="1"/>
      <w:marLeft w:val="0"/>
      <w:marRight w:val="0"/>
      <w:marTop w:val="0"/>
      <w:marBottom w:val="0"/>
      <w:divBdr>
        <w:top w:val="none" w:sz="0" w:space="0" w:color="auto"/>
        <w:left w:val="none" w:sz="0" w:space="0" w:color="auto"/>
        <w:bottom w:val="none" w:sz="0" w:space="0" w:color="auto"/>
        <w:right w:val="none" w:sz="0" w:space="0" w:color="auto"/>
      </w:divBdr>
    </w:div>
    <w:div w:id="1465539811">
      <w:bodyDiv w:val="1"/>
      <w:marLeft w:val="0"/>
      <w:marRight w:val="0"/>
      <w:marTop w:val="0"/>
      <w:marBottom w:val="0"/>
      <w:divBdr>
        <w:top w:val="none" w:sz="0" w:space="0" w:color="auto"/>
        <w:left w:val="none" w:sz="0" w:space="0" w:color="auto"/>
        <w:bottom w:val="none" w:sz="0" w:space="0" w:color="auto"/>
        <w:right w:val="none" w:sz="0" w:space="0" w:color="auto"/>
      </w:divBdr>
      <w:divsChild>
        <w:div w:id="1506630909">
          <w:marLeft w:val="0"/>
          <w:marRight w:val="0"/>
          <w:marTop w:val="0"/>
          <w:marBottom w:val="0"/>
          <w:divBdr>
            <w:top w:val="none" w:sz="0" w:space="0" w:color="auto"/>
            <w:left w:val="none" w:sz="0" w:space="0" w:color="auto"/>
            <w:bottom w:val="none" w:sz="0" w:space="0" w:color="auto"/>
            <w:right w:val="none" w:sz="0" w:space="0" w:color="auto"/>
          </w:divBdr>
        </w:div>
        <w:div w:id="1736707843">
          <w:marLeft w:val="0"/>
          <w:marRight w:val="0"/>
          <w:marTop w:val="0"/>
          <w:marBottom w:val="0"/>
          <w:divBdr>
            <w:top w:val="none" w:sz="0" w:space="0" w:color="auto"/>
            <w:left w:val="none" w:sz="0" w:space="0" w:color="auto"/>
            <w:bottom w:val="none" w:sz="0" w:space="0" w:color="auto"/>
            <w:right w:val="none" w:sz="0" w:space="0" w:color="auto"/>
          </w:divBdr>
        </w:div>
        <w:div w:id="1696688276">
          <w:marLeft w:val="0"/>
          <w:marRight w:val="0"/>
          <w:marTop w:val="0"/>
          <w:marBottom w:val="0"/>
          <w:divBdr>
            <w:top w:val="none" w:sz="0" w:space="0" w:color="auto"/>
            <w:left w:val="none" w:sz="0" w:space="0" w:color="auto"/>
            <w:bottom w:val="none" w:sz="0" w:space="0" w:color="auto"/>
            <w:right w:val="none" w:sz="0" w:space="0" w:color="auto"/>
          </w:divBdr>
        </w:div>
        <w:div w:id="723866242">
          <w:marLeft w:val="0"/>
          <w:marRight w:val="0"/>
          <w:marTop w:val="0"/>
          <w:marBottom w:val="0"/>
          <w:divBdr>
            <w:top w:val="none" w:sz="0" w:space="0" w:color="auto"/>
            <w:left w:val="none" w:sz="0" w:space="0" w:color="auto"/>
            <w:bottom w:val="none" w:sz="0" w:space="0" w:color="auto"/>
            <w:right w:val="none" w:sz="0" w:space="0" w:color="auto"/>
          </w:divBdr>
        </w:div>
        <w:div w:id="1900824651">
          <w:marLeft w:val="0"/>
          <w:marRight w:val="0"/>
          <w:marTop w:val="0"/>
          <w:marBottom w:val="0"/>
          <w:divBdr>
            <w:top w:val="none" w:sz="0" w:space="0" w:color="auto"/>
            <w:left w:val="none" w:sz="0" w:space="0" w:color="auto"/>
            <w:bottom w:val="none" w:sz="0" w:space="0" w:color="auto"/>
            <w:right w:val="none" w:sz="0" w:space="0" w:color="auto"/>
          </w:divBdr>
        </w:div>
        <w:div w:id="68305736">
          <w:marLeft w:val="0"/>
          <w:marRight w:val="0"/>
          <w:marTop w:val="0"/>
          <w:marBottom w:val="0"/>
          <w:divBdr>
            <w:top w:val="none" w:sz="0" w:space="0" w:color="auto"/>
            <w:left w:val="none" w:sz="0" w:space="0" w:color="auto"/>
            <w:bottom w:val="none" w:sz="0" w:space="0" w:color="auto"/>
            <w:right w:val="none" w:sz="0" w:space="0" w:color="auto"/>
          </w:divBdr>
        </w:div>
        <w:div w:id="1155032780">
          <w:marLeft w:val="0"/>
          <w:marRight w:val="0"/>
          <w:marTop w:val="0"/>
          <w:marBottom w:val="0"/>
          <w:divBdr>
            <w:top w:val="none" w:sz="0" w:space="0" w:color="auto"/>
            <w:left w:val="none" w:sz="0" w:space="0" w:color="auto"/>
            <w:bottom w:val="none" w:sz="0" w:space="0" w:color="auto"/>
            <w:right w:val="none" w:sz="0" w:space="0" w:color="auto"/>
          </w:divBdr>
        </w:div>
        <w:div w:id="1385249089">
          <w:marLeft w:val="0"/>
          <w:marRight w:val="0"/>
          <w:marTop w:val="0"/>
          <w:marBottom w:val="0"/>
          <w:divBdr>
            <w:top w:val="none" w:sz="0" w:space="0" w:color="auto"/>
            <w:left w:val="none" w:sz="0" w:space="0" w:color="auto"/>
            <w:bottom w:val="none" w:sz="0" w:space="0" w:color="auto"/>
            <w:right w:val="none" w:sz="0" w:space="0" w:color="auto"/>
          </w:divBdr>
        </w:div>
        <w:div w:id="100806846">
          <w:marLeft w:val="0"/>
          <w:marRight w:val="0"/>
          <w:marTop w:val="0"/>
          <w:marBottom w:val="0"/>
          <w:divBdr>
            <w:top w:val="none" w:sz="0" w:space="0" w:color="auto"/>
            <w:left w:val="none" w:sz="0" w:space="0" w:color="auto"/>
            <w:bottom w:val="none" w:sz="0" w:space="0" w:color="auto"/>
            <w:right w:val="none" w:sz="0" w:space="0" w:color="auto"/>
          </w:divBdr>
        </w:div>
        <w:div w:id="1958681864">
          <w:marLeft w:val="0"/>
          <w:marRight w:val="0"/>
          <w:marTop w:val="0"/>
          <w:marBottom w:val="0"/>
          <w:divBdr>
            <w:top w:val="none" w:sz="0" w:space="0" w:color="auto"/>
            <w:left w:val="none" w:sz="0" w:space="0" w:color="auto"/>
            <w:bottom w:val="none" w:sz="0" w:space="0" w:color="auto"/>
            <w:right w:val="none" w:sz="0" w:space="0" w:color="auto"/>
          </w:divBdr>
        </w:div>
        <w:div w:id="1203008903">
          <w:marLeft w:val="0"/>
          <w:marRight w:val="0"/>
          <w:marTop w:val="0"/>
          <w:marBottom w:val="0"/>
          <w:divBdr>
            <w:top w:val="none" w:sz="0" w:space="0" w:color="auto"/>
            <w:left w:val="none" w:sz="0" w:space="0" w:color="auto"/>
            <w:bottom w:val="none" w:sz="0" w:space="0" w:color="auto"/>
            <w:right w:val="none" w:sz="0" w:space="0" w:color="auto"/>
          </w:divBdr>
        </w:div>
        <w:div w:id="1545436098">
          <w:marLeft w:val="0"/>
          <w:marRight w:val="0"/>
          <w:marTop w:val="0"/>
          <w:marBottom w:val="0"/>
          <w:divBdr>
            <w:top w:val="none" w:sz="0" w:space="0" w:color="auto"/>
            <w:left w:val="none" w:sz="0" w:space="0" w:color="auto"/>
            <w:bottom w:val="none" w:sz="0" w:space="0" w:color="auto"/>
            <w:right w:val="none" w:sz="0" w:space="0" w:color="auto"/>
          </w:divBdr>
        </w:div>
        <w:div w:id="1997414570">
          <w:marLeft w:val="0"/>
          <w:marRight w:val="0"/>
          <w:marTop w:val="0"/>
          <w:marBottom w:val="0"/>
          <w:divBdr>
            <w:top w:val="none" w:sz="0" w:space="0" w:color="auto"/>
            <w:left w:val="none" w:sz="0" w:space="0" w:color="auto"/>
            <w:bottom w:val="none" w:sz="0" w:space="0" w:color="auto"/>
            <w:right w:val="none" w:sz="0" w:space="0" w:color="auto"/>
          </w:divBdr>
        </w:div>
        <w:div w:id="580530381">
          <w:marLeft w:val="0"/>
          <w:marRight w:val="0"/>
          <w:marTop w:val="0"/>
          <w:marBottom w:val="0"/>
          <w:divBdr>
            <w:top w:val="none" w:sz="0" w:space="0" w:color="auto"/>
            <w:left w:val="none" w:sz="0" w:space="0" w:color="auto"/>
            <w:bottom w:val="none" w:sz="0" w:space="0" w:color="auto"/>
            <w:right w:val="none" w:sz="0" w:space="0" w:color="auto"/>
          </w:divBdr>
        </w:div>
        <w:div w:id="930893089">
          <w:marLeft w:val="0"/>
          <w:marRight w:val="0"/>
          <w:marTop w:val="0"/>
          <w:marBottom w:val="0"/>
          <w:divBdr>
            <w:top w:val="none" w:sz="0" w:space="0" w:color="auto"/>
            <w:left w:val="none" w:sz="0" w:space="0" w:color="auto"/>
            <w:bottom w:val="none" w:sz="0" w:space="0" w:color="auto"/>
            <w:right w:val="none" w:sz="0" w:space="0" w:color="auto"/>
          </w:divBdr>
        </w:div>
        <w:div w:id="326131315">
          <w:marLeft w:val="0"/>
          <w:marRight w:val="0"/>
          <w:marTop w:val="0"/>
          <w:marBottom w:val="0"/>
          <w:divBdr>
            <w:top w:val="none" w:sz="0" w:space="0" w:color="auto"/>
            <w:left w:val="none" w:sz="0" w:space="0" w:color="auto"/>
            <w:bottom w:val="none" w:sz="0" w:space="0" w:color="auto"/>
            <w:right w:val="none" w:sz="0" w:space="0" w:color="auto"/>
          </w:divBdr>
        </w:div>
        <w:div w:id="2134204307">
          <w:marLeft w:val="0"/>
          <w:marRight w:val="0"/>
          <w:marTop w:val="0"/>
          <w:marBottom w:val="0"/>
          <w:divBdr>
            <w:top w:val="none" w:sz="0" w:space="0" w:color="auto"/>
            <w:left w:val="none" w:sz="0" w:space="0" w:color="auto"/>
            <w:bottom w:val="none" w:sz="0" w:space="0" w:color="auto"/>
            <w:right w:val="none" w:sz="0" w:space="0" w:color="auto"/>
          </w:divBdr>
        </w:div>
        <w:div w:id="988679454">
          <w:marLeft w:val="0"/>
          <w:marRight w:val="0"/>
          <w:marTop w:val="0"/>
          <w:marBottom w:val="0"/>
          <w:divBdr>
            <w:top w:val="none" w:sz="0" w:space="0" w:color="auto"/>
            <w:left w:val="none" w:sz="0" w:space="0" w:color="auto"/>
            <w:bottom w:val="none" w:sz="0" w:space="0" w:color="auto"/>
            <w:right w:val="none" w:sz="0" w:space="0" w:color="auto"/>
          </w:divBdr>
        </w:div>
        <w:div w:id="1184976461">
          <w:marLeft w:val="0"/>
          <w:marRight w:val="0"/>
          <w:marTop w:val="0"/>
          <w:marBottom w:val="0"/>
          <w:divBdr>
            <w:top w:val="none" w:sz="0" w:space="0" w:color="auto"/>
            <w:left w:val="none" w:sz="0" w:space="0" w:color="auto"/>
            <w:bottom w:val="none" w:sz="0" w:space="0" w:color="auto"/>
            <w:right w:val="none" w:sz="0" w:space="0" w:color="auto"/>
          </w:divBdr>
        </w:div>
        <w:div w:id="237060404">
          <w:marLeft w:val="0"/>
          <w:marRight w:val="0"/>
          <w:marTop w:val="0"/>
          <w:marBottom w:val="0"/>
          <w:divBdr>
            <w:top w:val="none" w:sz="0" w:space="0" w:color="auto"/>
            <w:left w:val="none" w:sz="0" w:space="0" w:color="auto"/>
            <w:bottom w:val="none" w:sz="0" w:space="0" w:color="auto"/>
            <w:right w:val="none" w:sz="0" w:space="0" w:color="auto"/>
          </w:divBdr>
        </w:div>
        <w:div w:id="2140568520">
          <w:marLeft w:val="0"/>
          <w:marRight w:val="0"/>
          <w:marTop w:val="0"/>
          <w:marBottom w:val="0"/>
          <w:divBdr>
            <w:top w:val="none" w:sz="0" w:space="0" w:color="auto"/>
            <w:left w:val="none" w:sz="0" w:space="0" w:color="auto"/>
            <w:bottom w:val="none" w:sz="0" w:space="0" w:color="auto"/>
            <w:right w:val="none" w:sz="0" w:space="0" w:color="auto"/>
          </w:divBdr>
        </w:div>
        <w:div w:id="1420100630">
          <w:marLeft w:val="0"/>
          <w:marRight w:val="0"/>
          <w:marTop w:val="0"/>
          <w:marBottom w:val="0"/>
          <w:divBdr>
            <w:top w:val="none" w:sz="0" w:space="0" w:color="auto"/>
            <w:left w:val="none" w:sz="0" w:space="0" w:color="auto"/>
            <w:bottom w:val="none" w:sz="0" w:space="0" w:color="auto"/>
            <w:right w:val="none" w:sz="0" w:space="0" w:color="auto"/>
          </w:divBdr>
        </w:div>
      </w:divsChild>
    </w:div>
    <w:div w:id="1527138434">
      <w:bodyDiv w:val="1"/>
      <w:marLeft w:val="0"/>
      <w:marRight w:val="0"/>
      <w:marTop w:val="0"/>
      <w:marBottom w:val="0"/>
      <w:divBdr>
        <w:top w:val="none" w:sz="0" w:space="0" w:color="auto"/>
        <w:left w:val="none" w:sz="0" w:space="0" w:color="auto"/>
        <w:bottom w:val="none" w:sz="0" w:space="0" w:color="auto"/>
        <w:right w:val="none" w:sz="0" w:space="0" w:color="auto"/>
      </w:divBdr>
    </w:div>
    <w:div w:id="1664551327">
      <w:bodyDiv w:val="1"/>
      <w:marLeft w:val="0"/>
      <w:marRight w:val="0"/>
      <w:marTop w:val="0"/>
      <w:marBottom w:val="0"/>
      <w:divBdr>
        <w:top w:val="none" w:sz="0" w:space="0" w:color="auto"/>
        <w:left w:val="none" w:sz="0" w:space="0" w:color="auto"/>
        <w:bottom w:val="none" w:sz="0" w:space="0" w:color="auto"/>
        <w:right w:val="none" w:sz="0" w:space="0" w:color="auto"/>
      </w:divBdr>
    </w:div>
    <w:div w:id="1681472513">
      <w:bodyDiv w:val="1"/>
      <w:marLeft w:val="0"/>
      <w:marRight w:val="0"/>
      <w:marTop w:val="0"/>
      <w:marBottom w:val="0"/>
      <w:divBdr>
        <w:top w:val="none" w:sz="0" w:space="0" w:color="auto"/>
        <w:left w:val="none" w:sz="0" w:space="0" w:color="auto"/>
        <w:bottom w:val="none" w:sz="0" w:space="0" w:color="auto"/>
        <w:right w:val="none" w:sz="0" w:space="0" w:color="auto"/>
      </w:divBdr>
    </w:div>
    <w:div w:id="1705016817">
      <w:bodyDiv w:val="1"/>
      <w:marLeft w:val="0"/>
      <w:marRight w:val="0"/>
      <w:marTop w:val="0"/>
      <w:marBottom w:val="0"/>
      <w:divBdr>
        <w:top w:val="none" w:sz="0" w:space="0" w:color="auto"/>
        <w:left w:val="none" w:sz="0" w:space="0" w:color="auto"/>
        <w:bottom w:val="none" w:sz="0" w:space="0" w:color="auto"/>
        <w:right w:val="none" w:sz="0" w:space="0" w:color="auto"/>
      </w:divBdr>
    </w:div>
    <w:div w:id="1708330088">
      <w:bodyDiv w:val="1"/>
      <w:marLeft w:val="0"/>
      <w:marRight w:val="0"/>
      <w:marTop w:val="0"/>
      <w:marBottom w:val="0"/>
      <w:divBdr>
        <w:top w:val="none" w:sz="0" w:space="0" w:color="auto"/>
        <w:left w:val="none" w:sz="0" w:space="0" w:color="auto"/>
        <w:bottom w:val="none" w:sz="0" w:space="0" w:color="auto"/>
        <w:right w:val="none" w:sz="0" w:space="0" w:color="auto"/>
      </w:divBdr>
    </w:div>
    <w:div w:id="1860074327">
      <w:bodyDiv w:val="1"/>
      <w:marLeft w:val="0"/>
      <w:marRight w:val="0"/>
      <w:marTop w:val="0"/>
      <w:marBottom w:val="0"/>
      <w:divBdr>
        <w:top w:val="none" w:sz="0" w:space="0" w:color="auto"/>
        <w:left w:val="none" w:sz="0" w:space="0" w:color="auto"/>
        <w:bottom w:val="none" w:sz="0" w:space="0" w:color="auto"/>
        <w:right w:val="none" w:sz="0" w:space="0" w:color="auto"/>
      </w:divBdr>
    </w:div>
    <w:div w:id="1953585627">
      <w:bodyDiv w:val="1"/>
      <w:marLeft w:val="0"/>
      <w:marRight w:val="0"/>
      <w:marTop w:val="0"/>
      <w:marBottom w:val="0"/>
      <w:divBdr>
        <w:top w:val="none" w:sz="0" w:space="0" w:color="auto"/>
        <w:left w:val="none" w:sz="0" w:space="0" w:color="auto"/>
        <w:bottom w:val="none" w:sz="0" w:space="0" w:color="auto"/>
        <w:right w:val="none" w:sz="0" w:space="0" w:color="auto"/>
      </w:divBdr>
    </w:div>
    <w:div w:id="2011711012">
      <w:bodyDiv w:val="1"/>
      <w:marLeft w:val="0"/>
      <w:marRight w:val="0"/>
      <w:marTop w:val="0"/>
      <w:marBottom w:val="0"/>
      <w:divBdr>
        <w:top w:val="none" w:sz="0" w:space="0" w:color="auto"/>
        <w:left w:val="none" w:sz="0" w:space="0" w:color="auto"/>
        <w:bottom w:val="none" w:sz="0" w:space="0" w:color="auto"/>
        <w:right w:val="none" w:sz="0" w:space="0" w:color="auto"/>
      </w:divBdr>
    </w:div>
    <w:div w:id="2018338231">
      <w:bodyDiv w:val="1"/>
      <w:marLeft w:val="0"/>
      <w:marRight w:val="0"/>
      <w:marTop w:val="0"/>
      <w:marBottom w:val="0"/>
      <w:divBdr>
        <w:top w:val="none" w:sz="0" w:space="0" w:color="auto"/>
        <w:left w:val="none" w:sz="0" w:space="0" w:color="auto"/>
        <w:bottom w:val="none" w:sz="0" w:space="0" w:color="auto"/>
        <w:right w:val="none" w:sz="0" w:space="0" w:color="auto"/>
      </w:divBdr>
      <w:divsChild>
        <w:div w:id="581066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5.bin"/><Relationship Id="rId21" Type="http://schemas.openxmlformats.org/officeDocument/2006/relationships/oleObject" Target="embeddings/oleObject2.bin"/><Relationship Id="rId42" Type="http://schemas.openxmlformats.org/officeDocument/2006/relationships/oleObject" Target="embeddings/oleObject13.bin"/><Relationship Id="rId47" Type="http://schemas.openxmlformats.org/officeDocument/2006/relationships/oleObject" Target="embeddings/oleObject16.bin"/><Relationship Id="rId63" Type="http://schemas.openxmlformats.org/officeDocument/2006/relationships/oleObject" Target="embeddings/oleObject24.bin"/><Relationship Id="rId68" Type="http://schemas.openxmlformats.org/officeDocument/2006/relationships/oleObject" Target="embeddings/oleObject27.bin"/><Relationship Id="rId84" Type="http://schemas.openxmlformats.org/officeDocument/2006/relationships/hyperlink" Target="https://escholarship.org/uc/item/31v7z2vf" TargetMode="External"/><Relationship Id="rId89" Type="http://schemas.openxmlformats.org/officeDocument/2006/relationships/hyperlink" Target="https://www.uber.com/newsroom/ride-pass/" TargetMode="External"/><Relationship Id="rId16" Type="http://schemas.openxmlformats.org/officeDocument/2006/relationships/header" Target="header1.xml"/><Relationship Id="rId11" Type="http://schemas.openxmlformats.org/officeDocument/2006/relationships/hyperlink" Target="mailto:ram.pendyala@asu.edu" TargetMode="External"/><Relationship Id="rId32" Type="http://schemas.openxmlformats.org/officeDocument/2006/relationships/oleObject" Target="embeddings/oleObject8.bin"/><Relationship Id="rId37" Type="http://schemas.openxmlformats.org/officeDocument/2006/relationships/image" Target="media/image10.wmf"/><Relationship Id="rId53" Type="http://schemas.openxmlformats.org/officeDocument/2006/relationships/oleObject" Target="embeddings/oleObject19.bin"/><Relationship Id="rId58" Type="http://schemas.openxmlformats.org/officeDocument/2006/relationships/image" Target="media/image20.wmf"/><Relationship Id="rId74" Type="http://schemas.openxmlformats.org/officeDocument/2006/relationships/image" Target="media/image27.wmf"/><Relationship Id="rId79" Type="http://schemas.openxmlformats.org/officeDocument/2006/relationships/oleObject" Target="embeddings/oleObject33.bin"/><Relationship Id="rId5" Type="http://schemas.openxmlformats.org/officeDocument/2006/relationships/webSettings" Target="webSettings.xml"/><Relationship Id="rId90" Type="http://schemas.openxmlformats.org/officeDocument/2006/relationships/hyperlink" Target="https://blog.lyft.com/posts/subscribe-and-save-with-the-all-access-plan" TargetMode="External"/><Relationship Id="rId95" Type="http://schemas.openxmlformats.org/officeDocument/2006/relationships/hyperlink" Target="https://www.uber.com/blog/seattle/uberpool-in-seattle/" TargetMode="External"/><Relationship Id="rId22" Type="http://schemas.openxmlformats.org/officeDocument/2006/relationships/image" Target="media/image3.wmf"/><Relationship Id="rId27" Type="http://schemas.openxmlformats.org/officeDocument/2006/relationships/image" Target="media/image5.wmf"/><Relationship Id="rId43" Type="http://schemas.openxmlformats.org/officeDocument/2006/relationships/image" Target="media/image13.wmf"/><Relationship Id="rId48" Type="http://schemas.openxmlformats.org/officeDocument/2006/relationships/image" Target="media/image15.wmf"/><Relationship Id="rId64" Type="http://schemas.openxmlformats.org/officeDocument/2006/relationships/oleObject" Target="embeddings/oleObject25.bin"/><Relationship Id="rId69" Type="http://schemas.openxmlformats.org/officeDocument/2006/relationships/oleObject" Target="embeddings/oleObject28.bin"/><Relationship Id="rId80" Type="http://schemas.openxmlformats.org/officeDocument/2006/relationships/hyperlink" Target="https://www.sandag.org/uploads/publicationid/publicationid_2145_23025.pdf" TargetMode="External"/><Relationship Id="rId85" Type="http://schemas.openxmlformats.org/officeDocument/2006/relationships/hyperlink" Target="https://doi.org/10.1007/s11116-019-10070-2" TargetMode="External"/><Relationship Id="rId12" Type="http://schemas.openxmlformats.org/officeDocument/2006/relationships/hyperlink" Target="mailto:william.lam@polyu.edu.hk" TargetMode="External"/><Relationship Id="rId17" Type="http://schemas.openxmlformats.org/officeDocument/2006/relationships/header" Target="header2.xml"/><Relationship Id="rId25" Type="http://schemas.openxmlformats.org/officeDocument/2006/relationships/oleObject" Target="embeddings/oleObject4.bin"/><Relationship Id="rId33" Type="http://schemas.openxmlformats.org/officeDocument/2006/relationships/image" Target="media/image8.wmf"/><Relationship Id="rId38" Type="http://schemas.openxmlformats.org/officeDocument/2006/relationships/oleObject" Target="embeddings/oleObject11.bin"/><Relationship Id="rId46" Type="http://schemas.openxmlformats.org/officeDocument/2006/relationships/image" Target="media/image14.wmf"/><Relationship Id="rId59" Type="http://schemas.openxmlformats.org/officeDocument/2006/relationships/oleObject" Target="embeddings/oleObject22.bin"/><Relationship Id="rId67" Type="http://schemas.openxmlformats.org/officeDocument/2006/relationships/image" Target="media/image24.wmf"/><Relationship Id="rId20" Type="http://schemas.openxmlformats.org/officeDocument/2006/relationships/image" Target="media/image2.wmf"/><Relationship Id="rId41" Type="http://schemas.openxmlformats.org/officeDocument/2006/relationships/image" Target="media/image12.wmf"/><Relationship Id="rId54" Type="http://schemas.openxmlformats.org/officeDocument/2006/relationships/image" Target="media/image18.wmf"/><Relationship Id="rId62" Type="http://schemas.openxmlformats.org/officeDocument/2006/relationships/image" Target="media/image22.wmf"/><Relationship Id="rId70" Type="http://schemas.openxmlformats.org/officeDocument/2006/relationships/image" Target="media/image25.wmf"/><Relationship Id="rId75" Type="http://schemas.openxmlformats.org/officeDocument/2006/relationships/oleObject" Target="embeddings/oleObject31.bin"/><Relationship Id="rId83" Type="http://schemas.openxmlformats.org/officeDocument/2006/relationships/hyperlink" Target="https://www.nytimes.com/2019/05/19/nyregion/nyc-taxis-medallions-suicides.html" TargetMode="External"/><Relationship Id="rId88" Type="http://schemas.openxmlformats.org/officeDocument/2006/relationships/hyperlink" Target="http://fortune.com/2016/07/18/uber-two-billion-rides/" TargetMode="External"/><Relationship Id="rId91" Type="http://schemas.openxmlformats.org/officeDocument/2006/relationships/hyperlink" Target="https://web.archive.org/web/20110924021549/http://blog.uber.com/2011/08/12/you-are-now-free-to-move-about-seattle/" TargetMode="External"/><Relationship Id="rId96" Type="http://schemas.openxmlformats.org/officeDocument/2006/relationships/hyperlink" Target="https://blog.lyft.com/posts/lyft-line-seattl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gitakrishnan@iitm.ac.in" TargetMode="External"/><Relationship Id="rId23" Type="http://schemas.openxmlformats.org/officeDocument/2006/relationships/oleObject" Target="embeddings/oleObject3.bin"/><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openxmlformats.org/officeDocument/2006/relationships/oleObject" Target="embeddings/oleObject17.bin"/><Relationship Id="rId57" Type="http://schemas.openxmlformats.org/officeDocument/2006/relationships/oleObject" Target="embeddings/oleObject21.bin"/><Relationship Id="rId10" Type="http://schemas.openxmlformats.org/officeDocument/2006/relationships/hyperlink" Target="mailto:bhat@mail.utexas.edu" TargetMode="External"/><Relationship Id="rId31" Type="http://schemas.openxmlformats.org/officeDocument/2006/relationships/image" Target="media/image7.wmf"/><Relationship Id="rId44" Type="http://schemas.openxmlformats.org/officeDocument/2006/relationships/oleObject" Target="embeddings/oleObject14.bin"/><Relationship Id="rId52" Type="http://schemas.openxmlformats.org/officeDocument/2006/relationships/image" Target="media/image17.wmf"/><Relationship Id="rId60" Type="http://schemas.openxmlformats.org/officeDocument/2006/relationships/image" Target="media/image21.wmf"/><Relationship Id="rId65" Type="http://schemas.openxmlformats.org/officeDocument/2006/relationships/image" Target="media/image23.wmf"/><Relationship Id="rId73" Type="http://schemas.openxmlformats.org/officeDocument/2006/relationships/oleObject" Target="embeddings/oleObject30.bin"/><Relationship Id="rId78" Type="http://schemas.openxmlformats.org/officeDocument/2006/relationships/image" Target="media/image29.wmf"/><Relationship Id="rId81" Type="http://schemas.openxmlformats.org/officeDocument/2006/relationships/hyperlink" Target="http://www.schallerconsult.com/rideservices/automobility.pdf" TargetMode="External"/><Relationship Id="rId86" Type="http://schemas.openxmlformats.org/officeDocument/2006/relationships/hyperlink" Target="https://doi.org/10.17226/14665" TargetMode="External"/><Relationship Id="rId94" Type="http://schemas.openxmlformats.org/officeDocument/2006/relationships/hyperlink" Target="https://factfinder.census.gov/faces/nav/jsf/pages/index.xhtml" TargetMode="External"/><Relationship Id="rId99" Type="http://schemas.openxmlformats.org/officeDocument/2006/relationships/footer" Target="footer1.xm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aehooie.kim@asu.edu" TargetMode="External"/><Relationship Id="rId13" Type="http://schemas.openxmlformats.org/officeDocument/2006/relationships/hyperlink" Target="mailto:abdul@iisc.ac.in" TargetMode="External"/><Relationship Id="rId18" Type="http://schemas.openxmlformats.org/officeDocument/2006/relationships/image" Target="media/image1.wmf"/><Relationship Id="rId39" Type="http://schemas.openxmlformats.org/officeDocument/2006/relationships/image" Target="media/image11.wmf"/><Relationship Id="rId34" Type="http://schemas.openxmlformats.org/officeDocument/2006/relationships/oleObject" Target="embeddings/oleObject9.bin"/><Relationship Id="rId50" Type="http://schemas.openxmlformats.org/officeDocument/2006/relationships/image" Target="media/image16.wmf"/><Relationship Id="rId55" Type="http://schemas.openxmlformats.org/officeDocument/2006/relationships/oleObject" Target="embeddings/oleObject20.bin"/><Relationship Id="rId76" Type="http://schemas.openxmlformats.org/officeDocument/2006/relationships/image" Target="media/image28.wmf"/><Relationship Id="rId97" Type="http://schemas.openxmlformats.org/officeDocument/2006/relationships/hyperlink" Target="https://www.pewinternet.org/fact-sheet/mobile/" TargetMode="External"/><Relationship Id="rId7" Type="http://schemas.openxmlformats.org/officeDocument/2006/relationships/endnotes" Target="endnotes.xml"/><Relationship Id="rId71" Type="http://schemas.openxmlformats.org/officeDocument/2006/relationships/oleObject" Target="embeddings/oleObject29.bin"/><Relationship Id="rId92" Type="http://schemas.openxmlformats.org/officeDocument/2006/relationships/hyperlink" Target="https://www.psrc.org/sites/default/files/2015-household-survey-tech-report.pdf" TargetMode="External"/><Relationship Id="rId2" Type="http://schemas.openxmlformats.org/officeDocument/2006/relationships/numbering" Target="numbering.xml"/><Relationship Id="rId29" Type="http://schemas.openxmlformats.org/officeDocument/2006/relationships/image" Target="media/image6.wmf"/><Relationship Id="rId24" Type="http://schemas.openxmlformats.org/officeDocument/2006/relationships/image" Target="media/image4.wmf"/><Relationship Id="rId40" Type="http://schemas.openxmlformats.org/officeDocument/2006/relationships/oleObject" Target="embeddings/oleObject12.bin"/><Relationship Id="rId45" Type="http://schemas.openxmlformats.org/officeDocument/2006/relationships/oleObject" Target="embeddings/oleObject15.bin"/><Relationship Id="rId66" Type="http://schemas.openxmlformats.org/officeDocument/2006/relationships/oleObject" Target="embeddings/oleObject26.bin"/><Relationship Id="rId87" Type="http://schemas.openxmlformats.org/officeDocument/2006/relationships/hyperlink" Target="https://www.uber.com/newsroom/one-in-a-billion/" TargetMode="External"/><Relationship Id="rId61" Type="http://schemas.openxmlformats.org/officeDocument/2006/relationships/oleObject" Target="embeddings/oleObject23.bin"/><Relationship Id="rId82" Type="http://schemas.openxmlformats.org/officeDocument/2006/relationships/hyperlink" Target="https://www.nytimes.com/2017/09/10/nyregion/new-york-taxi-medallions-uber.html?module=inline" TargetMode="External"/><Relationship Id="rId19" Type="http://schemas.openxmlformats.org/officeDocument/2006/relationships/oleObject" Target="embeddings/oleObject1.bin"/><Relationship Id="rId14" Type="http://schemas.openxmlformats.org/officeDocument/2006/relationships/hyperlink" Target="mailto:karthikks@iitm.ac.in" TargetMode="External"/><Relationship Id="rId30" Type="http://schemas.openxmlformats.org/officeDocument/2006/relationships/oleObject" Target="embeddings/oleObject7.bin"/><Relationship Id="rId35" Type="http://schemas.openxmlformats.org/officeDocument/2006/relationships/image" Target="media/image9.wmf"/><Relationship Id="rId56" Type="http://schemas.openxmlformats.org/officeDocument/2006/relationships/image" Target="media/image19.wmf"/><Relationship Id="rId77" Type="http://schemas.openxmlformats.org/officeDocument/2006/relationships/oleObject" Target="embeddings/oleObject32.bin"/><Relationship Id="rId100" Type="http://schemas.openxmlformats.org/officeDocument/2006/relationships/fontTable" Target="fontTable.xml"/><Relationship Id="rId8" Type="http://schemas.openxmlformats.org/officeDocument/2006/relationships/hyperlink" Target="mailto:fdias@utexas.edu" TargetMode="External"/><Relationship Id="rId51" Type="http://schemas.openxmlformats.org/officeDocument/2006/relationships/oleObject" Target="embeddings/oleObject18.bin"/><Relationship Id="rId72" Type="http://schemas.openxmlformats.org/officeDocument/2006/relationships/image" Target="media/image26.wmf"/><Relationship Id="rId93" Type="http://schemas.openxmlformats.org/officeDocument/2006/relationships/hyperlink" Target="https://www.psrc.org/sites/default/files/psrc2017-final-report.pdf" TargetMode="External"/><Relationship Id="rId98" Type="http://schemas.openxmlformats.org/officeDocument/2006/relationships/header" Target="header3.xml"/><Relationship Id="rId3" Type="http://schemas.openxmlformats.org/officeDocument/2006/relationships/styles" Target="styl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80331-53E2-4115-9E89-CD65812F0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13607</Words>
  <Characters>77561</Characters>
  <Application>Microsoft Office Word</Application>
  <DocSecurity>0</DocSecurity>
  <Lines>646</Lines>
  <Paragraphs>181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90987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Patrícia Lavieri</dc:creator>
  <cp:keywords/>
  <dc:description/>
  <cp:lastModifiedBy>Macias, Lisa J</cp:lastModifiedBy>
  <cp:revision>2</cp:revision>
  <cp:lastPrinted>2020-02-20T04:55:00Z</cp:lastPrinted>
  <dcterms:created xsi:type="dcterms:W3CDTF">2020-09-14T22:34:00Z</dcterms:created>
  <dcterms:modified xsi:type="dcterms:W3CDTF">2020-09-14T22:34:00Z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