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1A1D" w14:textId="77777777" w:rsidR="00AD5DB0" w:rsidRPr="00AD5DB0" w:rsidRDefault="00AD5DB0" w:rsidP="00DE7BE7">
      <w:pPr>
        <w:spacing w:after="0" w:line="240" w:lineRule="auto"/>
        <w:rPr>
          <w:rFonts w:ascii="Times New Roman" w:hAnsi="Times New Roman" w:cs="Times New Roman"/>
          <w:b/>
          <w:bCs/>
          <w:color w:val="000000" w:themeColor="text1"/>
          <w:sz w:val="24"/>
          <w:szCs w:val="24"/>
        </w:rPr>
      </w:pPr>
    </w:p>
    <w:p w14:paraId="60D95C34" w14:textId="77777777" w:rsidR="00AD5DB0" w:rsidRPr="00AD5DB0" w:rsidRDefault="00AD5DB0" w:rsidP="00DE7BE7">
      <w:pPr>
        <w:spacing w:after="0" w:line="240" w:lineRule="auto"/>
        <w:rPr>
          <w:rFonts w:ascii="Times New Roman" w:hAnsi="Times New Roman" w:cs="Times New Roman"/>
          <w:b/>
          <w:bCs/>
          <w:color w:val="000000" w:themeColor="text1"/>
          <w:sz w:val="24"/>
          <w:szCs w:val="24"/>
        </w:rPr>
      </w:pPr>
    </w:p>
    <w:p w14:paraId="0CAF82C2" w14:textId="77777777" w:rsidR="005F211D" w:rsidRDefault="005F211D" w:rsidP="00DE7BE7">
      <w:pPr>
        <w:spacing w:after="0" w:line="240" w:lineRule="auto"/>
        <w:rPr>
          <w:rFonts w:ascii="Times New Roman" w:hAnsi="Times New Roman" w:cs="Times New Roman"/>
          <w:b/>
          <w:bCs/>
          <w:color w:val="000000" w:themeColor="text1"/>
          <w:sz w:val="24"/>
          <w:szCs w:val="24"/>
        </w:rPr>
      </w:pPr>
    </w:p>
    <w:p w14:paraId="163B743B" w14:textId="77777777" w:rsidR="005F211D" w:rsidRDefault="005F211D" w:rsidP="00DE7BE7">
      <w:pPr>
        <w:spacing w:after="0" w:line="240" w:lineRule="auto"/>
        <w:rPr>
          <w:rFonts w:ascii="Times New Roman" w:hAnsi="Times New Roman" w:cs="Times New Roman"/>
          <w:b/>
          <w:bCs/>
          <w:color w:val="000000" w:themeColor="text1"/>
          <w:sz w:val="24"/>
          <w:szCs w:val="24"/>
        </w:rPr>
      </w:pPr>
    </w:p>
    <w:p w14:paraId="4FEF2311" w14:textId="4858EAFB" w:rsidR="00176E20" w:rsidRPr="00AD5DB0" w:rsidRDefault="004C70FA" w:rsidP="00EE7392">
      <w:pPr>
        <w:spacing w:after="0" w:line="240" w:lineRule="auto"/>
        <w:rPr>
          <w:rFonts w:ascii="Times New Roman" w:hAnsi="Times New Roman" w:cs="Times New Roman"/>
          <w:b/>
          <w:color w:val="000000" w:themeColor="text1"/>
          <w:sz w:val="24"/>
          <w:szCs w:val="24"/>
        </w:rPr>
      </w:pPr>
      <w:r w:rsidRPr="00AD5DB0">
        <w:rPr>
          <w:rFonts w:ascii="Times New Roman" w:hAnsi="Times New Roman" w:cs="Times New Roman"/>
          <w:b/>
          <w:bCs/>
          <w:color w:val="000000" w:themeColor="text1"/>
          <w:sz w:val="24"/>
          <w:szCs w:val="24"/>
        </w:rPr>
        <w:t>Analy</w:t>
      </w:r>
      <w:r w:rsidR="00D20B53" w:rsidRPr="00AD5DB0">
        <w:rPr>
          <w:rFonts w:ascii="Times New Roman" w:hAnsi="Times New Roman" w:cs="Times New Roman"/>
          <w:b/>
          <w:bCs/>
          <w:color w:val="000000" w:themeColor="text1"/>
          <w:sz w:val="24"/>
          <w:szCs w:val="24"/>
        </w:rPr>
        <w:t>s</w:t>
      </w:r>
      <w:r w:rsidRPr="00AD5DB0">
        <w:rPr>
          <w:rFonts w:ascii="Times New Roman" w:hAnsi="Times New Roman" w:cs="Times New Roman"/>
          <w:b/>
          <w:bCs/>
          <w:color w:val="000000" w:themeColor="text1"/>
          <w:sz w:val="24"/>
          <w:szCs w:val="24"/>
        </w:rPr>
        <w:t xml:space="preserve">ing </w:t>
      </w:r>
      <w:r w:rsidR="00AD5DB0">
        <w:rPr>
          <w:rFonts w:ascii="Times New Roman" w:hAnsi="Times New Roman" w:cs="Times New Roman"/>
          <w:b/>
          <w:bCs/>
          <w:color w:val="000000" w:themeColor="text1"/>
          <w:sz w:val="24"/>
          <w:szCs w:val="24"/>
        </w:rPr>
        <w:t>H</w:t>
      </w:r>
      <w:r w:rsidRPr="00AD5DB0">
        <w:rPr>
          <w:rFonts w:ascii="Times New Roman" w:hAnsi="Times New Roman" w:cs="Times New Roman"/>
          <w:b/>
          <w:bCs/>
          <w:color w:val="000000" w:themeColor="text1"/>
          <w:sz w:val="24"/>
          <w:szCs w:val="24"/>
        </w:rPr>
        <w:t xml:space="preserve">ousehold </w:t>
      </w:r>
      <w:r w:rsidR="00AD5DB0">
        <w:rPr>
          <w:rFonts w:ascii="Times New Roman" w:hAnsi="Times New Roman" w:cs="Times New Roman"/>
          <w:b/>
          <w:bCs/>
          <w:color w:val="000000" w:themeColor="text1"/>
          <w:sz w:val="24"/>
          <w:szCs w:val="24"/>
        </w:rPr>
        <w:t>V</w:t>
      </w:r>
      <w:r w:rsidRPr="00AD5DB0">
        <w:rPr>
          <w:rFonts w:ascii="Times New Roman" w:hAnsi="Times New Roman" w:cs="Times New Roman"/>
          <w:b/>
          <w:bCs/>
          <w:color w:val="000000" w:themeColor="text1"/>
          <w:sz w:val="24"/>
          <w:szCs w:val="24"/>
        </w:rPr>
        <w:t xml:space="preserve">ehicle </w:t>
      </w:r>
      <w:r w:rsidR="00AD5DB0">
        <w:rPr>
          <w:rFonts w:ascii="Times New Roman" w:hAnsi="Times New Roman" w:cs="Times New Roman"/>
          <w:b/>
          <w:bCs/>
          <w:color w:val="000000" w:themeColor="text1"/>
          <w:sz w:val="24"/>
          <w:szCs w:val="24"/>
        </w:rPr>
        <w:t>H</w:t>
      </w:r>
      <w:r w:rsidRPr="00AD5DB0">
        <w:rPr>
          <w:rFonts w:ascii="Times New Roman" w:hAnsi="Times New Roman" w:cs="Times New Roman"/>
          <w:b/>
          <w:bCs/>
          <w:color w:val="000000" w:themeColor="text1"/>
          <w:sz w:val="24"/>
          <w:szCs w:val="24"/>
        </w:rPr>
        <w:t xml:space="preserve">oldings and </w:t>
      </w:r>
      <w:r w:rsidR="00AD5DB0">
        <w:rPr>
          <w:rFonts w:ascii="Times New Roman" w:hAnsi="Times New Roman" w:cs="Times New Roman"/>
          <w:b/>
          <w:bCs/>
          <w:color w:val="000000" w:themeColor="text1"/>
          <w:sz w:val="24"/>
          <w:szCs w:val="24"/>
        </w:rPr>
        <w:t>U</w:t>
      </w:r>
      <w:r w:rsidRPr="00AD5DB0">
        <w:rPr>
          <w:rFonts w:ascii="Times New Roman" w:hAnsi="Times New Roman" w:cs="Times New Roman"/>
          <w:b/>
          <w:bCs/>
          <w:color w:val="000000" w:themeColor="text1"/>
          <w:sz w:val="24"/>
          <w:szCs w:val="24"/>
        </w:rPr>
        <w:t xml:space="preserve">sage in California </w:t>
      </w:r>
      <w:r w:rsidR="00E0399B" w:rsidRPr="00AD5DB0">
        <w:rPr>
          <w:rFonts w:ascii="Times New Roman" w:hAnsi="Times New Roman" w:cs="Times New Roman"/>
          <w:b/>
          <w:bCs/>
          <w:color w:val="000000" w:themeColor="text1"/>
          <w:sz w:val="24"/>
          <w:szCs w:val="24"/>
        </w:rPr>
        <w:t>u</w:t>
      </w:r>
      <w:r w:rsidRPr="00AD5DB0">
        <w:rPr>
          <w:rFonts w:ascii="Times New Roman" w:hAnsi="Times New Roman" w:cs="Times New Roman"/>
          <w:b/>
          <w:bCs/>
          <w:color w:val="000000" w:themeColor="text1"/>
          <w:sz w:val="24"/>
          <w:szCs w:val="24"/>
        </w:rPr>
        <w:t xml:space="preserve">sing a </w:t>
      </w:r>
      <w:r w:rsidR="00AD5DB0">
        <w:rPr>
          <w:rFonts w:ascii="Times New Roman" w:hAnsi="Times New Roman" w:cs="Times New Roman"/>
          <w:b/>
          <w:bCs/>
          <w:color w:val="000000" w:themeColor="text1"/>
          <w:sz w:val="24"/>
          <w:szCs w:val="24"/>
        </w:rPr>
        <w:t>T</w:t>
      </w:r>
      <w:r w:rsidRPr="00AD5DB0">
        <w:rPr>
          <w:rFonts w:ascii="Times New Roman" w:hAnsi="Times New Roman" w:cs="Times New Roman"/>
          <w:b/>
          <w:bCs/>
          <w:color w:val="000000" w:themeColor="text1"/>
          <w:sz w:val="24"/>
          <w:szCs w:val="24"/>
        </w:rPr>
        <w:t>wo-</w:t>
      </w:r>
      <w:r w:rsidR="00AD5DB0">
        <w:rPr>
          <w:rFonts w:ascii="Times New Roman" w:hAnsi="Times New Roman" w:cs="Times New Roman"/>
          <w:b/>
          <w:bCs/>
          <w:color w:val="000000" w:themeColor="text1"/>
          <w:sz w:val="24"/>
          <w:szCs w:val="24"/>
        </w:rPr>
        <w:t>S</w:t>
      </w:r>
      <w:r w:rsidRPr="00AD5DB0">
        <w:rPr>
          <w:rFonts w:ascii="Times New Roman" w:hAnsi="Times New Roman" w:cs="Times New Roman"/>
          <w:b/>
          <w:bCs/>
          <w:color w:val="000000" w:themeColor="text1"/>
          <w:sz w:val="24"/>
          <w:szCs w:val="24"/>
        </w:rPr>
        <w:t xml:space="preserve">tage </w:t>
      </w:r>
      <w:r w:rsidR="00AD5DB0">
        <w:rPr>
          <w:rFonts w:ascii="Times New Roman" w:hAnsi="Times New Roman" w:cs="Times New Roman"/>
          <w:b/>
          <w:bCs/>
          <w:color w:val="000000" w:themeColor="text1"/>
          <w:sz w:val="24"/>
          <w:szCs w:val="24"/>
        </w:rPr>
        <w:t>B</w:t>
      </w:r>
      <w:r w:rsidRPr="00AD5DB0">
        <w:rPr>
          <w:rFonts w:ascii="Times New Roman" w:hAnsi="Times New Roman" w:cs="Times New Roman"/>
          <w:b/>
          <w:bCs/>
          <w:color w:val="000000" w:themeColor="text1"/>
          <w:sz w:val="24"/>
          <w:szCs w:val="24"/>
        </w:rPr>
        <w:t>udgeting-</w:t>
      </w:r>
      <w:r w:rsidR="00AD5DB0">
        <w:rPr>
          <w:rFonts w:ascii="Times New Roman" w:hAnsi="Times New Roman" w:cs="Times New Roman"/>
          <w:b/>
          <w:bCs/>
          <w:color w:val="000000" w:themeColor="text1"/>
          <w:sz w:val="24"/>
          <w:szCs w:val="24"/>
        </w:rPr>
        <w:t>B</w:t>
      </w:r>
      <w:r w:rsidRPr="00AD5DB0">
        <w:rPr>
          <w:rFonts w:ascii="Times New Roman" w:hAnsi="Times New Roman" w:cs="Times New Roman"/>
          <w:b/>
          <w:bCs/>
          <w:color w:val="000000" w:themeColor="text1"/>
          <w:sz w:val="24"/>
          <w:szCs w:val="24"/>
        </w:rPr>
        <w:t xml:space="preserve">ased </w:t>
      </w:r>
      <w:r w:rsidR="00AD5DB0">
        <w:rPr>
          <w:rFonts w:ascii="Times New Roman" w:hAnsi="Times New Roman" w:cs="Times New Roman"/>
          <w:b/>
          <w:bCs/>
          <w:color w:val="000000" w:themeColor="text1"/>
          <w:sz w:val="24"/>
          <w:szCs w:val="24"/>
        </w:rPr>
        <w:t>M</w:t>
      </w:r>
      <w:r w:rsidRPr="00AD5DB0">
        <w:rPr>
          <w:rFonts w:ascii="Times New Roman" w:hAnsi="Times New Roman" w:cs="Times New Roman"/>
          <w:b/>
          <w:bCs/>
          <w:color w:val="000000" w:themeColor="text1"/>
          <w:sz w:val="24"/>
          <w:szCs w:val="24"/>
        </w:rPr>
        <w:t xml:space="preserve">ultiple </w:t>
      </w:r>
      <w:r w:rsidR="00AD5DB0">
        <w:rPr>
          <w:rFonts w:ascii="Times New Roman" w:hAnsi="Times New Roman" w:cs="Times New Roman"/>
          <w:b/>
          <w:bCs/>
          <w:color w:val="000000" w:themeColor="text1"/>
          <w:sz w:val="24"/>
          <w:szCs w:val="24"/>
        </w:rPr>
        <w:t>D</w:t>
      </w:r>
      <w:r w:rsidRPr="00AD5DB0">
        <w:rPr>
          <w:rFonts w:ascii="Times New Roman" w:hAnsi="Times New Roman" w:cs="Times New Roman"/>
          <w:b/>
          <w:bCs/>
          <w:color w:val="000000" w:themeColor="text1"/>
          <w:sz w:val="24"/>
          <w:szCs w:val="24"/>
        </w:rPr>
        <w:t>iscrete-</w:t>
      </w:r>
      <w:r w:rsidR="00AD5DB0">
        <w:rPr>
          <w:rFonts w:ascii="Times New Roman" w:hAnsi="Times New Roman" w:cs="Times New Roman"/>
          <w:b/>
          <w:bCs/>
          <w:color w:val="000000" w:themeColor="text1"/>
          <w:sz w:val="24"/>
          <w:szCs w:val="24"/>
        </w:rPr>
        <w:t>C</w:t>
      </w:r>
      <w:r w:rsidRPr="00AD5DB0">
        <w:rPr>
          <w:rFonts w:ascii="Times New Roman" w:hAnsi="Times New Roman" w:cs="Times New Roman"/>
          <w:b/>
          <w:bCs/>
          <w:color w:val="000000" w:themeColor="text1"/>
          <w:sz w:val="24"/>
          <w:szCs w:val="24"/>
        </w:rPr>
        <w:t xml:space="preserve">ontinuous </w:t>
      </w:r>
      <w:r w:rsidR="00AD5DB0">
        <w:rPr>
          <w:rFonts w:ascii="Times New Roman" w:hAnsi="Times New Roman" w:cs="Times New Roman"/>
          <w:b/>
          <w:bCs/>
          <w:color w:val="000000" w:themeColor="text1"/>
          <w:sz w:val="24"/>
          <w:szCs w:val="24"/>
        </w:rPr>
        <w:t>M</w:t>
      </w:r>
      <w:r w:rsidRPr="00AD5DB0">
        <w:rPr>
          <w:rFonts w:ascii="Times New Roman" w:hAnsi="Times New Roman" w:cs="Times New Roman"/>
          <w:b/>
          <w:bCs/>
          <w:color w:val="000000" w:themeColor="text1"/>
          <w:sz w:val="24"/>
          <w:szCs w:val="24"/>
        </w:rPr>
        <w:t>odel</w:t>
      </w:r>
    </w:p>
    <w:p w14:paraId="4A25AA4F" w14:textId="760E6077" w:rsidR="00774588" w:rsidRPr="00AD5DB0" w:rsidRDefault="00774588" w:rsidP="00DE7BE7">
      <w:pPr>
        <w:spacing w:after="0" w:line="240" w:lineRule="auto"/>
        <w:rPr>
          <w:rFonts w:ascii="Times New Roman" w:hAnsi="Times New Roman" w:cs="Times New Roman"/>
          <w:b/>
          <w:color w:val="000000" w:themeColor="text1"/>
          <w:sz w:val="24"/>
          <w:szCs w:val="24"/>
        </w:rPr>
      </w:pPr>
    </w:p>
    <w:p w14:paraId="2097AF38" w14:textId="0527E8B1" w:rsidR="00AD5DB0" w:rsidRPr="00AD5DB0" w:rsidRDefault="00AD5DB0" w:rsidP="00DE7BE7">
      <w:pPr>
        <w:spacing w:after="0" w:line="240" w:lineRule="auto"/>
        <w:rPr>
          <w:rFonts w:ascii="Times New Roman" w:hAnsi="Times New Roman" w:cs="Times New Roman"/>
          <w:b/>
          <w:color w:val="000000" w:themeColor="text1"/>
          <w:sz w:val="24"/>
          <w:szCs w:val="24"/>
        </w:rPr>
      </w:pPr>
    </w:p>
    <w:p w14:paraId="67168658" w14:textId="2A0E2D61" w:rsidR="00AD5DB0" w:rsidRDefault="00AD5DB0" w:rsidP="00DE7BE7">
      <w:pPr>
        <w:spacing w:after="0" w:line="240" w:lineRule="auto"/>
        <w:rPr>
          <w:rFonts w:ascii="Times New Roman" w:hAnsi="Times New Roman" w:cs="Times New Roman"/>
          <w:b/>
          <w:color w:val="000000" w:themeColor="text1"/>
          <w:sz w:val="24"/>
          <w:szCs w:val="24"/>
        </w:rPr>
      </w:pPr>
    </w:p>
    <w:p w14:paraId="7CEFB7BA" w14:textId="13686471" w:rsidR="000F372D" w:rsidRDefault="000F372D" w:rsidP="00DE7BE7">
      <w:pPr>
        <w:spacing w:after="0" w:line="240" w:lineRule="auto"/>
        <w:rPr>
          <w:rFonts w:ascii="Times New Roman" w:hAnsi="Times New Roman" w:cs="Times New Roman"/>
          <w:b/>
          <w:color w:val="000000" w:themeColor="text1"/>
          <w:sz w:val="24"/>
          <w:szCs w:val="24"/>
        </w:rPr>
      </w:pPr>
    </w:p>
    <w:p w14:paraId="26E1FEEC" w14:textId="77777777" w:rsidR="000F372D" w:rsidRDefault="000F372D" w:rsidP="00DE7BE7">
      <w:pPr>
        <w:spacing w:after="0" w:line="240" w:lineRule="auto"/>
        <w:rPr>
          <w:rFonts w:ascii="Times New Roman" w:hAnsi="Times New Roman" w:cs="Times New Roman"/>
          <w:b/>
          <w:color w:val="000000" w:themeColor="text1"/>
          <w:sz w:val="24"/>
          <w:szCs w:val="24"/>
        </w:rPr>
      </w:pPr>
    </w:p>
    <w:p w14:paraId="6C2DAD36" w14:textId="77777777" w:rsidR="007F691D" w:rsidRPr="00AD5DB0" w:rsidRDefault="007F691D" w:rsidP="00DE7BE7">
      <w:pPr>
        <w:spacing w:after="0" w:line="240" w:lineRule="auto"/>
        <w:rPr>
          <w:rFonts w:ascii="Times New Roman" w:hAnsi="Times New Roman" w:cs="Times New Roman"/>
          <w:b/>
          <w:color w:val="000000" w:themeColor="text1"/>
          <w:sz w:val="24"/>
          <w:szCs w:val="24"/>
        </w:rPr>
      </w:pPr>
    </w:p>
    <w:p w14:paraId="1A5BCE38" w14:textId="77777777" w:rsidR="004C70FA" w:rsidRPr="00AD5DB0" w:rsidRDefault="004C70FA" w:rsidP="004C70FA">
      <w:pPr>
        <w:spacing w:after="0" w:line="240" w:lineRule="auto"/>
        <w:rPr>
          <w:rFonts w:ascii="Times New Roman" w:hAnsi="Times New Roman" w:cs="Times New Roman"/>
          <w:b/>
          <w:sz w:val="24"/>
          <w:szCs w:val="24"/>
        </w:rPr>
      </w:pPr>
      <w:r w:rsidRPr="00AD5DB0">
        <w:rPr>
          <w:rFonts w:ascii="Times New Roman" w:hAnsi="Times New Roman" w:cs="Times New Roman"/>
          <w:b/>
          <w:sz w:val="24"/>
          <w:szCs w:val="24"/>
        </w:rPr>
        <w:t>Shobhit Saxena</w:t>
      </w:r>
    </w:p>
    <w:p w14:paraId="4F0309EB"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The University of Texas at Austin</w:t>
      </w:r>
    </w:p>
    <w:p w14:paraId="42A05277"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Department of Civil, Architectural and Environmental Engineering</w:t>
      </w:r>
    </w:p>
    <w:p w14:paraId="1B886DC2"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301 E. Dean Keeton St. Stop C1761, Austin TX 78712, USA</w:t>
      </w:r>
    </w:p>
    <w:p w14:paraId="5574501A" w14:textId="5BE76CBD" w:rsidR="006F6064"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 xml:space="preserve">Email: </w:t>
      </w:r>
      <w:hyperlink r:id="rId9" w:history="1">
        <w:r w:rsidRPr="00AD5DB0">
          <w:rPr>
            <w:rStyle w:val="Hyperlink"/>
            <w:rFonts w:ascii="Times New Roman" w:hAnsi="Times New Roman" w:cs="Times New Roman"/>
            <w:sz w:val="24"/>
            <w:szCs w:val="24"/>
          </w:rPr>
          <w:t>shobhit.saxena@austin.utexas.edu</w:t>
        </w:r>
      </w:hyperlink>
    </w:p>
    <w:p w14:paraId="6420CD07" w14:textId="77777777" w:rsidR="004C70FA" w:rsidRPr="00AD5DB0" w:rsidRDefault="004C70FA" w:rsidP="004C70FA">
      <w:pPr>
        <w:spacing w:after="0" w:line="240" w:lineRule="auto"/>
        <w:rPr>
          <w:rFonts w:ascii="Times New Roman" w:hAnsi="Times New Roman" w:cs="Times New Roman"/>
          <w:sz w:val="24"/>
          <w:szCs w:val="24"/>
        </w:rPr>
      </w:pPr>
    </w:p>
    <w:p w14:paraId="53D4490A" w14:textId="77777777" w:rsidR="004C70FA" w:rsidRPr="00AD5DB0" w:rsidRDefault="004C70FA" w:rsidP="004C70FA">
      <w:pPr>
        <w:spacing w:after="0" w:line="240" w:lineRule="auto"/>
        <w:rPr>
          <w:rFonts w:ascii="Times New Roman" w:hAnsi="Times New Roman" w:cs="Times New Roman"/>
          <w:b/>
          <w:sz w:val="24"/>
          <w:szCs w:val="24"/>
          <w:lang w:val="fr-FR"/>
        </w:rPr>
      </w:pPr>
      <w:r w:rsidRPr="00AD5DB0">
        <w:rPr>
          <w:rFonts w:ascii="Times New Roman" w:hAnsi="Times New Roman" w:cs="Times New Roman"/>
          <w:b/>
          <w:sz w:val="24"/>
          <w:szCs w:val="24"/>
        </w:rPr>
        <w:t>Chandra R. Bhat (corresponding author)</w:t>
      </w:r>
    </w:p>
    <w:p w14:paraId="1202D82E"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The University of Texas at Austin</w:t>
      </w:r>
    </w:p>
    <w:p w14:paraId="122C247F"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Department of Civil, Architectural and Environmental Engineering</w:t>
      </w:r>
    </w:p>
    <w:p w14:paraId="4280D010"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301 E. Dean Keeton St. Stop C1761, Austin TX 78712</w:t>
      </w:r>
    </w:p>
    <w:p w14:paraId="62BACAEE" w14:textId="77777777" w:rsidR="004C70FA" w:rsidRPr="00AD5DB0" w:rsidRDefault="004C70FA" w:rsidP="004C70FA">
      <w:pPr>
        <w:spacing w:after="0" w:line="240" w:lineRule="auto"/>
        <w:rPr>
          <w:rFonts w:ascii="Times New Roman" w:hAnsi="Times New Roman" w:cs="Times New Roman"/>
          <w:b/>
          <w:bCs/>
          <w:sz w:val="24"/>
          <w:szCs w:val="24"/>
        </w:rPr>
      </w:pPr>
      <w:r w:rsidRPr="00AD5DB0">
        <w:rPr>
          <w:rFonts w:ascii="Times New Roman" w:hAnsi="Times New Roman" w:cs="Times New Roman"/>
          <w:sz w:val="24"/>
          <w:szCs w:val="24"/>
        </w:rPr>
        <w:t xml:space="preserve">Tel: 1-512-471-4535; Email: </w:t>
      </w:r>
      <w:hyperlink r:id="rId10" w:history="1">
        <w:r w:rsidRPr="00AD5DB0">
          <w:rPr>
            <w:rStyle w:val="Hyperlink"/>
            <w:rFonts w:ascii="Times New Roman" w:hAnsi="Times New Roman" w:cs="Times New Roman"/>
            <w:sz w:val="24"/>
            <w:szCs w:val="24"/>
          </w:rPr>
          <w:t>bhat@mail.utexas.edu</w:t>
        </w:r>
      </w:hyperlink>
    </w:p>
    <w:p w14:paraId="60D3EC21" w14:textId="77777777" w:rsidR="004C70FA" w:rsidRPr="00AD5DB0" w:rsidRDefault="004C70FA" w:rsidP="004C70FA">
      <w:pPr>
        <w:spacing w:after="0" w:line="240" w:lineRule="auto"/>
        <w:rPr>
          <w:rFonts w:ascii="Times New Roman" w:hAnsi="Times New Roman" w:cs="Times New Roman"/>
          <w:sz w:val="24"/>
          <w:szCs w:val="24"/>
        </w:rPr>
      </w:pPr>
    </w:p>
    <w:p w14:paraId="373BF235" w14:textId="40E27EBC" w:rsidR="004C70FA" w:rsidRPr="00AD5DB0" w:rsidRDefault="004C70FA" w:rsidP="004C70FA">
      <w:pPr>
        <w:spacing w:after="0" w:line="240" w:lineRule="auto"/>
        <w:rPr>
          <w:rFonts w:ascii="Times New Roman" w:hAnsi="Times New Roman" w:cs="Times New Roman"/>
          <w:b/>
          <w:sz w:val="24"/>
          <w:szCs w:val="24"/>
        </w:rPr>
      </w:pPr>
      <w:r w:rsidRPr="00AD5DB0">
        <w:rPr>
          <w:rFonts w:ascii="Times New Roman" w:hAnsi="Times New Roman" w:cs="Times New Roman"/>
          <w:b/>
          <w:sz w:val="24"/>
          <w:szCs w:val="24"/>
        </w:rPr>
        <w:t>Abdul Rawoof Pinjari</w:t>
      </w:r>
    </w:p>
    <w:p w14:paraId="11C7B71E"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Department of Civil Engineering</w:t>
      </w:r>
    </w:p>
    <w:p w14:paraId="35C8C7E6" w14:textId="77777777"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Centre for Infrastructure, Sustainable Transportation, and Urban Planning (</w:t>
      </w:r>
      <w:proofErr w:type="spellStart"/>
      <w:r w:rsidRPr="00AD5DB0">
        <w:rPr>
          <w:rFonts w:ascii="Times New Roman" w:hAnsi="Times New Roman" w:cs="Times New Roman"/>
          <w:sz w:val="24"/>
          <w:szCs w:val="24"/>
        </w:rPr>
        <w:t>C</w:t>
      </w:r>
      <w:r w:rsidRPr="00AD5DB0">
        <w:rPr>
          <w:rFonts w:ascii="Times New Roman" w:hAnsi="Times New Roman" w:cs="Times New Roman"/>
          <w:i/>
          <w:sz w:val="24"/>
          <w:szCs w:val="24"/>
        </w:rPr>
        <w:t>i</w:t>
      </w:r>
      <w:r w:rsidRPr="00AD5DB0">
        <w:rPr>
          <w:rFonts w:ascii="Times New Roman" w:hAnsi="Times New Roman" w:cs="Times New Roman"/>
          <w:sz w:val="24"/>
          <w:szCs w:val="24"/>
        </w:rPr>
        <w:t>STUP</w:t>
      </w:r>
      <w:proofErr w:type="spellEnd"/>
      <w:r w:rsidRPr="00AD5DB0">
        <w:rPr>
          <w:rFonts w:ascii="Times New Roman" w:hAnsi="Times New Roman" w:cs="Times New Roman"/>
          <w:sz w:val="24"/>
          <w:szCs w:val="24"/>
        </w:rPr>
        <w:t>)</w:t>
      </w:r>
    </w:p>
    <w:p w14:paraId="7062FA8A" w14:textId="0C31D6D5" w:rsidR="004C70FA" w:rsidRPr="00AD5DB0" w:rsidRDefault="004C70FA" w:rsidP="004C70FA">
      <w:pPr>
        <w:spacing w:after="0" w:line="240" w:lineRule="auto"/>
        <w:rPr>
          <w:rFonts w:ascii="Times New Roman" w:hAnsi="Times New Roman" w:cs="Times New Roman"/>
          <w:sz w:val="24"/>
          <w:szCs w:val="24"/>
        </w:rPr>
      </w:pPr>
      <w:r w:rsidRPr="00AD5DB0">
        <w:rPr>
          <w:rFonts w:ascii="Times New Roman" w:hAnsi="Times New Roman" w:cs="Times New Roman"/>
          <w:sz w:val="24"/>
          <w:szCs w:val="24"/>
        </w:rPr>
        <w:t>Indian Institute of Science (IISc)</w:t>
      </w:r>
      <w:r w:rsidR="00AD5DB0">
        <w:rPr>
          <w:rFonts w:ascii="Times New Roman" w:hAnsi="Times New Roman" w:cs="Times New Roman"/>
          <w:sz w:val="24"/>
          <w:szCs w:val="24"/>
        </w:rPr>
        <w:t xml:space="preserve">, </w:t>
      </w:r>
      <w:r w:rsidRPr="00AD5DB0">
        <w:rPr>
          <w:rFonts w:ascii="Times New Roman" w:hAnsi="Times New Roman" w:cs="Times New Roman"/>
          <w:sz w:val="24"/>
          <w:szCs w:val="24"/>
        </w:rPr>
        <w:t>Bangalore, India, 560012</w:t>
      </w:r>
    </w:p>
    <w:p w14:paraId="20328655" w14:textId="77777777" w:rsidR="004C70FA" w:rsidRPr="00AD5DB0" w:rsidRDefault="004C70FA" w:rsidP="004C70FA">
      <w:pPr>
        <w:spacing w:after="0" w:line="240" w:lineRule="auto"/>
        <w:rPr>
          <w:rFonts w:ascii="Times New Roman" w:hAnsi="Times New Roman" w:cs="Times New Roman"/>
          <w:b/>
          <w:bCs/>
          <w:sz w:val="24"/>
          <w:szCs w:val="24"/>
        </w:rPr>
      </w:pPr>
      <w:r w:rsidRPr="00AD5DB0">
        <w:rPr>
          <w:rFonts w:ascii="Times New Roman" w:hAnsi="Times New Roman" w:cs="Times New Roman"/>
          <w:sz w:val="24"/>
          <w:szCs w:val="24"/>
        </w:rPr>
        <w:t xml:space="preserve">Email: </w:t>
      </w:r>
      <w:hyperlink r:id="rId11" w:history="1">
        <w:r w:rsidRPr="00AD5DB0">
          <w:rPr>
            <w:rStyle w:val="Hyperlink"/>
            <w:rFonts w:ascii="Times New Roman" w:hAnsi="Times New Roman" w:cs="Times New Roman"/>
            <w:sz w:val="24"/>
            <w:szCs w:val="24"/>
          </w:rPr>
          <w:t>abdul@iisc.ac.in</w:t>
        </w:r>
      </w:hyperlink>
    </w:p>
    <w:p w14:paraId="5D1C5229" w14:textId="3C1B9C32" w:rsidR="004C70FA" w:rsidRPr="005F211D" w:rsidRDefault="004C70FA" w:rsidP="004C70FA">
      <w:pPr>
        <w:spacing w:after="0" w:line="240" w:lineRule="auto"/>
        <w:rPr>
          <w:rFonts w:ascii="Times New Roman" w:hAnsi="Times New Roman" w:cs="Times New Roman"/>
          <w:sz w:val="24"/>
          <w:szCs w:val="24"/>
        </w:rPr>
      </w:pPr>
    </w:p>
    <w:p w14:paraId="0A44074E" w14:textId="0858D14D" w:rsidR="005F211D" w:rsidRDefault="005F211D" w:rsidP="004C70FA">
      <w:pPr>
        <w:spacing w:after="0" w:line="240" w:lineRule="auto"/>
        <w:rPr>
          <w:rFonts w:ascii="Times New Roman" w:hAnsi="Times New Roman" w:cs="Times New Roman"/>
          <w:sz w:val="24"/>
          <w:szCs w:val="24"/>
        </w:rPr>
      </w:pPr>
    </w:p>
    <w:p w14:paraId="526231A4" w14:textId="5B207B9B" w:rsidR="005F211D" w:rsidRDefault="005F211D" w:rsidP="004C70FA">
      <w:pPr>
        <w:spacing w:after="0" w:line="240" w:lineRule="auto"/>
        <w:rPr>
          <w:rFonts w:ascii="Times New Roman" w:hAnsi="Times New Roman" w:cs="Times New Roman"/>
          <w:sz w:val="24"/>
          <w:szCs w:val="24"/>
        </w:rPr>
      </w:pPr>
    </w:p>
    <w:p w14:paraId="0832CEEA" w14:textId="77777777" w:rsidR="007F691D" w:rsidRPr="005F211D" w:rsidRDefault="007F691D" w:rsidP="004C70FA">
      <w:pPr>
        <w:spacing w:after="0" w:line="240" w:lineRule="auto"/>
        <w:rPr>
          <w:rFonts w:ascii="Times New Roman" w:hAnsi="Times New Roman" w:cs="Times New Roman"/>
          <w:sz w:val="24"/>
          <w:szCs w:val="24"/>
        </w:rPr>
      </w:pPr>
    </w:p>
    <w:p w14:paraId="1F487ED0" w14:textId="2D0814AE" w:rsidR="00DE1C8A" w:rsidRPr="005F211D" w:rsidRDefault="00DE1C8A" w:rsidP="00DE7BE7">
      <w:pPr>
        <w:spacing w:after="0" w:line="240" w:lineRule="auto"/>
        <w:rPr>
          <w:rFonts w:ascii="Times New Roman" w:hAnsi="Times New Roman" w:cs="Times New Roman"/>
          <w:i/>
          <w:color w:val="000000"/>
          <w:sz w:val="20"/>
          <w:szCs w:val="20"/>
        </w:rPr>
      </w:pPr>
    </w:p>
    <w:p w14:paraId="37E6EF89" w14:textId="0CDD84B5" w:rsidR="00176E20" w:rsidRPr="005F211D" w:rsidRDefault="00176E20" w:rsidP="00DE7BE7">
      <w:pPr>
        <w:spacing w:after="0" w:line="240" w:lineRule="auto"/>
        <w:rPr>
          <w:rFonts w:ascii="Times New Roman" w:hAnsi="Times New Roman" w:cs="Times New Roman"/>
          <w:b/>
          <w:color w:val="000000" w:themeColor="text1"/>
          <w:sz w:val="24"/>
          <w:szCs w:val="24"/>
        </w:rPr>
      </w:pPr>
      <w:r w:rsidRPr="005F211D">
        <w:rPr>
          <w:rFonts w:ascii="Times New Roman" w:hAnsi="Times New Roman" w:cs="Times New Roman"/>
          <w:b/>
          <w:color w:val="000000" w:themeColor="text1"/>
          <w:sz w:val="24"/>
          <w:szCs w:val="24"/>
        </w:rPr>
        <w:br w:type="page"/>
      </w:r>
    </w:p>
    <w:p w14:paraId="28AA3FC9" w14:textId="77777777" w:rsidR="00511271" w:rsidRPr="005617FF" w:rsidRDefault="001B0EDB" w:rsidP="00AD5DB0">
      <w:pPr>
        <w:spacing w:after="0" w:line="240" w:lineRule="auto"/>
        <w:rPr>
          <w:rFonts w:ascii="Times New Roman" w:hAnsi="Times New Roman" w:cs="Times New Roman"/>
          <w:b/>
          <w:color w:val="000000" w:themeColor="text1"/>
          <w:sz w:val="24"/>
          <w:szCs w:val="24"/>
        </w:rPr>
      </w:pPr>
      <w:r w:rsidRPr="005617FF">
        <w:rPr>
          <w:rFonts w:ascii="Times New Roman" w:hAnsi="Times New Roman" w:cs="Times New Roman"/>
          <w:b/>
          <w:color w:val="000000" w:themeColor="text1"/>
          <w:sz w:val="24"/>
          <w:szCs w:val="24"/>
        </w:rPr>
        <w:lastRenderedPageBreak/>
        <w:t>ABSTR</w:t>
      </w:r>
      <w:r w:rsidR="003F7D46" w:rsidRPr="005617FF">
        <w:rPr>
          <w:rFonts w:ascii="Times New Roman" w:hAnsi="Times New Roman" w:cs="Times New Roman"/>
          <w:b/>
          <w:color w:val="000000" w:themeColor="text1"/>
          <w:sz w:val="24"/>
          <w:szCs w:val="24"/>
        </w:rPr>
        <w:t>A</w:t>
      </w:r>
      <w:r w:rsidRPr="005617FF">
        <w:rPr>
          <w:rFonts w:ascii="Times New Roman" w:hAnsi="Times New Roman" w:cs="Times New Roman"/>
          <w:b/>
          <w:color w:val="000000" w:themeColor="text1"/>
          <w:sz w:val="24"/>
          <w:szCs w:val="24"/>
        </w:rPr>
        <w:t>CT</w:t>
      </w:r>
    </w:p>
    <w:p w14:paraId="50A2C674" w14:textId="5D825BBE" w:rsidR="0099587D" w:rsidRPr="00303886" w:rsidRDefault="004C70FA" w:rsidP="00AD5DB0">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We analy</w:t>
      </w:r>
      <w:r w:rsidR="00D20B53">
        <w:rPr>
          <w:rFonts w:ascii="Times New Roman" w:hAnsi="Times New Roman" w:cs="Times New Roman"/>
          <w:sz w:val="24"/>
          <w:szCs w:val="24"/>
        </w:rPr>
        <w:t>s</w:t>
      </w:r>
      <w:r w:rsidRPr="00303886">
        <w:rPr>
          <w:rFonts w:ascii="Times New Roman" w:hAnsi="Times New Roman" w:cs="Times New Roman"/>
          <w:sz w:val="24"/>
          <w:szCs w:val="24"/>
        </w:rPr>
        <w:t>e households’ vehicle ownership and usage decisions in California using the 2019 California Vehicle Survey data. Different from earlier studies, we consider a vehicle type classification based on body type and fuel type, comprising gasoline vehicles, plugin hybrids, battery electric vehicles, and fuel cell electric vehicles. Further, we employ a two-stage multiple discrete-continuous choice framework that endogenously models the total annual vehicle mileage in the first stage and the allocation of the annual mileage to different vehicle types in a utility theor</w:t>
      </w:r>
      <w:r w:rsidR="00695E7E">
        <w:rPr>
          <w:rFonts w:ascii="Times New Roman" w:hAnsi="Times New Roman" w:cs="Times New Roman"/>
          <w:sz w:val="24"/>
          <w:szCs w:val="24"/>
        </w:rPr>
        <w:t>etic</w:t>
      </w:r>
      <w:r w:rsidRPr="00303886">
        <w:rPr>
          <w:rFonts w:ascii="Times New Roman" w:hAnsi="Times New Roman" w:cs="Times New Roman"/>
          <w:sz w:val="24"/>
          <w:szCs w:val="24"/>
        </w:rPr>
        <w:t xml:space="preserve"> </w:t>
      </w:r>
      <w:r w:rsidR="00695E7E">
        <w:rPr>
          <w:rFonts w:ascii="Times New Roman" w:hAnsi="Times New Roman" w:cs="Times New Roman"/>
          <w:sz w:val="24"/>
          <w:szCs w:val="24"/>
        </w:rPr>
        <w:t>manner</w:t>
      </w:r>
      <w:r w:rsidRPr="00303886">
        <w:rPr>
          <w:rFonts w:ascii="Times New Roman" w:hAnsi="Times New Roman" w:cs="Times New Roman"/>
          <w:sz w:val="24"/>
          <w:szCs w:val="24"/>
        </w:rPr>
        <w:t>. In doing so, we extend the prior formulation of the two-stage model to relax the unit scale assumption on model stochasticity. The empirical analysis provides insights into the determinants of households’ proclivity for owning and using</w:t>
      </w:r>
      <w:r w:rsidR="00695E7E">
        <w:rPr>
          <w:rFonts w:ascii="Times New Roman" w:hAnsi="Times New Roman" w:cs="Times New Roman"/>
          <w:sz w:val="24"/>
          <w:szCs w:val="24"/>
        </w:rPr>
        <w:t xml:space="preserve"> traditional (gasol</w:t>
      </w:r>
      <w:r w:rsidR="00B07663">
        <w:rPr>
          <w:rFonts w:ascii="Times New Roman" w:hAnsi="Times New Roman" w:cs="Times New Roman"/>
          <w:sz w:val="24"/>
          <w:szCs w:val="24"/>
        </w:rPr>
        <w:t>i</w:t>
      </w:r>
      <w:r w:rsidR="00695E7E">
        <w:rPr>
          <w:rFonts w:ascii="Times New Roman" w:hAnsi="Times New Roman" w:cs="Times New Roman"/>
          <w:sz w:val="24"/>
          <w:szCs w:val="24"/>
        </w:rPr>
        <w:t>ne-based) and</w:t>
      </w:r>
      <w:r w:rsidRPr="00303886">
        <w:rPr>
          <w:rFonts w:ascii="Times New Roman" w:hAnsi="Times New Roman" w:cs="Times New Roman"/>
          <w:sz w:val="24"/>
          <w:szCs w:val="24"/>
        </w:rPr>
        <w:t xml:space="preserve"> alterative fuelled vehicles. Policy simulations with the empirical model indicate that regional employment land-use densification and the provision of non-personal commute options can help reduce vehicle ownership levels and their usage</w:t>
      </w:r>
      <w:r w:rsidR="00F77939">
        <w:rPr>
          <w:rFonts w:ascii="Times New Roman" w:hAnsi="Times New Roman" w:cs="Times New Roman"/>
          <w:sz w:val="24"/>
          <w:szCs w:val="24"/>
        </w:rPr>
        <w:t>, thereby potentially reducing total on-road emissions</w:t>
      </w:r>
      <w:r w:rsidRPr="00303886">
        <w:rPr>
          <w:rFonts w:ascii="Times New Roman" w:hAnsi="Times New Roman" w:cs="Times New Roman"/>
          <w:sz w:val="24"/>
          <w:szCs w:val="24"/>
        </w:rPr>
        <w:t>.</w:t>
      </w:r>
    </w:p>
    <w:p w14:paraId="01F32A68" w14:textId="77777777" w:rsidR="00AD5DB0" w:rsidRDefault="00AD5DB0" w:rsidP="00AD5DB0">
      <w:pPr>
        <w:spacing w:after="0" w:line="240" w:lineRule="auto"/>
        <w:rPr>
          <w:rFonts w:ascii="Times New Roman" w:hAnsi="Times New Roman" w:cs="Times New Roman"/>
          <w:b/>
          <w:bCs/>
          <w:sz w:val="24"/>
          <w:szCs w:val="24"/>
        </w:rPr>
      </w:pPr>
    </w:p>
    <w:p w14:paraId="53A47114" w14:textId="13AB3305" w:rsidR="001B0EDB" w:rsidRPr="005617FF" w:rsidRDefault="00C86856" w:rsidP="005F211D">
      <w:pPr>
        <w:spacing w:after="0" w:line="240" w:lineRule="auto"/>
        <w:jc w:val="both"/>
        <w:rPr>
          <w:rFonts w:ascii="Times New Roman" w:hAnsi="Times New Roman" w:cs="Times New Roman"/>
          <w:b/>
          <w:color w:val="000000" w:themeColor="text1"/>
          <w:szCs w:val="24"/>
        </w:rPr>
      </w:pPr>
      <w:r w:rsidRPr="00303886">
        <w:rPr>
          <w:rFonts w:ascii="Times New Roman" w:hAnsi="Times New Roman" w:cs="Times New Roman"/>
          <w:b/>
          <w:bCs/>
          <w:sz w:val="24"/>
          <w:szCs w:val="24"/>
        </w:rPr>
        <w:t xml:space="preserve">Keywords: </w:t>
      </w:r>
      <w:r w:rsidR="004C70FA" w:rsidRPr="00303886">
        <w:rPr>
          <w:rFonts w:ascii="Times New Roman" w:hAnsi="Times New Roman" w:cs="Times New Roman"/>
          <w:sz w:val="24"/>
          <w:szCs w:val="24"/>
        </w:rPr>
        <w:t>Vehicle ownership, vehicle usage, two-stage budgeting model, utility theory, alternative fuel</w:t>
      </w:r>
      <w:r w:rsidR="005F211D">
        <w:rPr>
          <w:rFonts w:ascii="Times New Roman" w:hAnsi="Times New Roman" w:cs="Times New Roman"/>
          <w:sz w:val="24"/>
          <w:szCs w:val="24"/>
        </w:rPr>
        <w:t>l</w:t>
      </w:r>
      <w:r w:rsidR="004C70FA" w:rsidRPr="00303886">
        <w:rPr>
          <w:rFonts w:ascii="Times New Roman" w:hAnsi="Times New Roman" w:cs="Times New Roman"/>
          <w:sz w:val="24"/>
          <w:szCs w:val="24"/>
        </w:rPr>
        <w:t>ed vehicles</w:t>
      </w:r>
      <w:r w:rsidR="000969CF">
        <w:rPr>
          <w:rFonts w:ascii="Times New Roman" w:hAnsi="Times New Roman" w:cs="Times New Roman"/>
          <w:sz w:val="24"/>
          <w:szCs w:val="24"/>
        </w:rPr>
        <w:t>.</w:t>
      </w:r>
      <w:r w:rsidRPr="005617FF">
        <w:rPr>
          <w:rFonts w:ascii="Times New Roman" w:hAnsi="Times New Roman" w:cs="Times New Roman"/>
          <w:b/>
          <w:color w:val="000000" w:themeColor="text1"/>
          <w:szCs w:val="24"/>
        </w:rPr>
        <w:t xml:space="preserve"> </w:t>
      </w:r>
      <w:r w:rsidR="001B0EDB" w:rsidRPr="005617FF">
        <w:rPr>
          <w:rFonts w:ascii="Times New Roman" w:hAnsi="Times New Roman" w:cs="Times New Roman"/>
          <w:b/>
          <w:color w:val="000000" w:themeColor="text1"/>
          <w:szCs w:val="24"/>
        </w:rPr>
        <w:br w:type="page"/>
      </w:r>
    </w:p>
    <w:p w14:paraId="1B97E9C3" w14:textId="77777777" w:rsidR="00AD5DB0" w:rsidRDefault="00AD5DB0" w:rsidP="00A523AA">
      <w:pPr>
        <w:spacing w:line="240" w:lineRule="auto"/>
        <w:rPr>
          <w:rFonts w:ascii="Times New Roman" w:hAnsi="Times New Roman" w:cs="Times New Roman"/>
          <w:b/>
          <w:color w:val="000000" w:themeColor="text1"/>
          <w:sz w:val="24"/>
          <w:szCs w:val="24"/>
        </w:rPr>
        <w:sectPr w:rsidR="00AD5DB0" w:rsidSect="000F372D">
          <w:footerReference w:type="default" r:id="rId12"/>
          <w:pgSz w:w="12240" w:h="15840"/>
          <w:pgMar w:top="1440" w:right="1440" w:bottom="1440" w:left="1440" w:header="720" w:footer="720" w:gutter="0"/>
          <w:cols w:space="720"/>
          <w:titlePg/>
          <w:docGrid w:linePitch="360"/>
        </w:sectPr>
      </w:pPr>
    </w:p>
    <w:p w14:paraId="27A98AA0" w14:textId="3923559B" w:rsidR="007A2A95" w:rsidRPr="00303886" w:rsidRDefault="00B16E6F" w:rsidP="00AD5DB0">
      <w:pPr>
        <w:spacing w:after="0" w:line="240" w:lineRule="auto"/>
        <w:rPr>
          <w:rFonts w:ascii="Times New Roman" w:hAnsi="Times New Roman" w:cs="Times New Roman"/>
          <w:b/>
          <w:color w:val="000000" w:themeColor="text1"/>
          <w:sz w:val="24"/>
          <w:szCs w:val="24"/>
        </w:rPr>
      </w:pPr>
      <w:r w:rsidRPr="00303886">
        <w:rPr>
          <w:rFonts w:ascii="Times New Roman" w:hAnsi="Times New Roman" w:cs="Times New Roman"/>
          <w:b/>
          <w:color w:val="000000" w:themeColor="text1"/>
          <w:sz w:val="24"/>
          <w:szCs w:val="24"/>
        </w:rPr>
        <w:lastRenderedPageBreak/>
        <w:t>INTRODUCTION</w:t>
      </w:r>
    </w:p>
    <w:p w14:paraId="0ED64061" w14:textId="2C9ED8D6" w:rsidR="004C70FA" w:rsidRPr="00303886" w:rsidRDefault="004C70FA" w:rsidP="00AD5DB0">
      <w:pPr>
        <w:spacing w:after="0" w:line="240" w:lineRule="auto"/>
        <w:rPr>
          <w:rFonts w:ascii="Times New Roman" w:hAnsi="Times New Roman" w:cs="Times New Roman"/>
          <w:b/>
          <w:color w:val="000000" w:themeColor="text1"/>
          <w:sz w:val="24"/>
          <w:szCs w:val="24"/>
        </w:rPr>
      </w:pPr>
      <w:r w:rsidRPr="00303886">
        <w:rPr>
          <w:rFonts w:ascii="Times New Roman" w:hAnsi="Times New Roman" w:cs="Times New Roman"/>
          <w:b/>
          <w:color w:val="000000" w:themeColor="text1"/>
          <w:sz w:val="24"/>
          <w:szCs w:val="24"/>
        </w:rPr>
        <w:t xml:space="preserve">Background and </w:t>
      </w:r>
      <w:r w:rsidR="00AD5DB0">
        <w:rPr>
          <w:rFonts w:ascii="Times New Roman" w:hAnsi="Times New Roman" w:cs="Times New Roman"/>
          <w:b/>
          <w:color w:val="000000" w:themeColor="text1"/>
          <w:sz w:val="24"/>
          <w:szCs w:val="24"/>
        </w:rPr>
        <w:t>M</w:t>
      </w:r>
      <w:r w:rsidRPr="00303886">
        <w:rPr>
          <w:rFonts w:ascii="Times New Roman" w:hAnsi="Times New Roman" w:cs="Times New Roman"/>
          <w:b/>
          <w:color w:val="000000" w:themeColor="text1"/>
          <w:sz w:val="24"/>
          <w:szCs w:val="24"/>
        </w:rPr>
        <w:t>otivation</w:t>
      </w:r>
    </w:p>
    <w:p w14:paraId="11B7D9D4" w14:textId="1447BA7C" w:rsidR="004C70FA" w:rsidRPr="004C70FA" w:rsidRDefault="004C70FA" w:rsidP="00AD5DB0">
      <w:pPr>
        <w:spacing w:after="0" w:line="240" w:lineRule="auto"/>
        <w:jc w:val="both"/>
        <w:rPr>
          <w:rFonts w:ascii="Times New Roman" w:hAnsi="Times New Roman" w:cs="Times New Roman"/>
          <w:bCs/>
          <w:color w:val="000000" w:themeColor="text1"/>
          <w:sz w:val="24"/>
          <w:szCs w:val="24"/>
        </w:rPr>
      </w:pPr>
      <w:r w:rsidRPr="004C70FA">
        <w:rPr>
          <w:rFonts w:ascii="Times New Roman" w:hAnsi="Times New Roman" w:cs="Times New Roman"/>
          <w:bCs/>
          <w:color w:val="000000" w:themeColor="text1"/>
          <w:sz w:val="24"/>
          <w:szCs w:val="24"/>
        </w:rPr>
        <w:t>Passenger mobility in the United States heavily relies on private motorized vehicle ownership (in the rest of this paper, we will use the label “vehicle” to refer to “motorized vehicle”). The dependence on personal vehicles in the U.S. may be attributed to several factors, including (a) inadequate public transport infrastructure</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(1)</w:t>
      </w:r>
      <w:r w:rsidRPr="004C70FA">
        <w:rPr>
          <w:rFonts w:ascii="Times New Roman" w:hAnsi="Times New Roman" w:cs="Times New Roman"/>
          <w:bCs/>
          <w:color w:val="000000" w:themeColor="text1"/>
          <w:sz w:val="24"/>
          <w:szCs w:val="24"/>
        </w:rPr>
        <w:t>, (b) the ease of accessibility to jobs and other opportunities that a personal vehicle provides in the non-compact geographic footprint of urban areas</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(2)</w:t>
      </w:r>
      <w:r w:rsidRPr="004C70FA">
        <w:rPr>
          <w:rFonts w:ascii="Times New Roman" w:hAnsi="Times New Roman" w:cs="Times New Roman"/>
          <w:bCs/>
          <w:color w:val="000000" w:themeColor="text1"/>
          <w:sz w:val="24"/>
          <w:szCs w:val="24"/>
        </w:rPr>
        <w:t xml:space="preserve">, (c) relatively low vehicle purchase costs compared to the rest of the world </w:t>
      </w:r>
      <w:r w:rsidR="00A523AA" w:rsidRPr="00A523AA">
        <w:rPr>
          <w:rFonts w:ascii="Times New Roman" w:hAnsi="Times New Roman" w:cs="Times New Roman"/>
          <w:bCs/>
          <w:i/>
          <w:iCs/>
          <w:color w:val="000000" w:themeColor="text1"/>
          <w:sz w:val="24"/>
          <w:szCs w:val="24"/>
        </w:rPr>
        <w:t>(3)</w:t>
      </w:r>
      <w:r w:rsidRPr="004C70FA">
        <w:rPr>
          <w:rFonts w:ascii="Times New Roman" w:hAnsi="Times New Roman" w:cs="Times New Roman"/>
          <w:bCs/>
          <w:color w:val="000000" w:themeColor="text1"/>
          <w:sz w:val="24"/>
          <w:szCs w:val="24"/>
        </w:rPr>
        <w:t>, and (d) an affective sense of pride and social status attached with vehicle ownership</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(4)</w:t>
      </w:r>
      <w:r w:rsidRPr="004C70FA">
        <w:rPr>
          <w:rFonts w:ascii="Times New Roman" w:hAnsi="Times New Roman" w:cs="Times New Roman"/>
          <w:bCs/>
          <w:color w:val="000000" w:themeColor="text1"/>
          <w:sz w:val="24"/>
          <w:szCs w:val="24"/>
        </w:rPr>
        <w:t>. But, at the same time, high vehicle ownership and use are also associated with high traffic congestion, high energy consumption, and high tailpipe emissions. In fact, household vehicle usage contributes to more than half the greenhouse (GHG) emissions from the transportation sector in the U.S.</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(5)</w:t>
      </w:r>
      <w:r w:rsidR="000A4751">
        <w:rPr>
          <w:rFonts w:ascii="Times New Roman" w:hAnsi="Times New Roman" w:cs="Times New Roman"/>
          <w:bCs/>
          <w:i/>
          <w:iCs/>
          <w:color w:val="000000" w:themeColor="text1"/>
          <w:sz w:val="24"/>
          <w:szCs w:val="24"/>
        </w:rPr>
        <w:t>,</w:t>
      </w:r>
      <w:r w:rsidRPr="004C70FA">
        <w:rPr>
          <w:rFonts w:ascii="Times New Roman" w:hAnsi="Times New Roman" w:cs="Times New Roman"/>
          <w:bCs/>
          <w:color w:val="000000" w:themeColor="text1"/>
          <w:sz w:val="24"/>
          <w:szCs w:val="24"/>
        </w:rPr>
        <w:t xml:space="preserve"> thanks to the continued high share of conventional gasoline-powered vehicles</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(6)</w:t>
      </w:r>
      <w:r w:rsidRPr="004C70FA">
        <w:rPr>
          <w:rFonts w:ascii="Times New Roman" w:hAnsi="Times New Roman" w:cs="Times New Roman"/>
          <w:bCs/>
          <w:color w:val="000000" w:themeColor="text1"/>
          <w:sz w:val="24"/>
          <w:szCs w:val="24"/>
        </w:rPr>
        <w:t xml:space="preserve">. In this regard, policies aimed at mitigating GHG emissions and pollutants from household vehicles focus on accelerating the penetration (and use) </w:t>
      </w:r>
      <w:r w:rsidR="006B37B7">
        <w:rPr>
          <w:rFonts w:ascii="Times New Roman" w:hAnsi="Times New Roman" w:cs="Times New Roman"/>
          <w:bCs/>
          <w:color w:val="000000" w:themeColor="text1"/>
          <w:sz w:val="24"/>
          <w:szCs w:val="24"/>
        </w:rPr>
        <w:t>of</w:t>
      </w:r>
      <w:r w:rsidRPr="004C70FA">
        <w:rPr>
          <w:rFonts w:ascii="Times New Roman" w:hAnsi="Times New Roman" w:cs="Times New Roman"/>
          <w:bCs/>
          <w:color w:val="000000" w:themeColor="text1"/>
          <w:sz w:val="24"/>
          <w:szCs w:val="24"/>
        </w:rPr>
        <w:t xml:space="preserve"> cleaner</w:t>
      </w:r>
      <w:r w:rsidR="000A4751">
        <w:rPr>
          <w:rFonts w:ascii="Times New Roman" w:hAnsi="Times New Roman" w:cs="Times New Roman"/>
          <w:bCs/>
          <w:color w:val="000000" w:themeColor="text1"/>
          <w:sz w:val="24"/>
          <w:szCs w:val="24"/>
        </w:rPr>
        <w:t>,</w:t>
      </w:r>
      <w:r w:rsidRPr="004C70FA">
        <w:rPr>
          <w:rFonts w:ascii="Times New Roman" w:hAnsi="Times New Roman" w:cs="Times New Roman"/>
          <w:bCs/>
          <w:color w:val="000000" w:themeColor="text1"/>
          <w:sz w:val="24"/>
          <w:szCs w:val="24"/>
        </w:rPr>
        <w:t xml:space="preserve"> alternative fuel-powered vehicles, such as plug-in hybrid electric vehicles (PHEVs), battery electric vehicles (BEVs), and fuel cell electric vehicles (FCEVs) (for instance, incentives under the California Clean Vehicle Rebate project (2016) and California’s Advanced Clean Cars II (2023) rule to phase out gas</w:t>
      </w:r>
      <w:r w:rsidR="007E3317">
        <w:rPr>
          <w:rFonts w:ascii="Times New Roman" w:hAnsi="Times New Roman" w:cs="Times New Roman"/>
          <w:bCs/>
          <w:color w:val="000000" w:themeColor="text1"/>
          <w:sz w:val="24"/>
          <w:szCs w:val="24"/>
        </w:rPr>
        <w:t>oline-</w:t>
      </w:r>
      <w:r w:rsidRPr="004C70FA">
        <w:rPr>
          <w:rFonts w:ascii="Times New Roman" w:hAnsi="Times New Roman" w:cs="Times New Roman"/>
          <w:bCs/>
          <w:color w:val="000000" w:themeColor="text1"/>
          <w:sz w:val="24"/>
          <w:szCs w:val="24"/>
        </w:rPr>
        <w:t xml:space="preserve">powered vehicles by 2035). To aid such policy formulation, vehicle fleet ownership and usage models are often </w:t>
      </w:r>
      <w:r w:rsidR="006B37B7">
        <w:rPr>
          <w:rFonts w:ascii="Times New Roman" w:hAnsi="Times New Roman" w:cs="Times New Roman"/>
          <w:bCs/>
          <w:color w:val="000000" w:themeColor="text1"/>
          <w:sz w:val="24"/>
          <w:szCs w:val="24"/>
        </w:rPr>
        <w:t xml:space="preserve">employed </w:t>
      </w:r>
      <w:r w:rsidRPr="004C70FA">
        <w:rPr>
          <w:rFonts w:ascii="Times New Roman" w:hAnsi="Times New Roman" w:cs="Times New Roman"/>
          <w:bCs/>
          <w:color w:val="000000" w:themeColor="text1"/>
          <w:sz w:val="24"/>
          <w:szCs w:val="24"/>
        </w:rPr>
        <w:t xml:space="preserve">to </w:t>
      </w:r>
      <w:r w:rsidR="006B37B7">
        <w:rPr>
          <w:rFonts w:ascii="Times New Roman" w:hAnsi="Times New Roman" w:cs="Times New Roman"/>
          <w:bCs/>
          <w:color w:val="000000" w:themeColor="text1"/>
          <w:sz w:val="24"/>
          <w:szCs w:val="24"/>
        </w:rPr>
        <w:t>investigate</w:t>
      </w:r>
      <w:r w:rsidRPr="004C70FA">
        <w:rPr>
          <w:rFonts w:ascii="Times New Roman" w:hAnsi="Times New Roman" w:cs="Times New Roman"/>
          <w:bCs/>
          <w:color w:val="000000" w:themeColor="text1"/>
          <w:sz w:val="24"/>
          <w:szCs w:val="24"/>
        </w:rPr>
        <w:t xml:space="preserve"> the influence of various factors on households’ vehicle fleet mix and miles travelled</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(7)</w:t>
      </w:r>
      <w:r w:rsidRPr="004C70FA">
        <w:rPr>
          <w:rFonts w:ascii="Times New Roman" w:hAnsi="Times New Roman" w:cs="Times New Roman"/>
          <w:bCs/>
          <w:color w:val="000000" w:themeColor="text1"/>
          <w:sz w:val="24"/>
          <w:szCs w:val="24"/>
        </w:rPr>
        <w:t xml:space="preserve">. Beyond policy considerations, such models are embedded within regional travel demand models to predict the evolution of regional vehicle fleets over time and </w:t>
      </w:r>
      <w:r w:rsidR="000A4751">
        <w:rPr>
          <w:rFonts w:ascii="Times New Roman" w:hAnsi="Times New Roman" w:cs="Times New Roman"/>
          <w:bCs/>
          <w:color w:val="000000" w:themeColor="text1"/>
          <w:sz w:val="24"/>
          <w:szCs w:val="24"/>
        </w:rPr>
        <w:t>their</w:t>
      </w:r>
      <w:r w:rsidRPr="004C70FA">
        <w:rPr>
          <w:rFonts w:ascii="Times New Roman" w:hAnsi="Times New Roman" w:cs="Times New Roman"/>
          <w:bCs/>
          <w:color w:val="000000" w:themeColor="text1"/>
          <w:sz w:val="24"/>
          <w:szCs w:val="24"/>
        </w:rPr>
        <w:t xml:space="preserve"> influence on regional travel demand</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(8)</w:t>
      </w:r>
      <w:r w:rsidR="00C1269B">
        <w:rPr>
          <w:rFonts w:ascii="Times New Roman" w:hAnsi="Times New Roman" w:cs="Times New Roman"/>
          <w:bCs/>
          <w:color w:val="000000" w:themeColor="text1"/>
          <w:sz w:val="24"/>
          <w:szCs w:val="24"/>
        </w:rPr>
        <w:t>.</w:t>
      </w:r>
    </w:p>
    <w:p w14:paraId="552C5462" w14:textId="3574B5AC" w:rsidR="004C70FA" w:rsidRPr="004C70FA" w:rsidRDefault="004C70FA" w:rsidP="00AD5DB0">
      <w:pPr>
        <w:spacing w:after="0" w:line="240" w:lineRule="auto"/>
        <w:jc w:val="both"/>
        <w:rPr>
          <w:rFonts w:ascii="Times New Roman" w:hAnsi="Times New Roman" w:cs="Times New Roman"/>
          <w:bCs/>
          <w:color w:val="000000" w:themeColor="text1"/>
          <w:sz w:val="24"/>
          <w:szCs w:val="24"/>
        </w:rPr>
      </w:pPr>
      <w:r w:rsidRPr="004C70FA">
        <w:rPr>
          <w:rFonts w:ascii="Times New Roman" w:hAnsi="Times New Roman" w:cs="Times New Roman"/>
          <w:bCs/>
          <w:color w:val="000000" w:themeColor="text1"/>
          <w:sz w:val="24"/>
          <w:szCs w:val="24"/>
        </w:rPr>
        <w:tab/>
        <w:t>From a methodological standpoint, studies have investigated households’ vehicle fleet holding and use decisions using discrete-continuous frameworks</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(9, 10)</w:t>
      </w:r>
      <w:r w:rsidRPr="004C70FA">
        <w:rPr>
          <w:rFonts w:ascii="Times New Roman" w:hAnsi="Times New Roman" w:cs="Times New Roman"/>
          <w:bCs/>
          <w:color w:val="000000" w:themeColor="text1"/>
          <w:sz w:val="24"/>
          <w:szCs w:val="24"/>
        </w:rPr>
        <w:t>. However, most such studies focus on decisions regarding the most recently purchased vehicle, ignoring the fleet mix held by many households in the U</w:t>
      </w:r>
      <w:r w:rsidR="000A4751">
        <w:rPr>
          <w:rFonts w:ascii="Times New Roman" w:hAnsi="Times New Roman" w:cs="Times New Roman"/>
          <w:bCs/>
          <w:color w:val="000000" w:themeColor="text1"/>
          <w:sz w:val="24"/>
          <w:szCs w:val="24"/>
        </w:rPr>
        <w:t>.S.</w:t>
      </w:r>
      <w:r w:rsidRPr="004C70FA">
        <w:rPr>
          <w:rFonts w:ascii="Times New Roman" w:hAnsi="Times New Roman" w:cs="Times New Roman"/>
          <w:bCs/>
          <w:color w:val="000000" w:themeColor="text1"/>
          <w:sz w:val="24"/>
          <w:szCs w:val="24"/>
        </w:rPr>
        <w:t xml:space="preserve"> that own multiple vehicles. Bhat and Sen </w:t>
      </w:r>
      <w:r w:rsidR="00A523AA" w:rsidRPr="00A523AA">
        <w:rPr>
          <w:rFonts w:ascii="Times New Roman" w:hAnsi="Times New Roman" w:cs="Times New Roman"/>
          <w:bCs/>
          <w:i/>
          <w:iCs/>
          <w:color w:val="000000" w:themeColor="text1"/>
          <w:sz w:val="24"/>
          <w:szCs w:val="24"/>
        </w:rPr>
        <w:t>(11)</w:t>
      </w:r>
      <w:r w:rsidR="006B37B7">
        <w:rPr>
          <w:rFonts w:ascii="Times New Roman" w:hAnsi="Times New Roman" w:cs="Times New Roman"/>
          <w:bCs/>
          <w:color w:val="000000" w:themeColor="text1"/>
          <w:sz w:val="24"/>
          <w:szCs w:val="24"/>
        </w:rPr>
        <w:t xml:space="preserve">, for the first time, </w:t>
      </w:r>
      <w:r w:rsidRPr="004C70FA">
        <w:rPr>
          <w:rFonts w:ascii="Times New Roman" w:hAnsi="Times New Roman" w:cs="Times New Roman"/>
          <w:bCs/>
          <w:color w:val="000000" w:themeColor="text1"/>
          <w:sz w:val="24"/>
          <w:szCs w:val="24"/>
        </w:rPr>
        <w:t xml:space="preserve">used the multiple discrete-continuous (MDC) choice framework to model the simultaneous holding of multiple vehicles by the household and the mileage accrued on each vehicle type owned by the household. The MDC choice framework has garnered substantial attention </w:t>
      </w:r>
      <w:r w:rsidR="006B37B7">
        <w:rPr>
          <w:rFonts w:ascii="Times New Roman" w:hAnsi="Times New Roman" w:cs="Times New Roman"/>
          <w:bCs/>
          <w:color w:val="000000" w:themeColor="text1"/>
          <w:sz w:val="24"/>
          <w:szCs w:val="24"/>
        </w:rPr>
        <w:t>since then to</w:t>
      </w:r>
      <w:r w:rsidRPr="004C70FA">
        <w:rPr>
          <w:rFonts w:ascii="Times New Roman" w:hAnsi="Times New Roman" w:cs="Times New Roman"/>
          <w:bCs/>
          <w:color w:val="000000" w:themeColor="text1"/>
          <w:sz w:val="24"/>
          <w:szCs w:val="24"/>
        </w:rPr>
        <w:t xml:space="preserve"> model household vehicle holdings and usage</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(2, 12, 13)</w:t>
      </w:r>
      <w:r w:rsidRPr="004C70FA">
        <w:rPr>
          <w:rFonts w:ascii="Times New Roman" w:hAnsi="Times New Roman" w:cs="Times New Roman"/>
          <w:bCs/>
          <w:color w:val="000000" w:themeColor="text1"/>
          <w:sz w:val="24"/>
          <w:szCs w:val="24"/>
        </w:rPr>
        <w:t>. However, a limitation of most former applications of MDC choice models is that they require information on the total mileage on vehicles as an exogenous input. But this is antithetical to the notion of predicting mileage on individual vehicles as part of the vehicle fleet model, constraining total mileage to be fixed across all vehicles owned. Such models do not accommodate the effect of changes in individual vehicle attributes, such as fuel economy, on total vehicle mileage. To overcome this</w:t>
      </w:r>
      <w:r w:rsidR="007E3317">
        <w:rPr>
          <w:rFonts w:ascii="Times New Roman" w:hAnsi="Times New Roman" w:cs="Times New Roman"/>
          <w:bCs/>
          <w:color w:val="000000" w:themeColor="text1"/>
          <w:sz w:val="24"/>
          <w:szCs w:val="24"/>
        </w:rPr>
        <w:t xml:space="preserve"> shortcoming</w:t>
      </w:r>
      <w:r w:rsidRPr="004C70FA">
        <w:rPr>
          <w:rFonts w:ascii="Times New Roman" w:hAnsi="Times New Roman" w:cs="Times New Roman"/>
          <w:bCs/>
          <w:color w:val="000000" w:themeColor="text1"/>
          <w:sz w:val="24"/>
          <w:szCs w:val="24"/>
        </w:rPr>
        <w:t xml:space="preserve">, some </w:t>
      </w:r>
      <w:r w:rsidR="006B37B7">
        <w:rPr>
          <w:rFonts w:ascii="Times New Roman" w:hAnsi="Times New Roman" w:cs="Times New Roman"/>
          <w:bCs/>
          <w:color w:val="000000" w:themeColor="text1"/>
          <w:sz w:val="24"/>
          <w:szCs w:val="24"/>
        </w:rPr>
        <w:t xml:space="preserve">other </w:t>
      </w:r>
      <w:r w:rsidRPr="004C70FA">
        <w:rPr>
          <w:rFonts w:ascii="Times New Roman" w:hAnsi="Times New Roman" w:cs="Times New Roman"/>
          <w:bCs/>
          <w:color w:val="000000" w:themeColor="text1"/>
          <w:sz w:val="24"/>
          <w:szCs w:val="24"/>
        </w:rPr>
        <w:t>studies include a non-zero mileage for non-motorized modes of travel as an essential outside good (an alternative that is always allocated a non-zero mileage) in the model, which helps accommoda</w:t>
      </w:r>
      <w:r w:rsidR="006B37B7">
        <w:rPr>
          <w:rFonts w:ascii="Times New Roman" w:hAnsi="Times New Roman" w:cs="Times New Roman"/>
          <w:bCs/>
          <w:color w:val="000000" w:themeColor="text1"/>
          <w:sz w:val="24"/>
          <w:szCs w:val="24"/>
        </w:rPr>
        <w:t>te</w:t>
      </w:r>
      <w:r w:rsidRPr="004C70FA">
        <w:rPr>
          <w:rFonts w:ascii="Times New Roman" w:hAnsi="Times New Roman" w:cs="Times New Roman"/>
          <w:bCs/>
          <w:color w:val="000000" w:themeColor="text1"/>
          <w:sz w:val="24"/>
          <w:szCs w:val="24"/>
        </w:rPr>
        <w:t xml:space="preserve"> an increase or decrease in the total mileage on motorized vehicles. In another study, Augustin et al.</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(14)</w:t>
      </w:r>
      <w:r w:rsidRPr="004C70FA">
        <w:rPr>
          <w:rFonts w:ascii="Times New Roman" w:hAnsi="Times New Roman" w:cs="Times New Roman"/>
          <w:bCs/>
          <w:color w:val="000000" w:themeColor="text1"/>
          <w:sz w:val="24"/>
          <w:szCs w:val="24"/>
        </w:rPr>
        <w:t xml:space="preserve"> developed a stochastic frontier approach to estimate an upper bound on the total mileage (i.e., a maximum possible mileage) that a household can accrue. Such an upper bound is utilized as the total mileage budget in an MDC choice model </w:t>
      </w:r>
      <w:r w:rsidR="006B37B7">
        <w:rPr>
          <w:rFonts w:ascii="Times New Roman" w:hAnsi="Times New Roman" w:cs="Times New Roman"/>
          <w:bCs/>
          <w:color w:val="000000" w:themeColor="text1"/>
          <w:sz w:val="24"/>
          <w:szCs w:val="24"/>
        </w:rPr>
        <w:t xml:space="preserve">that is allocated </w:t>
      </w:r>
      <w:r w:rsidRPr="004C70FA">
        <w:rPr>
          <w:rFonts w:ascii="Times New Roman" w:hAnsi="Times New Roman" w:cs="Times New Roman"/>
          <w:bCs/>
          <w:color w:val="000000" w:themeColor="text1"/>
          <w:sz w:val="24"/>
          <w:szCs w:val="24"/>
        </w:rPr>
        <w:t>to different vehicle choice alternatives and an outside good that represents the unconsumed portion of the budget. However, the stochastic frontier budget equation in the formulation is not necessarily consistent with the theory of utility maximi</w:t>
      </w:r>
      <w:r w:rsidR="000A4751">
        <w:rPr>
          <w:rFonts w:ascii="Times New Roman" w:hAnsi="Times New Roman" w:cs="Times New Roman"/>
          <w:bCs/>
          <w:color w:val="000000" w:themeColor="text1"/>
          <w:sz w:val="24"/>
          <w:szCs w:val="24"/>
        </w:rPr>
        <w:t>z</w:t>
      </w:r>
      <w:r w:rsidRPr="004C70FA">
        <w:rPr>
          <w:rFonts w:ascii="Times New Roman" w:hAnsi="Times New Roman" w:cs="Times New Roman"/>
          <w:bCs/>
          <w:color w:val="000000" w:themeColor="text1"/>
          <w:sz w:val="24"/>
          <w:szCs w:val="24"/>
        </w:rPr>
        <w:t xml:space="preserve">ation. Further, in most earlier MDC applications, the possibility that some households do not own a vehicle was not considered. </w:t>
      </w:r>
    </w:p>
    <w:p w14:paraId="20AE208D" w14:textId="0CEB3CF2" w:rsidR="004C70FA" w:rsidRPr="004C70FA" w:rsidRDefault="004C70FA" w:rsidP="005F211D">
      <w:pPr>
        <w:spacing w:after="0" w:line="240" w:lineRule="auto"/>
        <w:jc w:val="both"/>
        <w:rPr>
          <w:rFonts w:ascii="Times New Roman" w:hAnsi="Times New Roman" w:cs="Times New Roman"/>
          <w:bCs/>
          <w:color w:val="000000" w:themeColor="text1"/>
          <w:sz w:val="24"/>
          <w:szCs w:val="24"/>
        </w:rPr>
      </w:pPr>
      <w:r w:rsidRPr="004C70FA">
        <w:rPr>
          <w:rFonts w:ascii="Times New Roman" w:hAnsi="Times New Roman" w:cs="Times New Roman"/>
          <w:bCs/>
          <w:color w:val="000000" w:themeColor="text1"/>
          <w:sz w:val="24"/>
          <w:szCs w:val="24"/>
        </w:rPr>
        <w:lastRenderedPageBreak/>
        <w:tab/>
        <w:t xml:space="preserve">Bhat </w:t>
      </w:r>
      <w:r w:rsidR="00A523AA" w:rsidRPr="00C1269B">
        <w:rPr>
          <w:rFonts w:ascii="Times New Roman" w:hAnsi="Times New Roman" w:cs="Times New Roman"/>
          <w:bCs/>
          <w:i/>
          <w:iCs/>
          <w:color w:val="000000" w:themeColor="text1"/>
          <w:sz w:val="24"/>
          <w:szCs w:val="24"/>
        </w:rPr>
        <w:t>(15)</w:t>
      </w:r>
      <w:r w:rsidRPr="004C70FA">
        <w:rPr>
          <w:rFonts w:ascii="Times New Roman" w:hAnsi="Times New Roman" w:cs="Times New Roman"/>
          <w:bCs/>
          <w:color w:val="000000" w:themeColor="text1"/>
          <w:sz w:val="24"/>
          <w:szCs w:val="24"/>
        </w:rPr>
        <w:t xml:space="preserve"> recently proposed a two-stage MDC choice model that allowed endogenous estimation of the budget with the allocation to the elementary alternatives, all within a utility maximi</w:t>
      </w:r>
      <w:r w:rsidR="000A4751">
        <w:rPr>
          <w:rFonts w:ascii="Times New Roman" w:hAnsi="Times New Roman" w:cs="Times New Roman"/>
          <w:bCs/>
          <w:color w:val="000000" w:themeColor="text1"/>
          <w:sz w:val="24"/>
          <w:szCs w:val="24"/>
        </w:rPr>
        <w:t>z</w:t>
      </w:r>
      <w:r w:rsidRPr="004C70FA">
        <w:rPr>
          <w:rFonts w:ascii="Times New Roman" w:hAnsi="Times New Roman" w:cs="Times New Roman"/>
          <w:bCs/>
          <w:color w:val="000000" w:themeColor="text1"/>
          <w:sz w:val="24"/>
          <w:szCs w:val="24"/>
        </w:rPr>
        <w:t>ation framework. This two-step formulation is based on the two-stage budget allocation framework</w:t>
      </w:r>
      <w:r w:rsidR="00A523AA">
        <w:rPr>
          <w:rFonts w:ascii="Times New Roman" w:hAnsi="Times New Roman" w:cs="Times New Roman"/>
          <w:bCs/>
          <w:color w:val="000000" w:themeColor="text1"/>
          <w:sz w:val="24"/>
          <w:szCs w:val="24"/>
        </w:rPr>
        <w:t xml:space="preserve"> </w:t>
      </w:r>
      <w:r w:rsidR="00A523AA" w:rsidRPr="00A523AA">
        <w:rPr>
          <w:rFonts w:ascii="Times New Roman" w:hAnsi="Times New Roman" w:cs="Times New Roman"/>
          <w:bCs/>
          <w:i/>
          <w:iCs/>
          <w:color w:val="000000" w:themeColor="text1"/>
          <w:sz w:val="24"/>
          <w:szCs w:val="24"/>
        </w:rPr>
        <w:t>(16, 17)</w:t>
      </w:r>
      <w:r w:rsidRPr="004C70FA">
        <w:rPr>
          <w:rFonts w:ascii="Times New Roman" w:hAnsi="Times New Roman" w:cs="Times New Roman"/>
          <w:bCs/>
          <w:color w:val="000000" w:themeColor="text1"/>
          <w:sz w:val="24"/>
          <w:szCs w:val="24"/>
        </w:rPr>
        <w:t xml:space="preserve">. Further, his formulation accommodates situations where none of the elementary alternatives are chosen for consumption (situations corresponding to zero budget) by employing statistical censoring through a Tobit-type </w:t>
      </w:r>
      <w:r w:rsidR="00A523AA" w:rsidRPr="00A523AA">
        <w:rPr>
          <w:rFonts w:ascii="Times New Roman" w:hAnsi="Times New Roman" w:cs="Times New Roman"/>
          <w:bCs/>
          <w:i/>
          <w:iCs/>
          <w:color w:val="000000" w:themeColor="text1"/>
          <w:sz w:val="24"/>
          <w:szCs w:val="24"/>
        </w:rPr>
        <w:t>(18)</w:t>
      </w:r>
      <w:r w:rsidRPr="004C70FA">
        <w:rPr>
          <w:rFonts w:ascii="Times New Roman" w:hAnsi="Times New Roman" w:cs="Times New Roman"/>
          <w:bCs/>
          <w:color w:val="000000" w:themeColor="text1"/>
          <w:sz w:val="24"/>
          <w:szCs w:val="24"/>
        </w:rPr>
        <w:t xml:space="preserve"> first</w:t>
      </w:r>
      <w:r w:rsidR="000A4751">
        <w:rPr>
          <w:rFonts w:ascii="Times New Roman" w:hAnsi="Times New Roman" w:cs="Times New Roman"/>
          <w:bCs/>
          <w:color w:val="000000" w:themeColor="text1"/>
          <w:sz w:val="24"/>
          <w:szCs w:val="24"/>
        </w:rPr>
        <w:t xml:space="preserve"> </w:t>
      </w:r>
      <w:r w:rsidRPr="004C70FA">
        <w:rPr>
          <w:rFonts w:ascii="Times New Roman" w:hAnsi="Times New Roman" w:cs="Times New Roman"/>
          <w:bCs/>
          <w:color w:val="000000" w:themeColor="text1"/>
          <w:sz w:val="24"/>
          <w:szCs w:val="24"/>
        </w:rPr>
        <w:t>stage budget equation. Such situations are common when analy</w:t>
      </w:r>
      <w:r w:rsidR="00D20B53">
        <w:rPr>
          <w:rFonts w:ascii="Times New Roman" w:hAnsi="Times New Roman" w:cs="Times New Roman"/>
          <w:bCs/>
          <w:color w:val="000000" w:themeColor="text1"/>
          <w:sz w:val="24"/>
          <w:szCs w:val="24"/>
        </w:rPr>
        <w:t>s</w:t>
      </w:r>
      <w:r w:rsidRPr="004C70FA">
        <w:rPr>
          <w:rFonts w:ascii="Times New Roman" w:hAnsi="Times New Roman" w:cs="Times New Roman"/>
          <w:bCs/>
          <w:color w:val="000000" w:themeColor="text1"/>
          <w:sz w:val="24"/>
          <w:szCs w:val="24"/>
        </w:rPr>
        <w:t>ing households’ vehicle holdings where it is likely that a household may not own any motori</w:t>
      </w:r>
      <w:r w:rsidR="000A4751">
        <w:rPr>
          <w:rFonts w:ascii="Times New Roman" w:hAnsi="Times New Roman" w:cs="Times New Roman"/>
          <w:bCs/>
          <w:color w:val="000000" w:themeColor="text1"/>
          <w:sz w:val="24"/>
          <w:szCs w:val="24"/>
        </w:rPr>
        <w:t>z</w:t>
      </w:r>
      <w:r w:rsidRPr="004C70FA">
        <w:rPr>
          <w:rFonts w:ascii="Times New Roman" w:hAnsi="Times New Roman" w:cs="Times New Roman"/>
          <w:bCs/>
          <w:color w:val="000000" w:themeColor="text1"/>
          <w:sz w:val="24"/>
          <w:szCs w:val="24"/>
        </w:rPr>
        <w:t xml:space="preserve">ed vehicle. </w:t>
      </w:r>
    </w:p>
    <w:p w14:paraId="2FAAB167" w14:textId="77777777" w:rsidR="004C70FA" w:rsidRPr="004C70FA" w:rsidRDefault="004C70FA" w:rsidP="00AD5DB0">
      <w:pPr>
        <w:spacing w:after="0" w:line="240" w:lineRule="auto"/>
        <w:rPr>
          <w:rFonts w:ascii="Times New Roman" w:hAnsi="Times New Roman" w:cs="Times New Roman"/>
          <w:bCs/>
          <w:color w:val="000000" w:themeColor="text1"/>
        </w:rPr>
      </w:pPr>
    </w:p>
    <w:p w14:paraId="73DB00C9" w14:textId="5E9DDF7A" w:rsidR="004C70FA" w:rsidRPr="00303886" w:rsidRDefault="004C70FA" w:rsidP="00AD5DB0">
      <w:pPr>
        <w:spacing w:after="0" w:line="240" w:lineRule="auto"/>
        <w:rPr>
          <w:rFonts w:ascii="Times New Roman" w:hAnsi="Times New Roman" w:cs="Times New Roman"/>
          <w:b/>
          <w:color w:val="000000" w:themeColor="text1"/>
          <w:sz w:val="24"/>
          <w:szCs w:val="24"/>
        </w:rPr>
      </w:pPr>
      <w:r w:rsidRPr="00303886">
        <w:rPr>
          <w:rFonts w:ascii="Times New Roman" w:hAnsi="Times New Roman" w:cs="Times New Roman"/>
          <w:b/>
          <w:color w:val="000000" w:themeColor="text1"/>
          <w:sz w:val="24"/>
          <w:szCs w:val="24"/>
        </w:rPr>
        <w:t xml:space="preserve">The </w:t>
      </w:r>
      <w:r w:rsidR="00AD5DB0">
        <w:rPr>
          <w:rFonts w:ascii="Times New Roman" w:hAnsi="Times New Roman" w:cs="Times New Roman"/>
          <w:b/>
          <w:color w:val="000000" w:themeColor="text1"/>
          <w:sz w:val="24"/>
          <w:szCs w:val="24"/>
        </w:rPr>
        <w:t>C</w:t>
      </w:r>
      <w:r w:rsidRPr="00303886">
        <w:rPr>
          <w:rFonts w:ascii="Times New Roman" w:hAnsi="Times New Roman" w:cs="Times New Roman"/>
          <w:b/>
          <w:color w:val="000000" w:themeColor="text1"/>
          <w:sz w:val="24"/>
          <w:szCs w:val="24"/>
        </w:rPr>
        <w:t xml:space="preserve">urrent </w:t>
      </w:r>
      <w:r w:rsidR="00AD5DB0">
        <w:rPr>
          <w:rFonts w:ascii="Times New Roman" w:hAnsi="Times New Roman" w:cs="Times New Roman"/>
          <w:b/>
          <w:color w:val="000000" w:themeColor="text1"/>
          <w:sz w:val="24"/>
          <w:szCs w:val="24"/>
        </w:rPr>
        <w:t>P</w:t>
      </w:r>
      <w:r w:rsidRPr="00303886">
        <w:rPr>
          <w:rFonts w:ascii="Times New Roman" w:hAnsi="Times New Roman" w:cs="Times New Roman"/>
          <w:b/>
          <w:color w:val="000000" w:themeColor="text1"/>
          <w:sz w:val="24"/>
          <w:szCs w:val="24"/>
        </w:rPr>
        <w:t xml:space="preserve">aper in </w:t>
      </w:r>
      <w:r w:rsidR="00AD5DB0">
        <w:rPr>
          <w:rFonts w:ascii="Times New Roman" w:hAnsi="Times New Roman" w:cs="Times New Roman"/>
          <w:b/>
          <w:color w:val="000000" w:themeColor="text1"/>
          <w:sz w:val="24"/>
          <w:szCs w:val="24"/>
        </w:rPr>
        <w:t>C</w:t>
      </w:r>
      <w:r w:rsidRPr="00303886">
        <w:rPr>
          <w:rFonts w:ascii="Times New Roman" w:hAnsi="Times New Roman" w:cs="Times New Roman"/>
          <w:b/>
          <w:color w:val="000000" w:themeColor="text1"/>
          <w:sz w:val="24"/>
          <w:szCs w:val="24"/>
        </w:rPr>
        <w:t>ontext</w:t>
      </w:r>
    </w:p>
    <w:p w14:paraId="666ABDC1" w14:textId="2992E8E6" w:rsidR="004C70FA" w:rsidRPr="004C70FA" w:rsidRDefault="004C70FA" w:rsidP="00AD5DB0">
      <w:pPr>
        <w:spacing w:after="0" w:line="240" w:lineRule="auto"/>
        <w:jc w:val="both"/>
        <w:rPr>
          <w:rFonts w:ascii="Times New Roman" w:hAnsi="Times New Roman" w:cs="Times New Roman"/>
          <w:sz w:val="24"/>
          <w:szCs w:val="24"/>
        </w:rPr>
      </w:pPr>
      <w:r w:rsidRPr="004C70FA">
        <w:rPr>
          <w:rFonts w:ascii="Times New Roman" w:hAnsi="Times New Roman" w:cs="Times New Roman"/>
          <w:sz w:val="24"/>
          <w:szCs w:val="24"/>
        </w:rPr>
        <w:t xml:space="preserve">In this paper, we present an application of </w:t>
      </w:r>
      <w:r w:rsidR="006B37B7">
        <w:rPr>
          <w:rFonts w:ascii="Times New Roman" w:hAnsi="Times New Roman" w:cs="Times New Roman"/>
          <w:sz w:val="24"/>
          <w:szCs w:val="24"/>
        </w:rPr>
        <w:t xml:space="preserve">Bhat’s </w:t>
      </w:r>
      <w:r w:rsidR="006B37B7" w:rsidRPr="00534723">
        <w:rPr>
          <w:rFonts w:ascii="Times New Roman" w:hAnsi="Times New Roman" w:cs="Times New Roman"/>
          <w:i/>
          <w:iCs/>
          <w:sz w:val="24"/>
          <w:szCs w:val="24"/>
        </w:rPr>
        <w:t>(15)</w:t>
      </w:r>
      <w:r w:rsidRPr="004C70FA">
        <w:rPr>
          <w:rFonts w:ascii="Times New Roman" w:hAnsi="Times New Roman" w:cs="Times New Roman"/>
          <w:sz w:val="24"/>
          <w:szCs w:val="24"/>
        </w:rPr>
        <w:t xml:space="preserve"> two-stage MDC model to analy</w:t>
      </w:r>
      <w:r w:rsidR="00D20B53">
        <w:rPr>
          <w:rFonts w:ascii="Times New Roman" w:hAnsi="Times New Roman" w:cs="Times New Roman"/>
          <w:sz w:val="24"/>
          <w:szCs w:val="24"/>
        </w:rPr>
        <w:t>s</w:t>
      </w:r>
      <w:r w:rsidRPr="004C70FA">
        <w:rPr>
          <w:rFonts w:ascii="Times New Roman" w:hAnsi="Times New Roman" w:cs="Times New Roman"/>
          <w:sz w:val="24"/>
          <w:szCs w:val="24"/>
        </w:rPr>
        <w:t>e households’ vehicle holding and usage decisions in California using the 2019 California Vehicle Survey data</w:t>
      </w:r>
      <w:r w:rsidR="00C1269B">
        <w:rPr>
          <w:rFonts w:ascii="Times New Roman" w:hAnsi="Times New Roman" w:cs="Times New Roman"/>
          <w:sz w:val="24"/>
          <w:szCs w:val="24"/>
        </w:rPr>
        <w:t xml:space="preserve"> </w:t>
      </w:r>
      <w:r w:rsidR="00C1269B" w:rsidRPr="00C1269B">
        <w:rPr>
          <w:rFonts w:ascii="Times New Roman" w:hAnsi="Times New Roman" w:cs="Times New Roman"/>
          <w:i/>
          <w:iCs/>
          <w:sz w:val="24"/>
          <w:szCs w:val="24"/>
        </w:rPr>
        <w:t>(19)</w:t>
      </w:r>
      <w:r w:rsidRPr="004C70FA">
        <w:rPr>
          <w:rFonts w:ascii="Times New Roman" w:hAnsi="Times New Roman" w:cs="Times New Roman"/>
          <w:sz w:val="24"/>
          <w:szCs w:val="24"/>
        </w:rPr>
        <w:t>. Different fr</w:t>
      </w:r>
      <w:r w:rsidR="000A4751">
        <w:rPr>
          <w:rFonts w:ascii="Times New Roman" w:hAnsi="Times New Roman" w:cs="Times New Roman"/>
          <w:sz w:val="24"/>
          <w:szCs w:val="24"/>
        </w:rPr>
        <w:t>o</w:t>
      </w:r>
      <w:r w:rsidRPr="004C70FA">
        <w:rPr>
          <w:rFonts w:ascii="Times New Roman" w:hAnsi="Times New Roman" w:cs="Times New Roman"/>
          <w:sz w:val="24"/>
          <w:szCs w:val="24"/>
        </w:rPr>
        <w:t xml:space="preserve">m the </w:t>
      </w:r>
      <w:r w:rsidR="006B37B7">
        <w:rPr>
          <w:rFonts w:ascii="Times New Roman" w:hAnsi="Times New Roman" w:cs="Times New Roman"/>
          <w:sz w:val="24"/>
          <w:szCs w:val="24"/>
        </w:rPr>
        <w:t xml:space="preserve">Bhat’s </w:t>
      </w:r>
      <w:r w:rsidR="006B37B7" w:rsidRPr="00534723">
        <w:rPr>
          <w:rFonts w:ascii="Times New Roman" w:hAnsi="Times New Roman" w:cs="Times New Roman"/>
          <w:i/>
          <w:iCs/>
          <w:sz w:val="24"/>
          <w:szCs w:val="24"/>
        </w:rPr>
        <w:t>(15)</w:t>
      </w:r>
      <w:r w:rsidRPr="004C70FA">
        <w:rPr>
          <w:rFonts w:ascii="Times New Roman" w:hAnsi="Times New Roman" w:cs="Times New Roman"/>
          <w:sz w:val="24"/>
          <w:szCs w:val="24"/>
        </w:rPr>
        <w:t xml:space="preserve"> application</w:t>
      </w:r>
      <w:r w:rsidR="006B37B7">
        <w:rPr>
          <w:rFonts w:ascii="Times New Roman" w:hAnsi="Times New Roman" w:cs="Times New Roman"/>
          <w:sz w:val="24"/>
          <w:szCs w:val="24"/>
        </w:rPr>
        <w:t xml:space="preserve"> </w:t>
      </w:r>
      <w:r w:rsidRPr="004C70FA">
        <w:rPr>
          <w:rFonts w:ascii="Times New Roman" w:hAnsi="Times New Roman" w:cs="Times New Roman"/>
          <w:sz w:val="24"/>
          <w:szCs w:val="24"/>
        </w:rPr>
        <w:t>(also a vehicle fleet holding and usage application), we analy</w:t>
      </w:r>
      <w:r w:rsidR="00D20B53">
        <w:rPr>
          <w:rFonts w:ascii="Times New Roman" w:hAnsi="Times New Roman" w:cs="Times New Roman"/>
          <w:sz w:val="24"/>
          <w:szCs w:val="24"/>
        </w:rPr>
        <w:t>s</w:t>
      </w:r>
      <w:r w:rsidRPr="004C70FA">
        <w:rPr>
          <w:rFonts w:ascii="Times New Roman" w:hAnsi="Times New Roman" w:cs="Times New Roman"/>
          <w:sz w:val="24"/>
          <w:szCs w:val="24"/>
        </w:rPr>
        <w:t>e households’ vehicle fleet mix comprising a more diverse choice set, with vehicle ownership classification based on body-type and fuel</w:t>
      </w:r>
      <w:r w:rsidR="000A4751">
        <w:rPr>
          <w:rFonts w:ascii="Times New Roman" w:hAnsi="Times New Roman" w:cs="Times New Roman"/>
          <w:sz w:val="24"/>
          <w:szCs w:val="24"/>
        </w:rPr>
        <w:t xml:space="preserve"> </w:t>
      </w:r>
      <w:r w:rsidRPr="004C70FA">
        <w:rPr>
          <w:rFonts w:ascii="Times New Roman" w:hAnsi="Times New Roman" w:cs="Times New Roman"/>
          <w:sz w:val="24"/>
          <w:szCs w:val="24"/>
        </w:rPr>
        <w:t>type</w:t>
      </w:r>
      <w:r w:rsidR="000A4751">
        <w:rPr>
          <w:rFonts w:ascii="Times New Roman" w:hAnsi="Times New Roman" w:cs="Times New Roman"/>
          <w:sz w:val="24"/>
          <w:szCs w:val="24"/>
        </w:rPr>
        <w:t>,</w:t>
      </w:r>
      <w:r w:rsidRPr="004C70FA">
        <w:rPr>
          <w:rFonts w:ascii="Times New Roman" w:hAnsi="Times New Roman" w:cs="Times New Roman"/>
          <w:sz w:val="24"/>
          <w:szCs w:val="24"/>
        </w:rPr>
        <w:t xml:space="preserve"> including traditional gasoline-powered vehicles and electric and hybrid vehicles. Such an analysis sheds light on the factors that influence the ownership and usage decisions of traditional gasoline-powered vehicles as well as new, alternative-fuelled vehicles such as PHEVs, BEVs, and FCEVs. Such insights from our empirical analysis can potentially help in formulating programs that go beyond monetary incentives for reducing vehicle ownership and accelerating the adoption and usage of alternative-fuelled vehicles. Finally, from a methodological standpoint, we also </w:t>
      </w:r>
      <w:r w:rsidR="006B37B7">
        <w:rPr>
          <w:rFonts w:ascii="Times New Roman" w:hAnsi="Times New Roman" w:cs="Times New Roman"/>
          <w:sz w:val="24"/>
          <w:szCs w:val="24"/>
        </w:rPr>
        <w:t xml:space="preserve">show how </w:t>
      </w:r>
      <w:r w:rsidRPr="004C70FA">
        <w:rPr>
          <w:rFonts w:ascii="Times New Roman" w:hAnsi="Times New Roman" w:cs="Times New Roman"/>
          <w:sz w:val="24"/>
          <w:szCs w:val="24"/>
        </w:rPr>
        <w:t xml:space="preserve">the two-stage MDC model </w:t>
      </w:r>
      <w:r w:rsidR="006B37B7">
        <w:rPr>
          <w:rFonts w:ascii="Times New Roman" w:hAnsi="Times New Roman" w:cs="Times New Roman"/>
          <w:sz w:val="24"/>
          <w:szCs w:val="24"/>
        </w:rPr>
        <w:t xml:space="preserve">is easily extended </w:t>
      </w:r>
      <w:r w:rsidRPr="004C70FA">
        <w:rPr>
          <w:rFonts w:ascii="Times New Roman" w:hAnsi="Times New Roman" w:cs="Times New Roman"/>
          <w:sz w:val="24"/>
          <w:szCs w:val="24"/>
        </w:rPr>
        <w:t>to relax the unit scale assumption in its prior formulation.</w:t>
      </w:r>
    </w:p>
    <w:p w14:paraId="745BA052" w14:textId="1905258E" w:rsidR="004C70FA" w:rsidRPr="00AD5DB0" w:rsidRDefault="004C70FA" w:rsidP="00AD5DB0">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ab/>
        <w:t xml:space="preserve">The rest of the paper is structured as follows. Section 2 discusses the empirical data used in this analysis. Section 3 presents the structure of the two-stage MDC model and discusses the </w:t>
      </w:r>
      <w:r w:rsidRPr="00AD5DB0">
        <w:rPr>
          <w:rFonts w:ascii="Times New Roman" w:hAnsi="Times New Roman" w:cs="Times New Roman"/>
          <w:sz w:val="24"/>
          <w:szCs w:val="24"/>
        </w:rPr>
        <w:t>nuances in relaxing the unit scale assumption. Section 4 presents empirical results. Section 5 concludes the paper with a summary and some future research directions.</w:t>
      </w:r>
    </w:p>
    <w:p w14:paraId="268DCD65" w14:textId="77777777" w:rsidR="00BA7557" w:rsidRPr="00AD5DB0" w:rsidRDefault="00BA7557" w:rsidP="00AD5DB0">
      <w:pPr>
        <w:spacing w:after="0" w:line="240" w:lineRule="auto"/>
        <w:ind w:firstLine="720"/>
        <w:rPr>
          <w:rFonts w:ascii="Times New Roman" w:hAnsi="Times New Roman" w:cs="Times New Roman"/>
          <w:b/>
          <w:color w:val="000000" w:themeColor="text1"/>
          <w:sz w:val="24"/>
          <w:szCs w:val="24"/>
        </w:rPr>
      </w:pPr>
    </w:p>
    <w:p w14:paraId="511702C6" w14:textId="19713926" w:rsidR="004C70FA" w:rsidRPr="00AD5DB0" w:rsidRDefault="004C70FA" w:rsidP="00AD5DB0">
      <w:pPr>
        <w:spacing w:after="0" w:line="240" w:lineRule="auto"/>
        <w:rPr>
          <w:rFonts w:ascii="Times New Roman" w:hAnsi="Times New Roman" w:cs="Times New Roman"/>
          <w:b/>
          <w:color w:val="000000" w:themeColor="text1"/>
          <w:sz w:val="24"/>
          <w:szCs w:val="24"/>
        </w:rPr>
      </w:pPr>
      <w:r w:rsidRPr="00AD5DB0">
        <w:rPr>
          <w:rFonts w:ascii="Times New Roman" w:hAnsi="Times New Roman" w:cs="Times New Roman"/>
          <w:b/>
          <w:color w:val="000000" w:themeColor="text1"/>
          <w:sz w:val="24"/>
          <w:szCs w:val="24"/>
        </w:rPr>
        <w:t>DATA</w:t>
      </w:r>
    </w:p>
    <w:p w14:paraId="21D0B39D" w14:textId="583E0478" w:rsidR="00303886" w:rsidRPr="00AD5DB0" w:rsidRDefault="00303886" w:rsidP="00AD5DB0">
      <w:pPr>
        <w:spacing w:after="0" w:line="240" w:lineRule="auto"/>
        <w:jc w:val="both"/>
        <w:rPr>
          <w:rFonts w:ascii="Times New Roman" w:hAnsi="Times New Roman" w:cs="Times New Roman"/>
          <w:sz w:val="24"/>
          <w:szCs w:val="24"/>
        </w:rPr>
      </w:pPr>
      <w:bookmarkStart w:id="0" w:name="_Hlk141256802"/>
      <w:r w:rsidRPr="00AD5DB0">
        <w:rPr>
          <w:rFonts w:ascii="Times New Roman" w:hAnsi="Times New Roman" w:cs="Times New Roman"/>
          <w:sz w:val="24"/>
          <w:szCs w:val="24"/>
        </w:rPr>
        <w:t xml:space="preserve">The data for </w:t>
      </w:r>
      <w:r w:rsidR="006B37B7" w:rsidRPr="00AD5DB0">
        <w:rPr>
          <w:rFonts w:ascii="Times New Roman" w:hAnsi="Times New Roman" w:cs="Times New Roman"/>
          <w:sz w:val="24"/>
          <w:szCs w:val="24"/>
        </w:rPr>
        <w:t xml:space="preserve">the </w:t>
      </w:r>
      <w:r w:rsidRPr="00AD5DB0">
        <w:rPr>
          <w:rFonts w:ascii="Times New Roman" w:hAnsi="Times New Roman" w:cs="Times New Roman"/>
          <w:sz w:val="24"/>
          <w:szCs w:val="24"/>
        </w:rPr>
        <w:t>analysis is drawn from the 2019 California Vehicle Survey undertaken by the California Energy Commission</w:t>
      </w:r>
      <w:r w:rsidR="00A523AA" w:rsidRPr="00AD5DB0">
        <w:rPr>
          <w:rFonts w:ascii="Times New Roman" w:hAnsi="Times New Roman" w:cs="Times New Roman"/>
          <w:sz w:val="24"/>
          <w:szCs w:val="24"/>
        </w:rPr>
        <w:t xml:space="preserve"> </w:t>
      </w:r>
      <w:r w:rsidR="00A523AA" w:rsidRPr="00AD5DB0">
        <w:rPr>
          <w:rFonts w:ascii="Times New Roman" w:hAnsi="Times New Roman" w:cs="Times New Roman"/>
          <w:i/>
          <w:iCs/>
          <w:sz w:val="24"/>
          <w:szCs w:val="24"/>
        </w:rPr>
        <w:t>(19)</w:t>
      </w:r>
      <w:r w:rsidRPr="00AD5DB0">
        <w:rPr>
          <w:rFonts w:ascii="Times New Roman" w:hAnsi="Times New Roman" w:cs="Times New Roman"/>
          <w:sz w:val="24"/>
          <w:szCs w:val="24"/>
        </w:rPr>
        <w:t xml:space="preserve"> to understand shifts in both residential and commercial vehicle mix. For this study, we focus on the residential vehicle fleet mix, which comprises vehicle holdings of</w:t>
      </w:r>
      <w:r w:rsidR="006B37B7" w:rsidRPr="00AD5DB0">
        <w:rPr>
          <w:rFonts w:ascii="Times New Roman" w:hAnsi="Times New Roman" w:cs="Times New Roman"/>
          <w:sz w:val="24"/>
          <w:szCs w:val="24"/>
        </w:rPr>
        <w:t xml:space="preserve"> </w:t>
      </w:r>
      <w:r w:rsidRPr="00AD5DB0">
        <w:rPr>
          <w:rFonts w:ascii="Times New Roman" w:hAnsi="Times New Roman" w:cs="Times New Roman"/>
          <w:sz w:val="24"/>
          <w:szCs w:val="24"/>
        </w:rPr>
        <w:t xml:space="preserve">households spread across the 58 counties of California. </w:t>
      </w:r>
      <w:r w:rsidR="006B37B7" w:rsidRPr="00AD5DB0">
        <w:rPr>
          <w:rFonts w:ascii="Times New Roman" w:hAnsi="Times New Roman" w:cs="Times New Roman"/>
          <w:sz w:val="24"/>
          <w:szCs w:val="24"/>
        </w:rPr>
        <w:t xml:space="preserve">Of the surveyed households, 759 households </w:t>
      </w:r>
      <w:r w:rsidRPr="00AD5DB0">
        <w:rPr>
          <w:rFonts w:ascii="Times New Roman" w:hAnsi="Times New Roman" w:cs="Times New Roman"/>
          <w:sz w:val="24"/>
          <w:szCs w:val="24"/>
        </w:rPr>
        <w:t>owned PHEVs, BEVs, or FCEVs</w:t>
      </w:r>
      <w:r w:rsidR="006B37B7" w:rsidRPr="00AD5DB0">
        <w:rPr>
          <w:rFonts w:ascii="Times New Roman" w:hAnsi="Times New Roman" w:cs="Times New Roman"/>
          <w:sz w:val="24"/>
          <w:szCs w:val="24"/>
        </w:rPr>
        <w:t>, based on an intentional oversampling of such households</w:t>
      </w:r>
      <w:r w:rsidRPr="00AD5DB0">
        <w:rPr>
          <w:rFonts w:ascii="Times New Roman" w:hAnsi="Times New Roman" w:cs="Times New Roman"/>
          <w:sz w:val="24"/>
          <w:szCs w:val="24"/>
        </w:rPr>
        <w:t>. Thus, different fr</w:t>
      </w:r>
      <w:r w:rsidR="006B37B7" w:rsidRPr="00AD5DB0">
        <w:rPr>
          <w:rFonts w:ascii="Times New Roman" w:hAnsi="Times New Roman" w:cs="Times New Roman"/>
          <w:sz w:val="24"/>
          <w:szCs w:val="24"/>
        </w:rPr>
        <w:t>o</w:t>
      </w:r>
      <w:r w:rsidRPr="00AD5DB0">
        <w:rPr>
          <w:rFonts w:ascii="Times New Roman" w:hAnsi="Times New Roman" w:cs="Times New Roman"/>
          <w:sz w:val="24"/>
          <w:szCs w:val="24"/>
        </w:rPr>
        <w:t>m previous studies (that typically define vehicle type choice alternatives as a combination of vintage and body type), we consider the motorized vehicles owned by the households as a combination of body type and fuel type, leading to the following 7 alternative vehicle categories: a) Gasoline car (includes</w:t>
      </w:r>
      <w:r w:rsidR="006B37B7" w:rsidRPr="00AD5DB0">
        <w:rPr>
          <w:rFonts w:ascii="Times New Roman" w:hAnsi="Times New Roman" w:cs="Times New Roman"/>
          <w:sz w:val="24"/>
          <w:szCs w:val="24"/>
        </w:rPr>
        <w:t xml:space="preserve"> </w:t>
      </w:r>
      <w:r w:rsidRPr="00AD5DB0">
        <w:rPr>
          <w:rFonts w:ascii="Times New Roman" w:hAnsi="Times New Roman" w:cs="Times New Roman"/>
          <w:sz w:val="24"/>
          <w:szCs w:val="24"/>
        </w:rPr>
        <w:t xml:space="preserve">subcompact, </w:t>
      </w:r>
      <w:r w:rsidR="006B37B7" w:rsidRPr="00AD5DB0">
        <w:rPr>
          <w:rFonts w:ascii="Times New Roman" w:hAnsi="Times New Roman" w:cs="Times New Roman"/>
          <w:sz w:val="24"/>
          <w:szCs w:val="24"/>
        </w:rPr>
        <w:t xml:space="preserve">compact, </w:t>
      </w:r>
      <w:r w:rsidRPr="00AD5DB0">
        <w:rPr>
          <w:rFonts w:ascii="Times New Roman" w:hAnsi="Times New Roman" w:cs="Times New Roman"/>
          <w:sz w:val="24"/>
          <w:szCs w:val="24"/>
        </w:rPr>
        <w:t>midsize, large, or sports car</w:t>
      </w:r>
      <w:r w:rsidR="006B37B7" w:rsidRPr="00AD5DB0">
        <w:rPr>
          <w:rFonts w:ascii="Times New Roman" w:hAnsi="Times New Roman" w:cs="Times New Roman"/>
          <w:sz w:val="24"/>
          <w:szCs w:val="24"/>
        </w:rPr>
        <w:t>s</w:t>
      </w:r>
      <w:r w:rsidRPr="00AD5DB0">
        <w:rPr>
          <w:rFonts w:ascii="Times New Roman" w:hAnsi="Times New Roman" w:cs="Times New Roman"/>
          <w:sz w:val="24"/>
          <w:szCs w:val="24"/>
        </w:rPr>
        <w:t xml:space="preserve"> </w:t>
      </w:r>
      <w:r w:rsidR="006B37B7" w:rsidRPr="00AD5DB0">
        <w:rPr>
          <w:rFonts w:ascii="Times New Roman" w:hAnsi="Times New Roman" w:cs="Times New Roman"/>
          <w:sz w:val="24"/>
          <w:szCs w:val="24"/>
        </w:rPr>
        <w:t>that</w:t>
      </w:r>
      <w:r w:rsidRPr="00AD5DB0">
        <w:rPr>
          <w:rFonts w:ascii="Times New Roman" w:hAnsi="Times New Roman" w:cs="Times New Roman"/>
          <w:sz w:val="24"/>
          <w:szCs w:val="24"/>
        </w:rPr>
        <w:t xml:space="preserve"> use conventional gasoline/diesel/flex fuel), b) Hybrid car (includes the above car categories, except with PHEV or hybrid-gas fuel options), c) Electric car (includes the above car categories with fully electric engines, or hydrogen cell (FCEV) or a plug-in with hydrogen cell (PFCEV) options), d) Gasoline SUV (includes sub-compact, compact, midsize or large cross-over sports utility vehicle</w:t>
      </w:r>
      <w:r w:rsidR="006B37B7" w:rsidRPr="00AD5DB0">
        <w:rPr>
          <w:rFonts w:ascii="Times New Roman" w:hAnsi="Times New Roman" w:cs="Times New Roman"/>
          <w:sz w:val="24"/>
          <w:szCs w:val="24"/>
        </w:rPr>
        <w:t>s</w:t>
      </w:r>
      <w:r w:rsidRPr="00AD5DB0">
        <w:rPr>
          <w:rFonts w:ascii="Times New Roman" w:hAnsi="Times New Roman" w:cs="Times New Roman"/>
          <w:sz w:val="24"/>
          <w:szCs w:val="24"/>
        </w:rPr>
        <w:t xml:space="preserve"> (SUV</w:t>
      </w:r>
      <w:r w:rsidR="006B37B7" w:rsidRPr="00AD5DB0">
        <w:rPr>
          <w:rFonts w:ascii="Times New Roman" w:hAnsi="Times New Roman" w:cs="Times New Roman"/>
          <w:sz w:val="24"/>
          <w:szCs w:val="24"/>
        </w:rPr>
        <w:t>s</w:t>
      </w:r>
      <w:r w:rsidRPr="00AD5DB0">
        <w:rPr>
          <w:rFonts w:ascii="Times New Roman" w:hAnsi="Times New Roman" w:cs="Times New Roman"/>
          <w:sz w:val="24"/>
          <w:szCs w:val="24"/>
        </w:rPr>
        <w:t>)</w:t>
      </w:r>
      <w:r w:rsidR="006B37B7" w:rsidRPr="00AD5DB0">
        <w:rPr>
          <w:rFonts w:ascii="Times New Roman" w:hAnsi="Times New Roman" w:cs="Times New Roman"/>
          <w:sz w:val="24"/>
          <w:szCs w:val="24"/>
        </w:rPr>
        <w:t xml:space="preserve"> that </w:t>
      </w:r>
      <w:r w:rsidRPr="00AD5DB0">
        <w:rPr>
          <w:rFonts w:ascii="Times New Roman" w:hAnsi="Times New Roman" w:cs="Times New Roman"/>
          <w:sz w:val="24"/>
          <w:szCs w:val="24"/>
        </w:rPr>
        <w:t>use gasoline/diesel/flex fuel options), e) ‘Hybrid+’ SUV (includes the SUV subcategories with PHEV/hybrid-gas fuel options</w:t>
      </w:r>
      <w:r w:rsidR="006B37B7" w:rsidRPr="00AD5DB0">
        <w:rPr>
          <w:rFonts w:ascii="Times New Roman" w:hAnsi="Times New Roman" w:cs="Times New Roman"/>
          <w:sz w:val="24"/>
          <w:szCs w:val="24"/>
        </w:rPr>
        <w:t xml:space="preserve">, along </w:t>
      </w:r>
      <w:r w:rsidR="003A54E6" w:rsidRPr="00AD5DB0">
        <w:rPr>
          <w:rFonts w:ascii="Times New Roman" w:hAnsi="Times New Roman" w:cs="Times New Roman"/>
          <w:sz w:val="24"/>
          <w:szCs w:val="24"/>
        </w:rPr>
        <w:t xml:space="preserve">with a </w:t>
      </w:r>
      <w:r w:rsidR="006B37B7" w:rsidRPr="00AD5DB0">
        <w:rPr>
          <w:rFonts w:ascii="Times New Roman" w:hAnsi="Times New Roman" w:cs="Times New Roman"/>
          <w:sz w:val="24"/>
          <w:szCs w:val="24"/>
        </w:rPr>
        <w:t>miniscule</w:t>
      </w:r>
      <w:r w:rsidR="003A54E6" w:rsidRPr="00AD5DB0">
        <w:rPr>
          <w:rFonts w:ascii="Times New Roman" w:hAnsi="Times New Roman" w:cs="Times New Roman"/>
          <w:sz w:val="24"/>
          <w:szCs w:val="24"/>
        </w:rPr>
        <w:t xml:space="preserve"> proportion (&lt;0.5%) of fully electric SUVs</w:t>
      </w:r>
      <w:r w:rsidRPr="00AD5DB0">
        <w:rPr>
          <w:rFonts w:ascii="Times New Roman" w:hAnsi="Times New Roman" w:cs="Times New Roman"/>
          <w:sz w:val="24"/>
          <w:szCs w:val="24"/>
        </w:rPr>
        <w:t>), f) Van (includes small and large van</w:t>
      </w:r>
      <w:r w:rsidR="006B37B7" w:rsidRPr="00AD5DB0">
        <w:rPr>
          <w:rFonts w:ascii="Times New Roman" w:hAnsi="Times New Roman" w:cs="Times New Roman"/>
          <w:sz w:val="24"/>
          <w:szCs w:val="24"/>
        </w:rPr>
        <w:t>s</w:t>
      </w:r>
      <w:r w:rsidRPr="00AD5DB0">
        <w:rPr>
          <w:rFonts w:ascii="Times New Roman" w:hAnsi="Times New Roman" w:cs="Times New Roman"/>
          <w:sz w:val="24"/>
          <w:szCs w:val="24"/>
        </w:rPr>
        <w:t xml:space="preserve"> with gas/diesel as the fuel options), and g) Pickup truck (includes small and large pickup trucks with gas/diesel as fuel options). In addition to the vehicle ownership and annual mileage on each vehicle in the household, a host of person, household and regional attributes were also collected in the survey. </w:t>
      </w:r>
    </w:p>
    <w:p w14:paraId="5E874FBF" w14:textId="14F34722" w:rsidR="00303886" w:rsidRPr="00AD5DB0" w:rsidRDefault="00303886" w:rsidP="00AD5DB0">
      <w:pPr>
        <w:spacing w:after="0" w:line="240" w:lineRule="auto"/>
        <w:ind w:firstLine="720"/>
        <w:jc w:val="both"/>
        <w:rPr>
          <w:rFonts w:ascii="Times New Roman" w:hAnsi="Times New Roman" w:cs="Times New Roman"/>
          <w:sz w:val="24"/>
          <w:szCs w:val="24"/>
        </w:rPr>
      </w:pPr>
      <w:r w:rsidRPr="00AD5DB0">
        <w:rPr>
          <w:rFonts w:ascii="Times New Roman" w:hAnsi="Times New Roman" w:cs="Times New Roman"/>
          <w:sz w:val="24"/>
          <w:szCs w:val="24"/>
        </w:rPr>
        <w:lastRenderedPageBreak/>
        <w:t xml:space="preserve">After cleaning the data for missing/incorrect records, the final sample for analysis comprised vehicle ownership and annual mileage information of 2862 households. This sample of 2862 households </w:t>
      </w:r>
      <w:proofErr w:type="gramStart"/>
      <w:r w:rsidRPr="00AD5DB0">
        <w:rPr>
          <w:rFonts w:ascii="Times New Roman" w:hAnsi="Times New Roman" w:cs="Times New Roman"/>
          <w:sz w:val="24"/>
          <w:szCs w:val="24"/>
        </w:rPr>
        <w:t>was</w:t>
      </w:r>
      <w:proofErr w:type="gramEnd"/>
      <w:r w:rsidRPr="00AD5DB0">
        <w:rPr>
          <w:rFonts w:ascii="Times New Roman" w:hAnsi="Times New Roman" w:cs="Times New Roman"/>
          <w:sz w:val="24"/>
          <w:szCs w:val="24"/>
        </w:rPr>
        <w:t xml:space="preserve"> further </w:t>
      </w:r>
      <w:r w:rsidR="006B37B7" w:rsidRPr="00AD5DB0">
        <w:rPr>
          <w:rFonts w:ascii="Times New Roman" w:hAnsi="Times New Roman" w:cs="Times New Roman"/>
          <w:sz w:val="24"/>
          <w:szCs w:val="24"/>
        </w:rPr>
        <w:t xml:space="preserve">partitioned </w:t>
      </w:r>
      <w:r w:rsidRPr="00AD5DB0">
        <w:rPr>
          <w:rFonts w:ascii="Times New Roman" w:hAnsi="Times New Roman" w:cs="Times New Roman"/>
          <w:sz w:val="24"/>
          <w:szCs w:val="24"/>
        </w:rPr>
        <w:t>into an estimation sample comprising randomly selected 2000 households and a holdout validation sample of the remaining 862 households. The details of the vehicle</w:t>
      </w:r>
      <w:r w:rsidR="000A4751" w:rsidRPr="00AD5DB0">
        <w:rPr>
          <w:rFonts w:ascii="Times New Roman" w:hAnsi="Times New Roman" w:cs="Times New Roman"/>
          <w:sz w:val="24"/>
          <w:szCs w:val="24"/>
        </w:rPr>
        <w:t xml:space="preserve"> </w:t>
      </w:r>
      <w:r w:rsidRPr="00AD5DB0">
        <w:rPr>
          <w:rFonts w:ascii="Times New Roman" w:hAnsi="Times New Roman" w:cs="Times New Roman"/>
          <w:sz w:val="24"/>
          <w:szCs w:val="24"/>
        </w:rPr>
        <w:t>mix</w:t>
      </w:r>
      <w:r w:rsidR="000A4751" w:rsidRPr="00AD5DB0">
        <w:rPr>
          <w:rFonts w:ascii="Times New Roman" w:hAnsi="Times New Roman" w:cs="Times New Roman"/>
          <w:sz w:val="24"/>
          <w:szCs w:val="24"/>
        </w:rPr>
        <w:t xml:space="preserve"> and</w:t>
      </w:r>
      <w:r w:rsidRPr="00AD5DB0">
        <w:rPr>
          <w:rFonts w:ascii="Times New Roman" w:hAnsi="Times New Roman" w:cs="Times New Roman"/>
          <w:sz w:val="24"/>
          <w:szCs w:val="24"/>
        </w:rPr>
        <w:t xml:space="preserve"> the descriptive statistics of the sociodemographic attributes of the estimation sample </w:t>
      </w:r>
      <w:r w:rsidR="000A4751" w:rsidRPr="00AD5DB0">
        <w:rPr>
          <w:rFonts w:ascii="Times New Roman" w:hAnsi="Times New Roman" w:cs="Times New Roman"/>
          <w:sz w:val="24"/>
          <w:szCs w:val="24"/>
        </w:rPr>
        <w:t>are</w:t>
      </w:r>
      <w:r w:rsidRPr="00AD5DB0">
        <w:rPr>
          <w:rFonts w:ascii="Times New Roman" w:hAnsi="Times New Roman" w:cs="Times New Roman"/>
          <w:sz w:val="24"/>
          <w:szCs w:val="24"/>
        </w:rPr>
        <w:t xml:space="preserve"> provided in Table 1.</w:t>
      </w:r>
    </w:p>
    <w:p w14:paraId="3BFB289D" w14:textId="7AECC7B8" w:rsidR="00303886" w:rsidRPr="00AD5DB0" w:rsidRDefault="00303886" w:rsidP="00AD5DB0">
      <w:pPr>
        <w:spacing w:after="0" w:line="240" w:lineRule="auto"/>
        <w:ind w:firstLine="720"/>
        <w:jc w:val="both"/>
        <w:rPr>
          <w:rFonts w:ascii="Times New Roman" w:hAnsi="Times New Roman" w:cs="Times New Roman"/>
          <w:sz w:val="24"/>
          <w:szCs w:val="24"/>
        </w:rPr>
      </w:pPr>
      <w:r w:rsidRPr="00AD5DB0">
        <w:rPr>
          <w:rFonts w:ascii="Times New Roman" w:hAnsi="Times New Roman" w:cs="Times New Roman"/>
          <w:sz w:val="24"/>
          <w:szCs w:val="24"/>
        </w:rPr>
        <w:t>The percentage of households with zero-car ownership is a mere 3.85%, which is not surprising since the U</w:t>
      </w:r>
      <w:r w:rsidR="000A4751" w:rsidRPr="00AD5DB0">
        <w:rPr>
          <w:rFonts w:ascii="Times New Roman" w:hAnsi="Times New Roman" w:cs="Times New Roman"/>
          <w:sz w:val="24"/>
          <w:szCs w:val="24"/>
        </w:rPr>
        <w:t>.S.</w:t>
      </w:r>
      <w:r w:rsidRPr="00AD5DB0">
        <w:rPr>
          <w:rFonts w:ascii="Times New Roman" w:hAnsi="Times New Roman" w:cs="Times New Roman"/>
          <w:sz w:val="24"/>
          <w:szCs w:val="24"/>
        </w:rPr>
        <w:t xml:space="preserve"> has a high personal vehicle ownership, and California has the highest total number of personal vehicle registrations among all states in the U</w:t>
      </w:r>
      <w:r w:rsidR="000A4751" w:rsidRPr="00AD5DB0">
        <w:rPr>
          <w:rFonts w:ascii="Times New Roman" w:hAnsi="Times New Roman" w:cs="Times New Roman"/>
          <w:sz w:val="24"/>
          <w:szCs w:val="24"/>
        </w:rPr>
        <w:t>.S.</w:t>
      </w:r>
      <w:r w:rsidR="00A523AA" w:rsidRPr="00AD5DB0">
        <w:rPr>
          <w:rFonts w:ascii="Times New Roman" w:hAnsi="Times New Roman" w:cs="Times New Roman"/>
          <w:sz w:val="24"/>
          <w:szCs w:val="24"/>
        </w:rPr>
        <w:t xml:space="preserve"> </w:t>
      </w:r>
      <w:r w:rsidR="00A523AA" w:rsidRPr="00AD5DB0">
        <w:rPr>
          <w:rFonts w:ascii="Times New Roman" w:hAnsi="Times New Roman" w:cs="Times New Roman"/>
          <w:i/>
          <w:iCs/>
          <w:sz w:val="24"/>
          <w:szCs w:val="24"/>
        </w:rPr>
        <w:t>(20)</w:t>
      </w:r>
      <w:r w:rsidRPr="00AD5DB0">
        <w:rPr>
          <w:rFonts w:ascii="Times New Roman" w:hAnsi="Times New Roman" w:cs="Times New Roman"/>
          <w:sz w:val="24"/>
          <w:szCs w:val="24"/>
        </w:rPr>
        <w:t>. As expected, gasoline car continues to be the largest owned vehicle category, with 56.</w:t>
      </w:r>
      <w:r w:rsidR="006B37B7" w:rsidRPr="00AD5DB0">
        <w:rPr>
          <w:rFonts w:ascii="Times New Roman" w:hAnsi="Times New Roman" w:cs="Times New Roman"/>
          <w:sz w:val="24"/>
          <w:szCs w:val="24"/>
        </w:rPr>
        <w:t>25</w:t>
      </w:r>
      <w:r w:rsidRPr="00AD5DB0">
        <w:rPr>
          <w:rFonts w:ascii="Times New Roman" w:hAnsi="Times New Roman" w:cs="Times New Roman"/>
          <w:sz w:val="24"/>
          <w:szCs w:val="24"/>
        </w:rPr>
        <w:t xml:space="preserve">% of the households owning a gasoline car. This is followed by gasoline-powered SUVs, with 40.5% of the households owning a gas SUV. At the same time, the proportion of households owning a hybrid/electric car is small but not negligible, with </w:t>
      </w:r>
      <w:r w:rsidR="006B37B7" w:rsidRPr="00AD5DB0">
        <w:rPr>
          <w:rFonts w:ascii="Times New Roman" w:hAnsi="Times New Roman" w:cs="Times New Roman"/>
          <w:sz w:val="24"/>
          <w:szCs w:val="24"/>
        </w:rPr>
        <w:t xml:space="preserve">close to </w:t>
      </w:r>
      <w:r w:rsidRPr="00AD5DB0">
        <w:rPr>
          <w:rFonts w:ascii="Times New Roman" w:hAnsi="Times New Roman" w:cs="Times New Roman"/>
          <w:sz w:val="24"/>
          <w:szCs w:val="24"/>
        </w:rPr>
        <w:t xml:space="preserve">15% of the households owning an electric or hybrid car. This </w:t>
      </w:r>
      <w:r w:rsidR="006B37B7" w:rsidRPr="00AD5DB0">
        <w:rPr>
          <w:rFonts w:ascii="Times New Roman" w:hAnsi="Times New Roman" w:cs="Times New Roman"/>
          <w:sz w:val="24"/>
          <w:szCs w:val="24"/>
        </w:rPr>
        <w:t>figure</w:t>
      </w:r>
      <w:r w:rsidRPr="00AD5DB0">
        <w:rPr>
          <w:rFonts w:ascii="Times New Roman" w:hAnsi="Times New Roman" w:cs="Times New Roman"/>
          <w:sz w:val="24"/>
          <w:szCs w:val="24"/>
        </w:rPr>
        <w:t xml:space="preserve"> goes down to just around 4% in the case of hybrid SUVs. In sum, across all households, nearly 20% of the vehicle fleet is either hybrid or electric. Notably, this number is higher than the average penetration of </w:t>
      </w:r>
      <w:r w:rsidR="006B37B7" w:rsidRPr="00AD5DB0">
        <w:rPr>
          <w:rFonts w:ascii="Times New Roman" w:hAnsi="Times New Roman" w:cs="Times New Roman"/>
          <w:sz w:val="24"/>
          <w:szCs w:val="24"/>
        </w:rPr>
        <w:t>electric vehicles (</w:t>
      </w:r>
      <w:r w:rsidRPr="00AD5DB0">
        <w:rPr>
          <w:rFonts w:ascii="Times New Roman" w:hAnsi="Times New Roman" w:cs="Times New Roman"/>
          <w:sz w:val="24"/>
          <w:szCs w:val="24"/>
        </w:rPr>
        <w:t>E</w:t>
      </w:r>
      <w:r w:rsidR="000A4751" w:rsidRPr="00AD5DB0">
        <w:rPr>
          <w:rFonts w:ascii="Times New Roman" w:hAnsi="Times New Roman" w:cs="Times New Roman"/>
          <w:sz w:val="24"/>
          <w:szCs w:val="24"/>
        </w:rPr>
        <w:t>V</w:t>
      </w:r>
      <w:r w:rsidRPr="00AD5DB0">
        <w:rPr>
          <w:rFonts w:ascii="Times New Roman" w:hAnsi="Times New Roman" w:cs="Times New Roman"/>
          <w:sz w:val="24"/>
          <w:szCs w:val="24"/>
        </w:rPr>
        <w:t>s</w:t>
      </w:r>
      <w:r w:rsidR="006B37B7" w:rsidRPr="00AD5DB0">
        <w:rPr>
          <w:rFonts w:ascii="Times New Roman" w:hAnsi="Times New Roman" w:cs="Times New Roman"/>
          <w:sz w:val="24"/>
          <w:szCs w:val="24"/>
        </w:rPr>
        <w:t>)</w:t>
      </w:r>
      <w:r w:rsidRPr="00AD5DB0">
        <w:rPr>
          <w:rFonts w:ascii="Times New Roman" w:hAnsi="Times New Roman" w:cs="Times New Roman"/>
          <w:sz w:val="24"/>
          <w:szCs w:val="24"/>
        </w:rPr>
        <w:t xml:space="preserve"> and hybrid cars in California (around 7% as per </w:t>
      </w:r>
      <w:bookmarkEnd w:id="0"/>
      <w:r w:rsidR="00A523AA" w:rsidRPr="00AD5DB0">
        <w:rPr>
          <w:rFonts w:ascii="Times New Roman" w:hAnsi="Times New Roman" w:cs="Times New Roman"/>
          <w:i/>
          <w:iCs/>
          <w:sz w:val="24"/>
          <w:szCs w:val="24"/>
        </w:rPr>
        <w:t>(20)</w:t>
      </w:r>
      <w:r w:rsidRPr="00AD5DB0">
        <w:rPr>
          <w:rFonts w:ascii="Times New Roman" w:hAnsi="Times New Roman" w:cs="Times New Roman"/>
          <w:bCs/>
          <w:color w:val="000000" w:themeColor="text1"/>
          <w:sz w:val="24"/>
          <w:szCs w:val="24"/>
        </w:rPr>
        <w:t xml:space="preserve">. </w:t>
      </w:r>
      <w:bookmarkStart w:id="1" w:name="_Hlk141257294"/>
      <w:r w:rsidRPr="00AD5DB0">
        <w:rPr>
          <w:rFonts w:ascii="Times New Roman" w:hAnsi="Times New Roman" w:cs="Times New Roman"/>
          <w:sz w:val="24"/>
          <w:szCs w:val="24"/>
        </w:rPr>
        <w:t xml:space="preserve">This could be because the survey data </w:t>
      </w:r>
      <w:r w:rsidR="006B37B7" w:rsidRPr="00AD5DB0">
        <w:rPr>
          <w:rFonts w:ascii="Times New Roman" w:hAnsi="Times New Roman" w:cs="Times New Roman"/>
          <w:sz w:val="24"/>
          <w:szCs w:val="24"/>
        </w:rPr>
        <w:t xml:space="preserve">oversampled </w:t>
      </w:r>
      <w:r w:rsidRPr="00AD5DB0">
        <w:rPr>
          <w:rFonts w:ascii="Times New Roman" w:hAnsi="Times New Roman" w:cs="Times New Roman"/>
          <w:sz w:val="24"/>
          <w:szCs w:val="24"/>
        </w:rPr>
        <w:t>households with at least one PEV or FCEV</w:t>
      </w:r>
      <w:r w:rsidR="00605ECC" w:rsidRPr="00AD5DB0">
        <w:rPr>
          <w:rFonts w:ascii="Times New Roman" w:hAnsi="Times New Roman" w:cs="Times New Roman"/>
          <w:sz w:val="24"/>
          <w:szCs w:val="24"/>
        </w:rPr>
        <w:t xml:space="preserve"> (leading to nearly 13% of the vehicle fleet being either electric or hybrid)</w:t>
      </w:r>
      <w:r w:rsidRPr="00AD5DB0">
        <w:rPr>
          <w:rFonts w:ascii="Times New Roman" w:hAnsi="Times New Roman" w:cs="Times New Roman"/>
          <w:sz w:val="24"/>
          <w:szCs w:val="24"/>
        </w:rPr>
        <w:t>. Pickup trucks are owned by nearly 13% of the households in our sample, which is close to the proportion of pickup trucks in California (around 12%)</w:t>
      </w:r>
      <w:r w:rsidR="00A523AA" w:rsidRPr="00AD5DB0">
        <w:rPr>
          <w:rFonts w:ascii="Times New Roman" w:hAnsi="Times New Roman" w:cs="Times New Roman"/>
          <w:sz w:val="24"/>
          <w:szCs w:val="24"/>
        </w:rPr>
        <w:t xml:space="preserve"> </w:t>
      </w:r>
      <w:r w:rsidR="00A523AA" w:rsidRPr="00AD5DB0">
        <w:rPr>
          <w:rFonts w:ascii="Times New Roman" w:hAnsi="Times New Roman" w:cs="Times New Roman"/>
          <w:i/>
          <w:iCs/>
          <w:sz w:val="24"/>
          <w:szCs w:val="24"/>
        </w:rPr>
        <w:t>(21)</w:t>
      </w:r>
      <w:r w:rsidRPr="00AD5DB0">
        <w:rPr>
          <w:rFonts w:ascii="Times New Roman" w:hAnsi="Times New Roman" w:cs="Times New Roman"/>
          <w:sz w:val="24"/>
          <w:szCs w:val="24"/>
        </w:rPr>
        <w:t xml:space="preserve">. Only a small proportion of households in our sample (around 7%) own a passenger van. Interestingly, the average mileage on hybrid and electric cars and SUVs is higher than that on gasoline-powered vehicles. This is presumably because hybrid and electric vehicles are more fuel efficient. They are also likely to have been purchased more recently and therefore driven more. Overall, across all vehicle types, cars are the most driven, which is representative of the trends </w:t>
      </w:r>
      <w:r w:rsidR="000A4751" w:rsidRPr="00AD5DB0">
        <w:rPr>
          <w:rFonts w:ascii="Times New Roman" w:hAnsi="Times New Roman" w:cs="Times New Roman"/>
          <w:sz w:val="24"/>
          <w:szCs w:val="24"/>
        </w:rPr>
        <w:t>in</w:t>
      </w:r>
      <w:r w:rsidRPr="00AD5DB0">
        <w:rPr>
          <w:rFonts w:ascii="Times New Roman" w:hAnsi="Times New Roman" w:cs="Times New Roman"/>
          <w:sz w:val="24"/>
          <w:szCs w:val="24"/>
        </w:rPr>
        <w:t xml:space="preserve"> vehicle usage in California.</w:t>
      </w:r>
    </w:p>
    <w:p w14:paraId="00EFE03F" w14:textId="34944A2B" w:rsidR="00AD5DB0" w:rsidRDefault="00303886" w:rsidP="00AD5DB0">
      <w:pPr>
        <w:spacing w:after="0" w:line="240" w:lineRule="auto"/>
        <w:jc w:val="both"/>
        <w:rPr>
          <w:rFonts w:ascii="Times New Roman" w:hAnsi="Times New Roman" w:cs="Times New Roman"/>
          <w:sz w:val="24"/>
          <w:szCs w:val="24"/>
        </w:rPr>
      </w:pPr>
      <w:r w:rsidRPr="00AD5DB0">
        <w:rPr>
          <w:rFonts w:ascii="Times New Roman" w:hAnsi="Times New Roman" w:cs="Times New Roman"/>
          <w:sz w:val="24"/>
          <w:szCs w:val="24"/>
        </w:rPr>
        <w:tab/>
        <w:t>In addition to the vehicle ownership and usage information, the fuel efficiency of the vehicles was also available in the data. The fuel efficiency was reported as miles per equivalent gallon (</w:t>
      </w:r>
      <w:proofErr w:type="spellStart"/>
      <w:r w:rsidRPr="00AD5DB0">
        <w:rPr>
          <w:rFonts w:ascii="Times New Roman" w:hAnsi="Times New Roman" w:cs="Times New Roman"/>
          <w:sz w:val="24"/>
          <w:szCs w:val="24"/>
        </w:rPr>
        <w:t>MPeG</w:t>
      </w:r>
      <w:proofErr w:type="spellEnd"/>
      <w:r w:rsidRPr="00AD5DB0">
        <w:rPr>
          <w:rFonts w:ascii="Times New Roman" w:hAnsi="Times New Roman" w:cs="Times New Roman"/>
          <w:sz w:val="24"/>
          <w:szCs w:val="24"/>
        </w:rPr>
        <w:t xml:space="preserve">), which is </w:t>
      </w:r>
      <w:r w:rsidR="000A4751" w:rsidRPr="00AD5DB0">
        <w:rPr>
          <w:rFonts w:ascii="Times New Roman" w:hAnsi="Times New Roman" w:cs="Times New Roman"/>
          <w:sz w:val="24"/>
          <w:szCs w:val="24"/>
        </w:rPr>
        <w:t xml:space="preserve">the </w:t>
      </w:r>
      <w:r w:rsidRPr="00AD5DB0">
        <w:rPr>
          <w:rFonts w:ascii="Times New Roman" w:hAnsi="Times New Roman" w:cs="Times New Roman"/>
          <w:sz w:val="24"/>
          <w:szCs w:val="24"/>
        </w:rPr>
        <w:t xml:space="preserve">same as miles travelled per gallon of gasoline for gasoline fuelled vehicles. For other alternative fuelled vehicles, </w:t>
      </w:r>
      <w:proofErr w:type="spellStart"/>
      <w:r w:rsidRPr="00AD5DB0">
        <w:rPr>
          <w:rFonts w:ascii="Times New Roman" w:hAnsi="Times New Roman" w:cs="Times New Roman"/>
          <w:sz w:val="24"/>
          <w:szCs w:val="24"/>
        </w:rPr>
        <w:t>MPeG</w:t>
      </w:r>
      <w:proofErr w:type="spellEnd"/>
      <w:r w:rsidRPr="00AD5DB0">
        <w:rPr>
          <w:rFonts w:ascii="Times New Roman" w:hAnsi="Times New Roman" w:cs="Times New Roman"/>
          <w:sz w:val="24"/>
          <w:szCs w:val="24"/>
        </w:rPr>
        <w:t xml:space="preserve"> was determined using the gallon equivalent of the alternative fuel, which is the amount of alternative fuel that gives the same energy as one gallon of gasoline (</w:t>
      </w:r>
      <w:r w:rsidR="00A523AA" w:rsidRPr="00AD5DB0">
        <w:rPr>
          <w:rFonts w:ascii="Times New Roman" w:hAnsi="Times New Roman" w:cs="Times New Roman"/>
          <w:sz w:val="24"/>
          <w:szCs w:val="24"/>
        </w:rPr>
        <w:t>see (</w:t>
      </w:r>
      <w:r w:rsidR="00A523AA" w:rsidRPr="00AD5DB0">
        <w:rPr>
          <w:rFonts w:ascii="Times New Roman" w:hAnsi="Times New Roman" w:cs="Times New Roman"/>
          <w:i/>
          <w:iCs/>
          <w:sz w:val="24"/>
          <w:szCs w:val="24"/>
        </w:rPr>
        <w:t>22)</w:t>
      </w:r>
      <w:r w:rsidRPr="00AD5DB0">
        <w:rPr>
          <w:rFonts w:ascii="Times New Roman" w:hAnsi="Times New Roman" w:cs="Times New Roman"/>
          <w:sz w:val="24"/>
          <w:szCs w:val="24"/>
        </w:rPr>
        <w:t xml:space="preserve"> for details). The fuel efficiency is the highest for the electric car (with </w:t>
      </w:r>
      <w:proofErr w:type="spellStart"/>
      <w:r w:rsidRPr="00AD5DB0">
        <w:rPr>
          <w:rFonts w:ascii="Times New Roman" w:hAnsi="Times New Roman" w:cs="Times New Roman"/>
          <w:sz w:val="24"/>
          <w:szCs w:val="24"/>
        </w:rPr>
        <w:t>MPeG</w:t>
      </w:r>
      <w:proofErr w:type="spellEnd"/>
      <w:r w:rsidRPr="00AD5DB0">
        <w:rPr>
          <w:rFonts w:ascii="Times New Roman" w:hAnsi="Times New Roman" w:cs="Times New Roman"/>
          <w:sz w:val="24"/>
          <w:szCs w:val="24"/>
        </w:rPr>
        <w:t xml:space="preserve"> of 81.7 miles per equivalent gallon of gasoline) and lowest</w:t>
      </w:r>
      <w:r w:rsidRPr="00303886">
        <w:rPr>
          <w:rFonts w:ascii="Times New Roman" w:hAnsi="Times New Roman" w:cs="Times New Roman"/>
          <w:sz w:val="24"/>
          <w:szCs w:val="24"/>
        </w:rPr>
        <w:t xml:space="preserve"> for pickup trucks (with </w:t>
      </w:r>
      <w:proofErr w:type="spellStart"/>
      <w:r w:rsidRPr="00303886">
        <w:rPr>
          <w:rFonts w:ascii="Times New Roman" w:hAnsi="Times New Roman" w:cs="Times New Roman"/>
          <w:sz w:val="24"/>
          <w:szCs w:val="24"/>
        </w:rPr>
        <w:t>MPeG</w:t>
      </w:r>
      <w:proofErr w:type="spellEnd"/>
      <w:r w:rsidR="00AD5DB0">
        <w:rPr>
          <w:rFonts w:ascii="Times New Roman" w:hAnsi="Times New Roman" w:cs="Times New Roman"/>
          <w:sz w:val="24"/>
          <w:szCs w:val="24"/>
        </w:rPr>
        <w:t xml:space="preserve"> </w:t>
      </w:r>
      <w:r w:rsidR="00AD5DB0" w:rsidRPr="00303886">
        <w:rPr>
          <w:rFonts w:ascii="Times New Roman" w:hAnsi="Times New Roman" w:cs="Times New Roman"/>
          <w:sz w:val="24"/>
          <w:szCs w:val="24"/>
        </w:rPr>
        <w:t xml:space="preserve">of 18.5 miles per </w:t>
      </w:r>
      <w:r w:rsidR="00AD5DB0">
        <w:rPr>
          <w:rFonts w:ascii="Times New Roman" w:hAnsi="Times New Roman" w:cs="Times New Roman"/>
          <w:sz w:val="24"/>
          <w:szCs w:val="24"/>
        </w:rPr>
        <w:t xml:space="preserve">gallon of </w:t>
      </w:r>
      <w:r w:rsidR="00AD5DB0" w:rsidRPr="00303886">
        <w:rPr>
          <w:rFonts w:ascii="Times New Roman" w:hAnsi="Times New Roman" w:cs="Times New Roman"/>
          <w:sz w:val="24"/>
          <w:szCs w:val="24"/>
        </w:rPr>
        <w:t>gasoline). These values are consistent with the market standards, with electric cars having an efficiency of 2.5-3 miles per kWh (or 78-100 miles per equivalent gallon).</w:t>
      </w:r>
    </w:p>
    <w:p w14:paraId="62D649FC" w14:textId="4E9C21CF" w:rsidR="00AD5DB0" w:rsidRDefault="00DB73C4" w:rsidP="00DB73C4">
      <w:pPr>
        <w:spacing w:after="0" w:line="240" w:lineRule="auto"/>
        <w:ind w:firstLine="720"/>
        <w:jc w:val="both"/>
        <w:rPr>
          <w:rFonts w:ascii="Times New Roman" w:hAnsi="Times New Roman" w:cs="Times New Roman"/>
          <w:sz w:val="24"/>
          <w:szCs w:val="24"/>
        </w:rPr>
        <w:sectPr w:rsidR="00AD5DB0" w:rsidSect="000F372D">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r w:rsidRPr="00303886">
        <w:rPr>
          <w:rFonts w:ascii="Times New Roman" w:hAnsi="Times New Roman" w:cs="Times New Roman"/>
          <w:sz w:val="24"/>
          <w:szCs w:val="24"/>
        </w:rPr>
        <w:t xml:space="preserve">In the context of sociodemographic attributes, the sample reasonably reflects the makeup of the population in California. 12.6% of the households in the sample have an income </w:t>
      </w:r>
      <w:r>
        <w:rPr>
          <w:rFonts w:ascii="Times New Roman" w:hAnsi="Times New Roman" w:cs="Times New Roman"/>
          <w:sz w:val="24"/>
          <w:szCs w:val="24"/>
        </w:rPr>
        <w:t xml:space="preserve">of </w:t>
      </w:r>
      <w:r w:rsidRPr="00303886">
        <w:rPr>
          <w:rFonts w:ascii="Times New Roman" w:hAnsi="Times New Roman" w:cs="Times New Roman"/>
          <w:sz w:val="24"/>
          <w:szCs w:val="24"/>
        </w:rPr>
        <w:t>more than $200,000, which is quite close to that in the California population, where 15% of the households belong to th</w:t>
      </w:r>
      <w:r>
        <w:rPr>
          <w:rFonts w:ascii="Times New Roman" w:hAnsi="Times New Roman" w:cs="Times New Roman"/>
          <w:sz w:val="24"/>
          <w:szCs w:val="24"/>
        </w:rPr>
        <w:t>is</w:t>
      </w:r>
      <w:r w:rsidRPr="00303886">
        <w:rPr>
          <w:rFonts w:ascii="Times New Roman" w:hAnsi="Times New Roman" w:cs="Times New Roman"/>
          <w:sz w:val="24"/>
          <w:szCs w:val="24"/>
        </w:rPr>
        <w:t xml:space="preserve"> income category</w:t>
      </w:r>
      <w:r>
        <w:rPr>
          <w:rFonts w:ascii="Times New Roman" w:hAnsi="Times New Roman" w:cs="Times New Roman"/>
          <w:sz w:val="24"/>
          <w:szCs w:val="24"/>
        </w:rPr>
        <w:t xml:space="preserve"> </w:t>
      </w:r>
      <w:r w:rsidRPr="00A523AA">
        <w:rPr>
          <w:rFonts w:ascii="Times New Roman" w:hAnsi="Times New Roman" w:cs="Times New Roman"/>
          <w:i/>
          <w:iCs/>
          <w:sz w:val="24"/>
          <w:szCs w:val="24"/>
        </w:rPr>
        <w:t>(23)</w:t>
      </w:r>
      <w:r w:rsidRPr="00303886">
        <w:rPr>
          <w:rFonts w:ascii="Times New Roman" w:hAnsi="Times New Roman" w:cs="Times New Roman"/>
          <w:sz w:val="24"/>
          <w:szCs w:val="24"/>
        </w:rPr>
        <w:t>. In the context of employment characteristics, nearly 70% of the households have at least one full</w:t>
      </w:r>
      <w:r>
        <w:rPr>
          <w:rFonts w:ascii="Times New Roman" w:hAnsi="Times New Roman" w:cs="Times New Roman"/>
          <w:sz w:val="24"/>
          <w:szCs w:val="24"/>
        </w:rPr>
        <w:t>-</w:t>
      </w:r>
      <w:r w:rsidRPr="00303886">
        <w:rPr>
          <w:rFonts w:ascii="Times New Roman" w:hAnsi="Times New Roman" w:cs="Times New Roman"/>
          <w:sz w:val="24"/>
          <w:szCs w:val="24"/>
        </w:rPr>
        <w:t>time or part</w:t>
      </w:r>
      <w:r>
        <w:rPr>
          <w:rFonts w:ascii="Times New Roman" w:hAnsi="Times New Roman" w:cs="Times New Roman"/>
          <w:sz w:val="24"/>
          <w:szCs w:val="24"/>
        </w:rPr>
        <w:t>-</w:t>
      </w:r>
      <w:r w:rsidRPr="00303886">
        <w:rPr>
          <w:rFonts w:ascii="Times New Roman" w:hAnsi="Times New Roman" w:cs="Times New Roman"/>
          <w:sz w:val="24"/>
          <w:szCs w:val="24"/>
        </w:rPr>
        <w:t>time worker, which is nearly 78% in the population</w:t>
      </w:r>
      <w:r>
        <w:rPr>
          <w:rFonts w:ascii="Times New Roman" w:hAnsi="Times New Roman" w:cs="Times New Roman"/>
          <w:sz w:val="24"/>
          <w:szCs w:val="24"/>
        </w:rPr>
        <w:t xml:space="preserve"> </w:t>
      </w:r>
      <w:r w:rsidRPr="00A523AA">
        <w:rPr>
          <w:rFonts w:ascii="Times New Roman" w:hAnsi="Times New Roman" w:cs="Times New Roman"/>
          <w:i/>
          <w:iCs/>
          <w:sz w:val="24"/>
          <w:szCs w:val="24"/>
        </w:rPr>
        <w:t>(24)</w:t>
      </w:r>
      <w:r w:rsidRPr="00303886">
        <w:rPr>
          <w:rFonts w:ascii="Times New Roman" w:hAnsi="Times New Roman" w:cs="Times New Roman"/>
          <w:sz w:val="24"/>
          <w:szCs w:val="24"/>
        </w:rPr>
        <w:t>. The average household size in our sample is 2.2, which is lower than the population</w:t>
      </w:r>
      <w:r>
        <w:rPr>
          <w:rFonts w:ascii="Times New Roman" w:hAnsi="Times New Roman" w:cs="Times New Roman"/>
          <w:sz w:val="24"/>
          <w:szCs w:val="24"/>
        </w:rPr>
        <w:t>'s</w:t>
      </w:r>
      <w:r w:rsidRPr="00303886">
        <w:rPr>
          <w:rFonts w:ascii="Times New Roman" w:hAnsi="Times New Roman" w:cs="Times New Roman"/>
          <w:sz w:val="24"/>
          <w:szCs w:val="24"/>
        </w:rPr>
        <w:t xml:space="preserve"> average household size of 2.9. The average number of driving license holders per household in our sample is around 1.9 which is close to the value of 2.1 in the California population</w:t>
      </w:r>
      <w:r>
        <w:rPr>
          <w:rFonts w:ascii="Times New Roman" w:hAnsi="Times New Roman" w:cs="Times New Roman"/>
          <w:sz w:val="24"/>
          <w:szCs w:val="24"/>
        </w:rPr>
        <w:t xml:space="preserve"> </w:t>
      </w:r>
      <w:r w:rsidRPr="00A523AA">
        <w:rPr>
          <w:rFonts w:ascii="Times New Roman" w:hAnsi="Times New Roman" w:cs="Times New Roman"/>
          <w:i/>
          <w:iCs/>
          <w:sz w:val="24"/>
          <w:szCs w:val="24"/>
        </w:rPr>
        <w:t>(24)</w:t>
      </w:r>
      <w:r w:rsidRPr="00303886">
        <w:rPr>
          <w:rFonts w:ascii="Times New Roman" w:hAnsi="Times New Roman" w:cs="Times New Roman"/>
          <w:sz w:val="24"/>
          <w:szCs w:val="24"/>
        </w:rPr>
        <w:t>. Nearly 61% of the hous</w:t>
      </w:r>
      <w:r>
        <w:rPr>
          <w:rFonts w:ascii="Times New Roman" w:hAnsi="Times New Roman" w:cs="Times New Roman"/>
          <w:sz w:val="24"/>
          <w:szCs w:val="24"/>
        </w:rPr>
        <w:t>ing</w:t>
      </w:r>
      <w:r w:rsidRPr="00303886">
        <w:rPr>
          <w:rFonts w:ascii="Times New Roman" w:hAnsi="Times New Roman" w:cs="Times New Roman"/>
          <w:sz w:val="24"/>
          <w:szCs w:val="24"/>
        </w:rPr>
        <w:t xml:space="preserve"> in California are detached single houses (California housing statistics), which is well reflected in our sample, with 61.4%</w:t>
      </w:r>
      <w:r>
        <w:rPr>
          <w:rFonts w:ascii="Times New Roman" w:hAnsi="Times New Roman" w:cs="Times New Roman"/>
          <w:sz w:val="24"/>
          <w:szCs w:val="24"/>
        </w:rPr>
        <w:t xml:space="preserve"> households living in</w:t>
      </w:r>
      <w:r w:rsidRPr="00303886">
        <w:rPr>
          <w:rFonts w:ascii="Times New Roman" w:hAnsi="Times New Roman" w:cs="Times New Roman"/>
          <w:sz w:val="24"/>
          <w:szCs w:val="24"/>
        </w:rPr>
        <w:t xml:space="preserve"> detached house</w:t>
      </w:r>
      <w:r>
        <w:rPr>
          <w:rFonts w:ascii="Times New Roman" w:hAnsi="Times New Roman" w:cs="Times New Roman"/>
          <w:sz w:val="24"/>
          <w:szCs w:val="24"/>
        </w:rPr>
        <w:t>s</w:t>
      </w:r>
      <w:r w:rsidRPr="00303886">
        <w:rPr>
          <w:rFonts w:ascii="Times New Roman" w:hAnsi="Times New Roman" w:cs="Times New Roman"/>
          <w:sz w:val="24"/>
          <w:szCs w:val="24"/>
        </w:rPr>
        <w:t>.</w:t>
      </w:r>
    </w:p>
    <w:p w14:paraId="573056D6" w14:textId="2DC587C6" w:rsidR="00762947" w:rsidRPr="00AD5DB0" w:rsidRDefault="00AD5DB0" w:rsidP="00840278">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762947" w:rsidRPr="00AD5DB0">
        <w:rPr>
          <w:rFonts w:ascii="Times New Roman" w:hAnsi="Times New Roman" w:cs="Times New Roman"/>
          <w:b/>
          <w:sz w:val="24"/>
          <w:szCs w:val="24"/>
        </w:rPr>
        <w:t xml:space="preserve"> 1 Descriptive </w:t>
      </w:r>
      <w:r>
        <w:rPr>
          <w:rFonts w:ascii="Times New Roman" w:hAnsi="Times New Roman" w:cs="Times New Roman"/>
          <w:b/>
          <w:sz w:val="24"/>
          <w:szCs w:val="24"/>
        </w:rPr>
        <w:t>S</w:t>
      </w:r>
      <w:r w:rsidR="00762947" w:rsidRPr="00AD5DB0">
        <w:rPr>
          <w:rFonts w:ascii="Times New Roman" w:hAnsi="Times New Roman" w:cs="Times New Roman"/>
          <w:b/>
          <w:sz w:val="24"/>
          <w:szCs w:val="24"/>
        </w:rPr>
        <w:t xml:space="preserve">tatistics of the </w:t>
      </w:r>
      <w:r>
        <w:rPr>
          <w:rFonts w:ascii="Times New Roman" w:hAnsi="Times New Roman" w:cs="Times New Roman"/>
          <w:b/>
          <w:sz w:val="24"/>
          <w:szCs w:val="24"/>
        </w:rPr>
        <w:t>E</w:t>
      </w:r>
      <w:r w:rsidR="00762947" w:rsidRPr="00AD5DB0">
        <w:rPr>
          <w:rFonts w:ascii="Times New Roman" w:hAnsi="Times New Roman" w:cs="Times New Roman"/>
          <w:b/>
          <w:sz w:val="24"/>
          <w:szCs w:val="24"/>
        </w:rPr>
        <w:t xml:space="preserve">stimation </w:t>
      </w:r>
      <w:r>
        <w:rPr>
          <w:rFonts w:ascii="Times New Roman" w:hAnsi="Times New Roman" w:cs="Times New Roman"/>
          <w:b/>
          <w:sz w:val="24"/>
          <w:szCs w:val="24"/>
        </w:rPr>
        <w:t>S</w:t>
      </w:r>
      <w:r w:rsidR="00762947" w:rsidRPr="00AD5DB0">
        <w:rPr>
          <w:rFonts w:ascii="Times New Roman" w:hAnsi="Times New Roman" w:cs="Times New Roman"/>
          <w:b/>
          <w:sz w:val="24"/>
          <w:szCs w:val="24"/>
        </w:rPr>
        <w:t>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1335"/>
        <w:gridCol w:w="1197"/>
        <w:gridCol w:w="1203"/>
        <w:gridCol w:w="1456"/>
        <w:gridCol w:w="1484"/>
        <w:gridCol w:w="1184"/>
        <w:gridCol w:w="1254"/>
      </w:tblGrid>
      <w:tr w:rsidR="00762947" w:rsidRPr="00762947" w14:paraId="2D005D81" w14:textId="77777777" w:rsidTr="00AD5DB0">
        <w:trPr>
          <w:trHeight w:val="57"/>
        </w:trPr>
        <w:tc>
          <w:tcPr>
            <w:tcW w:w="4248" w:type="dxa"/>
            <w:tcBorders>
              <w:top w:val="single" w:sz="12" w:space="0" w:color="auto"/>
              <w:left w:val="single" w:sz="12" w:space="0" w:color="auto"/>
              <w:bottom w:val="single" w:sz="12" w:space="0" w:color="auto"/>
              <w:right w:val="double" w:sz="4" w:space="0" w:color="auto"/>
            </w:tcBorders>
            <w:tcMar>
              <w:left w:w="58" w:type="dxa"/>
              <w:right w:w="58" w:type="dxa"/>
            </w:tcMar>
          </w:tcPr>
          <w:p w14:paraId="761DEFE6" w14:textId="77777777" w:rsidR="00762947" w:rsidRPr="00762947" w:rsidRDefault="00762947" w:rsidP="00AD5DB0">
            <w:pPr>
              <w:rPr>
                <w:rFonts w:ascii="Times New Roman" w:hAnsi="Times New Roman" w:cs="Times New Roman"/>
                <w:b/>
                <w:bCs/>
                <w:sz w:val="20"/>
                <w:szCs w:val="20"/>
              </w:rPr>
            </w:pPr>
            <w:r w:rsidRPr="00762947">
              <w:rPr>
                <w:rFonts w:ascii="Times New Roman" w:hAnsi="Times New Roman" w:cs="Times New Roman"/>
                <w:b/>
                <w:bCs/>
                <w:sz w:val="20"/>
                <w:szCs w:val="20"/>
              </w:rPr>
              <w:t>Sample size: 2000 households</w:t>
            </w:r>
          </w:p>
        </w:tc>
        <w:tc>
          <w:tcPr>
            <w:tcW w:w="9700" w:type="dxa"/>
            <w:gridSpan w:val="7"/>
            <w:tcBorders>
              <w:top w:val="single" w:sz="12" w:space="0" w:color="auto"/>
              <w:left w:val="double" w:sz="4" w:space="0" w:color="auto"/>
              <w:bottom w:val="single" w:sz="12" w:space="0" w:color="auto"/>
              <w:right w:val="single" w:sz="12" w:space="0" w:color="auto"/>
            </w:tcBorders>
            <w:tcMar>
              <w:left w:w="58" w:type="dxa"/>
              <w:right w:w="58" w:type="dxa"/>
            </w:tcMar>
            <w:vAlign w:val="center"/>
          </w:tcPr>
          <w:p w14:paraId="75893D44"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Vehicle types</w:t>
            </w:r>
          </w:p>
        </w:tc>
      </w:tr>
      <w:tr w:rsidR="00762947" w:rsidRPr="00762947" w14:paraId="783E4F2E" w14:textId="77777777" w:rsidTr="00AD5DB0">
        <w:trPr>
          <w:trHeight w:val="57"/>
        </w:trPr>
        <w:tc>
          <w:tcPr>
            <w:tcW w:w="4248" w:type="dxa"/>
            <w:tcBorders>
              <w:top w:val="single" w:sz="12" w:space="0" w:color="auto"/>
              <w:left w:val="single" w:sz="12" w:space="0" w:color="auto"/>
              <w:bottom w:val="single" w:sz="12" w:space="0" w:color="auto"/>
              <w:right w:val="double" w:sz="4" w:space="0" w:color="auto"/>
            </w:tcBorders>
            <w:tcMar>
              <w:left w:w="58" w:type="dxa"/>
              <w:right w:w="58" w:type="dxa"/>
            </w:tcMar>
            <w:vAlign w:val="center"/>
          </w:tcPr>
          <w:p w14:paraId="020FE4D3" w14:textId="77777777" w:rsidR="00762947" w:rsidRPr="00762947" w:rsidRDefault="00762947" w:rsidP="00AD5DB0">
            <w:pPr>
              <w:rPr>
                <w:rFonts w:ascii="Times New Roman" w:hAnsi="Times New Roman" w:cs="Times New Roman"/>
                <w:b/>
                <w:bCs/>
                <w:sz w:val="20"/>
                <w:szCs w:val="20"/>
              </w:rPr>
            </w:pPr>
          </w:p>
        </w:tc>
        <w:tc>
          <w:tcPr>
            <w:tcW w:w="1417" w:type="dxa"/>
            <w:tcBorders>
              <w:top w:val="single" w:sz="12" w:space="0" w:color="auto"/>
              <w:left w:val="double" w:sz="4" w:space="0" w:color="auto"/>
              <w:bottom w:val="single" w:sz="12" w:space="0" w:color="auto"/>
            </w:tcBorders>
            <w:tcMar>
              <w:left w:w="58" w:type="dxa"/>
              <w:right w:w="58" w:type="dxa"/>
            </w:tcMar>
            <w:vAlign w:val="center"/>
          </w:tcPr>
          <w:p w14:paraId="36CA26A7"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Gasoline car</w:t>
            </w:r>
          </w:p>
        </w:tc>
        <w:tc>
          <w:tcPr>
            <w:tcW w:w="1276" w:type="dxa"/>
            <w:tcBorders>
              <w:top w:val="single" w:sz="12" w:space="0" w:color="auto"/>
              <w:bottom w:val="single" w:sz="12" w:space="0" w:color="auto"/>
            </w:tcBorders>
            <w:tcMar>
              <w:left w:w="58" w:type="dxa"/>
              <w:right w:w="58" w:type="dxa"/>
            </w:tcMar>
            <w:vAlign w:val="center"/>
          </w:tcPr>
          <w:p w14:paraId="0439B0C3"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Hybrid car</w:t>
            </w:r>
          </w:p>
        </w:tc>
        <w:tc>
          <w:tcPr>
            <w:tcW w:w="1276" w:type="dxa"/>
            <w:tcBorders>
              <w:top w:val="single" w:sz="12" w:space="0" w:color="auto"/>
              <w:bottom w:val="single" w:sz="12" w:space="0" w:color="auto"/>
            </w:tcBorders>
            <w:tcMar>
              <w:left w:w="58" w:type="dxa"/>
              <w:right w:w="58" w:type="dxa"/>
            </w:tcMar>
            <w:vAlign w:val="center"/>
          </w:tcPr>
          <w:p w14:paraId="343ED606"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Electric car</w:t>
            </w:r>
          </w:p>
        </w:tc>
        <w:tc>
          <w:tcPr>
            <w:tcW w:w="1559" w:type="dxa"/>
            <w:tcBorders>
              <w:top w:val="single" w:sz="12" w:space="0" w:color="auto"/>
              <w:bottom w:val="single" w:sz="12" w:space="0" w:color="auto"/>
            </w:tcBorders>
            <w:tcMar>
              <w:left w:w="58" w:type="dxa"/>
              <w:right w:w="58" w:type="dxa"/>
            </w:tcMar>
            <w:vAlign w:val="center"/>
          </w:tcPr>
          <w:p w14:paraId="69A56BF5"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Gasoline SUV</w:t>
            </w:r>
          </w:p>
        </w:tc>
        <w:tc>
          <w:tcPr>
            <w:tcW w:w="1559" w:type="dxa"/>
            <w:tcBorders>
              <w:top w:val="single" w:sz="12" w:space="0" w:color="auto"/>
              <w:bottom w:val="single" w:sz="12" w:space="0" w:color="auto"/>
            </w:tcBorders>
            <w:tcMar>
              <w:left w:w="58" w:type="dxa"/>
              <w:right w:w="58" w:type="dxa"/>
            </w:tcMar>
            <w:vAlign w:val="center"/>
          </w:tcPr>
          <w:p w14:paraId="0A2B96A9"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“Hybrid+” SUV</w:t>
            </w:r>
          </w:p>
        </w:tc>
        <w:tc>
          <w:tcPr>
            <w:tcW w:w="1276" w:type="dxa"/>
            <w:tcBorders>
              <w:top w:val="single" w:sz="12" w:space="0" w:color="auto"/>
              <w:bottom w:val="single" w:sz="12" w:space="0" w:color="auto"/>
            </w:tcBorders>
            <w:tcMar>
              <w:left w:w="58" w:type="dxa"/>
              <w:right w:w="58" w:type="dxa"/>
            </w:tcMar>
            <w:vAlign w:val="center"/>
          </w:tcPr>
          <w:p w14:paraId="453F8026"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Van</w:t>
            </w:r>
          </w:p>
        </w:tc>
        <w:tc>
          <w:tcPr>
            <w:tcW w:w="1337" w:type="dxa"/>
            <w:tcBorders>
              <w:top w:val="single" w:sz="12" w:space="0" w:color="auto"/>
              <w:bottom w:val="single" w:sz="12" w:space="0" w:color="auto"/>
              <w:right w:val="single" w:sz="12" w:space="0" w:color="auto"/>
            </w:tcBorders>
            <w:tcMar>
              <w:left w:w="58" w:type="dxa"/>
              <w:right w:w="58" w:type="dxa"/>
            </w:tcMar>
            <w:vAlign w:val="center"/>
          </w:tcPr>
          <w:p w14:paraId="302418D5" w14:textId="49E9A364"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Pickup</w:t>
            </w:r>
          </w:p>
          <w:p w14:paraId="73D973D9"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truck</w:t>
            </w:r>
          </w:p>
        </w:tc>
      </w:tr>
      <w:tr w:rsidR="00762947" w:rsidRPr="00762947" w14:paraId="6B05320D" w14:textId="77777777" w:rsidTr="00AD5DB0">
        <w:trPr>
          <w:trHeight w:val="57"/>
        </w:trPr>
        <w:tc>
          <w:tcPr>
            <w:tcW w:w="4248" w:type="dxa"/>
            <w:tcBorders>
              <w:top w:val="single" w:sz="12" w:space="0" w:color="auto"/>
              <w:left w:val="single" w:sz="12" w:space="0" w:color="auto"/>
              <w:right w:val="double" w:sz="4" w:space="0" w:color="auto"/>
            </w:tcBorders>
            <w:tcMar>
              <w:left w:w="58" w:type="dxa"/>
              <w:right w:w="58" w:type="dxa"/>
            </w:tcMar>
          </w:tcPr>
          <w:p w14:paraId="09708197" w14:textId="77777777" w:rsidR="00762947" w:rsidRPr="00762947" w:rsidRDefault="00762947" w:rsidP="00AD5DB0">
            <w:pPr>
              <w:ind w:left="195" w:hanging="195"/>
              <w:rPr>
                <w:rFonts w:ascii="Times New Roman" w:hAnsi="Times New Roman" w:cs="Times New Roman"/>
                <w:sz w:val="20"/>
                <w:szCs w:val="20"/>
              </w:rPr>
            </w:pPr>
            <w:r w:rsidRPr="00762947">
              <w:rPr>
                <w:rFonts w:ascii="Times New Roman" w:hAnsi="Times New Roman" w:cs="Times New Roman"/>
                <w:sz w:val="20"/>
                <w:szCs w:val="20"/>
              </w:rPr>
              <w:t>Percentage of households with zero vehicle</w:t>
            </w:r>
          </w:p>
        </w:tc>
        <w:tc>
          <w:tcPr>
            <w:tcW w:w="9700" w:type="dxa"/>
            <w:gridSpan w:val="7"/>
            <w:tcBorders>
              <w:left w:val="double" w:sz="4" w:space="0" w:color="auto"/>
              <w:right w:val="single" w:sz="12" w:space="0" w:color="auto"/>
            </w:tcBorders>
            <w:tcMar>
              <w:left w:w="58" w:type="dxa"/>
              <w:right w:w="58" w:type="dxa"/>
            </w:tcMar>
            <w:vAlign w:val="center"/>
          </w:tcPr>
          <w:p w14:paraId="3C28244B"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3.85%</w:t>
            </w:r>
          </w:p>
        </w:tc>
      </w:tr>
      <w:tr w:rsidR="00762947" w:rsidRPr="00762947" w14:paraId="51DDAD51" w14:textId="77777777" w:rsidTr="00AD5DB0">
        <w:trPr>
          <w:trHeight w:val="57"/>
        </w:trPr>
        <w:tc>
          <w:tcPr>
            <w:tcW w:w="4248" w:type="dxa"/>
            <w:tcBorders>
              <w:left w:val="single" w:sz="12" w:space="0" w:color="auto"/>
              <w:right w:val="double" w:sz="4" w:space="0" w:color="auto"/>
            </w:tcBorders>
            <w:tcMar>
              <w:left w:w="58" w:type="dxa"/>
              <w:right w:w="58" w:type="dxa"/>
            </w:tcMar>
          </w:tcPr>
          <w:p w14:paraId="415E10A3" w14:textId="77777777" w:rsidR="00762947" w:rsidRPr="00762947" w:rsidRDefault="00762947" w:rsidP="00AD5DB0">
            <w:pPr>
              <w:ind w:left="195" w:hanging="195"/>
              <w:rPr>
                <w:rFonts w:ascii="Times New Roman" w:hAnsi="Times New Roman" w:cs="Times New Roman"/>
                <w:b/>
                <w:bCs/>
                <w:sz w:val="20"/>
                <w:szCs w:val="20"/>
              </w:rPr>
            </w:pPr>
            <w:r w:rsidRPr="00762947">
              <w:rPr>
                <w:rFonts w:ascii="Times New Roman" w:hAnsi="Times New Roman" w:cs="Times New Roman"/>
                <w:sz w:val="20"/>
                <w:szCs w:val="20"/>
              </w:rPr>
              <w:t>Percentage of households with the vehicle category</w:t>
            </w:r>
          </w:p>
        </w:tc>
        <w:tc>
          <w:tcPr>
            <w:tcW w:w="1417" w:type="dxa"/>
            <w:tcBorders>
              <w:left w:val="double" w:sz="4" w:space="0" w:color="auto"/>
            </w:tcBorders>
            <w:tcMar>
              <w:left w:w="58" w:type="dxa"/>
              <w:right w:w="58" w:type="dxa"/>
            </w:tcMar>
            <w:vAlign w:val="center"/>
          </w:tcPr>
          <w:p w14:paraId="50B1170E"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56.25</w:t>
            </w:r>
          </w:p>
        </w:tc>
        <w:tc>
          <w:tcPr>
            <w:tcW w:w="1276" w:type="dxa"/>
            <w:tcMar>
              <w:left w:w="58" w:type="dxa"/>
              <w:right w:w="58" w:type="dxa"/>
            </w:tcMar>
            <w:vAlign w:val="center"/>
          </w:tcPr>
          <w:p w14:paraId="34CE45C2" w14:textId="3280045D"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15.6</w:t>
            </w:r>
            <w:r w:rsidR="00483FC9">
              <w:rPr>
                <w:rFonts w:ascii="Times New Roman" w:hAnsi="Times New Roman" w:cs="Times New Roman"/>
                <w:sz w:val="20"/>
                <w:szCs w:val="20"/>
              </w:rPr>
              <w:t>0</w:t>
            </w:r>
          </w:p>
        </w:tc>
        <w:tc>
          <w:tcPr>
            <w:tcW w:w="1276" w:type="dxa"/>
            <w:tcMar>
              <w:left w:w="58" w:type="dxa"/>
              <w:right w:w="58" w:type="dxa"/>
            </w:tcMar>
            <w:vAlign w:val="center"/>
          </w:tcPr>
          <w:p w14:paraId="6856FCDD"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14.75</w:t>
            </w:r>
          </w:p>
        </w:tc>
        <w:tc>
          <w:tcPr>
            <w:tcW w:w="1559" w:type="dxa"/>
            <w:tcMar>
              <w:left w:w="58" w:type="dxa"/>
              <w:right w:w="58" w:type="dxa"/>
            </w:tcMar>
            <w:vAlign w:val="center"/>
          </w:tcPr>
          <w:p w14:paraId="6C2F9EDF"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40.55</w:t>
            </w:r>
          </w:p>
        </w:tc>
        <w:tc>
          <w:tcPr>
            <w:tcW w:w="1559" w:type="dxa"/>
            <w:tcMar>
              <w:left w:w="58" w:type="dxa"/>
              <w:right w:w="58" w:type="dxa"/>
            </w:tcMar>
            <w:vAlign w:val="center"/>
          </w:tcPr>
          <w:p w14:paraId="79EEC320"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4.30</w:t>
            </w:r>
          </w:p>
        </w:tc>
        <w:tc>
          <w:tcPr>
            <w:tcW w:w="1276" w:type="dxa"/>
            <w:tcMar>
              <w:left w:w="58" w:type="dxa"/>
              <w:right w:w="58" w:type="dxa"/>
            </w:tcMar>
            <w:vAlign w:val="center"/>
          </w:tcPr>
          <w:p w14:paraId="57C0950A"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7.15</w:t>
            </w:r>
          </w:p>
        </w:tc>
        <w:tc>
          <w:tcPr>
            <w:tcW w:w="1337" w:type="dxa"/>
            <w:tcBorders>
              <w:right w:val="single" w:sz="12" w:space="0" w:color="auto"/>
            </w:tcBorders>
            <w:tcMar>
              <w:left w:w="58" w:type="dxa"/>
              <w:right w:w="58" w:type="dxa"/>
            </w:tcMar>
            <w:vAlign w:val="center"/>
          </w:tcPr>
          <w:p w14:paraId="12228890"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13.85</w:t>
            </w:r>
          </w:p>
        </w:tc>
      </w:tr>
      <w:tr w:rsidR="00762947" w:rsidRPr="00762947" w14:paraId="0795BEA0" w14:textId="77777777" w:rsidTr="00AD5DB0">
        <w:trPr>
          <w:trHeight w:val="57"/>
        </w:trPr>
        <w:tc>
          <w:tcPr>
            <w:tcW w:w="4248" w:type="dxa"/>
            <w:tcBorders>
              <w:left w:val="single" w:sz="12" w:space="0" w:color="auto"/>
              <w:right w:val="double" w:sz="4" w:space="0" w:color="auto"/>
            </w:tcBorders>
            <w:tcMar>
              <w:left w:w="58" w:type="dxa"/>
              <w:right w:w="58" w:type="dxa"/>
            </w:tcMar>
          </w:tcPr>
          <w:p w14:paraId="404ECE53" w14:textId="77777777" w:rsidR="00762947" w:rsidRPr="00762947" w:rsidRDefault="00762947" w:rsidP="00AD5DB0">
            <w:pPr>
              <w:ind w:left="195" w:hanging="195"/>
              <w:rPr>
                <w:rFonts w:ascii="Times New Roman" w:hAnsi="Times New Roman" w:cs="Times New Roman"/>
                <w:sz w:val="20"/>
                <w:szCs w:val="20"/>
              </w:rPr>
            </w:pPr>
            <w:r w:rsidRPr="00762947">
              <w:rPr>
                <w:rFonts w:ascii="Times New Roman" w:hAnsi="Times New Roman" w:cs="Times New Roman"/>
                <w:sz w:val="20"/>
                <w:szCs w:val="20"/>
              </w:rPr>
              <w:t>Average annual mileage (miles)</w:t>
            </w:r>
          </w:p>
        </w:tc>
        <w:tc>
          <w:tcPr>
            <w:tcW w:w="1417" w:type="dxa"/>
            <w:tcBorders>
              <w:left w:val="double" w:sz="4" w:space="0" w:color="auto"/>
            </w:tcBorders>
            <w:tcMar>
              <w:left w:w="58" w:type="dxa"/>
              <w:right w:w="58" w:type="dxa"/>
            </w:tcMar>
            <w:vAlign w:val="center"/>
          </w:tcPr>
          <w:p w14:paraId="2A4E0E16"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10744</w:t>
            </w:r>
          </w:p>
        </w:tc>
        <w:tc>
          <w:tcPr>
            <w:tcW w:w="1276" w:type="dxa"/>
            <w:tcMar>
              <w:left w:w="58" w:type="dxa"/>
              <w:right w:w="58" w:type="dxa"/>
            </w:tcMar>
            <w:vAlign w:val="center"/>
          </w:tcPr>
          <w:p w14:paraId="0F7F23DC"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11444</w:t>
            </w:r>
          </w:p>
        </w:tc>
        <w:tc>
          <w:tcPr>
            <w:tcW w:w="1276" w:type="dxa"/>
            <w:tcMar>
              <w:left w:w="58" w:type="dxa"/>
              <w:right w:w="58" w:type="dxa"/>
            </w:tcMar>
            <w:vAlign w:val="center"/>
          </w:tcPr>
          <w:p w14:paraId="1B8F5570"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11219</w:t>
            </w:r>
          </w:p>
        </w:tc>
        <w:tc>
          <w:tcPr>
            <w:tcW w:w="1559" w:type="dxa"/>
            <w:tcMar>
              <w:left w:w="58" w:type="dxa"/>
              <w:right w:w="58" w:type="dxa"/>
            </w:tcMar>
            <w:vAlign w:val="center"/>
          </w:tcPr>
          <w:p w14:paraId="64CD6B19"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10271</w:t>
            </w:r>
          </w:p>
        </w:tc>
        <w:tc>
          <w:tcPr>
            <w:tcW w:w="1559" w:type="dxa"/>
            <w:tcMar>
              <w:left w:w="58" w:type="dxa"/>
              <w:right w:w="58" w:type="dxa"/>
            </w:tcMar>
            <w:vAlign w:val="center"/>
          </w:tcPr>
          <w:p w14:paraId="37928DE0"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10197</w:t>
            </w:r>
          </w:p>
        </w:tc>
        <w:tc>
          <w:tcPr>
            <w:tcW w:w="1276" w:type="dxa"/>
            <w:tcMar>
              <w:left w:w="58" w:type="dxa"/>
              <w:right w:w="58" w:type="dxa"/>
            </w:tcMar>
            <w:vAlign w:val="center"/>
          </w:tcPr>
          <w:p w14:paraId="0C59A48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9972</w:t>
            </w:r>
          </w:p>
        </w:tc>
        <w:tc>
          <w:tcPr>
            <w:tcW w:w="1337" w:type="dxa"/>
            <w:tcBorders>
              <w:right w:val="single" w:sz="12" w:space="0" w:color="auto"/>
            </w:tcBorders>
            <w:tcMar>
              <w:left w:w="58" w:type="dxa"/>
              <w:right w:w="58" w:type="dxa"/>
            </w:tcMar>
            <w:vAlign w:val="center"/>
          </w:tcPr>
          <w:p w14:paraId="66092322"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9041</w:t>
            </w:r>
          </w:p>
        </w:tc>
      </w:tr>
      <w:tr w:rsidR="00762947" w:rsidRPr="00762947" w14:paraId="56EC6B8C" w14:textId="77777777" w:rsidTr="00AD5DB0">
        <w:trPr>
          <w:trHeight w:val="57"/>
        </w:trPr>
        <w:tc>
          <w:tcPr>
            <w:tcW w:w="4248" w:type="dxa"/>
            <w:tcBorders>
              <w:left w:val="single" w:sz="12" w:space="0" w:color="auto"/>
              <w:right w:val="double" w:sz="4" w:space="0" w:color="auto"/>
            </w:tcBorders>
            <w:tcMar>
              <w:left w:w="58" w:type="dxa"/>
              <w:right w:w="58" w:type="dxa"/>
            </w:tcMar>
          </w:tcPr>
          <w:p w14:paraId="16BEA97D" w14:textId="77777777" w:rsidR="00762947" w:rsidRPr="00762947" w:rsidRDefault="00762947" w:rsidP="00AD5DB0">
            <w:pPr>
              <w:ind w:left="195" w:hanging="195"/>
              <w:rPr>
                <w:rFonts w:ascii="Times New Roman" w:hAnsi="Times New Roman" w:cs="Times New Roman"/>
                <w:sz w:val="20"/>
                <w:szCs w:val="20"/>
              </w:rPr>
            </w:pPr>
            <w:r w:rsidRPr="00762947">
              <w:rPr>
                <w:rFonts w:ascii="Times New Roman" w:hAnsi="Times New Roman" w:cs="Times New Roman"/>
                <w:sz w:val="20"/>
                <w:szCs w:val="20"/>
              </w:rPr>
              <w:t>Average total miles driven in a year (miles)</w:t>
            </w:r>
          </w:p>
        </w:tc>
        <w:tc>
          <w:tcPr>
            <w:tcW w:w="9700" w:type="dxa"/>
            <w:gridSpan w:val="7"/>
            <w:tcBorders>
              <w:left w:val="double" w:sz="4" w:space="0" w:color="auto"/>
              <w:right w:val="single" w:sz="12" w:space="0" w:color="auto"/>
            </w:tcBorders>
            <w:tcMar>
              <w:left w:w="58" w:type="dxa"/>
              <w:right w:w="58" w:type="dxa"/>
            </w:tcMar>
            <w:vAlign w:val="center"/>
          </w:tcPr>
          <w:p w14:paraId="2B78DE1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16052</w:t>
            </w:r>
          </w:p>
        </w:tc>
      </w:tr>
      <w:tr w:rsidR="00762947" w:rsidRPr="00762947" w14:paraId="48365D9C" w14:textId="77777777" w:rsidTr="00AD5DB0">
        <w:trPr>
          <w:trHeight w:val="57"/>
        </w:trPr>
        <w:tc>
          <w:tcPr>
            <w:tcW w:w="4248" w:type="dxa"/>
            <w:tcBorders>
              <w:left w:val="single" w:sz="12" w:space="0" w:color="auto"/>
              <w:bottom w:val="single" w:sz="12" w:space="0" w:color="auto"/>
              <w:right w:val="double" w:sz="4" w:space="0" w:color="auto"/>
            </w:tcBorders>
            <w:tcMar>
              <w:left w:w="58" w:type="dxa"/>
              <w:right w:w="58" w:type="dxa"/>
            </w:tcMar>
          </w:tcPr>
          <w:p w14:paraId="46E6C23C" w14:textId="77777777" w:rsidR="00762947" w:rsidRPr="00762947" w:rsidRDefault="00762947" w:rsidP="00AD5DB0">
            <w:pPr>
              <w:ind w:left="195" w:hanging="195"/>
              <w:rPr>
                <w:rFonts w:ascii="Times New Roman" w:hAnsi="Times New Roman" w:cs="Times New Roman"/>
                <w:sz w:val="20"/>
                <w:szCs w:val="20"/>
              </w:rPr>
            </w:pPr>
            <w:r w:rsidRPr="00762947">
              <w:rPr>
                <w:rFonts w:ascii="Times New Roman" w:hAnsi="Times New Roman" w:cs="Times New Roman"/>
                <w:sz w:val="20"/>
                <w:szCs w:val="20"/>
              </w:rPr>
              <w:t xml:space="preserve">Average fuel efficiency (in miles per equivalent gallons) of the vehicle category </w:t>
            </w:r>
          </w:p>
        </w:tc>
        <w:tc>
          <w:tcPr>
            <w:tcW w:w="1417" w:type="dxa"/>
            <w:tcBorders>
              <w:left w:val="double" w:sz="4" w:space="0" w:color="auto"/>
              <w:bottom w:val="single" w:sz="12" w:space="0" w:color="auto"/>
            </w:tcBorders>
            <w:tcMar>
              <w:left w:w="58" w:type="dxa"/>
              <w:right w:w="58" w:type="dxa"/>
            </w:tcMar>
            <w:vAlign w:val="center"/>
          </w:tcPr>
          <w:p w14:paraId="1DB6529D"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25.8</w:t>
            </w:r>
          </w:p>
        </w:tc>
        <w:tc>
          <w:tcPr>
            <w:tcW w:w="1276" w:type="dxa"/>
            <w:tcBorders>
              <w:bottom w:val="single" w:sz="12" w:space="0" w:color="auto"/>
            </w:tcBorders>
            <w:tcMar>
              <w:left w:w="58" w:type="dxa"/>
              <w:right w:w="58" w:type="dxa"/>
            </w:tcMar>
            <w:vAlign w:val="center"/>
          </w:tcPr>
          <w:p w14:paraId="768C0A3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49.30</w:t>
            </w:r>
          </w:p>
        </w:tc>
        <w:tc>
          <w:tcPr>
            <w:tcW w:w="1276" w:type="dxa"/>
            <w:tcBorders>
              <w:bottom w:val="single" w:sz="12" w:space="0" w:color="auto"/>
            </w:tcBorders>
            <w:tcMar>
              <w:left w:w="58" w:type="dxa"/>
              <w:right w:w="58" w:type="dxa"/>
            </w:tcMar>
            <w:vAlign w:val="center"/>
          </w:tcPr>
          <w:p w14:paraId="75705D6E"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81.71</w:t>
            </w:r>
          </w:p>
        </w:tc>
        <w:tc>
          <w:tcPr>
            <w:tcW w:w="1559" w:type="dxa"/>
            <w:tcBorders>
              <w:bottom w:val="single" w:sz="12" w:space="0" w:color="auto"/>
            </w:tcBorders>
            <w:tcMar>
              <w:left w:w="58" w:type="dxa"/>
              <w:right w:w="58" w:type="dxa"/>
            </w:tcMar>
            <w:vAlign w:val="center"/>
          </w:tcPr>
          <w:p w14:paraId="72BD3E91"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22.83</w:t>
            </w:r>
          </w:p>
        </w:tc>
        <w:tc>
          <w:tcPr>
            <w:tcW w:w="1559" w:type="dxa"/>
            <w:tcBorders>
              <w:bottom w:val="single" w:sz="12" w:space="0" w:color="auto"/>
            </w:tcBorders>
            <w:tcMar>
              <w:left w:w="58" w:type="dxa"/>
              <w:right w:w="58" w:type="dxa"/>
            </w:tcMar>
            <w:vAlign w:val="center"/>
          </w:tcPr>
          <w:p w14:paraId="61163962"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46.40</w:t>
            </w:r>
          </w:p>
        </w:tc>
        <w:tc>
          <w:tcPr>
            <w:tcW w:w="1276" w:type="dxa"/>
            <w:tcMar>
              <w:left w:w="58" w:type="dxa"/>
              <w:right w:w="58" w:type="dxa"/>
            </w:tcMar>
            <w:vAlign w:val="center"/>
          </w:tcPr>
          <w:p w14:paraId="2CA4566B"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21.77</w:t>
            </w:r>
          </w:p>
        </w:tc>
        <w:tc>
          <w:tcPr>
            <w:tcW w:w="1337" w:type="dxa"/>
            <w:tcBorders>
              <w:right w:val="single" w:sz="12" w:space="0" w:color="auto"/>
            </w:tcBorders>
            <w:tcMar>
              <w:left w:w="58" w:type="dxa"/>
              <w:right w:w="58" w:type="dxa"/>
            </w:tcMar>
            <w:vAlign w:val="center"/>
          </w:tcPr>
          <w:p w14:paraId="37941D57"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18.51</w:t>
            </w:r>
          </w:p>
        </w:tc>
      </w:tr>
      <w:tr w:rsidR="00762947" w:rsidRPr="00762947" w14:paraId="57C65324" w14:textId="77777777" w:rsidTr="00AD5DB0">
        <w:trPr>
          <w:trHeight w:val="57"/>
        </w:trPr>
        <w:tc>
          <w:tcPr>
            <w:tcW w:w="4248" w:type="dxa"/>
            <w:tcBorders>
              <w:top w:val="single" w:sz="12" w:space="0" w:color="auto"/>
              <w:left w:val="single" w:sz="12" w:space="0" w:color="auto"/>
              <w:bottom w:val="single" w:sz="12" w:space="0" w:color="auto"/>
              <w:right w:val="double" w:sz="4" w:space="0" w:color="auto"/>
            </w:tcBorders>
            <w:tcMar>
              <w:left w:w="58" w:type="dxa"/>
              <w:right w:w="58" w:type="dxa"/>
            </w:tcMar>
            <w:vAlign w:val="center"/>
          </w:tcPr>
          <w:p w14:paraId="68B1FCB1" w14:textId="77777777" w:rsidR="00762947" w:rsidRPr="00762947" w:rsidRDefault="00762947" w:rsidP="00AD5DB0">
            <w:pPr>
              <w:rPr>
                <w:rFonts w:ascii="Times New Roman" w:hAnsi="Times New Roman" w:cs="Times New Roman"/>
                <w:b/>
                <w:bCs/>
                <w:sz w:val="20"/>
                <w:szCs w:val="20"/>
              </w:rPr>
            </w:pPr>
            <w:r w:rsidRPr="00762947">
              <w:rPr>
                <w:rFonts w:ascii="Times New Roman" w:hAnsi="Times New Roman" w:cs="Times New Roman"/>
                <w:b/>
                <w:bCs/>
                <w:sz w:val="20"/>
                <w:szCs w:val="20"/>
              </w:rPr>
              <w:t>Exogenous variables</w:t>
            </w:r>
          </w:p>
        </w:tc>
        <w:tc>
          <w:tcPr>
            <w:tcW w:w="2693" w:type="dxa"/>
            <w:gridSpan w:val="2"/>
            <w:tcBorders>
              <w:left w:val="double" w:sz="4" w:space="0" w:color="auto"/>
              <w:bottom w:val="single" w:sz="12" w:space="0" w:color="auto"/>
              <w:right w:val="double" w:sz="4" w:space="0" w:color="auto"/>
            </w:tcBorders>
            <w:tcMar>
              <w:left w:w="58" w:type="dxa"/>
              <w:right w:w="58" w:type="dxa"/>
            </w:tcMar>
            <w:vAlign w:val="center"/>
          </w:tcPr>
          <w:p w14:paraId="0F37F609"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Sample shares/Average values</w:t>
            </w:r>
          </w:p>
        </w:tc>
        <w:tc>
          <w:tcPr>
            <w:tcW w:w="4394" w:type="dxa"/>
            <w:gridSpan w:val="3"/>
            <w:tcBorders>
              <w:left w:val="double" w:sz="4" w:space="0" w:color="auto"/>
              <w:bottom w:val="single" w:sz="12" w:space="0" w:color="auto"/>
              <w:right w:val="double" w:sz="4" w:space="0" w:color="auto"/>
            </w:tcBorders>
            <w:tcMar>
              <w:left w:w="58" w:type="dxa"/>
              <w:right w:w="58" w:type="dxa"/>
            </w:tcMar>
            <w:vAlign w:val="center"/>
          </w:tcPr>
          <w:p w14:paraId="70E661AD" w14:textId="77777777" w:rsidR="00762947" w:rsidRPr="00762947" w:rsidRDefault="00762947" w:rsidP="00AD5DB0">
            <w:pPr>
              <w:rPr>
                <w:rFonts w:ascii="Times New Roman" w:hAnsi="Times New Roman" w:cs="Times New Roman"/>
                <w:sz w:val="20"/>
                <w:szCs w:val="20"/>
              </w:rPr>
            </w:pPr>
            <w:r w:rsidRPr="00762947">
              <w:rPr>
                <w:rFonts w:ascii="Times New Roman" w:hAnsi="Times New Roman" w:cs="Times New Roman"/>
                <w:b/>
                <w:bCs/>
                <w:sz w:val="20"/>
                <w:szCs w:val="20"/>
              </w:rPr>
              <w:t>Exogenous variables</w:t>
            </w:r>
          </w:p>
        </w:tc>
        <w:tc>
          <w:tcPr>
            <w:tcW w:w="2613" w:type="dxa"/>
            <w:gridSpan w:val="2"/>
            <w:tcBorders>
              <w:top w:val="single" w:sz="12" w:space="0" w:color="auto"/>
              <w:left w:val="double" w:sz="4" w:space="0" w:color="auto"/>
              <w:bottom w:val="single" w:sz="12" w:space="0" w:color="auto"/>
              <w:right w:val="single" w:sz="12" w:space="0" w:color="auto"/>
            </w:tcBorders>
            <w:tcMar>
              <w:left w:w="58" w:type="dxa"/>
              <w:right w:w="58" w:type="dxa"/>
            </w:tcMar>
            <w:vAlign w:val="center"/>
          </w:tcPr>
          <w:p w14:paraId="513E22B5" w14:textId="77777777" w:rsidR="00762947" w:rsidRPr="00762947" w:rsidRDefault="00762947" w:rsidP="00AD5DB0">
            <w:pPr>
              <w:jc w:val="center"/>
              <w:rPr>
                <w:rFonts w:ascii="Times New Roman" w:hAnsi="Times New Roman" w:cs="Times New Roman"/>
                <w:b/>
                <w:bCs/>
                <w:sz w:val="20"/>
                <w:szCs w:val="20"/>
              </w:rPr>
            </w:pPr>
            <w:r w:rsidRPr="00762947">
              <w:rPr>
                <w:rFonts w:ascii="Times New Roman" w:hAnsi="Times New Roman" w:cs="Times New Roman"/>
                <w:b/>
                <w:bCs/>
                <w:sz w:val="20"/>
                <w:szCs w:val="20"/>
              </w:rPr>
              <w:t>Sample shares/Average values</w:t>
            </w:r>
          </w:p>
        </w:tc>
      </w:tr>
      <w:tr w:rsidR="00762947" w:rsidRPr="00762947" w14:paraId="6A8EB11E" w14:textId="77777777" w:rsidTr="00AD5DB0">
        <w:trPr>
          <w:trHeight w:val="57"/>
        </w:trPr>
        <w:tc>
          <w:tcPr>
            <w:tcW w:w="4248" w:type="dxa"/>
            <w:tcBorders>
              <w:top w:val="single" w:sz="12" w:space="0" w:color="auto"/>
              <w:left w:val="single" w:sz="12" w:space="0" w:color="auto"/>
              <w:right w:val="double" w:sz="4" w:space="0" w:color="auto"/>
            </w:tcBorders>
            <w:tcMar>
              <w:left w:w="58" w:type="dxa"/>
              <w:right w:w="58" w:type="dxa"/>
            </w:tcMar>
            <w:vAlign w:val="center"/>
          </w:tcPr>
          <w:p w14:paraId="6E7080AA" w14:textId="77777777" w:rsidR="00762947" w:rsidRPr="00762947" w:rsidRDefault="00762947" w:rsidP="00AD5DB0">
            <w:pPr>
              <w:rPr>
                <w:rFonts w:ascii="Times New Roman" w:hAnsi="Times New Roman" w:cs="Times New Roman"/>
                <w:b/>
                <w:bCs/>
                <w:i/>
                <w:iCs/>
                <w:sz w:val="20"/>
                <w:szCs w:val="20"/>
              </w:rPr>
            </w:pPr>
            <w:r w:rsidRPr="00762947">
              <w:rPr>
                <w:rFonts w:ascii="Times New Roman" w:hAnsi="Times New Roman" w:cs="Times New Roman"/>
                <w:b/>
                <w:bCs/>
                <w:i/>
                <w:iCs/>
                <w:sz w:val="20"/>
                <w:szCs w:val="20"/>
              </w:rPr>
              <w:t>Household income</w:t>
            </w:r>
          </w:p>
        </w:tc>
        <w:tc>
          <w:tcPr>
            <w:tcW w:w="2693" w:type="dxa"/>
            <w:gridSpan w:val="2"/>
            <w:tcBorders>
              <w:top w:val="single" w:sz="12" w:space="0" w:color="auto"/>
              <w:left w:val="double" w:sz="4" w:space="0" w:color="auto"/>
              <w:right w:val="double" w:sz="4" w:space="0" w:color="auto"/>
            </w:tcBorders>
            <w:tcMar>
              <w:left w:w="58" w:type="dxa"/>
              <w:right w:w="58" w:type="dxa"/>
            </w:tcMar>
            <w:vAlign w:val="center"/>
          </w:tcPr>
          <w:p w14:paraId="6D04EBDF" w14:textId="77777777" w:rsidR="00762947" w:rsidRPr="00762947" w:rsidRDefault="00762947" w:rsidP="00AD5DB0">
            <w:pPr>
              <w:jc w:val="center"/>
              <w:rPr>
                <w:rFonts w:ascii="Times New Roman" w:hAnsi="Times New Roman" w:cs="Times New Roman"/>
                <w:sz w:val="20"/>
                <w:szCs w:val="20"/>
              </w:rPr>
            </w:pPr>
          </w:p>
        </w:tc>
        <w:tc>
          <w:tcPr>
            <w:tcW w:w="4394" w:type="dxa"/>
            <w:gridSpan w:val="3"/>
            <w:tcBorders>
              <w:top w:val="single" w:sz="12" w:space="0" w:color="auto"/>
              <w:left w:val="double" w:sz="4" w:space="0" w:color="auto"/>
              <w:right w:val="double" w:sz="4" w:space="0" w:color="auto"/>
            </w:tcBorders>
            <w:tcMar>
              <w:left w:w="58" w:type="dxa"/>
              <w:right w:w="58" w:type="dxa"/>
            </w:tcMar>
            <w:vAlign w:val="center"/>
          </w:tcPr>
          <w:p w14:paraId="70D9BC6D"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Average number of driving licenses in the household</w:t>
            </w:r>
          </w:p>
        </w:tc>
        <w:tc>
          <w:tcPr>
            <w:tcW w:w="2613" w:type="dxa"/>
            <w:gridSpan w:val="2"/>
            <w:tcBorders>
              <w:top w:val="single" w:sz="12" w:space="0" w:color="auto"/>
              <w:left w:val="double" w:sz="4" w:space="0" w:color="auto"/>
              <w:right w:val="single" w:sz="12" w:space="0" w:color="auto"/>
            </w:tcBorders>
            <w:tcMar>
              <w:left w:w="58" w:type="dxa"/>
              <w:right w:w="58" w:type="dxa"/>
            </w:tcMar>
            <w:vAlign w:val="center"/>
          </w:tcPr>
          <w:p w14:paraId="6C1E8985"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1.9</w:t>
            </w:r>
          </w:p>
        </w:tc>
      </w:tr>
      <w:tr w:rsidR="00762947" w:rsidRPr="00762947" w14:paraId="6F192146"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7F2DCB33" w14:textId="77777777" w:rsidR="00762947" w:rsidRPr="00762947" w:rsidRDefault="00762947" w:rsidP="00AD5DB0">
            <w:pPr>
              <w:ind w:firstLine="164"/>
              <w:rPr>
                <w:rFonts w:ascii="Times New Roman" w:hAnsi="Times New Roman" w:cs="Times New Roman"/>
                <w:sz w:val="20"/>
                <w:szCs w:val="20"/>
              </w:rPr>
            </w:pPr>
            <w:r w:rsidRPr="00762947">
              <w:rPr>
                <w:rFonts w:ascii="Times New Roman" w:hAnsi="Times New Roman" w:cs="Times New Roman"/>
                <w:sz w:val="20"/>
                <w:szCs w:val="20"/>
              </w:rPr>
              <w:t>Income less than $25K</w:t>
            </w:r>
          </w:p>
        </w:tc>
        <w:tc>
          <w:tcPr>
            <w:tcW w:w="2693" w:type="dxa"/>
            <w:gridSpan w:val="2"/>
            <w:tcBorders>
              <w:left w:val="double" w:sz="4" w:space="0" w:color="auto"/>
              <w:right w:val="double" w:sz="4" w:space="0" w:color="auto"/>
            </w:tcBorders>
            <w:tcMar>
              <w:left w:w="58" w:type="dxa"/>
              <w:right w:w="58" w:type="dxa"/>
            </w:tcMar>
            <w:vAlign w:val="center"/>
          </w:tcPr>
          <w:p w14:paraId="1AD954AC"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8.8%</w:t>
            </w:r>
          </w:p>
        </w:tc>
        <w:tc>
          <w:tcPr>
            <w:tcW w:w="4394" w:type="dxa"/>
            <w:gridSpan w:val="3"/>
            <w:tcBorders>
              <w:left w:val="double" w:sz="4" w:space="0" w:color="auto"/>
              <w:right w:val="double" w:sz="4" w:space="0" w:color="auto"/>
            </w:tcBorders>
            <w:tcMar>
              <w:left w:w="58" w:type="dxa"/>
              <w:right w:w="58" w:type="dxa"/>
            </w:tcMar>
            <w:vAlign w:val="center"/>
          </w:tcPr>
          <w:p w14:paraId="1E9208C1"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Single individual households</w:t>
            </w:r>
          </w:p>
        </w:tc>
        <w:tc>
          <w:tcPr>
            <w:tcW w:w="2613" w:type="dxa"/>
            <w:gridSpan w:val="2"/>
            <w:tcBorders>
              <w:left w:val="double" w:sz="4" w:space="0" w:color="auto"/>
              <w:right w:val="single" w:sz="12" w:space="0" w:color="auto"/>
            </w:tcBorders>
            <w:tcMar>
              <w:left w:w="58" w:type="dxa"/>
              <w:right w:w="58" w:type="dxa"/>
            </w:tcMar>
            <w:vAlign w:val="center"/>
          </w:tcPr>
          <w:p w14:paraId="6366856A"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32.8%</w:t>
            </w:r>
          </w:p>
        </w:tc>
      </w:tr>
      <w:tr w:rsidR="00762947" w:rsidRPr="00762947" w14:paraId="031A3184"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321E7E9B" w14:textId="77777777" w:rsidR="00762947" w:rsidRPr="00762947" w:rsidRDefault="00762947" w:rsidP="00AD5DB0">
            <w:pPr>
              <w:ind w:left="164"/>
              <w:rPr>
                <w:rFonts w:ascii="Times New Roman" w:hAnsi="Times New Roman" w:cs="Times New Roman"/>
                <w:sz w:val="20"/>
                <w:szCs w:val="20"/>
              </w:rPr>
            </w:pPr>
            <w:r w:rsidRPr="00762947">
              <w:rPr>
                <w:rFonts w:ascii="Times New Roman" w:hAnsi="Times New Roman" w:cs="Times New Roman"/>
                <w:sz w:val="20"/>
                <w:szCs w:val="20"/>
              </w:rPr>
              <w:t>Income between $25K to $50K</w:t>
            </w:r>
          </w:p>
        </w:tc>
        <w:tc>
          <w:tcPr>
            <w:tcW w:w="2693" w:type="dxa"/>
            <w:gridSpan w:val="2"/>
            <w:tcBorders>
              <w:left w:val="double" w:sz="4" w:space="0" w:color="auto"/>
              <w:right w:val="double" w:sz="4" w:space="0" w:color="auto"/>
            </w:tcBorders>
            <w:tcMar>
              <w:left w:w="58" w:type="dxa"/>
              <w:right w:w="58" w:type="dxa"/>
            </w:tcMar>
            <w:vAlign w:val="center"/>
          </w:tcPr>
          <w:p w14:paraId="56EBC3AB"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16.6%</w:t>
            </w:r>
          </w:p>
        </w:tc>
        <w:tc>
          <w:tcPr>
            <w:tcW w:w="4394" w:type="dxa"/>
            <w:gridSpan w:val="3"/>
            <w:tcBorders>
              <w:left w:val="double" w:sz="4" w:space="0" w:color="auto"/>
              <w:right w:val="double" w:sz="4" w:space="0" w:color="auto"/>
            </w:tcBorders>
            <w:tcMar>
              <w:left w:w="58" w:type="dxa"/>
              <w:right w:w="58" w:type="dxa"/>
            </w:tcMar>
            <w:vAlign w:val="center"/>
          </w:tcPr>
          <w:p w14:paraId="2DBE5C47" w14:textId="77777777" w:rsidR="00762947" w:rsidRPr="00762947" w:rsidRDefault="00762947" w:rsidP="00AD5DB0">
            <w:pPr>
              <w:rPr>
                <w:rFonts w:ascii="Times New Roman" w:hAnsi="Times New Roman" w:cs="Times New Roman"/>
                <w:b/>
                <w:bCs/>
                <w:i/>
                <w:iCs/>
                <w:sz w:val="20"/>
                <w:szCs w:val="20"/>
              </w:rPr>
            </w:pPr>
            <w:r w:rsidRPr="00762947">
              <w:rPr>
                <w:rFonts w:ascii="Times New Roman" w:hAnsi="Times New Roman" w:cs="Times New Roman"/>
                <w:b/>
                <w:bCs/>
                <w:i/>
                <w:iCs/>
                <w:sz w:val="20"/>
                <w:szCs w:val="20"/>
              </w:rPr>
              <w:t>Household type</w:t>
            </w:r>
          </w:p>
        </w:tc>
        <w:tc>
          <w:tcPr>
            <w:tcW w:w="2613" w:type="dxa"/>
            <w:gridSpan w:val="2"/>
            <w:tcBorders>
              <w:left w:val="double" w:sz="4" w:space="0" w:color="auto"/>
              <w:right w:val="single" w:sz="12" w:space="0" w:color="auto"/>
            </w:tcBorders>
            <w:tcMar>
              <w:left w:w="58" w:type="dxa"/>
              <w:right w:w="58" w:type="dxa"/>
            </w:tcMar>
            <w:vAlign w:val="center"/>
          </w:tcPr>
          <w:p w14:paraId="7AE6CB82" w14:textId="77777777" w:rsidR="00762947" w:rsidRPr="00762947" w:rsidRDefault="00762947" w:rsidP="00AD5DB0">
            <w:pPr>
              <w:jc w:val="center"/>
              <w:rPr>
                <w:rFonts w:ascii="Times New Roman" w:hAnsi="Times New Roman" w:cs="Times New Roman"/>
                <w:sz w:val="20"/>
                <w:szCs w:val="20"/>
              </w:rPr>
            </w:pPr>
          </w:p>
        </w:tc>
      </w:tr>
      <w:tr w:rsidR="00762947" w:rsidRPr="00762947" w14:paraId="3B38B769"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1EEA4F06" w14:textId="77777777" w:rsidR="00762947" w:rsidRPr="00762947" w:rsidRDefault="00762947" w:rsidP="00AD5DB0">
            <w:pPr>
              <w:ind w:left="22" w:firstLine="142"/>
              <w:rPr>
                <w:rFonts w:ascii="Times New Roman" w:hAnsi="Times New Roman" w:cs="Times New Roman"/>
                <w:sz w:val="20"/>
                <w:szCs w:val="20"/>
              </w:rPr>
            </w:pPr>
            <w:r w:rsidRPr="00762947">
              <w:rPr>
                <w:rFonts w:ascii="Times New Roman" w:hAnsi="Times New Roman" w:cs="Times New Roman"/>
                <w:sz w:val="20"/>
                <w:szCs w:val="20"/>
              </w:rPr>
              <w:t>Income between $50K to $100K</w:t>
            </w:r>
          </w:p>
        </w:tc>
        <w:tc>
          <w:tcPr>
            <w:tcW w:w="2693" w:type="dxa"/>
            <w:gridSpan w:val="2"/>
            <w:tcBorders>
              <w:left w:val="double" w:sz="4" w:space="0" w:color="auto"/>
              <w:right w:val="double" w:sz="4" w:space="0" w:color="auto"/>
            </w:tcBorders>
            <w:tcMar>
              <w:left w:w="58" w:type="dxa"/>
              <w:right w:w="58" w:type="dxa"/>
            </w:tcMar>
            <w:vAlign w:val="center"/>
          </w:tcPr>
          <w:p w14:paraId="1DE66A42"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31.9%</w:t>
            </w:r>
          </w:p>
        </w:tc>
        <w:tc>
          <w:tcPr>
            <w:tcW w:w="4394" w:type="dxa"/>
            <w:gridSpan w:val="3"/>
            <w:tcBorders>
              <w:left w:val="double" w:sz="4" w:space="0" w:color="auto"/>
              <w:right w:val="double" w:sz="4" w:space="0" w:color="auto"/>
            </w:tcBorders>
            <w:tcMar>
              <w:left w:w="58" w:type="dxa"/>
              <w:right w:w="58" w:type="dxa"/>
            </w:tcMar>
            <w:vAlign w:val="center"/>
          </w:tcPr>
          <w:p w14:paraId="2B871EA0" w14:textId="77777777" w:rsidR="00762947" w:rsidRPr="00762947" w:rsidRDefault="00762947" w:rsidP="00AD5DB0">
            <w:pPr>
              <w:ind w:firstLine="151"/>
              <w:rPr>
                <w:rFonts w:ascii="Times New Roman" w:hAnsi="Times New Roman" w:cs="Times New Roman"/>
                <w:sz w:val="20"/>
                <w:szCs w:val="20"/>
              </w:rPr>
            </w:pPr>
            <w:r w:rsidRPr="00762947">
              <w:rPr>
                <w:rFonts w:ascii="Times New Roman" w:hAnsi="Times New Roman" w:cs="Times New Roman"/>
                <w:sz w:val="20"/>
                <w:szCs w:val="20"/>
              </w:rPr>
              <w:t>Detached</w:t>
            </w:r>
          </w:p>
        </w:tc>
        <w:tc>
          <w:tcPr>
            <w:tcW w:w="2613" w:type="dxa"/>
            <w:gridSpan w:val="2"/>
            <w:tcBorders>
              <w:left w:val="double" w:sz="4" w:space="0" w:color="auto"/>
              <w:right w:val="single" w:sz="12" w:space="0" w:color="auto"/>
            </w:tcBorders>
            <w:tcMar>
              <w:left w:w="58" w:type="dxa"/>
              <w:right w:w="58" w:type="dxa"/>
            </w:tcMar>
            <w:vAlign w:val="center"/>
          </w:tcPr>
          <w:p w14:paraId="79AE9FE3"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61.4%</w:t>
            </w:r>
          </w:p>
        </w:tc>
      </w:tr>
      <w:tr w:rsidR="00762947" w:rsidRPr="00762947" w14:paraId="335B5A5B"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09E0F903" w14:textId="77777777" w:rsidR="00762947" w:rsidRPr="00762947" w:rsidRDefault="00762947" w:rsidP="00AD5DB0">
            <w:pPr>
              <w:ind w:firstLine="164"/>
              <w:rPr>
                <w:rFonts w:ascii="Times New Roman" w:hAnsi="Times New Roman" w:cs="Times New Roman"/>
                <w:sz w:val="20"/>
                <w:szCs w:val="20"/>
              </w:rPr>
            </w:pPr>
            <w:r w:rsidRPr="00762947">
              <w:rPr>
                <w:rFonts w:ascii="Times New Roman" w:hAnsi="Times New Roman" w:cs="Times New Roman"/>
                <w:sz w:val="20"/>
                <w:szCs w:val="20"/>
              </w:rPr>
              <w:t>Income between $100K to $200K</w:t>
            </w:r>
          </w:p>
        </w:tc>
        <w:tc>
          <w:tcPr>
            <w:tcW w:w="2693" w:type="dxa"/>
            <w:gridSpan w:val="2"/>
            <w:tcBorders>
              <w:left w:val="double" w:sz="4" w:space="0" w:color="auto"/>
              <w:right w:val="double" w:sz="4" w:space="0" w:color="auto"/>
            </w:tcBorders>
            <w:tcMar>
              <w:left w:w="58" w:type="dxa"/>
              <w:right w:w="58" w:type="dxa"/>
            </w:tcMar>
            <w:vAlign w:val="center"/>
          </w:tcPr>
          <w:p w14:paraId="16BD8E9B"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30.1%</w:t>
            </w:r>
          </w:p>
        </w:tc>
        <w:tc>
          <w:tcPr>
            <w:tcW w:w="4394" w:type="dxa"/>
            <w:gridSpan w:val="3"/>
            <w:tcBorders>
              <w:left w:val="double" w:sz="4" w:space="0" w:color="auto"/>
              <w:right w:val="double" w:sz="4" w:space="0" w:color="auto"/>
            </w:tcBorders>
            <w:tcMar>
              <w:left w:w="58" w:type="dxa"/>
              <w:right w:w="58" w:type="dxa"/>
            </w:tcMar>
            <w:vAlign w:val="center"/>
          </w:tcPr>
          <w:p w14:paraId="011491BA" w14:textId="77777777" w:rsidR="00762947" w:rsidRPr="00762947" w:rsidRDefault="00762947" w:rsidP="00AD5DB0">
            <w:pPr>
              <w:ind w:firstLine="151"/>
              <w:rPr>
                <w:rFonts w:ascii="Times New Roman" w:hAnsi="Times New Roman" w:cs="Times New Roman"/>
                <w:sz w:val="20"/>
                <w:szCs w:val="20"/>
              </w:rPr>
            </w:pPr>
            <w:r w:rsidRPr="00762947">
              <w:rPr>
                <w:rFonts w:ascii="Times New Roman" w:hAnsi="Times New Roman" w:cs="Times New Roman"/>
                <w:sz w:val="20"/>
                <w:szCs w:val="20"/>
              </w:rPr>
              <w:t>Apartments</w:t>
            </w:r>
          </w:p>
        </w:tc>
        <w:tc>
          <w:tcPr>
            <w:tcW w:w="2613" w:type="dxa"/>
            <w:gridSpan w:val="2"/>
            <w:tcBorders>
              <w:left w:val="double" w:sz="4" w:space="0" w:color="auto"/>
              <w:right w:val="single" w:sz="12" w:space="0" w:color="auto"/>
            </w:tcBorders>
            <w:tcMar>
              <w:left w:w="58" w:type="dxa"/>
              <w:right w:w="58" w:type="dxa"/>
            </w:tcMar>
            <w:vAlign w:val="center"/>
          </w:tcPr>
          <w:p w14:paraId="0D272FA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26.1%</w:t>
            </w:r>
          </w:p>
        </w:tc>
      </w:tr>
      <w:tr w:rsidR="00762947" w:rsidRPr="00762947" w14:paraId="14C1FFAE"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52A627BE" w14:textId="77777777" w:rsidR="00762947" w:rsidRPr="00762947" w:rsidRDefault="00762947" w:rsidP="00AD5DB0">
            <w:pPr>
              <w:ind w:firstLine="164"/>
              <w:rPr>
                <w:rFonts w:ascii="Times New Roman" w:hAnsi="Times New Roman" w:cs="Times New Roman"/>
                <w:sz w:val="20"/>
                <w:szCs w:val="20"/>
              </w:rPr>
            </w:pPr>
            <w:r w:rsidRPr="00762947">
              <w:rPr>
                <w:rFonts w:ascii="Times New Roman" w:hAnsi="Times New Roman" w:cs="Times New Roman"/>
                <w:sz w:val="20"/>
                <w:szCs w:val="20"/>
              </w:rPr>
              <w:t>Income more than $200K</w:t>
            </w:r>
          </w:p>
        </w:tc>
        <w:tc>
          <w:tcPr>
            <w:tcW w:w="2693" w:type="dxa"/>
            <w:gridSpan w:val="2"/>
            <w:tcBorders>
              <w:left w:val="double" w:sz="4" w:space="0" w:color="auto"/>
              <w:right w:val="double" w:sz="4" w:space="0" w:color="auto"/>
            </w:tcBorders>
            <w:tcMar>
              <w:left w:w="58" w:type="dxa"/>
              <w:right w:w="58" w:type="dxa"/>
            </w:tcMar>
            <w:vAlign w:val="center"/>
          </w:tcPr>
          <w:p w14:paraId="4B4F7B9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12.6%</w:t>
            </w:r>
          </w:p>
        </w:tc>
        <w:tc>
          <w:tcPr>
            <w:tcW w:w="4394" w:type="dxa"/>
            <w:gridSpan w:val="3"/>
            <w:tcBorders>
              <w:left w:val="double" w:sz="4" w:space="0" w:color="auto"/>
              <w:right w:val="double" w:sz="4" w:space="0" w:color="auto"/>
            </w:tcBorders>
            <w:tcMar>
              <w:left w:w="58" w:type="dxa"/>
              <w:right w:w="58" w:type="dxa"/>
            </w:tcMar>
            <w:vAlign w:val="center"/>
          </w:tcPr>
          <w:p w14:paraId="4344ACF0" w14:textId="77777777" w:rsidR="00762947" w:rsidRPr="00762947" w:rsidRDefault="00762947" w:rsidP="00AD5DB0">
            <w:pPr>
              <w:ind w:firstLine="151"/>
              <w:rPr>
                <w:rFonts w:ascii="Times New Roman" w:hAnsi="Times New Roman" w:cs="Times New Roman"/>
                <w:sz w:val="20"/>
                <w:szCs w:val="20"/>
              </w:rPr>
            </w:pPr>
            <w:r w:rsidRPr="00762947">
              <w:rPr>
                <w:rFonts w:ascii="Times New Roman" w:hAnsi="Times New Roman" w:cs="Times New Roman"/>
                <w:sz w:val="20"/>
                <w:szCs w:val="20"/>
              </w:rPr>
              <w:t>Other</w:t>
            </w:r>
          </w:p>
        </w:tc>
        <w:tc>
          <w:tcPr>
            <w:tcW w:w="2613" w:type="dxa"/>
            <w:gridSpan w:val="2"/>
            <w:tcBorders>
              <w:left w:val="double" w:sz="4" w:space="0" w:color="auto"/>
              <w:right w:val="single" w:sz="12" w:space="0" w:color="auto"/>
            </w:tcBorders>
            <w:tcMar>
              <w:left w:w="58" w:type="dxa"/>
              <w:right w:w="58" w:type="dxa"/>
            </w:tcMar>
            <w:vAlign w:val="center"/>
          </w:tcPr>
          <w:p w14:paraId="3CAB5AAA"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12.5%</w:t>
            </w:r>
          </w:p>
        </w:tc>
      </w:tr>
      <w:tr w:rsidR="00762947" w:rsidRPr="00762947" w14:paraId="3D13C4D3"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717A7A78" w14:textId="77777777" w:rsidR="00762947" w:rsidRPr="00762947" w:rsidRDefault="00762947" w:rsidP="00AD5DB0">
            <w:pPr>
              <w:rPr>
                <w:rFonts w:ascii="Times New Roman" w:hAnsi="Times New Roman" w:cs="Times New Roman"/>
                <w:b/>
                <w:bCs/>
                <w:i/>
                <w:iCs/>
                <w:sz w:val="20"/>
                <w:szCs w:val="20"/>
              </w:rPr>
            </w:pPr>
            <w:r w:rsidRPr="00762947">
              <w:rPr>
                <w:rFonts w:ascii="Times New Roman" w:hAnsi="Times New Roman" w:cs="Times New Roman"/>
                <w:b/>
                <w:bCs/>
                <w:i/>
                <w:iCs/>
                <w:sz w:val="20"/>
                <w:szCs w:val="20"/>
              </w:rPr>
              <w:t>Presence of workers</w:t>
            </w:r>
          </w:p>
        </w:tc>
        <w:tc>
          <w:tcPr>
            <w:tcW w:w="2693" w:type="dxa"/>
            <w:gridSpan w:val="2"/>
            <w:tcBorders>
              <w:left w:val="double" w:sz="4" w:space="0" w:color="auto"/>
              <w:right w:val="double" w:sz="4" w:space="0" w:color="auto"/>
            </w:tcBorders>
            <w:tcMar>
              <w:left w:w="58" w:type="dxa"/>
              <w:right w:w="58" w:type="dxa"/>
            </w:tcMar>
            <w:vAlign w:val="center"/>
          </w:tcPr>
          <w:p w14:paraId="02B939A5" w14:textId="77777777" w:rsidR="00762947" w:rsidRPr="00762947" w:rsidRDefault="00762947" w:rsidP="00AD5DB0">
            <w:pPr>
              <w:jc w:val="center"/>
              <w:rPr>
                <w:rFonts w:ascii="Times New Roman" w:hAnsi="Times New Roman" w:cs="Times New Roman"/>
                <w:sz w:val="20"/>
                <w:szCs w:val="20"/>
              </w:rPr>
            </w:pPr>
          </w:p>
        </w:tc>
        <w:tc>
          <w:tcPr>
            <w:tcW w:w="4394" w:type="dxa"/>
            <w:gridSpan w:val="3"/>
            <w:tcBorders>
              <w:left w:val="double" w:sz="4" w:space="0" w:color="auto"/>
              <w:right w:val="double" w:sz="4" w:space="0" w:color="auto"/>
            </w:tcBorders>
            <w:tcMar>
              <w:left w:w="58" w:type="dxa"/>
              <w:right w:w="58" w:type="dxa"/>
            </w:tcMar>
            <w:vAlign w:val="center"/>
          </w:tcPr>
          <w:p w14:paraId="16E51FB9" w14:textId="77777777" w:rsidR="00762947" w:rsidRPr="00762947" w:rsidRDefault="00762947" w:rsidP="00AD5DB0">
            <w:pPr>
              <w:rPr>
                <w:rFonts w:ascii="Times New Roman" w:hAnsi="Times New Roman" w:cs="Times New Roman"/>
                <w:b/>
                <w:bCs/>
                <w:i/>
                <w:iCs/>
                <w:sz w:val="20"/>
                <w:szCs w:val="20"/>
              </w:rPr>
            </w:pPr>
            <w:r w:rsidRPr="00762947">
              <w:rPr>
                <w:rFonts w:ascii="Times New Roman" w:hAnsi="Times New Roman" w:cs="Times New Roman"/>
                <w:b/>
                <w:bCs/>
                <w:i/>
                <w:iCs/>
                <w:sz w:val="20"/>
                <w:szCs w:val="20"/>
              </w:rPr>
              <w:t>Parking facilities</w:t>
            </w:r>
          </w:p>
        </w:tc>
        <w:tc>
          <w:tcPr>
            <w:tcW w:w="2613" w:type="dxa"/>
            <w:gridSpan w:val="2"/>
            <w:tcBorders>
              <w:left w:val="double" w:sz="4" w:space="0" w:color="auto"/>
              <w:right w:val="single" w:sz="12" w:space="0" w:color="auto"/>
            </w:tcBorders>
            <w:tcMar>
              <w:left w:w="58" w:type="dxa"/>
              <w:right w:w="58" w:type="dxa"/>
            </w:tcMar>
            <w:vAlign w:val="center"/>
          </w:tcPr>
          <w:p w14:paraId="6EFEB933" w14:textId="77777777" w:rsidR="00762947" w:rsidRPr="00762947" w:rsidRDefault="00762947" w:rsidP="00AD5DB0">
            <w:pPr>
              <w:jc w:val="center"/>
              <w:rPr>
                <w:rFonts w:ascii="Times New Roman" w:hAnsi="Times New Roman" w:cs="Times New Roman"/>
                <w:sz w:val="20"/>
                <w:szCs w:val="20"/>
              </w:rPr>
            </w:pPr>
          </w:p>
        </w:tc>
      </w:tr>
      <w:tr w:rsidR="00762947" w:rsidRPr="00762947" w14:paraId="0D48F03B" w14:textId="77777777" w:rsidTr="00AD5DB0">
        <w:trPr>
          <w:trHeight w:val="57"/>
        </w:trPr>
        <w:tc>
          <w:tcPr>
            <w:tcW w:w="4248" w:type="dxa"/>
            <w:vMerge w:val="restart"/>
            <w:tcBorders>
              <w:left w:val="single" w:sz="12" w:space="0" w:color="auto"/>
              <w:right w:val="double" w:sz="4" w:space="0" w:color="auto"/>
            </w:tcBorders>
            <w:tcMar>
              <w:left w:w="58" w:type="dxa"/>
              <w:right w:w="58" w:type="dxa"/>
            </w:tcMar>
            <w:vAlign w:val="center"/>
          </w:tcPr>
          <w:p w14:paraId="3A72B0B0" w14:textId="77777777" w:rsidR="00762947" w:rsidRPr="00762947" w:rsidRDefault="00762947" w:rsidP="00AD5DB0">
            <w:pPr>
              <w:ind w:firstLine="164"/>
              <w:rPr>
                <w:rFonts w:ascii="Times New Roman" w:hAnsi="Times New Roman" w:cs="Times New Roman"/>
                <w:sz w:val="20"/>
                <w:szCs w:val="20"/>
              </w:rPr>
            </w:pPr>
            <w:r w:rsidRPr="00762947">
              <w:rPr>
                <w:rFonts w:ascii="Times New Roman" w:hAnsi="Times New Roman" w:cs="Times New Roman"/>
                <w:sz w:val="20"/>
                <w:szCs w:val="20"/>
              </w:rPr>
              <w:t>at least 1 full time/part time worker</w:t>
            </w:r>
          </w:p>
        </w:tc>
        <w:tc>
          <w:tcPr>
            <w:tcW w:w="2693" w:type="dxa"/>
            <w:gridSpan w:val="2"/>
            <w:vMerge w:val="restart"/>
            <w:tcBorders>
              <w:left w:val="double" w:sz="4" w:space="0" w:color="auto"/>
              <w:right w:val="double" w:sz="4" w:space="0" w:color="auto"/>
            </w:tcBorders>
            <w:tcMar>
              <w:left w:w="58" w:type="dxa"/>
              <w:right w:w="58" w:type="dxa"/>
            </w:tcMar>
            <w:vAlign w:val="center"/>
          </w:tcPr>
          <w:p w14:paraId="5CF1283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62.9%</w:t>
            </w:r>
          </w:p>
        </w:tc>
        <w:tc>
          <w:tcPr>
            <w:tcW w:w="4394" w:type="dxa"/>
            <w:gridSpan w:val="3"/>
            <w:tcBorders>
              <w:left w:val="double" w:sz="4" w:space="0" w:color="auto"/>
              <w:right w:val="double" w:sz="4" w:space="0" w:color="auto"/>
            </w:tcBorders>
            <w:tcMar>
              <w:left w:w="58" w:type="dxa"/>
              <w:right w:w="58" w:type="dxa"/>
            </w:tcMar>
            <w:vAlign w:val="center"/>
          </w:tcPr>
          <w:p w14:paraId="2AA02BAF"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Absence of a covered parking in the vicinity of the household</w:t>
            </w:r>
          </w:p>
        </w:tc>
        <w:tc>
          <w:tcPr>
            <w:tcW w:w="2613" w:type="dxa"/>
            <w:gridSpan w:val="2"/>
            <w:tcBorders>
              <w:left w:val="double" w:sz="4" w:space="0" w:color="auto"/>
              <w:right w:val="single" w:sz="12" w:space="0" w:color="auto"/>
            </w:tcBorders>
            <w:tcMar>
              <w:left w:w="58" w:type="dxa"/>
              <w:right w:w="58" w:type="dxa"/>
            </w:tcMar>
            <w:vAlign w:val="center"/>
          </w:tcPr>
          <w:p w14:paraId="5DB8956A"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18.8%</w:t>
            </w:r>
          </w:p>
        </w:tc>
      </w:tr>
      <w:tr w:rsidR="00762947" w:rsidRPr="00762947" w14:paraId="7C8618D2" w14:textId="77777777" w:rsidTr="00AD5DB0">
        <w:trPr>
          <w:trHeight w:val="57"/>
        </w:trPr>
        <w:tc>
          <w:tcPr>
            <w:tcW w:w="4248" w:type="dxa"/>
            <w:vMerge/>
            <w:tcBorders>
              <w:left w:val="single" w:sz="12" w:space="0" w:color="auto"/>
              <w:right w:val="double" w:sz="4" w:space="0" w:color="auto"/>
            </w:tcBorders>
            <w:tcMar>
              <w:left w:w="58" w:type="dxa"/>
              <w:right w:w="58" w:type="dxa"/>
            </w:tcMar>
            <w:vAlign w:val="center"/>
          </w:tcPr>
          <w:p w14:paraId="4234D06A" w14:textId="77777777" w:rsidR="00762947" w:rsidRPr="00762947" w:rsidRDefault="00762947" w:rsidP="00AD5DB0">
            <w:pPr>
              <w:ind w:firstLine="164"/>
              <w:rPr>
                <w:rFonts w:ascii="Times New Roman" w:hAnsi="Times New Roman" w:cs="Times New Roman"/>
                <w:sz w:val="20"/>
                <w:szCs w:val="20"/>
              </w:rPr>
            </w:pPr>
          </w:p>
        </w:tc>
        <w:tc>
          <w:tcPr>
            <w:tcW w:w="2693" w:type="dxa"/>
            <w:gridSpan w:val="2"/>
            <w:vMerge/>
            <w:tcBorders>
              <w:left w:val="double" w:sz="4" w:space="0" w:color="auto"/>
              <w:right w:val="double" w:sz="4" w:space="0" w:color="auto"/>
            </w:tcBorders>
            <w:tcMar>
              <w:left w:w="58" w:type="dxa"/>
              <w:right w:w="58" w:type="dxa"/>
            </w:tcMar>
            <w:vAlign w:val="center"/>
          </w:tcPr>
          <w:p w14:paraId="7F2C4932" w14:textId="77777777" w:rsidR="00762947" w:rsidRPr="00762947" w:rsidRDefault="00762947" w:rsidP="00AD5DB0">
            <w:pPr>
              <w:jc w:val="center"/>
              <w:rPr>
                <w:rFonts w:ascii="Times New Roman" w:hAnsi="Times New Roman" w:cs="Times New Roman"/>
                <w:sz w:val="20"/>
                <w:szCs w:val="20"/>
              </w:rPr>
            </w:pPr>
          </w:p>
        </w:tc>
        <w:tc>
          <w:tcPr>
            <w:tcW w:w="4394" w:type="dxa"/>
            <w:gridSpan w:val="3"/>
            <w:tcBorders>
              <w:left w:val="double" w:sz="4" w:space="0" w:color="auto"/>
              <w:right w:val="double" w:sz="4" w:space="0" w:color="auto"/>
            </w:tcBorders>
            <w:tcMar>
              <w:left w:w="58" w:type="dxa"/>
              <w:right w:w="58" w:type="dxa"/>
            </w:tcMar>
            <w:vAlign w:val="center"/>
          </w:tcPr>
          <w:p w14:paraId="6101096F"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Absence of a parking facility with electrical charging (in office/frequently visited places)</w:t>
            </w:r>
          </w:p>
        </w:tc>
        <w:tc>
          <w:tcPr>
            <w:tcW w:w="2613" w:type="dxa"/>
            <w:gridSpan w:val="2"/>
            <w:tcBorders>
              <w:left w:val="double" w:sz="4" w:space="0" w:color="auto"/>
              <w:right w:val="single" w:sz="12" w:space="0" w:color="auto"/>
            </w:tcBorders>
            <w:tcMar>
              <w:left w:w="58" w:type="dxa"/>
              <w:right w:w="58" w:type="dxa"/>
            </w:tcMar>
            <w:vAlign w:val="center"/>
          </w:tcPr>
          <w:p w14:paraId="7FD3D457"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18.3%</w:t>
            </w:r>
          </w:p>
        </w:tc>
      </w:tr>
      <w:tr w:rsidR="00762947" w:rsidRPr="00762947" w14:paraId="2C932BD5"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3F731D03" w14:textId="77777777" w:rsidR="00762947" w:rsidRPr="00762947" w:rsidRDefault="00762947" w:rsidP="00AD5DB0">
            <w:pPr>
              <w:rPr>
                <w:rFonts w:ascii="Times New Roman" w:hAnsi="Times New Roman" w:cs="Times New Roman"/>
                <w:i/>
                <w:iCs/>
                <w:sz w:val="20"/>
                <w:szCs w:val="20"/>
              </w:rPr>
            </w:pPr>
            <w:r w:rsidRPr="00762947">
              <w:rPr>
                <w:rFonts w:ascii="Times New Roman" w:hAnsi="Times New Roman" w:cs="Times New Roman"/>
                <w:b/>
                <w:bCs/>
                <w:i/>
                <w:iCs/>
                <w:sz w:val="20"/>
                <w:szCs w:val="20"/>
              </w:rPr>
              <w:t>Household composition</w:t>
            </w:r>
          </w:p>
        </w:tc>
        <w:tc>
          <w:tcPr>
            <w:tcW w:w="2693" w:type="dxa"/>
            <w:gridSpan w:val="2"/>
            <w:tcBorders>
              <w:left w:val="double" w:sz="4" w:space="0" w:color="auto"/>
              <w:right w:val="double" w:sz="4" w:space="0" w:color="auto"/>
            </w:tcBorders>
            <w:tcMar>
              <w:left w:w="58" w:type="dxa"/>
              <w:right w:w="58" w:type="dxa"/>
            </w:tcMar>
            <w:vAlign w:val="center"/>
          </w:tcPr>
          <w:p w14:paraId="3E2CC525" w14:textId="77777777" w:rsidR="00762947" w:rsidRPr="00762947" w:rsidRDefault="00762947" w:rsidP="00AD5DB0">
            <w:pPr>
              <w:jc w:val="center"/>
              <w:rPr>
                <w:rFonts w:ascii="Times New Roman" w:hAnsi="Times New Roman" w:cs="Times New Roman"/>
                <w:sz w:val="20"/>
                <w:szCs w:val="20"/>
              </w:rPr>
            </w:pPr>
          </w:p>
        </w:tc>
        <w:tc>
          <w:tcPr>
            <w:tcW w:w="4394" w:type="dxa"/>
            <w:gridSpan w:val="3"/>
            <w:tcBorders>
              <w:left w:val="double" w:sz="4" w:space="0" w:color="auto"/>
              <w:right w:val="double" w:sz="4" w:space="0" w:color="auto"/>
            </w:tcBorders>
            <w:tcMar>
              <w:left w:w="58" w:type="dxa"/>
              <w:right w:w="58" w:type="dxa"/>
            </w:tcMar>
            <w:vAlign w:val="center"/>
          </w:tcPr>
          <w:p w14:paraId="5693FA1A" w14:textId="77777777" w:rsidR="00762947" w:rsidRPr="00762947" w:rsidRDefault="00762947" w:rsidP="00AD5DB0">
            <w:pPr>
              <w:rPr>
                <w:rFonts w:ascii="Times New Roman" w:hAnsi="Times New Roman" w:cs="Times New Roman"/>
                <w:b/>
                <w:bCs/>
                <w:i/>
                <w:iCs/>
                <w:sz w:val="20"/>
                <w:szCs w:val="20"/>
              </w:rPr>
            </w:pPr>
            <w:r w:rsidRPr="00762947">
              <w:rPr>
                <w:rFonts w:ascii="Times New Roman" w:hAnsi="Times New Roman" w:cs="Times New Roman"/>
                <w:b/>
                <w:bCs/>
                <w:i/>
                <w:iCs/>
                <w:sz w:val="20"/>
                <w:szCs w:val="20"/>
              </w:rPr>
              <w:t>Regional attributes</w:t>
            </w:r>
          </w:p>
        </w:tc>
        <w:tc>
          <w:tcPr>
            <w:tcW w:w="2613" w:type="dxa"/>
            <w:gridSpan w:val="2"/>
            <w:tcBorders>
              <w:left w:val="double" w:sz="4" w:space="0" w:color="auto"/>
              <w:right w:val="single" w:sz="12" w:space="0" w:color="auto"/>
            </w:tcBorders>
            <w:tcMar>
              <w:left w:w="58" w:type="dxa"/>
              <w:right w:w="58" w:type="dxa"/>
            </w:tcMar>
            <w:vAlign w:val="center"/>
          </w:tcPr>
          <w:p w14:paraId="05EE933D" w14:textId="77777777" w:rsidR="00762947" w:rsidRPr="00762947" w:rsidRDefault="00762947" w:rsidP="00AD5DB0">
            <w:pPr>
              <w:jc w:val="center"/>
              <w:rPr>
                <w:rFonts w:ascii="Times New Roman" w:hAnsi="Times New Roman" w:cs="Times New Roman"/>
                <w:sz w:val="20"/>
                <w:szCs w:val="20"/>
              </w:rPr>
            </w:pPr>
          </w:p>
        </w:tc>
      </w:tr>
      <w:tr w:rsidR="00762947" w:rsidRPr="00762947" w14:paraId="3D330C64"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25054559" w14:textId="77777777" w:rsidR="00762947" w:rsidRPr="00762947" w:rsidRDefault="00762947" w:rsidP="00AD5DB0">
            <w:pPr>
              <w:ind w:left="375" w:hanging="180"/>
              <w:rPr>
                <w:rFonts w:ascii="Times New Roman" w:hAnsi="Times New Roman" w:cs="Times New Roman"/>
                <w:sz w:val="20"/>
                <w:szCs w:val="20"/>
              </w:rPr>
            </w:pPr>
            <w:r w:rsidRPr="00762947">
              <w:rPr>
                <w:rFonts w:ascii="Times New Roman" w:hAnsi="Times New Roman" w:cs="Times New Roman"/>
                <w:sz w:val="20"/>
                <w:szCs w:val="20"/>
              </w:rPr>
              <w:t>Average household size</w:t>
            </w:r>
          </w:p>
        </w:tc>
        <w:tc>
          <w:tcPr>
            <w:tcW w:w="2693" w:type="dxa"/>
            <w:gridSpan w:val="2"/>
            <w:tcBorders>
              <w:left w:val="double" w:sz="4" w:space="0" w:color="auto"/>
              <w:right w:val="double" w:sz="4" w:space="0" w:color="auto"/>
            </w:tcBorders>
            <w:tcMar>
              <w:left w:w="58" w:type="dxa"/>
              <w:right w:w="58" w:type="dxa"/>
            </w:tcMar>
            <w:vAlign w:val="center"/>
          </w:tcPr>
          <w:p w14:paraId="56423F4C"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2.2</w:t>
            </w:r>
          </w:p>
        </w:tc>
        <w:tc>
          <w:tcPr>
            <w:tcW w:w="4394" w:type="dxa"/>
            <w:gridSpan w:val="3"/>
            <w:tcBorders>
              <w:left w:val="double" w:sz="4" w:space="0" w:color="auto"/>
              <w:right w:val="double" w:sz="4" w:space="0" w:color="auto"/>
            </w:tcBorders>
            <w:tcMar>
              <w:left w:w="58" w:type="dxa"/>
              <w:right w:w="58" w:type="dxa"/>
            </w:tcMar>
            <w:vAlign w:val="center"/>
          </w:tcPr>
          <w:p w14:paraId="468329E4"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Average population density (person/ sq. miles)</w:t>
            </w:r>
          </w:p>
        </w:tc>
        <w:tc>
          <w:tcPr>
            <w:tcW w:w="2613" w:type="dxa"/>
            <w:gridSpan w:val="2"/>
            <w:tcBorders>
              <w:left w:val="double" w:sz="4" w:space="0" w:color="auto"/>
              <w:right w:val="single" w:sz="12" w:space="0" w:color="auto"/>
            </w:tcBorders>
            <w:tcMar>
              <w:left w:w="58" w:type="dxa"/>
              <w:right w:w="58" w:type="dxa"/>
            </w:tcMar>
            <w:vAlign w:val="center"/>
          </w:tcPr>
          <w:p w14:paraId="30EADD28" w14:textId="77777777" w:rsidR="00762947" w:rsidRPr="00762947" w:rsidRDefault="00762947" w:rsidP="00AD5DB0">
            <w:pPr>
              <w:ind w:firstLine="180"/>
              <w:jc w:val="center"/>
              <w:rPr>
                <w:rFonts w:ascii="Times New Roman" w:hAnsi="Times New Roman" w:cs="Times New Roman"/>
                <w:sz w:val="20"/>
                <w:szCs w:val="20"/>
              </w:rPr>
            </w:pPr>
            <w:r w:rsidRPr="00762947">
              <w:rPr>
                <w:rFonts w:ascii="Times New Roman" w:hAnsi="Times New Roman" w:cs="Times New Roman"/>
                <w:sz w:val="20"/>
                <w:szCs w:val="20"/>
              </w:rPr>
              <w:t>2020.9</w:t>
            </w:r>
          </w:p>
        </w:tc>
      </w:tr>
      <w:tr w:rsidR="00762947" w:rsidRPr="00762947" w14:paraId="2FEC7027"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6A6F2F64" w14:textId="77777777" w:rsidR="00762947" w:rsidRPr="00762947" w:rsidRDefault="00762947" w:rsidP="00AD5DB0">
            <w:pPr>
              <w:ind w:left="375" w:hanging="180"/>
              <w:rPr>
                <w:rFonts w:ascii="Times New Roman" w:hAnsi="Times New Roman" w:cs="Times New Roman"/>
                <w:sz w:val="20"/>
                <w:szCs w:val="20"/>
              </w:rPr>
            </w:pPr>
            <w:r w:rsidRPr="00762947">
              <w:rPr>
                <w:rFonts w:ascii="Times New Roman" w:hAnsi="Times New Roman" w:cs="Times New Roman"/>
                <w:sz w:val="20"/>
                <w:szCs w:val="20"/>
              </w:rPr>
              <w:t>Average number of children (with age less than 15 years)</w:t>
            </w:r>
          </w:p>
        </w:tc>
        <w:tc>
          <w:tcPr>
            <w:tcW w:w="2693" w:type="dxa"/>
            <w:gridSpan w:val="2"/>
            <w:tcBorders>
              <w:left w:val="double" w:sz="4" w:space="0" w:color="auto"/>
              <w:right w:val="double" w:sz="4" w:space="0" w:color="auto"/>
            </w:tcBorders>
            <w:tcMar>
              <w:left w:w="58" w:type="dxa"/>
              <w:right w:w="58" w:type="dxa"/>
            </w:tcMar>
            <w:vAlign w:val="center"/>
          </w:tcPr>
          <w:p w14:paraId="467A1214"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0.3</w:t>
            </w:r>
          </w:p>
        </w:tc>
        <w:tc>
          <w:tcPr>
            <w:tcW w:w="4394" w:type="dxa"/>
            <w:gridSpan w:val="3"/>
            <w:tcBorders>
              <w:left w:val="double" w:sz="4" w:space="0" w:color="auto"/>
              <w:right w:val="double" w:sz="4" w:space="0" w:color="auto"/>
            </w:tcBorders>
            <w:tcMar>
              <w:left w:w="58" w:type="dxa"/>
              <w:right w:w="58" w:type="dxa"/>
            </w:tcMar>
            <w:vAlign w:val="center"/>
          </w:tcPr>
          <w:p w14:paraId="541461AE"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Proportion of households in areas with population density &gt; 2000 per sq. mile</w:t>
            </w:r>
          </w:p>
        </w:tc>
        <w:tc>
          <w:tcPr>
            <w:tcW w:w="2613" w:type="dxa"/>
            <w:gridSpan w:val="2"/>
            <w:tcBorders>
              <w:left w:val="double" w:sz="4" w:space="0" w:color="auto"/>
              <w:right w:val="single" w:sz="12" w:space="0" w:color="auto"/>
            </w:tcBorders>
            <w:tcMar>
              <w:left w:w="58" w:type="dxa"/>
              <w:right w:w="58" w:type="dxa"/>
            </w:tcMar>
            <w:vAlign w:val="center"/>
          </w:tcPr>
          <w:p w14:paraId="2CF436F0" w14:textId="77777777" w:rsidR="00762947" w:rsidRPr="00762947" w:rsidRDefault="00762947" w:rsidP="00AD5DB0">
            <w:pPr>
              <w:ind w:firstLine="180"/>
              <w:jc w:val="center"/>
              <w:rPr>
                <w:rFonts w:ascii="Times New Roman" w:hAnsi="Times New Roman" w:cs="Times New Roman"/>
                <w:sz w:val="20"/>
                <w:szCs w:val="20"/>
              </w:rPr>
            </w:pPr>
            <w:r w:rsidRPr="00762947">
              <w:rPr>
                <w:rFonts w:ascii="Times New Roman" w:hAnsi="Times New Roman" w:cs="Times New Roman"/>
                <w:sz w:val="20"/>
                <w:szCs w:val="20"/>
              </w:rPr>
              <w:t>41.2%</w:t>
            </w:r>
          </w:p>
        </w:tc>
      </w:tr>
      <w:tr w:rsidR="00762947" w:rsidRPr="00762947" w14:paraId="588AADF4" w14:textId="77777777" w:rsidTr="00AD5DB0">
        <w:trPr>
          <w:trHeight w:val="57"/>
        </w:trPr>
        <w:tc>
          <w:tcPr>
            <w:tcW w:w="4248" w:type="dxa"/>
            <w:tcBorders>
              <w:left w:val="single" w:sz="12" w:space="0" w:color="auto"/>
              <w:right w:val="double" w:sz="4" w:space="0" w:color="auto"/>
            </w:tcBorders>
            <w:tcMar>
              <w:left w:w="58" w:type="dxa"/>
              <w:right w:w="58" w:type="dxa"/>
            </w:tcMar>
            <w:vAlign w:val="center"/>
          </w:tcPr>
          <w:p w14:paraId="1C974F47" w14:textId="77777777" w:rsidR="00762947" w:rsidRPr="00762947" w:rsidRDefault="00762947" w:rsidP="00AD5DB0">
            <w:pPr>
              <w:ind w:left="375" w:hanging="180"/>
              <w:rPr>
                <w:rFonts w:ascii="Times New Roman" w:hAnsi="Times New Roman" w:cs="Times New Roman"/>
                <w:sz w:val="20"/>
                <w:szCs w:val="20"/>
              </w:rPr>
            </w:pPr>
            <w:r w:rsidRPr="00762947">
              <w:rPr>
                <w:rFonts w:ascii="Times New Roman" w:hAnsi="Times New Roman" w:cs="Times New Roman"/>
                <w:sz w:val="20"/>
                <w:szCs w:val="20"/>
              </w:rPr>
              <w:t>Household with children</w:t>
            </w:r>
          </w:p>
        </w:tc>
        <w:tc>
          <w:tcPr>
            <w:tcW w:w="2693" w:type="dxa"/>
            <w:gridSpan w:val="2"/>
            <w:tcBorders>
              <w:left w:val="double" w:sz="4" w:space="0" w:color="auto"/>
              <w:right w:val="double" w:sz="4" w:space="0" w:color="auto"/>
            </w:tcBorders>
            <w:tcMar>
              <w:left w:w="58" w:type="dxa"/>
              <w:right w:w="58" w:type="dxa"/>
            </w:tcMar>
            <w:vAlign w:val="center"/>
          </w:tcPr>
          <w:p w14:paraId="73C918BA"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15%</w:t>
            </w:r>
          </w:p>
        </w:tc>
        <w:tc>
          <w:tcPr>
            <w:tcW w:w="4394" w:type="dxa"/>
            <w:gridSpan w:val="3"/>
            <w:tcBorders>
              <w:left w:val="double" w:sz="4" w:space="0" w:color="auto"/>
              <w:right w:val="double" w:sz="4" w:space="0" w:color="auto"/>
            </w:tcBorders>
            <w:tcMar>
              <w:left w:w="58" w:type="dxa"/>
              <w:right w:w="58" w:type="dxa"/>
            </w:tcMar>
            <w:vAlign w:val="center"/>
          </w:tcPr>
          <w:p w14:paraId="04C691C8"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Average employment density (person/sq. mile)</w:t>
            </w:r>
          </w:p>
        </w:tc>
        <w:tc>
          <w:tcPr>
            <w:tcW w:w="2613" w:type="dxa"/>
            <w:gridSpan w:val="2"/>
            <w:tcBorders>
              <w:left w:val="double" w:sz="4" w:space="0" w:color="auto"/>
              <w:right w:val="single" w:sz="12" w:space="0" w:color="auto"/>
            </w:tcBorders>
            <w:tcMar>
              <w:left w:w="58" w:type="dxa"/>
              <w:right w:w="58" w:type="dxa"/>
            </w:tcMar>
            <w:vAlign w:val="center"/>
          </w:tcPr>
          <w:p w14:paraId="50D36306" w14:textId="77777777" w:rsidR="00762947" w:rsidRPr="00762947" w:rsidRDefault="00762947" w:rsidP="00AD5DB0">
            <w:pPr>
              <w:ind w:firstLine="180"/>
              <w:jc w:val="center"/>
              <w:rPr>
                <w:rFonts w:ascii="Times New Roman" w:hAnsi="Times New Roman" w:cs="Times New Roman"/>
                <w:sz w:val="20"/>
                <w:szCs w:val="20"/>
              </w:rPr>
            </w:pPr>
            <w:r w:rsidRPr="00762947">
              <w:rPr>
                <w:rFonts w:ascii="Times New Roman" w:hAnsi="Times New Roman" w:cs="Times New Roman"/>
                <w:sz w:val="20"/>
                <w:szCs w:val="20"/>
              </w:rPr>
              <w:t>1048.4</w:t>
            </w:r>
          </w:p>
        </w:tc>
      </w:tr>
      <w:tr w:rsidR="00762947" w:rsidRPr="00762947" w14:paraId="263F711B" w14:textId="77777777" w:rsidTr="00AD5DB0">
        <w:trPr>
          <w:trHeight w:val="57"/>
        </w:trPr>
        <w:tc>
          <w:tcPr>
            <w:tcW w:w="4248" w:type="dxa"/>
            <w:tcBorders>
              <w:left w:val="single" w:sz="12" w:space="0" w:color="auto"/>
              <w:bottom w:val="single" w:sz="12" w:space="0" w:color="auto"/>
              <w:right w:val="double" w:sz="4" w:space="0" w:color="auto"/>
            </w:tcBorders>
            <w:tcMar>
              <w:left w:w="58" w:type="dxa"/>
              <w:right w:w="58" w:type="dxa"/>
            </w:tcMar>
            <w:vAlign w:val="center"/>
          </w:tcPr>
          <w:p w14:paraId="5B403C23" w14:textId="77777777" w:rsidR="00762947" w:rsidRPr="00762947" w:rsidRDefault="00762947" w:rsidP="00AD5DB0">
            <w:pPr>
              <w:ind w:left="375" w:hanging="180"/>
              <w:rPr>
                <w:rFonts w:ascii="Times New Roman" w:hAnsi="Times New Roman" w:cs="Times New Roman"/>
                <w:i/>
                <w:iCs/>
                <w:sz w:val="20"/>
                <w:szCs w:val="20"/>
              </w:rPr>
            </w:pPr>
            <w:r w:rsidRPr="00762947">
              <w:rPr>
                <w:rFonts w:ascii="Times New Roman" w:hAnsi="Times New Roman" w:cs="Times New Roman"/>
                <w:sz w:val="20"/>
                <w:szCs w:val="20"/>
              </w:rPr>
              <w:t>Average number of adults</w:t>
            </w:r>
          </w:p>
        </w:tc>
        <w:tc>
          <w:tcPr>
            <w:tcW w:w="2693" w:type="dxa"/>
            <w:gridSpan w:val="2"/>
            <w:tcBorders>
              <w:left w:val="double" w:sz="4" w:space="0" w:color="auto"/>
              <w:bottom w:val="single" w:sz="12" w:space="0" w:color="auto"/>
              <w:right w:val="double" w:sz="4" w:space="0" w:color="auto"/>
            </w:tcBorders>
            <w:tcMar>
              <w:left w:w="58" w:type="dxa"/>
              <w:right w:w="58" w:type="dxa"/>
            </w:tcMar>
            <w:vAlign w:val="center"/>
          </w:tcPr>
          <w:p w14:paraId="4A4FE407" w14:textId="77777777" w:rsidR="00762947" w:rsidRPr="00762947" w:rsidRDefault="00762947" w:rsidP="00AD5DB0">
            <w:pPr>
              <w:jc w:val="center"/>
              <w:rPr>
                <w:rFonts w:ascii="Times New Roman" w:hAnsi="Times New Roman" w:cs="Times New Roman"/>
                <w:sz w:val="20"/>
                <w:szCs w:val="20"/>
              </w:rPr>
            </w:pPr>
            <w:r w:rsidRPr="00762947">
              <w:rPr>
                <w:rFonts w:ascii="Times New Roman" w:hAnsi="Times New Roman" w:cs="Times New Roman"/>
                <w:sz w:val="20"/>
                <w:szCs w:val="20"/>
              </w:rPr>
              <w:t>1.9</w:t>
            </w:r>
          </w:p>
        </w:tc>
        <w:tc>
          <w:tcPr>
            <w:tcW w:w="4394" w:type="dxa"/>
            <w:gridSpan w:val="3"/>
            <w:tcBorders>
              <w:left w:val="double" w:sz="4" w:space="0" w:color="auto"/>
              <w:bottom w:val="single" w:sz="12" w:space="0" w:color="auto"/>
              <w:right w:val="double" w:sz="4" w:space="0" w:color="auto"/>
            </w:tcBorders>
            <w:tcMar>
              <w:left w:w="58" w:type="dxa"/>
              <w:right w:w="58" w:type="dxa"/>
            </w:tcMar>
            <w:vAlign w:val="center"/>
          </w:tcPr>
          <w:p w14:paraId="75EBCE29" w14:textId="77777777" w:rsidR="00762947" w:rsidRPr="00762947" w:rsidRDefault="00762947" w:rsidP="00AD5DB0">
            <w:pPr>
              <w:ind w:left="331" w:hanging="180"/>
              <w:rPr>
                <w:rFonts w:ascii="Times New Roman" w:hAnsi="Times New Roman" w:cs="Times New Roman"/>
                <w:sz w:val="20"/>
                <w:szCs w:val="20"/>
              </w:rPr>
            </w:pPr>
            <w:r w:rsidRPr="00762947">
              <w:rPr>
                <w:rFonts w:ascii="Times New Roman" w:hAnsi="Times New Roman" w:cs="Times New Roman"/>
                <w:sz w:val="20"/>
                <w:szCs w:val="20"/>
              </w:rPr>
              <w:t>Proportion of households in areas with employment density &gt; 500 per sq. mile</w:t>
            </w:r>
          </w:p>
        </w:tc>
        <w:tc>
          <w:tcPr>
            <w:tcW w:w="2613" w:type="dxa"/>
            <w:gridSpan w:val="2"/>
            <w:tcBorders>
              <w:left w:val="double" w:sz="4" w:space="0" w:color="auto"/>
              <w:bottom w:val="single" w:sz="12" w:space="0" w:color="auto"/>
              <w:right w:val="single" w:sz="12" w:space="0" w:color="auto"/>
            </w:tcBorders>
            <w:tcMar>
              <w:left w:w="58" w:type="dxa"/>
              <w:right w:w="58" w:type="dxa"/>
            </w:tcMar>
            <w:vAlign w:val="center"/>
          </w:tcPr>
          <w:p w14:paraId="7250F121" w14:textId="77777777" w:rsidR="00762947" w:rsidRPr="00762947" w:rsidRDefault="00762947" w:rsidP="00AD5DB0">
            <w:pPr>
              <w:ind w:firstLine="180"/>
              <w:jc w:val="center"/>
              <w:rPr>
                <w:rFonts w:ascii="Times New Roman" w:hAnsi="Times New Roman" w:cs="Times New Roman"/>
                <w:sz w:val="20"/>
                <w:szCs w:val="20"/>
              </w:rPr>
            </w:pPr>
            <w:r w:rsidRPr="00762947">
              <w:rPr>
                <w:rFonts w:ascii="Times New Roman" w:hAnsi="Times New Roman" w:cs="Times New Roman"/>
                <w:sz w:val="20"/>
                <w:szCs w:val="20"/>
              </w:rPr>
              <w:t>57.3%</w:t>
            </w:r>
          </w:p>
        </w:tc>
      </w:tr>
    </w:tbl>
    <w:p w14:paraId="60812482" w14:textId="64375B60" w:rsidR="00762947" w:rsidRDefault="00762947" w:rsidP="00303886">
      <w:pPr>
        <w:jc w:val="both"/>
        <w:rPr>
          <w:rFonts w:ascii="Times New Roman" w:hAnsi="Times New Roman" w:cs="Times New Roman"/>
          <w:sz w:val="24"/>
          <w:szCs w:val="24"/>
        </w:rPr>
        <w:sectPr w:rsidR="00762947" w:rsidSect="000F372D">
          <w:pgSz w:w="15840" w:h="12240" w:orient="landscape"/>
          <w:pgMar w:top="1440" w:right="1440" w:bottom="1440" w:left="1440" w:header="720" w:footer="720" w:gutter="0"/>
          <w:cols w:space="720"/>
          <w:titlePg/>
          <w:docGrid w:linePitch="360"/>
        </w:sectPr>
      </w:pPr>
    </w:p>
    <w:p w14:paraId="3EA46DC8" w14:textId="63917B1B" w:rsidR="004C70FA" w:rsidRPr="00DB73C4" w:rsidRDefault="00303886" w:rsidP="00DB73C4">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lastRenderedPageBreak/>
        <w:t xml:space="preserve">In the context of regional attributes, our sample </w:t>
      </w:r>
      <w:r w:rsidR="00483FC9">
        <w:rPr>
          <w:rFonts w:ascii="Times New Roman" w:hAnsi="Times New Roman" w:cs="Times New Roman"/>
          <w:sz w:val="24"/>
          <w:szCs w:val="24"/>
        </w:rPr>
        <w:t xml:space="preserve">households live in </w:t>
      </w:r>
      <w:r w:rsidRPr="00303886">
        <w:rPr>
          <w:rFonts w:ascii="Times New Roman" w:hAnsi="Times New Roman" w:cs="Times New Roman"/>
          <w:sz w:val="24"/>
          <w:szCs w:val="24"/>
        </w:rPr>
        <w:t>locations with an average population and employment densities of 2020.9 and 1048.4 persons per square mile, respectively. In contrast, the corresponding values for the state of California (averaged across all 58 counties) are 702.9 persons per sq. mile and 397.12 persons per sq. mile</w:t>
      </w:r>
      <w:r w:rsidR="00A523AA">
        <w:rPr>
          <w:rFonts w:ascii="Times New Roman" w:hAnsi="Times New Roman" w:cs="Times New Roman"/>
          <w:sz w:val="24"/>
          <w:szCs w:val="24"/>
        </w:rPr>
        <w:t xml:space="preserve"> </w:t>
      </w:r>
      <w:r w:rsidR="00A523AA" w:rsidRPr="00A523AA">
        <w:rPr>
          <w:rFonts w:ascii="Times New Roman" w:hAnsi="Times New Roman" w:cs="Times New Roman"/>
          <w:i/>
          <w:iCs/>
          <w:sz w:val="24"/>
          <w:szCs w:val="24"/>
        </w:rPr>
        <w:t>(24)</w:t>
      </w:r>
      <w:r w:rsidRPr="00303886">
        <w:rPr>
          <w:rFonts w:ascii="Times New Roman" w:hAnsi="Times New Roman" w:cs="Times New Roman"/>
          <w:sz w:val="24"/>
          <w:szCs w:val="24"/>
        </w:rPr>
        <w:t>, indicating that our sample over-represents the urban population.</w:t>
      </w:r>
      <w:bookmarkEnd w:id="1"/>
    </w:p>
    <w:p w14:paraId="276497F4" w14:textId="77777777" w:rsidR="004C70FA" w:rsidRDefault="004C70FA" w:rsidP="005B36A0">
      <w:pPr>
        <w:spacing w:after="0" w:line="240" w:lineRule="auto"/>
        <w:rPr>
          <w:rFonts w:ascii="Times New Roman" w:hAnsi="Times New Roman" w:cs="Times New Roman"/>
          <w:b/>
          <w:color w:val="000000" w:themeColor="text1"/>
        </w:rPr>
      </w:pPr>
    </w:p>
    <w:p w14:paraId="47BE2725" w14:textId="0A09B61E" w:rsidR="00303886" w:rsidRPr="00303886" w:rsidRDefault="00303886" w:rsidP="005B36A0">
      <w:pPr>
        <w:spacing w:after="0" w:line="240" w:lineRule="auto"/>
        <w:rPr>
          <w:rFonts w:ascii="Times New Roman" w:hAnsi="Times New Roman" w:cs="Times New Roman"/>
          <w:b/>
          <w:color w:val="000000" w:themeColor="text1"/>
          <w:sz w:val="24"/>
          <w:szCs w:val="24"/>
        </w:rPr>
      </w:pPr>
      <w:r w:rsidRPr="00303886">
        <w:rPr>
          <w:rFonts w:ascii="Times New Roman" w:hAnsi="Times New Roman" w:cs="Times New Roman"/>
          <w:b/>
          <w:color w:val="000000" w:themeColor="text1"/>
          <w:sz w:val="24"/>
          <w:szCs w:val="24"/>
        </w:rPr>
        <w:t>MODEL STRUCTURE</w:t>
      </w:r>
    </w:p>
    <w:p w14:paraId="5D973D5F" w14:textId="4C97F828" w:rsidR="00303886" w:rsidRPr="005B36A0" w:rsidRDefault="00303886" w:rsidP="005B36A0">
      <w:pPr>
        <w:spacing w:after="0" w:line="240" w:lineRule="auto"/>
        <w:jc w:val="both"/>
        <w:rPr>
          <w:rFonts w:ascii="Times New Roman" w:hAnsi="Times New Roman" w:cs="Times New Roman"/>
          <w:sz w:val="24"/>
          <w:szCs w:val="24"/>
        </w:rPr>
      </w:pPr>
      <w:bookmarkStart w:id="2" w:name="_Hlk141257385"/>
      <w:r w:rsidRPr="00303886">
        <w:rPr>
          <w:rFonts w:ascii="Times New Roman" w:hAnsi="Times New Roman" w:cs="Times New Roman"/>
          <w:sz w:val="24"/>
          <w:szCs w:val="24"/>
        </w:rPr>
        <w:t xml:space="preserve">This section presents the model formulation for each of the two </w:t>
      </w:r>
      <w:r w:rsidRPr="005B36A0">
        <w:rPr>
          <w:rFonts w:ascii="Times New Roman" w:hAnsi="Times New Roman" w:cs="Times New Roman"/>
          <w:sz w:val="24"/>
          <w:szCs w:val="24"/>
        </w:rPr>
        <w:t xml:space="preserve">stages and the linking between the two stages. </w:t>
      </w:r>
      <w:bookmarkEnd w:id="2"/>
    </w:p>
    <w:p w14:paraId="641E4159" w14:textId="77777777" w:rsidR="005B36A0" w:rsidRPr="005B36A0" w:rsidRDefault="005B36A0" w:rsidP="005B36A0">
      <w:pPr>
        <w:spacing w:after="0" w:line="240" w:lineRule="auto"/>
        <w:jc w:val="both"/>
        <w:rPr>
          <w:rFonts w:ascii="Times New Roman" w:hAnsi="Times New Roman" w:cs="Times New Roman"/>
          <w:color w:val="000000" w:themeColor="text1"/>
          <w:sz w:val="24"/>
          <w:szCs w:val="24"/>
        </w:rPr>
      </w:pPr>
    </w:p>
    <w:p w14:paraId="3C92E6BC" w14:textId="48C0D7DF" w:rsidR="00303886" w:rsidRPr="005B36A0" w:rsidRDefault="00303886" w:rsidP="005B36A0">
      <w:pPr>
        <w:spacing w:after="0" w:line="240" w:lineRule="auto"/>
        <w:jc w:val="both"/>
        <w:rPr>
          <w:rFonts w:ascii="Times New Roman" w:hAnsi="Times New Roman" w:cs="Times New Roman"/>
          <w:b/>
          <w:color w:val="000000" w:themeColor="text1"/>
          <w:sz w:val="24"/>
          <w:szCs w:val="24"/>
        </w:rPr>
      </w:pPr>
      <w:r w:rsidRPr="005B36A0">
        <w:rPr>
          <w:rFonts w:ascii="Times New Roman" w:hAnsi="Times New Roman" w:cs="Times New Roman"/>
          <w:b/>
          <w:color w:val="000000" w:themeColor="text1"/>
          <w:sz w:val="24"/>
          <w:szCs w:val="24"/>
        </w:rPr>
        <w:t xml:space="preserve">Fractional </w:t>
      </w:r>
      <w:r w:rsidR="005B36A0" w:rsidRPr="005B36A0">
        <w:rPr>
          <w:rFonts w:ascii="Times New Roman" w:hAnsi="Times New Roman" w:cs="Times New Roman"/>
          <w:b/>
          <w:color w:val="000000" w:themeColor="text1"/>
          <w:sz w:val="24"/>
          <w:szCs w:val="24"/>
        </w:rPr>
        <w:t>S</w:t>
      </w:r>
      <w:r w:rsidRPr="005B36A0">
        <w:rPr>
          <w:rFonts w:ascii="Times New Roman" w:hAnsi="Times New Roman" w:cs="Times New Roman"/>
          <w:b/>
          <w:color w:val="000000" w:themeColor="text1"/>
          <w:sz w:val="24"/>
          <w:szCs w:val="24"/>
        </w:rPr>
        <w:t xml:space="preserve">plit MDC </w:t>
      </w:r>
      <w:r w:rsidR="005B36A0" w:rsidRPr="005B36A0">
        <w:rPr>
          <w:rFonts w:ascii="Times New Roman" w:hAnsi="Times New Roman" w:cs="Times New Roman"/>
          <w:b/>
          <w:color w:val="000000" w:themeColor="text1"/>
          <w:sz w:val="24"/>
          <w:szCs w:val="24"/>
        </w:rPr>
        <w:t>M</w:t>
      </w:r>
      <w:r w:rsidRPr="005B36A0">
        <w:rPr>
          <w:rFonts w:ascii="Times New Roman" w:hAnsi="Times New Roman" w:cs="Times New Roman"/>
          <w:b/>
          <w:color w:val="000000" w:themeColor="text1"/>
          <w:sz w:val="24"/>
          <w:szCs w:val="24"/>
        </w:rPr>
        <w:t xml:space="preserve">odel for the </w:t>
      </w:r>
      <w:r w:rsidR="005B36A0" w:rsidRPr="005B36A0">
        <w:rPr>
          <w:rFonts w:ascii="Times New Roman" w:hAnsi="Times New Roman" w:cs="Times New Roman"/>
          <w:b/>
          <w:color w:val="000000" w:themeColor="text1"/>
          <w:sz w:val="24"/>
          <w:szCs w:val="24"/>
        </w:rPr>
        <w:t>S</w:t>
      </w:r>
      <w:r w:rsidRPr="005B36A0">
        <w:rPr>
          <w:rFonts w:ascii="Times New Roman" w:hAnsi="Times New Roman" w:cs="Times New Roman"/>
          <w:b/>
          <w:color w:val="000000" w:themeColor="text1"/>
          <w:sz w:val="24"/>
          <w:szCs w:val="24"/>
        </w:rPr>
        <w:t xml:space="preserve">econd </w:t>
      </w:r>
      <w:r w:rsidR="005B36A0" w:rsidRPr="005B36A0">
        <w:rPr>
          <w:rFonts w:ascii="Times New Roman" w:hAnsi="Times New Roman" w:cs="Times New Roman"/>
          <w:b/>
          <w:color w:val="000000" w:themeColor="text1"/>
          <w:sz w:val="24"/>
          <w:szCs w:val="24"/>
        </w:rPr>
        <w:t>S</w:t>
      </w:r>
      <w:r w:rsidRPr="005B36A0">
        <w:rPr>
          <w:rFonts w:ascii="Times New Roman" w:hAnsi="Times New Roman" w:cs="Times New Roman"/>
          <w:b/>
          <w:color w:val="000000" w:themeColor="text1"/>
          <w:sz w:val="24"/>
          <w:szCs w:val="24"/>
        </w:rPr>
        <w:t xml:space="preserve">tage </w:t>
      </w:r>
      <w:r w:rsidR="005B36A0" w:rsidRPr="005B36A0">
        <w:rPr>
          <w:rFonts w:ascii="Times New Roman" w:hAnsi="Times New Roman" w:cs="Times New Roman"/>
          <w:b/>
          <w:color w:val="000000" w:themeColor="text1"/>
          <w:sz w:val="24"/>
          <w:szCs w:val="24"/>
        </w:rPr>
        <w:t>A</w:t>
      </w:r>
      <w:r w:rsidRPr="005B36A0">
        <w:rPr>
          <w:rFonts w:ascii="Times New Roman" w:hAnsi="Times New Roman" w:cs="Times New Roman"/>
          <w:b/>
          <w:color w:val="000000" w:themeColor="text1"/>
          <w:sz w:val="24"/>
          <w:szCs w:val="24"/>
        </w:rPr>
        <w:t xml:space="preserve">llocation to </w:t>
      </w:r>
      <w:r w:rsidR="005B36A0" w:rsidRPr="005B36A0">
        <w:rPr>
          <w:rFonts w:ascii="Times New Roman" w:hAnsi="Times New Roman" w:cs="Times New Roman"/>
          <w:b/>
          <w:color w:val="000000" w:themeColor="text1"/>
          <w:sz w:val="24"/>
          <w:szCs w:val="24"/>
        </w:rPr>
        <w:t>E</w:t>
      </w:r>
      <w:r w:rsidRPr="005B36A0">
        <w:rPr>
          <w:rFonts w:ascii="Times New Roman" w:hAnsi="Times New Roman" w:cs="Times New Roman"/>
          <w:b/>
          <w:color w:val="000000" w:themeColor="text1"/>
          <w:sz w:val="24"/>
          <w:szCs w:val="24"/>
        </w:rPr>
        <w:t xml:space="preserve">lemental </w:t>
      </w:r>
      <w:r w:rsidR="005B36A0" w:rsidRPr="005B36A0">
        <w:rPr>
          <w:rFonts w:ascii="Times New Roman" w:hAnsi="Times New Roman" w:cs="Times New Roman"/>
          <w:b/>
          <w:color w:val="000000" w:themeColor="text1"/>
          <w:sz w:val="24"/>
          <w:szCs w:val="24"/>
        </w:rPr>
        <w:t>A</w:t>
      </w:r>
      <w:r w:rsidRPr="005B36A0">
        <w:rPr>
          <w:rFonts w:ascii="Times New Roman" w:hAnsi="Times New Roman" w:cs="Times New Roman"/>
          <w:b/>
          <w:color w:val="000000" w:themeColor="text1"/>
          <w:sz w:val="24"/>
          <w:szCs w:val="24"/>
        </w:rPr>
        <w:t xml:space="preserve">lternatives in the </w:t>
      </w:r>
      <w:r w:rsidR="005B36A0" w:rsidRPr="005B36A0">
        <w:rPr>
          <w:rFonts w:ascii="Times New Roman" w:hAnsi="Times New Roman" w:cs="Times New Roman"/>
          <w:b/>
          <w:color w:val="000000" w:themeColor="text1"/>
          <w:sz w:val="24"/>
          <w:szCs w:val="24"/>
        </w:rPr>
        <w:t>P</w:t>
      </w:r>
      <w:r w:rsidRPr="005B36A0">
        <w:rPr>
          <w:rFonts w:ascii="Times New Roman" w:hAnsi="Times New Roman" w:cs="Times New Roman"/>
          <w:b/>
          <w:color w:val="000000" w:themeColor="text1"/>
          <w:sz w:val="24"/>
          <w:szCs w:val="24"/>
        </w:rPr>
        <w:t xml:space="preserve">roduct </w:t>
      </w:r>
      <w:r w:rsidR="005B36A0" w:rsidRPr="005B36A0">
        <w:rPr>
          <w:rFonts w:ascii="Times New Roman" w:hAnsi="Times New Roman" w:cs="Times New Roman"/>
          <w:b/>
          <w:color w:val="000000" w:themeColor="text1"/>
          <w:sz w:val="24"/>
          <w:szCs w:val="24"/>
        </w:rPr>
        <w:t>G</w:t>
      </w:r>
      <w:r w:rsidRPr="005B36A0">
        <w:rPr>
          <w:rFonts w:ascii="Times New Roman" w:hAnsi="Times New Roman" w:cs="Times New Roman"/>
          <w:b/>
          <w:color w:val="000000" w:themeColor="text1"/>
          <w:sz w:val="24"/>
          <w:szCs w:val="24"/>
        </w:rPr>
        <w:t>roup</w:t>
      </w:r>
    </w:p>
    <w:p w14:paraId="3B0FEC07" w14:textId="1BCFD38C" w:rsidR="00303886" w:rsidRPr="005B36A0" w:rsidRDefault="00303886" w:rsidP="005B36A0">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Consider the following constrained utility maximi</w:t>
      </w:r>
      <w:r w:rsidR="000A4751" w:rsidRPr="005B36A0">
        <w:rPr>
          <w:rFonts w:ascii="Times New Roman" w:hAnsi="Times New Roman" w:cs="Times New Roman"/>
          <w:sz w:val="24"/>
          <w:szCs w:val="24"/>
        </w:rPr>
        <w:t>z</w:t>
      </w:r>
      <w:r w:rsidRPr="005B36A0">
        <w:rPr>
          <w:rFonts w:ascii="Times New Roman" w:hAnsi="Times New Roman" w:cs="Times New Roman"/>
          <w:sz w:val="24"/>
          <w:szCs w:val="24"/>
        </w:rPr>
        <w:t>ation problem for the second stage of the two-stage formulation for the allocation among the inside goods for a product group:</w:t>
      </w:r>
    </w:p>
    <w:p w14:paraId="6CDE9A5D" w14:textId="22CD17DE" w:rsidR="00303886" w:rsidRPr="005B36A0" w:rsidRDefault="00303886" w:rsidP="005B36A0">
      <w:pPr>
        <w:tabs>
          <w:tab w:val="right" w:pos="9360"/>
        </w:tabs>
        <w:spacing w:after="0" w:line="240" w:lineRule="auto"/>
        <w:jc w:val="both"/>
        <w:rPr>
          <w:rFonts w:ascii="Times New Roman" w:hAnsi="Times New Roman" w:cs="Times New Roman"/>
          <w:sz w:val="24"/>
          <w:szCs w:val="24"/>
        </w:rPr>
      </w:pPr>
      <w:r w:rsidRPr="005B36A0">
        <w:rPr>
          <w:rFonts w:ascii="Times New Roman" w:hAnsi="Times New Roman" w:cs="Times New Roman"/>
          <w:position w:val="-68"/>
          <w:sz w:val="24"/>
          <w:szCs w:val="24"/>
        </w:rPr>
        <w:object w:dxaOrig="2920" w:dyaOrig="1480" w14:anchorId="36FF0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85pt;height:1in" o:ole="">
            <v:imagedata r:id="rId16" o:title=""/>
          </v:shape>
          <o:OLEObject Type="Embed" ProgID="Equation.DSMT4" ShapeID="_x0000_i1025" DrawAspect="Content" ObjectID="_1752435728" r:id="rId17"/>
        </w:object>
      </w:r>
      <w:r w:rsidR="005B36A0">
        <w:rPr>
          <w:rFonts w:ascii="Times New Roman" w:hAnsi="Times New Roman" w:cs="Times New Roman"/>
          <w:sz w:val="24"/>
          <w:szCs w:val="24"/>
        </w:rPr>
        <w:tab/>
      </w:r>
      <w:r w:rsidRPr="005B36A0">
        <w:rPr>
          <w:rFonts w:ascii="Times New Roman" w:hAnsi="Times New Roman" w:cs="Times New Roman"/>
          <w:sz w:val="24"/>
          <w:szCs w:val="24"/>
        </w:rPr>
        <w:t>(1)</w:t>
      </w:r>
    </w:p>
    <w:p w14:paraId="70C48DAB" w14:textId="1729F5C8" w:rsidR="00303886" w:rsidRPr="005B36A0" w:rsidRDefault="00303886" w:rsidP="005B36A0">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 xml:space="preserve">Here, </w:t>
      </w:r>
      <w:r w:rsidR="00EE7392" w:rsidRPr="005B36A0">
        <w:rPr>
          <w:rFonts w:ascii="Times New Roman" w:hAnsi="Times New Roman" w:cs="Times New Roman"/>
          <w:position w:val="-10"/>
          <w:sz w:val="24"/>
          <w:szCs w:val="24"/>
        </w:rPr>
        <w:object w:dxaOrig="540" w:dyaOrig="360" w14:anchorId="704373F2">
          <v:shape id="_x0000_i1026" type="#_x0000_t75" style="width:27pt;height:18.45pt" o:ole="" o:preferrelative="f">
            <v:imagedata r:id="rId18" o:title=""/>
            <o:lock v:ext="edit" aspectratio="f"/>
          </v:shape>
          <o:OLEObject Type="Embed" ProgID="Equation.DSMT4" ShapeID="_x0000_i1026" DrawAspect="Content" ObjectID="_1752435729" r:id="rId19"/>
        </w:object>
      </w:r>
      <w:r w:rsidRPr="005B36A0">
        <w:rPr>
          <w:rFonts w:ascii="Times New Roman" w:hAnsi="Times New Roman" w:cs="Times New Roman"/>
          <w:sz w:val="24"/>
          <w:szCs w:val="24"/>
        </w:rPr>
        <w:t xml:space="preserve"> is an increasing, continuously differentiable, and additively separable utility function, with </w:t>
      </w:r>
      <w:r w:rsidR="00EE7392" w:rsidRPr="005B36A0">
        <w:rPr>
          <w:rFonts w:ascii="Times New Roman" w:hAnsi="Times New Roman" w:cs="Times New Roman"/>
          <w:position w:val="-12"/>
          <w:sz w:val="24"/>
          <w:szCs w:val="24"/>
        </w:rPr>
        <w:object w:dxaOrig="279" w:dyaOrig="400" w14:anchorId="66C3FC21">
          <v:shape id="_x0000_i1027" type="#_x0000_t75" style="width:13.7pt;height:20.55pt" o:ole="" o:preferrelative="f">
            <v:imagedata r:id="rId20" o:title=""/>
            <o:lock v:ext="edit" aspectratio="f"/>
          </v:shape>
          <o:OLEObject Type="Embed" ProgID="Equation.DSMT4" ShapeID="_x0000_i1027" DrawAspect="Content" ObjectID="_1752435730" r:id="rId21"/>
        </w:object>
      </w:r>
      <w:r w:rsidRPr="005B36A0">
        <w:rPr>
          <w:rFonts w:ascii="Times New Roman" w:hAnsi="Times New Roman" w:cs="Times New Roman"/>
          <w:sz w:val="24"/>
          <w:szCs w:val="24"/>
        </w:rPr>
        <w:t xml:space="preserve"> being the fraction of the product group level budget allocated to an inside alternative </w:t>
      </w:r>
      <w:r w:rsidRPr="005B36A0">
        <w:rPr>
          <w:rFonts w:ascii="Times New Roman" w:hAnsi="Times New Roman" w:cs="Times New Roman"/>
          <w:i/>
          <w:iCs/>
          <w:sz w:val="24"/>
          <w:szCs w:val="24"/>
        </w:rPr>
        <w:t>k</w:t>
      </w:r>
      <w:r w:rsidRPr="005B36A0">
        <w:rPr>
          <w:rFonts w:ascii="Times New Roman" w:hAnsi="Times New Roman" w:cs="Times New Roman"/>
          <w:sz w:val="24"/>
          <w:szCs w:val="24"/>
        </w:rPr>
        <w:t xml:space="preserve">. In this utility function, </w:t>
      </w:r>
      <w:r w:rsidR="00EE7392" w:rsidRPr="005B36A0">
        <w:rPr>
          <w:rFonts w:ascii="Times New Roman" w:hAnsi="Times New Roman" w:cs="Times New Roman"/>
          <w:position w:val="-12"/>
          <w:sz w:val="24"/>
          <w:szCs w:val="24"/>
        </w:rPr>
        <w:object w:dxaOrig="279" w:dyaOrig="360" w14:anchorId="07AC6984">
          <v:shape id="_x0000_i1028" type="#_x0000_t75" style="width:13.7pt;height:18.45pt" o:ole="" o:preferrelative="f">
            <v:imagedata r:id="rId22" o:title=""/>
            <o:lock v:ext="edit" aspectratio="f"/>
          </v:shape>
          <o:OLEObject Type="Embed" ProgID="Equation.DSMT4" ShapeID="_x0000_i1028" DrawAspect="Content" ObjectID="_1752435731" r:id="rId23"/>
        </w:object>
      </w:r>
      <w:r w:rsidRPr="005B36A0">
        <w:rPr>
          <w:rFonts w:ascii="Times New Roman" w:hAnsi="Times New Roman" w:cs="Times New Roman"/>
          <w:sz w:val="24"/>
          <w:szCs w:val="24"/>
        </w:rPr>
        <w:t xml:space="preserve"> are the satiation parameters and </w:t>
      </w:r>
      <w:r w:rsidR="00EE7392" w:rsidRPr="005B36A0">
        <w:rPr>
          <w:rFonts w:ascii="Times New Roman" w:hAnsi="Times New Roman" w:cs="Times New Roman"/>
          <w:position w:val="-12"/>
          <w:sz w:val="24"/>
          <w:szCs w:val="24"/>
        </w:rPr>
        <w:object w:dxaOrig="320" w:dyaOrig="360" w14:anchorId="7C58932A">
          <v:shape id="_x0000_i1029" type="#_x0000_t75" style="width:15.45pt;height:18.45pt" o:ole="" o:preferrelative="f">
            <v:imagedata r:id="rId24" o:title=""/>
            <o:lock v:ext="edit" aspectratio="f"/>
          </v:shape>
          <o:OLEObject Type="Embed" ProgID="Equation.DSMT4" ShapeID="_x0000_i1029" DrawAspect="Content" ObjectID="_1752435732" r:id="rId25"/>
        </w:object>
      </w:r>
      <w:r w:rsidRPr="005B36A0">
        <w:rPr>
          <w:rFonts w:ascii="Times New Roman" w:hAnsi="Times New Roman" w:cs="Times New Roman"/>
          <w:sz w:val="24"/>
          <w:szCs w:val="24"/>
        </w:rPr>
        <w:t xml:space="preserve"> are the baseline preference parameters. </w:t>
      </w:r>
      <w:r w:rsidR="00EE7392" w:rsidRPr="005B36A0">
        <w:rPr>
          <w:rFonts w:ascii="Times New Roman" w:hAnsi="Times New Roman" w:cs="Times New Roman"/>
          <w:position w:val="-12"/>
          <w:sz w:val="24"/>
          <w:szCs w:val="24"/>
        </w:rPr>
        <w:object w:dxaOrig="279" w:dyaOrig="360" w14:anchorId="4888C215">
          <v:shape id="_x0000_i1030" type="#_x0000_t75" style="width:13.7pt;height:18.45pt" o:ole="" o:preferrelative="f">
            <v:imagedata r:id="rId22" o:title=""/>
            <o:lock v:ext="edit" aspectratio="f"/>
          </v:shape>
          <o:OLEObject Type="Embed" ProgID="Equation.DSMT4" ShapeID="_x0000_i1030" DrawAspect="Content" ObjectID="_1752435733" r:id="rId26"/>
        </w:object>
      </w:r>
      <w:r w:rsidRPr="005B36A0">
        <w:rPr>
          <w:rFonts w:ascii="Times New Roman" w:hAnsi="Times New Roman" w:cs="Times New Roman"/>
          <w:sz w:val="24"/>
          <w:szCs w:val="24"/>
        </w:rPr>
        <w:t xml:space="preserve"> are specified as </w:t>
      </w:r>
      <w:r w:rsidR="00EE7392" w:rsidRPr="005B36A0">
        <w:rPr>
          <w:rFonts w:ascii="Times New Roman" w:hAnsi="Times New Roman" w:cs="Times New Roman"/>
          <w:position w:val="-14"/>
          <w:sz w:val="24"/>
          <w:szCs w:val="24"/>
        </w:rPr>
        <w:object w:dxaOrig="1200" w:dyaOrig="400" w14:anchorId="7F3E82AA">
          <v:shape id="_x0000_i1031" type="#_x0000_t75" style="width:59.55pt;height:20.55pt" o:ole="" o:preferrelative="f">
            <v:imagedata r:id="rId27" o:title=""/>
            <o:lock v:ext="edit" aspectratio="f"/>
          </v:shape>
          <o:OLEObject Type="Embed" ProgID="Equation.DSMT4" ShapeID="_x0000_i1031" DrawAspect="Content" ObjectID="_1752435734" r:id="rId28"/>
        </w:object>
      </w:r>
      <w:r w:rsidRPr="005B36A0">
        <w:rPr>
          <w:rFonts w:ascii="Times New Roman" w:hAnsi="Times New Roman" w:cs="Times New Roman"/>
          <w:sz w:val="24"/>
          <w:szCs w:val="24"/>
        </w:rPr>
        <w:t xml:space="preserve"> to accommodate heterogeneity in satiation due to alternative attributes and household characteristics in the vector </w:t>
      </w:r>
      <w:r w:rsidR="00EE7392" w:rsidRPr="005B36A0">
        <w:rPr>
          <w:rFonts w:ascii="Times New Roman" w:hAnsi="Times New Roman" w:cs="Times New Roman"/>
          <w:position w:val="-12"/>
          <w:sz w:val="24"/>
          <w:szCs w:val="24"/>
        </w:rPr>
        <w:object w:dxaOrig="340" w:dyaOrig="360" w14:anchorId="1C27B9CF">
          <v:shape id="_x0000_i1032" type="#_x0000_t75" style="width:17.15pt;height:18.45pt" o:ole="" o:preferrelative="f">
            <v:imagedata r:id="rId29" o:title=""/>
            <o:lock v:ext="edit" aspectratio="f"/>
          </v:shape>
          <o:OLEObject Type="Embed" ProgID="Equation.DSMT4" ShapeID="_x0000_i1032" DrawAspect="Content" ObjectID="_1752435735" r:id="rId30"/>
        </w:object>
      </w:r>
      <w:r w:rsidRPr="005B36A0">
        <w:rPr>
          <w:rFonts w:ascii="Times New Roman" w:hAnsi="Times New Roman" w:cs="Times New Roman"/>
          <w:sz w:val="24"/>
          <w:szCs w:val="24"/>
        </w:rPr>
        <w:t>. The baseline preference is expressed as:</w:t>
      </w:r>
    </w:p>
    <w:p w14:paraId="3F74050D" w14:textId="2D308A6B" w:rsidR="00303886" w:rsidRPr="005B36A0" w:rsidRDefault="00303886" w:rsidP="005B36A0">
      <w:pPr>
        <w:tabs>
          <w:tab w:val="right" w:pos="9360"/>
        </w:tabs>
        <w:spacing w:after="0" w:line="240" w:lineRule="auto"/>
        <w:jc w:val="both"/>
        <w:rPr>
          <w:rFonts w:ascii="Times New Roman" w:hAnsi="Times New Roman" w:cs="Times New Roman"/>
          <w:sz w:val="24"/>
          <w:szCs w:val="24"/>
        </w:rPr>
      </w:pPr>
      <w:r w:rsidRPr="005B36A0">
        <w:rPr>
          <w:rFonts w:ascii="Times New Roman" w:hAnsi="Times New Roman" w:cs="Times New Roman"/>
          <w:position w:val="-28"/>
          <w:sz w:val="24"/>
          <w:szCs w:val="24"/>
        </w:rPr>
        <w:object w:dxaOrig="2920" w:dyaOrig="680" w14:anchorId="16979AFB">
          <v:shape id="_x0000_i1033" type="#_x0000_t75" style="width:147.85pt;height:34.7pt" o:ole="" o:preferrelative="f">
            <v:imagedata r:id="rId31" o:title=""/>
            <o:lock v:ext="edit" aspectratio="f"/>
          </v:shape>
          <o:OLEObject Type="Embed" ProgID="Equation.DSMT4" ShapeID="_x0000_i1033" DrawAspect="Content" ObjectID="_1752435736" r:id="rId32"/>
        </w:object>
      </w:r>
      <w:r w:rsidR="005B36A0">
        <w:rPr>
          <w:rFonts w:ascii="Times New Roman" w:hAnsi="Times New Roman" w:cs="Times New Roman"/>
          <w:sz w:val="24"/>
          <w:szCs w:val="24"/>
        </w:rPr>
        <w:tab/>
      </w:r>
      <w:r w:rsidRPr="005B36A0">
        <w:rPr>
          <w:rFonts w:ascii="Times New Roman" w:hAnsi="Times New Roman" w:cs="Times New Roman"/>
          <w:sz w:val="24"/>
          <w:szCs w:val="24"/>
        </w:rPr>
        <w:t>(2)</w:t>
      </w:r>
    </w:p>
    <w:p w14:paraId="60F2983D" w14:textId="10D20359" w:rsidR="00303886" w:rsidRPr="005B36A0" w:rsidRDefault="00303886"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 xml:space="preserve">where </w:t>
      </w:r>
      <w:r w:rsidR="00EE7392" w:rsidRPr="005B36A0">
        <w:rPr>
          <w:rFonts w:ascii="Times New Roman" w:hAnsi="Times New Roman" w:cs="Times New Roman"/>
          <w:position w:val="-12"/>
          <w:sz w:val="24"/>
          <w:szCs w:val="24"/>
        </w:rPr>
        <w:object w:dxaOrig="279" w:dyaOrig="360" w14:anchorId="51214342">
          <v:shape id="_x0000_i1034" type="#_x0000_t75" style="width:13.7pt;height:18.45pt;mso-position-vertical:absolute" o:ole="" o:preferrelative="f">
            <v:imagedata r:id="rId33" o:title=""/>
            <o:lock v:ext="edit" aspectratio="f"/>
          </v:shape>
          <o:OLEObject Type="Embed" ProgID="Equation.DSMT4" ShapeID="_x0000_i1034" DrawAspect="Content" ObjectID="_1752435737" r:id="rId34"/>
        </w:object>
      </w:r>
      <w:r w:rsidRPr="005B36A0">
        <w:rPr>
          <w:rFonts w:ascii="Times New Roman" w:hAnsi="Times New Roman" w:cs="Times New Roman"/>
          <w:sz w:val="24"/>
          <w:szCs w:val="24"/>
        </w:rPr>
        <w:t xml:space="preserve"> is a set of attributes that characteri</w:t>
      </w:r>
      <w:r w:rsidR="000A4751" w:rsidRPr="005B36A0">
        <w:rPr>
          <w:rFonts w:ascii="Times New Roman" w:hAnsi="Times New Roman" w:cs="Times New Roman"/>
          <w:sz w:val="24"/>
          <w:szCs w:val="24"/>
        </w:rPr>
        <w:t>z</w:t>
      </w:r>
      <w:r w:rsidRPr="005B36A0">
        <w:rPr>
          <w:rFonts w:ascii="Times New Roman" w:hAnsi="Times New Roman" w:cs="Times New Roman"/>
          <w:sz w:val="24"/>
          <w:szCs w:val="24"/>
        </w:rPr>
        <w:t xml:space="preserve">e alternative </w:t>
      </w:r>
      <w:r w:rsidRPr="005B36A0">
        <w:rPr>
          <w:rFonts w:ascii="Times New Roman" w:hAnsi="Times New Roman" w:cs="Times New Roman"/>
          <w:i/>
          <w:sz w:val="24"/>
          <w:szCs w:val="24"/>
        </w:rPr>
        <w:t>k</w:t>
      </w:r>
      <w:r w:rsidRPr="005B36A0">
        <w:rPr>
          <w:rFonts w:ascii="Times New Roman" w:hAnsi="Times New Roman" w:cs="Times New Roman"/>
          <w:sz w:val="24"/>
          <w:szCs w:val="24"/>
        </w:rPr>
        <w:t xml:space="preserve"> and the decision maker (including a constant), </w:t>
      </w:r>
      <w:r w:rsidRPr="005B36A0">
        <w:rPr>
          <w:rFonts w:ascii="Times New Roman" w:hAnsi="Times New Roman" w:cs="Times New Roman"/>
          <w:position w:val="-12"/>
          <w:sz w:val="24"/>
          <w:szCs w:val="24"/>
        </w:rPr>
        <w:object w:dxaOrig="300" w:dyaOrig="360" w14:anchorId="041E1E09">
          <v:shape id="_x0000_i1035" type="#_x0000_t75" style="width:15pt;height:17.15pt" o:ole="">
            <v:imagedata r:id="rId35" o:title=""/>
          </v:shape>
          <o:OLEObject Type="Embed" ProgID="Equation.DSMT4" ShapeID="_x0000_i1035" DrawAspect="Content" ObjectID="_1752435738" r:id="rId36"/>
        </w:object>
      </w:r>
      <w:r w:rsidRPr="005B36A0">
        <w:rPr>
          <w:rFonts w:ascii="Times New Roman" w:hAnsi="Times New Roman" w:cs="Times New Roman"/>
          <w:sz w:val="24"/>
          <w:szCs w:val="24"/>
        </w:rPr>
        <w:t xml:space="preserve"> is the unit price for good </w:t>
      </w:r>
      <w:r w:rsidRPr="005B36A0">
        <w:rPr>
          <w:rFonts w:ascii="Times New Roman" w:hAnsi="Times New Roman" w:cs="Times New Roman"/>
          <w:i/>
          <w:sz w:val="24"/>
          <w:szCs w:val="24"/>
        </w:rPr>
        <w:t>k</w:t>
      </w:r>
      <w:r w:rsidRPr="005B36A0">
        <w:rPr>
          <w:rFonts w:ascii="Times New Roman" w:hAnsi="Times New Roman" w:cs="Times New Roman"/>
          <w:sz w:val="24"/>
          <w:szCs w:val="24"/>
        </w:rPr>
        <w:t xml:space="preserve">, the inverse of </w:t>
      </w:r>
      <w:r w:rsidR="00EE7392" w:rsidRPr="005B36A0">
        <w:rPr>
          <w:rFonts w:ascii="Times New Roman" w:hAnsi="Times New Roman" w:cs="Times New Roman"/>
          <w:position w:val="-10"/>
          <w:sz w:val="24"/>
          <w:szCs w:val="24"/>
        </w:rPr>
        <w:object w:dxaOrig="940" w:dyaOrig="320" w14:anchorId="1272F7B2">
          <v:shape id="_x0000_i1036" type="#_x0000_t75" style="width:46.3pt;height:15.45pt" o:ole="" o:preferrelative="f">
            <v:imagedata r:id="rId37" o:title=""/>
            <o:lock v:ext="edit" aspectratio="f"/>
          </v:shape>
          <o:OLEObject Type="Embed" ProgID="Equation.DSMT4" ShapeID="_x0000_i1036" DrawAspect="Content" ObjectID="_1752435739" r:id="rId38"/>
        </w:object>
      </w:r>
      <w:r w:rsidRPr="005B36A0">
        <w:rPr>
          <w:rFonts w:ascii="Times New Roman" w:hAnsi="Times New Roman" w:cs="Times New Roman"/>
          <w:sz w:val="24"/>
          <w:szCs w:val="24"/>
        </w:rPr>
        <w:t xml:space="preserve"> is the coefficient on </w:t>
      </w:r>
      <w:r w:rsidR="00EE7392" w:rsidRPr="005B36A0">
        <w:rPr>
          <w:rFonts w:ascii="Times New Roman" w:hAnsi="Times New Roman" w:cs="Times New Roman"/>
          <w:position w:val="-12"/>
          <w:sz w:val="24"/>
          <w:szCs w:val="24"/>
        </w:rPr>
        <w:object w:dxaOrig="520" w:dyaOrig="360" w14:anchorId="5F951285">
          <v:shape id="_x0000_i1037" type="#_x0000_t75" style="width:26.55pt;height:18.45pt" o:ole="" o:preferrelative="f">
            <v:imagedata r:id="rId39" o:title=""/>
            <o:lock v:ext="edit" aspectratio="f"/>
          </v:shape>
          <o:OLEObject Type="Embed" ProgID="Equation.DSMT4" ShapeID="_x0000_i1037" DrawAspect="Content" ObjectID="_1752435740" r:id="rId40"/>
        </w:object>
      </w:r>
      <w:r w:rsidRPr="005B36A0">
        <w:rPr>
          <w:rFonts w:ascii="Times New Roman" w:hAnsi="Times New Roman" w:cs="Times New Roman"/>
          <w:sz w:val="24"/>
          <w:szCs w:val="24"/>
        </w:rPr>
        <w:t xml:space="preserve">(called the price coefficient from now on), and </w:t>
      </w:r>
      <w:r w:rsidR="00EE7392" w:rsidRPr="005B36A0">
        <w:rPr>
          <w:rFonts w:ascii="Times New Roman" w:hAnsi="Times New Roman" w:cs="Times New Roman"/>
          <w:position w:val="-12"/>
          <w:sz w:val="24"/>
          <w:szCs w:val="24"/>
        </w:rPr>
        <w:object w:dxaOrig="260" w:dyaOrig="360" w14:anchorId="74F4749F">
          <v:shape id="_x0000_i1038" type="#_x0000_t75" style="width:12.85pt;height:18.45pt" o:ole="" o:preferrelative="f">
            <v:imagedata r:id="rId41" o:title=""/>
            <o:lock v:ext="edit" aspectratio="f"/>
          </v:shape>
          <o:OLEObject Type="Embed" ProgID="Equation.DSMT4" ShapeID="_x0000_i1038" DrawAspect="Content" ObjectID="_1752435741" r:id="rId42"/>
        </w:object>
      </w:r>
      <w:r w:rsidRPr="005B36A0">
        <w:rPr>
          <w:rFonts w:ascii="Times New Roman" w:hAnsi="Times New Roman" w:cs="Times New Roman"/>
          <w:sz w:val="24"/>
          <w:szCs w:val="24"/>
        </w:rPr>
        <w:t xml:space="preserve"> is an error term to recognize the unobserved factors influencing the baseline preference. </w:t>
      </w:r>
      <w:r w:rsidR="00EE7392" w:rsidRPr="005B36A0">
        <w:rPr>
          <w:rFonts w:ascii="Times New Roman" w:hAnsi="Times New Roman" w:cs="Times New Roman"/>
          <w:position w:val="-10"/>
          <w:sz w:val="24"/>
          <w:szCs w:val="24"/>
        </w:rPr>
        <w:object w:dxaOrig="200" w:dyaOrig="320" w14:anchorId="612ADEB6">
          <v:shape id="_x0000_i1039" type="#_x0000_t75" style="width:9.45pt;height:15.45pt" o:ole="" o:preferrelative="f">
            <v:imagedata r:id="rId43" o:title=""/>
            <o:lock v:ext="edit" aspectratio="f"/>
          </v:shape>
          <o:OLEObject Type="Embed" ProgID="Equation.DSMT4" ShapeID="_x0000_i1039" DrawAspect="Content" ObjectID="_1752435742" r:id="rId44"/>
        </w:object>
      </w:r>
      <w:r w:rsidRPr="005B36A0">
        <w:rPr>
          <w:rFonts w:ascii="Times New Roman" w:hAnsi="Times New Roman" w:cs="Times New Roman"/>
          <w:sz w:val="24"/>
          <w:szCs w:val="24"/>
        </w:rPr>
        <w:t xml:space="preserve"> is the vector of parameters corresponding to the set of attributes </w:t>
      </w:r>
      <w:r w:rsidR="00EE7392" w:rsidRPr="005B36A0">
        <w:rPr>
          <w:rFonts w:ascii="Times New Roman" w:hAnsi="Times New Roman" w:cs="Times New Roman"/>
          <w:position w:val="-12"/>
          <w:sz w:val="24"/>
          <w:szCs w:val="24"/>
        </w:rPr>
        <w:object w:dxaOrig="279" w:dyaOrig="360" w14:anchorId="44AEDC23">
          <v:shape id="_x0000_i1040" type="#_x0000_t75" style="width:13.7pt;height:18.45pt" o:ole="" o:preferrelative="f">
            <v:imagedata r:id="rId33" o:title=""/>
            <o:lock v:ext="edit" aspectratio="f"/>
          </v:shape>
          <o:OLEObject Type="Embed" ProgID="Equation.DSMT4" ShapeID="_x0000_i1040" DrawAspect="Content" ObjectID="_1752435743" r:id="rId45"/>
        </w:object>
      </w:r>
      <w:r w:rsidRPr="005B36A0">
        <w:rPr>
          <w:rFonts w:ascii="Times New Roman" w:hAnsi="Times New Roman" w:cs="Times New Roman"/>
          <w:sz w:val="24"/>
          <w:szCs w:val="24"/>
        </w:rPr>
        <w:t xml:space="preserve">. The identification considerations allow estimating only </w:t>
      </w:r>
      <w:r w:rsidRPr="005B36A0">
        <w:rPr>
          <w:rFonts w:ascii="Times New Roman" w:hAnsi="Times New Roman" w:cs="Times New Roman"/>
          <w:i/>
          <w:iCs/>
          <w:sz w:val="24"/>
          <w:szCs w:val="24"/>
        </w:rPr>
        <w:t>K</w:t>
      </w:r>
      <w:r w:rsidR="00EE7392">
        <w:rPr>
          <w:rFonts w:ascii="Times New Roman" w:hAnsi="Times New Roman" w:cs="Times New Roman"/>
          <w:iCs/>
          <w:sz w:val="24"/>
          <w:szCs w:val="24"/>
        </w:rPr>
        <w:t>–</w:t>
      </w:r>
      <w:r w:rsidRPr="00EE7392">
        <w:rPr>
          <w:rFonts w:ascii="Times New Roman" w:hAnsi="Times New Roman" w:cs="Times New Roman"/>
          <w:iCs/>
          <w:sz w:val="24"/>
          <w:szCs w:val="24"/>
        </w:rPr>
        <w:t>1</w:t>
      </w:r>
      <w:r w:rsidRPr="005B36A0">
        <w:rPr>
          <w:rFonts w:ascii="Times New Roman" w:hAnsi="Times New Roman" w:cs="Times New Roman"/>
          <w:sz w:val="24"/>
          <w:szCs w:val="24"/>
        </w:rPr>
        <w:t xml:space="preserve"> alternative specific coefficients of the variables in </w:t>
      </w:r>
      <w:r w:rsidR="005B36A0" w:rsidRPr="005B36A0">
        <w:rPr>
          <w:rFonts w:ascii="Times New Roman" w:hAnsi="Times New Roman" w:cs="Times New Roman"/>
          <w:position w:val="-12"/>
          <w:sz w:val="24"/>
          <w:szCs w:val="24"/>
        </w:rPr>
        <w:object w:dxaOrig="279" w:dyaOrig="360" w14:anchorId="033FF366">
          <v:shape id="_x0000_i1041" type="#_x0000_t75" style="width:13.7pt;height:18.45pt" o:ole="" o:preferrelative="f">
            <v:imagedata r:id="rId33" o:title=""/>
            <o:lock v:ext="edit" aspectratio="f"/>
          </v:shape>
          <o:OLEObject Type="Embed" ProgID="Equation.DSMT4" ShapeID="_x0000_i1041" DrawAspect="Content" ObjectID="_1752435744" r:id="rId46"/>
        </w:object>
      </w:r>
      <w:r w:rsidRPr="005B36A0">
        <w:rPr>
          <w:rFonts w:ascii="Times New Roman" w:hAnsi="Times New Roman" w:cs="Times New Roman"/>
          <w:sz w:val="24"/>
          <w:szCs w:val="24"/>
        </w:rPr>
        <w:t xml:space="preserve"> that do not vary across alternatives. Note that in the above specification, </w:t>
      </w:r>
      <w:r w:rsidR="00483FC9" w:rsidRPr="005B36A0">
        <w:rPr>
          <w:rFonts w:ascii="Times New Roman" w:hAnsi="Times New Roman" w:cs="Times New Roman"/>
          <w:sz w:val="24"/>
          <w:szCs w:val="24"/>
        </w:rPr>
        <w:t xml:space="preserve">Bhat </w:t>
      </w:r>
      <w:r w:rsidR="003A54E6" w:rsidRPr="005B36A0">
        <w:rPr>
          <w:rFonts w:ascii="Times New Roman" w:hAnsi="Times New Roman" w:cs="Times New Roman"/>
          <w:i/>
          <w:iCs/>
          <w:sz w:val="24"/>
          <w:szCs w:val="24"/>
        </w:rPr>
        <w:t>(15)</w:t>
      </w:r>
      <w:r w:rsidRPr="005B36A0">
        <w:rPr>
          <w:rFonts w:ascii="Times New Roman" w:hAnsi="Times New Roman" w:cs="Times New Roman"/>
          <w:sz w:val="24"/>
          <w:szCs w:val="24"/>
        </w:rPr>
        <w:t xml:space="preserve"> assumed the </w:t>
      </w:r>
      <w:r w:rsidRPr="005B36A0">
        <w:rPr>
          <w:rFonts w:ascii="Times New Roman" w:hAnsi="Times New Roman" w:cs="Times New Roman"/>
          <w:position w:val="-12"/>
          <w:sz w:val="24"/>
          <w:szCs w:val="24"/>
        </w:rPr>
        <w:object w:dxaOrig="260" w:dyaOrig="360" w14:anchorId="47694AE0">
          <v:shape id="_x0000_i1042" type="#_x0000_t75" style="width:15pt;height:17.15pt" o:ole="">
            <v:imagedata r:id="rId41" o:title=""/>
          </v:shape>
          <o:OLEObject Type="Embed" ProgID="Equation.DSMT4" ShapeID="_x0000_i1042" DrawAspect="Content" ObjectID="_1752435745" r:id="rId47"/>
        </w:object>
      </w:r>
      <w:r w:rsidRPr="005B36A0">
        <w:rPr>
          <w:rFonts w:ascii="Times New Roman" w:hAnsi="Times New Roman" w:cs="Times New Roman"/>
          <w:sz w:val="24"/>
          <w:szCs w:val="24"/>
        </w:rPr>
        <w:t xml:space="preserve"> terms </w:t>
      </w:r>
      <w:r w:rsidR="000A4751" w:rsidRPr="005B36A0">
        <w:rPr>
          <w:rFonts w:ascii="Times New Roman" w:hAnsi="Times New Roman" w:cs="Times New Roman"/>
          <w:sz w:val="24"/>
          <w:szCs w:val="24"/>
        </w:rPr>
        <w:t xml:space="preserve">to </w:t>
      </w:r>
      <w:r w:rsidRPr="005B36A0">
        <w:rPr>
          <w:rFonts w:ascii="Times New Roman" w:hAnsi="Times New Roman" w:cs="Times New Roman"/>
          <w:sz w:val="24"/>
          <w:szCs w:val="24"/>
        </w:rPr>
        <w:t xml:space="preserve">be of type I extreme value distribution based on minimum (i.e., reverse Gumbel distribution). He also assumed the distributions to be of unit scale. However, we relax that assumption and show that one can freely estimate the scale parameter. To do so, we denote the scale parameter by </w:t>
      </w:r>
      <w:r w:rsidRPr="005B36A0">
        <w:rPr>
          <w:rFonts w:ascii="Times New Roman" w:hAnsi="Times New Roman" w:cs="Times New Roman"/>
          <w:position w:val="-4"/>
          <w:sz w:val="24"/>
          <w:szCs w:val="24"/>
        </w:rPr>
        <w:object w:dxaOrig="240" w:dyaOrig="200" w14:anchorId="2D6A3D68">
          <v:shape id="_x0000_i1043" type="#_x0000_t75" style="width:12.85pt;height:11.55pt" o:ole="">
            <v:imagedata r:id="rId48" o:title=""/>
          </v:shape>
          <o:OLEObject Type="Embed" ProgID="Equation.DSMT4" ShapeID="_x0000_i1043" DrawAspect="Content" ObjectID="_1752435746" r:id="rId49"/>
        </w:object>
      </w:r>
      <w:r w:rsidRPr="005B36A0">
        <w:rPr>
          <w:rFonts w:ascii="Times New Roman" w:hAnsi="Times New Roman" w:cs="Times New Roman"/>
          <w:sz w:val="24"/>
          <w:szCs w:val="24"/>
        </w:rPr>
        <w:t xml:space="preserve">. Note that this scale of the error terms is different from that of </w:t>
      </w:r>
      <w:r w:rsidR="00EE7392" w:rsidRPr="005B36A0">
        <w:rPr>
          <w:rFonts w:ascii="Times New Roman" w:hAnsi="Times New Roman" w:cs="Times New Roman"/>
          <w:position w:val="-6"/>
          <w:sz w:val="24"/>
          <w:szCs w:val="24"/>
        </w:rPr>
        <w:object w:dxaOrig="480" w:dyaOrig="279" w14:anchorId="5FC29AF1">
          <v:shape id="_x0000_i1044" type="#_x0000_t75" style="width:23.55pt;height:13.7pt" o:ole="" o:preferrelative="f">
            <v:imagedata r:id="rId50" o:title=""/>
            <o:lock v:ext="edit" aspectratio="f"/>
          </v:shape>
          <o:OLEObject Type="Embed" ProgID="Equation.DSMT4" ShapeID="_x0000_i1044" DrawAspect="Content" ObjectID="_1752435747" r:id="rId51"/>
        </w:object>
      </w:r>
      <w:r w:rsidRPr="005B36A0">
        <w:rPr>
          <w:rFonts w:ascii="Times New Roman" w:hAnsi="Times New Roman" w:cs="Times New Roman"/>
          <w:sz w:val="24"/>
          <w:szCs w:val="24"/>
        </w:rPr>
        <w:t xml:space="preserve">, the coefficient on the logarithm of </w:t>
      </w:r>
      <w:r w:rsidR="00EE7392" w:rsidRPr="005B36A0">
        <w:rPr>
          <w:rFonts w:ascii="Times New Roman" w:hAnsi="Times New Roman" w:cs="Times New Roman"/>
          <w:position w:val="-12"/>
          <w:sz w:val="24"/>
          <w:szCs w:val="24"/>
        </w:rPr>
        <w:object w:dxaOrig="300" w:dyaOrig="360" w14:anchorId="47BEF96D">
          <v:shape id="_x0000_i1045" type="#_x0000_t75" style="width:15pt;height:18.45pt" o:ole="" o:preferrelative="f">
            <v:imagedata r:id="rId35" o:title=""/>
            <o:lock v:ext="edit" aspectratio="f"/>
          </v:shape>
          <o:OLEObject Type="Embed" ProgID="Equation.DSMT4" ShapeID="_x0000_i1045" DrawAspect="Content" ObjectID="_1752435748" r:id="rId52"/>
        </w:object>
      </w:r>
      <w:r w:rsidRPr="005B36A0">
        <w:rPr>
          <w:rFonts w:ascii="Times New Roman" w:hAnsi="Times New Roman" w:cs="Times New Roman"/>
          <w:sz w:val="24"/>
          <w:szCs w:val="24"/>
        </w:rPr>
        <w:t xml:space="preserve">. That is, the </w:t>
      </w:r>
      <w:r w:rsidR="00EE7392" w:rsidRPr="005B36A0">
        <w:rPr>
          <w:rFonts w:ascii="Times New Roman" w:hAnsi="Times New Roman" w:cs="Times New Roman"/>
          <w:position w:val="-6"/>
          <w:sz w:val="24"/>
          <w:szCs w:val="24"/>
        </w:rPr>
        <w:object w:dxaOrig="240" w:dyaOrig="220" w14:anchorId="04739754">
          <v:shape id="_x0000_i1046" type="#_x0000_t75" style="width:12.45pt;height:10.3pt" o:ole="" o:preferrelative="f">
            <v:imagedata r:id="rId53" o:title=""/>
            <o:lock v:ext="edit" aspectratio="f"/>
          </v:shape>
          <o:OLEObject Type="Embed" ProgID="Equation.DSMT4" ShapeID="_x0000_i1046" DrawAspect="Content" ObjectID="_1752435749" r:id="rId54"/>
        </w:object>
      </w:r>
      <w:r w:rsidRPr="005B36A0">
        <w:rPr>
          <w:rFonts w:ascii="Times New Roman" w:hAnsi="Times New Roman" w:cs="Times New Roman"/>
          <w:sz w:val="24"/>
          <w:szCs w:val="24"/>
        </w:rPr>
        <w:t xml:space="preserve"> parameter is not the scale of the error terms. In fact, it is possible to estimate the </w:t>
      </w:r>
      <w:r w:rsidR="007067E8" w:rsidRPr="005B36A0">
        <w:rPr>
          <w:rFonts w:ascii="Times New Roman" w:hAnsi="Times New Roman" w:cs="Times New Roman"/>
          <w:sz w:val="24"/>
          <w:szCs w:val="24"/>
        </w:rPr>
        <w:t>price coefficient</w:t>
      </w:r>
      <w:r w:rsidRPr="005B36A0">
        <w:rPr>
          <w:rFonts w:ascii="Times New Roman" w:hAnsi="Times New Roman" w:cs="Times New Roman"/>
          <w:sz w:val="24"/>
          <w:szCs w:val="24"/>
        </w:rPr>
        <w:t xml:space="preserve"> separately from the </w:t>
      </w:r>
      <w:r w:rsidR="007067E8" w:rsidRPr="005B36A0">
        <w:rPr>
          <w:rFonts w:ascii="Times New Roman" w:hAnsi="Times New Roman" w:cs="Times New Roman"/>
          <w:sz w:val="24"/>
          <w:szCs w:val="24"/>
        </w:rPr>
        <w:t>scale parameter</w:t>
      </w:r>
      <w:r w:rsidRPr="005B36A0">
        <w:rPr>
          <w:rFonts w:ascii="Times New Roman" w:hAnsi="Times New Roman" w:cs="Times New Roman"/>
          <w:sz w:val="24"/>
          <w:szCs w:val="24"/>
        </w:rPr>
        <w:t xml:space="preserve"> if price variation exists </w:t>
      </w:r>
      <w:r w:rsidR="00483FC9" w:rsidRPr="005B36A0">
        <w:rPr>
          <w:rFonts w:ascii="Times New Roman" w:hAnsi="Times New Roman" w:cs="Times New Roman"/>
          <w:sz w:val="24"/>
          <w:szCs w:val="24"/>
        </w:rPr>
        <w:t xml:space="preserve">across individuals for </w:t>
      </w:r>
      <w:r w:rsidRPr="005B36A0">
        <w:rPr>
          <w:rFonts w:ascii="Times New Roman" w:hAnsi="Times New Roman" w:cs="Times New Roman"/>
          <w:sz w:val="24"/>
          <w:szCs w:val="24"/>
        </w:rPr>
        <w:t xml:space="preserve">at least </w:t>
      </w:r>
      <w:r w:rsidR="007067E8" w:rsidRPr="005B36A0">
        <w:rPr>
          <w:rFonts w:ascii="Times New Roman" w:hAnsi="Times New Roman" w:cs="Times New Roman"/>
          <w:sz w:val="24"/>
          <w:szCs w:val="24"/>
        </w:rPr>
        <w:t>two</w:t>
      </w:r>
      <w:r w:rsidRPr="005B36A0">
        <w:rPr>
          <w:rFonts w:ascii="Times New Roman" w:hAnsi="Times New Roman" w:cs="Times New Roman"/>
          <w:sz w:val="24"/>
          <w:szCs w:val="24"/>
        </w:rPr>
        <w:t xml:space="preserve"> alternative</w:t>
      </w:r>
      <w:r w:rsidR="007067E8" w:rsidRPr="005B36A0">
        <w:rPr>
          <w:rFonts w:ascii="Times New Roman" w:hAnsi="Times New Roman" w:cs="Times New Roman"/>
          <w:sz w:val="24"/>
          <w:szCs w:val="24"/>
        </w:rPr>
        <w:t>s</w:t>
      </w:r>
      <w:r w:rsidRPr="005B36A0">
        <w:rPr>
          <w:rFonts w:ascii="Times New Roman" w:hAnsi="Times New Roman" w:cs="Times New Roman"/>
          <w:sz w:val="24"/>
          <w:szCs w:val="24"/>
        </w:rPr>
        <w:t>.</w:t>
      </w:r>
    </w:p>
    <w:p w14:paraId="55C7582A" w14:textId="59F2FF00" w:rsidR="00303886" w:rsidRPr="005B36A0" w:rsidRDefault="00303886"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ab/>
        <w:t>One can set</w:t>
      </w:r>
      <w:r w:rsidR="000A4751" w:rsidRPr="005B36A0">
        <w:rPr>
          <w:rFonts w:ascii="Times New Roman" w:hAnsi="Times New Roman" w:cs="Times New Roman"/>
          <w:sz w:val="24"/>
          <w:szCs w:val="24"/>
        </w:rPr>
        <w:t xml:space="preserve"> </w:t>
      </w:r>
      <w:r w:rsidRPr="005B36A0">
        <w:rPr>
          <w:rFonts w:ascii="Times New Roman" w:hAnsi="Times New Roman" w:cs="Times New Roman"/>
          <w:sz w:val="24"/>
          <w:szCs w:val="24"/>
        </w:rPr>
        <w:t xml:space="preserve">up the </w:t>
      </w:r>
      <w:proofErr w:type="spellStart"/>
      <w:r w:rsidRPr="005B36A0">
        <w:rPr>
          <w:rFonts w:ascii="Times New Roman" w:hAnsi="Times New Roman" w:cs="Times New Roman"/>
          <w:sz w:val="24"/>
          <w:szCs w:val="24"/>
        </w:rPr>
        <w:t>Karush</w:t>
      </w:r>
      <w:proofErr w:type="spellEnd"/>
      <w:r w:rsidRPr="005B36A0">
        <w:rPr>
          <w:rFonts w:ascii="Times New Roman" w:hAnsi="Times New Roman" w:cs="Times New Roman"/>
          <w:sz w:val="24"/>
          <w:szCs w:val="24"/>
        </w:rPr>
        <w:t xml:space="preserve">-Kuhn-Tucker (KKT) conditions of optimality for the utility maximization problem in Equation (1) and derive the following likelihood function for the optimal </w:t>
      </w:r>
      <w:r w:rsidRPr="005B36A0">
        <w:rPr>
          <w:rFonts w:ascii="Times New Roman" w:hAnsi="Times New Roman" w:cs="Times New Roman"/>
          <w:sz w:val="24"/>
          <w:szCs w:val="24"/>
        </w:rPr>
        <w:lastRenderedPageBreak/>
        <w:t>fractional allocations (</w:t>
      </w:r>
      <w:r w:rsidR="00EE7392" w:rsidRPr="005B36A0">
        <w:rPr>
          <w:rFonts w:ascii="Times New Roman" w:hAnsi="Times New Roman" w:cs="Times New Roman"/>
          <w:position w:val="-12"/>
          <w:sz w:val="24"/>
          <w:szCs w:val="24"/>
        </w:rPr>
        <w:object w:dxaOrig="740" w:dyaOrig="400" w14:anchorId="618124FD">
          <v:shape id="_x0000_i1047" type="#_x0000_t75" style="width:36.85pt;height:20.55pt" o:ole="" o:preferrelative="f">
            <v:imagedata r:id="rId55" o:title=""/>
            <o:lock v:ext="edit" aspectratio="f"/>
          </v:shape>
          <o:OLEObject Type="Embed" ProgID="Equation.DSMT4" ShapeID="_x0000_i1047" DrawAspect="Content" ObjectID="_1752435750" r:id="rId56"/>
        </w:object>
      </w:r>
      <w:r w:rsidRPr="005B36A0">
        <w:rPr>
          <w:rFonts w:ascii="Times New Roman" w:hAnsi="Times New Roman" w:cs="Times New Roman"/>
          <w:sz w:val="24"/>
          <w:szCs w:val="24"/>
        </w:rPr>
        <w:t xml:space="preserve">) among the elemental alternatives in the product group (see </w:t>
      </w:r>
      <w:r w:rsidR="003A54E6" w:rsidRPr="005B36A0">
        <w:rPr>
          <w:rFonts w:ascii="Times New Roman" w:hAnsi="Times New Roman" w:cs="Times New Roman"/>
          <w:i/>
          <w:iCs/>
          <w:sz w:val="24"/>
          <w:szCs w:val="24"/>
        </w:rPr>
        <w:t>15</w:t>
      </w:r>
      <w:r w:rsidRPr="005B36A0">
        <w:rPr>
          <w:rFonts w:ascii="Times New Roman" w:hAnsi="Times New Roman" w:cs="Times New Roman"/>
          <w:sz w:val="24"/>
          <w:szCs w:val="24"/>
        </w:rPr>
        <w:t xml:space="preserve"> and </w:t>
      </w:r>
      <w:r w:rsidR="003A54E6" w:rsidRPr="005B36A0">
        <w:rPr>
          <w:rFonts w:ascii="Times New Roman" w:hAnsi="Times New Roman" w:cs="Times New Roman"/>
          <w:i/>
          <w:iCs/>
          <w:sz w:val="24"/>
          <w:szCs w:val="24"/>
        </w:rPr>
        <w:t>25</w:t>
      </w:r>
      <w:r w:rsidRPr="005B36A0">
        <w:rPr>
          <w:rFonts w:ascii="Times New Roman" w:hAnsi="Times New Roman" w:cs="Times New Roman"/>
          <w:sz w:val="24"/>
          <w:szCs w:val="24"/>
        </w:rPr>
        <w:t xml:space="preserve"> for the relevant derivations): </w:t>
      </w:r>
    </w:p>
    <w:p w14:paraId="5B8E34B3" w14:textId="77777777" w:rsidR="00303886" w:rsidRPr="005B36A0" w:rsidRDefault="00303886" w:rsidP="005F211D">
      <w:pPr>
        <w:tabs>
          <w:tab w:val="right" w:pos="9360"/>
        </w:tabs>
        <w:spacing w:after="0" w:line="240" w:lineRule="auto"/>
        <w:jc w:val="both"/>
        <w:rPr>
          <w:rFonts w:ascii="Times New Roman" w:hAnsi="Times New Roman" w:cs="Times New Roman"/>
          <w:sz w:val="24"/>
          <w:szCs w:val="24"/>
        </w:rPr>
      </w:pPr>
      <w:r w:rsidRPr="005B36A0">
        <w:rPr>
          <w:rFonts w:ascii="Times New Roman" w:hAnsi="Times New Roman" w:cs="Times New Roman"/>
          <w:position w:val="-18"/>
          <w:sz w:val="24"/>
          <w:szCs w:val="24"/>
        </w:rPr>
        <w:object w:dxaOrig="2320" w:dyaOrig="480" w14:anchorId="3274F5F2">
          <v:shape id="_x0000_i1048" type="#_x0000_t75" style="width:115.3pt;height:23.55pt" o:ole="" o:preferrelative="f">
            <v:imagedata r:id="rId57" o:title=""/>
            <o:lock v:ext="edit" aspectratio="f"/>
          </v:shape>
          <o:OLEObject Type="Embed" ProgID="Equation.DSMT4" ShapeID="_x0000_i1048" DrawAspect="Content" ObjectID="_1752435751" r:id="rId58"/>
        </w:object>
      </w:r>
    </w:p>
    <w:p w14:paraId="79889103" w14:textId="72DCD31C" w:rsidR="00303886" w:rsidRPr="005B36A0" w:rsidRDefault="005B36A0" w:rsidP="005F211D">
      <w:pPr>
        <w:tabs>
          <w:tab w:val="right" w:pos="9360"/>
        </w:tabs>
        <w:spacing w:after="0" w:line="240" w:lineRule="auto"/>
        <w:jc w:val="both"/>
        <w:rPr>
          <w:rFonts w:ascii="Times New Roman" w:hAnsi="Times New Roman" w:cs="Times New Roman"/>
          <w:sz w:val="24"/>
          <w:szCs w:val="24"/>
        </w:rPr>
      </w:pPr>
      <w:r w:rsidRPr="005B36A0">
        <w:rPr>
          <w:rFonts w:ascii="Times New Roman" w:hAnsi="Times New Roman" w:cs="Times New Roman"/>
          <w:position w:val="-70"/>
          <w:sz w:val="24"/>
          <w:szCs w:val="24"/>
        </w:rPr>
        <w:object w:dxaOrig="8460" w:dyaOrig="1520" w14:anchorId="4C0C1E4E">
          <v:shape id="_x0000_i1049" type="#_x0000_t75" style="width:423pt;height:76.7pt" o:ole="" o:preferrelative="f">
            <v:imagedata r:id="rId59" o:title=""/>
            <o:lock v:ext="edit" aspectratio="f"/>
          </v:shape>
          <o:OLEObject Type="Embed" ProgID="Equation.DSMT4" ShapeID="_x0000_i1049" DrawAspect="Content" ObjectID="_1752435752" r:id="rId60"/>
        </w:object>
      </w:r>
      <w:r w:rsidR="00303886" w:rsidRPr="005B36A0">
        <w:rPr>
          <w:rFonts w:ascii="Times New Roman" w:hAnsi="Times New Roman" w:cs="Times New Roman"/>
          <w:sz w:val="24"/>
          <w:szCs w:val="24"/>
        </w:rPr>
        <w:t xml:space="preserve">      </w:t>
      </w:r>
      <w:r w:rsidR="00303886" w:rsidRPr="005B36A0">
        <w:rPr>
          <w:rFonts w:ascii="Times New Roman" w:hAnsi="Times New Roman" w:cs="Times New Roman"/>
          <w:sz w:val="24"/>
          <w:szCs w:val="24"/>
        </w:rPr>
        <w:tab/>
        <w:t>(3)</w:t>
      </w:r>
    </w:p>
    <w:p w14:paraId="07302611" w14:textId="70DDC7FC" w:rsidR="00303886" w:rsidRPr="005B36A0" w:rsidRDefault="00303886"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 xml:space="preserve">where </w:t>
      </w:r>
      <w:r w:rsidRPr="005B36A0">
        <w:rPr>
          <w:rFonts w:ascii="Times New Roman" w:hAnsi="Times New Roman" w:cs="Times New Roman"/>
          <w:position w:val="-32"/>
          <w:sz w:val="24"/>
          <w:szCs w:val="24"/>
        </w:rPr>
        <w:object w:dxaOrig="3379" w:dyaOrig="760" w14:anchorId="07F36491">
          <v:shape id="_x0000_i1050" type="#_x0000_t75" style="width:170.55pt;height:38.15pt" o:ole="">
            <v:imagedata r:id="rId61" o:title=""/>
          </v:shape>
          <o:OLEObject Type="Embed" ProgID="Equation.DSMT4" ShapeID="_x0000_i1050" DrawAspect="Content" ObjectID="_1752435753" r:id="rId62"/>
        </w:object>
      </w:r>
      <w:r w:rsidRPr="005B36A0">
        <w:rPr>
          <w:rFonts w:ascii="Times New Roman" w:hAnsi="Times New Roman" w:cs="Times New Roman"/>
          <w:position w:val="-32"/>
          <w:sz w:val="24"/>
          <w:szCs w:val="24"/>
        </w:rPr>
        <w:object w:dxaOrig="1500" w:dyaOrig="760" w14:anchorId="1F65B411">
          <v:shape id="_x0000_i1051" type="#_x0000_t75" style="width:76.7pt;height:38.15pt" o:ole="">
            <v:imagedata r:id="rId63" o:title=""/>
          </v:shape>
          <o:OLEObject Type="Embed" ProgID="Equation.DSMT4" ShapeID="_x0000_i1051" DrawAspect="Content" ObjectID="_1752435754" r:id="rId64"/>
        </w:object>
      </w:r>
      <w:r w:rsidRPr="005B36A0">
        <w:rPr>
          <w:rFonts w:ascii="Times New Roman" w:hAnsi="Times New Roman" w:cs="Times New Roman"/>
          <w:sz w:val="24"/>
          <w:szCs w:val="24"/>
        </w:rPr>
        <w:t xml:space="preserve">, with </w:t>
      </w:r>
      <w:r w:rsidR="005B36A0" w:rsidRPr="005B36A0">
        <w:rPr>
          <w:rFonts w:ascii="Times New Roman" w:hAnsi="Times New Roman" w:cs="Times New Roman"/>
          <w:position w:val="-26"/>
          <w:sz w:val="24"/>
          <w:szCs w:val="24"/>
        </w:rPr>
        <w:object w:dxaOrig="2420" w:dyaOrig="680" w14:anchorId="1BB9BC28">
          <v:shape id="_x0000_i1052" type="#_x0000_t75" style="width:120.85pt;height:33.85pt" o:ole="" o:preferrelative="f">
            <v:imagedata r:id="rId65" o:title=""/>
            <o:lock v:ext="edit" aspectratio="f"/>
          </v:shape>
          <o:OLEObject Type="Embed" ProgID="Equation.DSMT4" ShapeID="_x0000_i1052" DrawAspect="Content" ObjectID="_1752435755" r:id="rId66"/>
        </w:object>
      </w:r>
      <w:r w:rsidRPr="005B36A0">
        <w:rPr>
          <w:rFonts w:ascii="Times New Roman" w:hAnsi="Times New Roman" w:cs="Times New Roman"/>
          <w:sz w:val="24"/>
          <w:szCs w:val="24"/>
        </w:rPr>
        <w:t>,</w:t>
      </w:r>
    </w:p>
    <w:p w14:paraId="23E6E5F2" w14:textId="41DCB2EA" w:rsidR="00483FC9" w:rsidRPr="005B36A0" w:rsidRDefault="00EF6391"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position w:val="-32"/>
          <w:sz w:val="24"/>
          <w:szCs w:val="24"/>
        </w:rPr>
        <w:object w:dxaOrig="2400" w:dyaOrig="760" w14:anchorId="22F25466">
          <v:shape id="_x0000_i1053" type="#_x0000_t75" style="width:120.45pt;height:37.3pt" o:ole="">
            <v:imagedata r:id="rId67" o:title=""/>
          </v:shape>
          <o:OLEObject Type="Embed" ProgID="Equation.DSMT4" ShapeID="_x0000_i1053" DrawAspect="Content" ObjectID="_1752435756" r:id="rId68"/>
        </w:object>
      </w:r>
      <w:r w:rsidR="00483FC9" w:rsidRPr="005B36A0">
        <w:rPr>
          <w:rFonts w:ascii="Times New Roman" w:hAnsi="Times New Roman" w:cs="Times New Roman"/>
          <w:sz w:val="24"/>
          <w:szCs w:val="24"/>
        </w:rPr>
        <w:t xml:space="preserve"> (</w:t>
      </w:r>
      <w:r w:rsidR="00483FC9" w:rsidRPr="005B36A0">
        <w:rPr>
          <w:rFonts w:ascii="Times New Roman" w:hAnsi="Times New Roman" w:cs="Times New Roman"/>
          <w:i/>
          <w:sz w:val="24"/>
          <w:szCs w:val="24"/>
        </w:rPr>
        <w:t>k</w:t>
      </w:r>
      <w:r w:rsidR="00483FC9" w:rsidRPr="005B36A0">
        <w:rPr>
          <w:rFonts w:ascii="Times New Roman" w:hAnsi="Times New Roman" w:cs="Times New Roman"/>
          <w:sz w:val="24"/>
          <w:szCs w:val="24"/>
        </w:rPr>
        <w:t xml:space="preserve"> = 1, 2, </w:t>
      </w:r>
      <w:proofErr w:type="gramStart"/>
      <w:r w:rsidR="00483FC9" w:rsidRPr="005B36A0">
        <w:rPr>
          <w:rFonts w:ascii="Times New Roman" w:hAnsi="Times New Roman" w:cs="Times New Roman"/>
          <w:sz w:val="24"/>
          <w:szCs w:val="24"/>
        </w:rPr>
        <w:t>3,…</w:t>
      </w:r>
      <w:proofErr w:type="gramEnd"/>
      <w:r w:rsidR="00483FC9" w:rsidRPr="005B36A0">
        <w:rPr>
          <w:rFonts w:ascii="Times New Roman" w:hAnsi="Times New Roman" w:cs="Times New Roman"/>
          <w:sz w:val="24"/>
          <w:szCs w:val="24"/>
        </w:rPr>
        <w:t xml:space="preserve">, </w:t>
      </w:r>
      <w:r w:rsidR="00483FC9" w:rsidRPr="005B36A0">
        <w:rPr>
          <w:rFonts w:ascii="Times New Roman" w:hAnsi="Times New Roman" w:cs="Times New Roman"/>
          <w:i/>
          <w:sz w:val="24"/>
          <w:szCs w:val="24"/>
        </w:rPr>
        <w:t>K</w:t>
      </w:r>
      <w:r w:rsidR="00483FC9" w:rsidRPr="005B36A0">
        <w:rPr>
          <w:rFonts w:ascii="Times New Roman" w:hAnsi="Times New Roman" w:cs="Times New Roman"/>
          <w:sz w:val="24"/>
          <w:szCs w:val="24"/>
        </w:rPr>
        <w:t xml:space="preserve">), and </w:t>
      </w:r>
      <w:r w:rsidR="00483FC9" w:rsidRPr="005B36A0">
        <w:rPr>
          <w:rFonts w:ascii="Times New Roman" w:hAnsi="Times New Roman" w:cs="Times New Roman"/>
          <w:position w:val="-12"/>
          <w:sz w:val="24"/>
          <w:szCs w:val="24"/>
        </w:rPr>
        <w:object w:dxaOrig="1120" w:dyaOrig="360" w14:anchorId="459C9AAE">
          <v:shape id="_x0000_i1054" type="#_x0000_t75" style="width:55.7pt;height:18.85pt" o:ole="">
            <v:imagedata r:id="rId69" o:title=""/>
          </v:shape>
          <o:OLEObject Type="Embed" ProgID="Equation.DSMT4" ShapeID="_x0000_i1054" DrawAspect="Content" ObjectID="_1752435757" r:id="rId70"/>
        </w:object>
      </w:r>
      <w:r w:rsidR="00483FC9" w:rsidRPr="005B36A0">
        <w:rPr>
          <w:rFonts w:ascii="Times New Roman" w:hAnsi="Times New Roman" w:cs="Times New Roman"/>
          <w:sz w:val="24"/>
          <w:szCs w:val="24"/>
        </w:rPr>
        <w:t>(</w:t>
      </w:r>
      <w:r w:rsidR="00483FC9" w:rsidRPr="005B36A0">
        <w:rPr>
          <w:rFonts w:ascii="Times New Roman" w:hAnsi="Times New Roman" w:cs="Times New Roman"/>
          <w:i/>
          <w:sz w:val="24"/>
          <w:szCs w:val="24"/>
        </w:rPr>
        <w:t>k</w:t>
      </w:r>
      <w:r w:rsidR="00483FC9" w:rsidRPr="005B36A0">
        <w:rPr>
          <w:rFonts w:ascii="Times New Roman" w:hAnsi="Times New Roman" w:cs="Times New Roman"/>
          <w:sz w:val="24"/>
          <w:szCs w:val="24"/>
        </w:rPr>
        <w:t xml:space="preserve"> = 1, 2, 3,…, </w:t>
      </w:r>
      <w:r w:rsidR="00483FC9" w:rsidRPr="005B36A0">
        <w:rPr>
          <w:rFonts w:ascii="Times New Roman" w:hAnsi="Times New Roman" w:cs="Times New Roman"/>
          <w:i/>
          <w:sz w:val="24"/>
          <w:szCs w:val="24"/>
        </w:rPr>
        <w:t>K</w:t>
      </w:r>
      <w:r w:rsidR="00483FC9" w:rsidRPr="005B36A0">
        <w:rPr>
          <w:rFonts w:ascii="Times New Roman" w:hAnsi="Times New Roman" w:cs="Times New Roman"/>
          <w:sz w:val="24"/>
          <w:szCs w:val="24"/>
        </w:rPr>
        <w:t>).</w:t>
      </w:r>
    </w:p>
    <w:p w14:paraId="622FC008" w14:textId="490CC6C2" w:rsidR="00303886" w:rsidRPr="005B36A0" w:rsidRDefault="00483FC9"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i/>
          <w:sz w:val="24"/>
          <w:szCs w:val="24"/>
        </w:rPr>
        <w:t>D</w:t>
      </w:r>
      <w:r w:rsidRPr="005B36A0">
        <w:rPr>
          <w:rFonts w:ascii="Times New Roman" w:hAnsi="Times New Roman" w:cs="Times New Roman"/>
          <w:sz w:val="24"/>
          <w:szCs w:val="24"/>
        </w:rPr>
        <w:t xml:space="preserve"> in the above equation represents a specific combination of the </w:t>
      </w:r>
      <w:r w:rsidR="00F564ED" w:rsidRPr="005B36A0">
        <w:rPr>
          <w:rFonts w:ascii="Times New Roman" w:hAnsi="Times New Roman" w:cs="Times New Roman"/>
          <w:sz w:val="24"/>
          <w:szCs w:val="24"/>
        </w:rPr>
        <w:t>vehicle segments</w:t>
      </w:r>
      <w:r w:rsidRPr="005B36A0">
        <w:rPr>
          <w:rFonts w:ascii="Times New Roman" w:hAnsi="Times New Roman" w:cs="Times New Roman"/>
          <w:sz w:val="24"/>
          <w:szCs w:val="24"/>
        </w:rPr>
        <w:t>, and |</w:t>
      </w:r>
      <w:r w:rsidRPr="005B36A0">
        <w:rPr>
          <w:rFonts w:ascii="Times New Roman" w:hAnsi="Times New Roman" w:cs="Times New Roman"/>
          <w:i/>
          <w:sz w:val="24"/>
          <w:szCs w:val="24"/>
        </w:rPr>
        <w:t>D</w:t>
      </w:r>
      <w:r w:rsidRPr="005B36A0">
        <w:rPr>
          <w:rFonts w:ascii="Times New Roman" w:hAnsi="Times New Roman" w:cs="Times New Roman"/>
          <w:sz w:val="24"/>
          <w:szCs w:val="24"/>
        </w:rPr>
        <w:t>| is the cardinality of the</w:t>
      </w:r>
      <w:r w:rsidR="007067E8" w:rsidRPr="005B36A0">
        <w:rPr>
          <w:rFonts w:ascii="Times New Roman" w:hAnsi="Times New Roman" w:cs="Times New Roman"/>
          <w:sz w:val="24"/>
          <w:szCs w:val="24"/>
        </w:rPr>
        <w:t xml:space="preserve"> specific</w:t>
      </w:r>
      <w:r w:rsidRPr="005B36A0">
        <w:rPr>
          <w:rFonts w:ascii="Times New Roman" w:hAnsi="Times New Roman" w:cs="Times New Roman"/>
          <w:sz w:val="24"/>
          <w:szCs w:val="24"/>
        </w:rPr>
        <w:t xml:space="preserve"> combination </w:t>
      </w:r>
      <w:r w:rsidRPr="005B36A0">
        <w:rPr>
          <w:rFonts w:ascii="Times New Roman" w:hAnsi="Times New Roman" w:cs="Times New Roman"/>
          <w:i/>
          <w:sz w:val="24"/>
          <w:szCs w:val="24"/>
        </w:rPr>
        <w:t>D</w:t>
      </w:r>
      <w:r w:rsidRPr="005B36A0">
        <w:rPr>
          <w:rFonts w:ascii="Times New Roman" w:hAnsi="Times New Roman" w:cs="Times New Roman"/>
          <w:sz w:val="24"/>
          <w:szCs w:val="24"/>
        </w:rPr>
        <w:t xml:space="preserve">. </w:t>
      </w:r>
      <w:r w:rsidR="00303886" w:rsidRPr="005B36A0">
        <w:rPr>
          <w:rFonts w:ascii="Times New Roman" w:hAnsi="Times New Roman" w:cs="Times New Roman"/>
          <w:sz w:val="24"/>
          <w:szCs w:val="24"/>
        </w:rPr>
        <w:t>The above expression is the same as that of an MDCEV model with reverse Gumbel error terms and fractional allocations</w:t>
      </w:r>
      <w:r w:rsidR="00A523AA" w:rsidRPr="005B36A0">
        <w:rPr>
          <w:rFonts w:ascii="Times New Roman" w:hAnsi="Times New Roman" w:cs="Times New Roman"/>
          <w:sz w:val="24"/>
          <w:szCs w:val="24"/>
        </w:rPr>
        <w:t xml:space="preserve"> </w:t>
      </w:r>
      <w:r w:rsidR="00A523AA" w:rsidRPr="005B36A0">
        <w:rPr>
          <w:rFonts w:ascii="Times New Roman" w:hAnsi="Times New Roman" w:cs="Times New Roman"/>
          <w:i/>
          <w:iCs/>
          <w:sz w:val="24"/>
          <w:szCs w:val="24"/>
        </w:rPr>
        <w:t>(25)</w:t>
      </w:r>
      <w:r w:rsidR="00303886" w:rsidRPr="005B36A0">
        <w:rPr>
          <w:rFonts w:ascii="Times New Roman" w:hAnsi="Times New Roman" w:cs="Times New Roman"/>
          <w:sz w:val="24"/>
          <w:szCs w:val="24"/>
        </w:rPr>
        <w:t>.</w:t>
      </w:r>
    </w:p>
    <w:p w14:paraId="2C0240D9" w14:textId="77777777" w:rsidR="00A523AA" w:rsidRPr="005B36A0" w:rsidRDefault="00A523AA" w:rsidP="005F211D">
      <w:pPr>
        <w:spacing w:after="0" w:line="240" w:lineRule="auto"/>
        <w:jc w:val="both"/>
        <w:rPr>
          <w:rFonts w:ascii="Times New Roman" w:hAnsi="Times New Roman" w:cs="Times New Roman"/>
          <w:b/>
          <w:color w:val="000000" w:themeColor="text1"/>
          <w:sz w:val="24"/>
          <w:szCs w:val="24"/>
        </w:rPr>
      </w:pPr>
    </w:p>
    <w:p w14:paraId="268AA735" w14:textId="0A9C643F" w:rsidR="00303886" w:rsidRPr="005B36A0" w:rsidRDefault="00303886" w:rsidP="005F211D">
      <w:pPr>
        <w:spacing w:after="0" w:line="240" w:lineRule="auto"/>
        <w:jc w:val="both"/>
        <w:rPr>
          <w:rFonts w:ascii="Times New Roman" w:hAnsi="Times New Roman" w:cs="Times New Roman"/>
          <w:b/>
          <w:color w:val="000000" w:themeColor="text1"/>
          <w:sz w:val="24"/>
          <w:szCs w:val="24"/>
        </w:rPr>
      </w:pPr>
      <w:r w:rsidRPr="005B36A0">
        <w:rPr>
          <w:rFonts w:ascii="Times New Roman" w:hAnsi="Times New Roman" w:cs="Times New Roman"/>
          <w:b/>
          <w:color w:val="000000" w:themeColor="text1"/>
          <w:sz w:val="24"/>
          <w:szCs w:val="24"/>
        </w:rPr>
        <w:t xml:space="preserve">Linking </w:t>
      </w:r>
      <w:r w:rsidR="005B36A0">
        <w:rPr>
          <w:rFonts w:ascii="Times New Roman" w:hAnsi="Times New Roman" w:cs="Times New Roman"/>
          <w:b/>
          <w:color w:val="000000" w:themeColor="text1"/>
          <w:sz w:val="24"/>
          <w:szCs w:val="24"/>
        </w:rPr>
        <w:t>F</w:t>
      </w:r>
      <w:r w:rsidRPr="005B36A0">
        <w:rPr>
          <w:rFonts w:ascii="Times New Roman" w:hAnsi="Times New Roman" w:cs="Times New Roman"/>
          <w:b/>
          <w:color w:val="000000" w:themeColor="text1"/>
          <w:sz w:val="24"/>
          <w:szCs w:val="24"/>
        </w:rPr>
        <w:t xml:space="preserve">unction to </w:t>
      </w:r>
      <w:r w:rsidR="005B36A0">
        <w:rPr>
          <w:rFonts w:ascii="Times New Roman" w:hAnsi="Times New Roman" w:cs="Times New Roman"/>
          <w:b/>
          <w:color w:val="000000" w:themeColor="text1"/>
          <w:sz w:val="24"/>
          <w:szCs w:val="24"/>
        </w:rPr>
        <w:t>L</w:t>
      </w:r>
      <w:r w:rsidRPr="005B36A0">
        <w:rPr>
          <w:rFonts w:ascii="Times New Roman" w:hAnsi="Times New Roman" w:cs="Times New Roman"/>
          <w:b/>
          <w:color w:val="000000" w:themeColor="text1"/>
          <w:sz w:val="24"/>
          <w:szCs w:val="24"/>
        </w:rPr>
        <w:t xml:space="preserve">ink the </w:t>
      </w:r>
      <w:r w:rsidR="005B36A0">
        <w:rPr>
          <w:rFonts w:ascii="Times New Roman" w:hAnsi="Times New Roman" w:cs="Times New Roman"/>
          <w:b/>
          <w:color w:val="000000" w:themeColor="text1"/>
          <w:sz w:val="24"/>
          <w:szCs w:val="24"/>
        </w:rPr>
        <w:t>S</w:t>
      </w:r>
      <w:r w:rsidRPr="005B36A0">
        <w:rPr>
          <w:rFonts w:ascii="Times New Roman" w:hAnsi="Times New Roman" w:cs="Times New Roman"/>
          <w:b/>
          <w:color w:val="000000" w:themeColor="text1"/>
          <w:sz w:val="24"/>
          <w:szCs w:val="24"/>
        </w:rPr>
        <w:t>econd-</w:t>
      </w:r>
      <w:r w:rsidR="005B36A0">
        <w:rPr>
          <w:rFonts w:ascii="Times New Roman" w:hAnsi="Times New Roman" w:cs="Times New Roman"/>
          <w:b/>
          <w:color w:val="000000" w:themeColor="text1"/>
          <w:sz w:val="24"/>
          <w:szCs w:val="24"/>
        </w:rPr>
        <w:t>S</w:t>
      </w:r>
      <w:r w:rsidRPr="005B36A0">
        <w:rPr>
          <w:rFonts w:ascii="Times New Roman" w:hAnsi="Times New Roman" w:cs="Times New Roman"/>
          <w:b/>
          <w:color w:val="000000" w:themeColor="text1"/>
          <w:sz w:val="24"/>
          <w:szCs w:val="24"/>
        </w:rPr>
        <w:t xml:space="preserve">tage </w:t>
      </w:r>
      <w:r w:rsidR="005B36A0">
        <w:rPr>
          <w:rFonts w:ascii="Times New Roman" w:hAnsi="Times New Roman" w:cs="Times New Roman"/>
          <w:b/>
          <w:color w:val="000000" w:themeColor="text1"/>
          <w:sz w:val="24"/>
          <w:szCs w:val="24"/>
        </w:rPr>
        <w:t>M</w:t>
      </w:r>
      <w:r w:rsidRPr="005B36A0">
        <w:rPr>
          <w:rFonts w:ascii="Times New Roman" w:hAnsi="Times New Roman" w:cs="Times New Roman"/>
          <w:b/>
          <w:color w:val="000000" w:themeColor="text1"/>
          <w:sz w:val="24"/>
          <w:szCs w:val="24"/>
        </w:rPr>
        <w:t xml:space="preserve">odel (for </w:t>
      </w:r>
      <w:r w:rsidR="005B36A0">
        <w:rPr>
          <w:rFonts w:ascii="Times New Roman" w:hAnsi="Times New Roman" w:cs="Times New Roman"/>
          <w:b/>
          <w:color w:val="000000" w:themeColor="text1"/>
          <w:sz w:val="24"/>
          <w:szCs w:val="24"/>
        </w:rPr>
        <w:t>F</w:t>
      </w:r>
      <w:r w:rsidRPr="005B36A0">
        <w:rPr>
          <w:rFonts w:ascii="Times New Roman" w:hAnsi="Times New Roman" w:cs="Times New Roman"/>
          <w:b/>
          <w:color w:val="000000" w:themeColor="text1"/>
          <w:sz w:val="24"/>
          <w:szCs w:val="24"/>
        </w:rPr>
        <w:t xml:space="preserve">ractional </w:t>
      </w:r>
      <w:r w:rsidR="005B36A0">
        <w:rPr>
          <w:rFonts w:ascii="Times New Roman" w:hAnsi="Times New Roman" w:cs="Times New Roman"/>
          <w:b/>
          <w:color w:val="000000" w:themeColor="text1"/>
          <w:sz w:val="24"/>
          <w:szCs w:val="24"/>
        </w:rPr>
        <w:t>A</w:t>
      </w:r>
      <w:r w:rsidRPr="005B36A0">
        <w:rPr>
          <w:rFonts w:ascii="Times New Roman" w:hAnsi="Times New Roman" w:cs="Times New Roman"/>
          <w:b/>
          <w:color w:val="000000" w:themeColor="text1"/>
          <w:sz w:val="24"/>
          <w:szCs w:val="24"/>
        </w:rPr>
        <w:t xml:space="preserve">llocations) with the </w:t>
      </w:r>
      <w:r w:rsidR="005B36A0">
        <w:rPr>
          <w:rFonts w:ascii="Times New Roman" w:hAnsi="Times New Roman" w:cs="Times New Roman"/>
          <w:b/>
          <w:color w:val="000000" w:themeColor="text1"/>
          <w:sz w:val="24"/>
          <w:szCs w:val="24"/>
        </w:rPr>
        <w:t>F</w:t>
      </w:r>
      <w:r w:rsidRPr="005B36A0">
        <w:rPr>
          <w:rFonts w:ascii="Times New Roman" w:hAnsi="Times New Roman" w:cs="Times New Roman"/>
          <w:b/>
          <w:color w:val="000000" w:themeColor="text1"/>
          <w:sz w:val="24"/>
          <w:szCs w:val="24"/>
        </w:rPr>
        <w:t>irst-</w:t>
      </w:r>
      <w:r w:rsidR="005B36A0">
        <w:rPr>
          <w:rFonts w:ascii="Times New Roman" w:hAnsi="Times New Roman" w:cs="Times New Roman"/>
          <w:b/>
          <w:color w:val="000000" w:themeColor="text1"/>
          <w:sz w:val="24"/>
          <w:szCs w:val="24"/>
        </w:rPr>
        <w:t>S</w:t>
      </w:r>
      <w:r w:rsidRPr="005B36A0">
        <w:rPr>
          <w:rFonts w:ascii="Times New Roman" w:hAnsi="Times New Roman" w:cs="Times New Roman"/>
          <w:b/>
          <w:color w:val="000000" w:themeColor="text1"/>
          <w:sz w:val="24"/>
          <w:szCs w:val="24"/>
        </w:rPr>
        <w:t xml:space="preserve">tage </w:t>
      </w:r>
      <w:r w:rsidR="005B36A0">
        <w:rPr>
          <w:rFonts w:ascii="Times New Roman" w:hAnsi="Times New Roman" w:cs="Times New Roman"/>
          <w:b/>
          <w:color w:val="000000" w:themeColor="text1"/>
          <w:sz w:val="24"/>
          <w:szCs w:val="24"/>
        </w:rPr>
        <w:t>M</w:t>
      </w:r>
      <w:r w:rsidRPr="005B36A0">
        <w:rPr>
          <w:rFonts w:ascii="Times New Roman" w:hAnsi="Times New Roman" w:cs="Times New Roman"/>
          <w:b/>
          <w:color w:val="000000" w:themeColor="text1"/>
          <w:sz w:val="24"/>
          <w:szCs w:val="24"/>
        </w:rPr>
        <w:t xml:space="preserve">odel (for </w:t>
      </w:r>
      <w:r w:rsidR="005B36A0">
        <w:rPr>
          <w:rFonts w:ascii="Times New Roman" w:hAnsi="Times New Roman" w:cs="Times New Roman"/>
          <w:b/>
          <w:color w:val="000000" w:themeColor="text1"/>
          <w:sz w:val="24"/>
          <w:szCs w:val="24"/>
        </w:rPr>
        <w:t>T</w:t>
      </w:r>
      <w:r w:rsidRPr="005B36A0">
        <w:rPr>
          <w:rFonts w:ascii="Times New Roman" w:hAnsi="Times New Roman" w:cs="Times New Roman"/>
          <w:b/>
          <w:color w:val="000000" w:themeColor="text1"/>
          <w:sz w:val="24"/>
          <w:szCs w:val="24"/>
        </w:rPr>
        <w:t xml:space="preserve">otal </w:t>
      </w:r>
      <w:r w:rsidR="005B36A0">
        <w:rPr>
          <w:rFonts w:ascii="Times New Roman" w:hAnsi="Times New Roman" w:cs="Times New Roman"/>
          <w:b/>
          <w:color w:val="000000" w:themeColor="text1"/>
          <w:sz w:val="24"/>
          <w:szCs w:val="24"/>
        </w:rPr>
        <w:t>B</w:t>
      </w:r>
      <w:r w:rsidRPr="005B36A0">
        <w:rPr>
          <w:rFonts w:ascii="Times New Roman" w:hAnsi="Times New Roman" w:cs="Times New Roman"/>
          <w:b/>
          <w:color w:val="000000" w:themeColor="text1"/>
          <w:sz w:val="24"/>
          <w:szCs w:val="24"/>
        </w:rPr>
        <w:t xml:space="preserve">udget to the </w:t>
      </w:r>
      <w:r w:rsidR="005B36A0">
        <w:rPr>
          <w:rFonts w:ascii="Times New Roman" w:hAnsi="Times New Roman" w:cs="Times New Roman"/>
          <w:b/>
          <w:color w:val="000000" w:themeColor="text1"/>
          <w:sz w:val="24"/>
          <w:szCs w:val="24"/>
        </w:rPr>
        <w:t>P</w:t>
      </w:r>
      <w:r w:rsidRPr="005B36A0">
        <w:rPr>
          <w:rFonts w:ascii="Times New Roman" w:hAnsi="Times New Roman" w:cs="Times New Roman"/>
          <w:b/>
          <w:color w:val="000000" w:themeColor="text1"/>
          <w:sz w:val="24"/>
          <w:szCs w:val="24"/>
        </w:rPr>
        <w:t xml:space="preserve">roduct </w:t>
      </w:r>
      <w:r w:rsidR="005B36A0">
        <w:rPr>
          <w:rFonts w:ascii="Times New Roman" w:hAnsi="Times New Roman" w:cs="Times New Roman"/>
          <w:b/>
          <w:color w:val="000000" w:themeColor="text1"/>
          <w:sz w:val="24"/>
          <w:szCs w:val="24"/>
        </w:rPr>
        <w:t>G</w:t>
      </w:r>
      <w:r w:rsidRPr="005B36A0">
        <w:rPr>
          <w:rFonts w:ascii="Times New Roman" w:hAnsi="Times New Roman" w:cs="Times New Roman"/>
          <w:b/>
          <w:color w:val="000000" w:themeColor="text1"/>
          <w:sz w:val="24"/>
          <w:szCs w:val="24"/>
        </w:rPr>
        <w:t>roup)</w:t>
      </w:r>
    </w:p>
    <w:p w14:paraId="554045E0" w14:textId="77777777" w:rsidR="00303886" w:rsidRPr="005B36A0" w:rsidRDefault="00303886"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Define the following quality-adjusted, scalar composite price index for each elementary inside good alternative:</w:t>
      </w:r>
    </w:p>
    <w:p w14:paraId="1DC58A3A" w14:textId="5BDAF848" w:rsidR="00303886" w:rsidRPr="005B36A0" w:rsidRDefault="005B36A0" w:rsidP="005F211D">
      <w:pPr>
        <w:tabs>
          <w:tab w:val="right" w:pos="9360"/>
        </w:tabs>
        <w:spacing w:after="0" w:line="240" w:lineRule="auto"/>
        <w:jc w:val="both"/>
        <w:rPr>
          <w:rFonts w:ascii="Times New Roman" w:hAnsi="Times New Roman" w:cs="Times New Roman"/>
          <w:sz w:val="24"/>
          <w:szCs w:val="24"/>
        </w:rPr>
      </w:pPr>
      <w:r w:rsidRPr="005B36A0">
        <w:rPr>
          <w:rFonts w:ascii="Times New Roman" w:hAnsi="Times New Roman" w:cs="Times New Roman"/>
          <w:position w:val="-92"/>
          <w:sz w:val="24"/>
          <w:szCs w:val="24"/>
        </w:rPr>
        <w:object w:dxaOrig="5960" w:dyaOrig="1960" w14:anchorId="5D2472DC">
          <v:shape id="_x0000_i1055" type="#_x0000_t75" style="width:292.7pt;height:98.55pt" o:ole="">
            <v:imagedata r:id="rId71" o:title=""/>
          </v:shape>
          <o:OLEObject Type="Embed" ProgID="Equation.DSMT4" ShapeID="_x0000_i1055" DrawAspect="Content" ObjectID="_1752435758" r:id="rId72"/>
        </w:object>
      </w:r>
      <w:r w:rsidR="00303886" w:rsidRPr="005B36A0">
        <w:rPr>
          <w:rFonts w:ascii="Times New Roman" w:hAnsi="Times New Roman" w:cs="Times New Roman"/>
          <w:sz w:val="24"/>
          <w:szCs w:val="24"/>
        </w:rPr>
        <w:tab/>
      </w:r>
      <w:r w:rsidR="007067E8" w:rsidRPr="005B36A0">
        <w:rPr>
          <w:rFonts w:ascii="Times New Roman" w:hAnsi="Times New Roman" w:cs="Times New Roman"/>
          <w:sz w:val="24"/>
          <w:szCs w:val="24"/>
        </w:rPr>
        <w:t>(4)</w:t>
      </w:r>
      <w:r w:rsidR="007715FB" w:rsidRPr="005B36A0">
        <w:rPr>
          <w:rFonts w:ascii="Times New Roman" w:hAnsi="Times New Roman" w:cs="Times New Roman"/>
          <w:sz w:val="24"/>
          <w:szCs w:val="24"/>
        </w:rPr>
        <w:t xml:space="preserve"> </w:t>
      </w:r>
    </w:p>
    <w:p w14:paraId="3E54A378" w14:textId="7EBACB99" w:rsidR="00303886" w:rsidRPr="00303886" w:rsidRDefault="00303886" w:rsidP="005F211D">
      <w:pPr>
        <w:spacing w:after="0" w:line="240" w:lineRule="auto"/>
        <w:jc w:val="both"/>
        <w:rPr>
          <w:rFonts w:ascii="Times New Roman" w:hAnsi="Times New Roman" w:cs="Times New Roman"/>
          <w:sz w:val="24"/>
          <w:szCs w:val="24"/>
        </w:rPr>
      </w:pPr>
      <w:r w:rsidRPr="005B36A0">
        <w:rPr>
          <w:rFonts w:ascii="Times New Roman" w:hAnsi="Times New Roman" w:cs="Times New Roman"/>
          <w:sz w:val="24"/>
          <w:szCs w:val="24"/>
        </w:rPr>
        <w:t xml:space="preserve">In the above expression, the presence of </w:t>
      </w:r>
      <w:r w:rsidRPr="005B36A0">
        <w:rPr>
          <w:rFonts w:ascii="Times New Roman" w:hAnsi="Times New Roman" w:cs="Times New Roman"/>
          <w:position w:val="-12"/>
          <w:sz w:val="24"/>
          <w:szCs w:val="24"/>
        </w:rPr>
        <w:object w:dxaOrig="320" w:dyaOrig="380" w14:anchorId="5A575084">
          <v:shape id="_x0000_i1056" type="#_x0000_t75" style="width:16.3pt;height:18.85pt" o:ole="">
            <v:imagedata r:id="rId73" o:title=""/>
          </v:shape>
          <o:OLEObject Type="Embed" ProgID="Equation.DSMT4" ShapeID="_x0000_i1056" DrawAspect="Content" ObjectID="_1752435759" r:id="rId74"/>
        </w:object>
      </w:r>
      <w:r w:rsidRPr="005B36A0">
        <w:rPr>
          <w:rFonts w:ascii="Times New Roman" w:hAnsi="Times New Roman" w:cs="Times New Roman"/>
          <w:sz w:val="24"/>
          <w:szCs w:val="24"/>
        </w:rPr>
        <w:t xml:space="preserve"> allows for quality </w:t>
      </w:r>
      <w:r w:rsidR="00483FC9" w:rsidRPr="005B36A0">
        <w:rPr>
          <w:rFonts w:ascii="Times New Roman" w:hAnsi="Times New Roman" w:cs="Times New Roman"/>
          <w:sz w:val="24"/>
          <w:szCs w:val="24"/>
        </w:rPr>
        <w:t xml:space="preserve">and scale </w:t>
      </w:r>
      <w:r w:rsidRPr="005B36A0">
        <w:rPr>
          <w:rFonts w:ascii="Times New Roman" w:hAnsi="Times New Roman" w:cs="Times New Roman"/>
          <w:sz w:val="24"/>
          <w:szCs w:val="24"/>
        </w:rPr>
        <w:t xml:space="preserve">adjustment. Also, the negative sign in </w:t>
      </w:r>
      <w:r w:rsidR="000A4751" w:rsidRPr="005B36A0">
        <w:rPr>
          <w:rFonts w:ascii="Times New Roman" w:hAnsi="Times New Roman" w:cs="Times New Roman"/>
          <w:sz w:val="24"/>
          <w:szCs w:val="24"/>
        </w:rPr>
        <w:t>“</w:t>
      </w:r>
      <w:r w:rsidR="00EE7392" w:rsidRPr="005B36A0">
        <w:rPr>
          <w:rFonts w:ascii="Times New Roman" w:hAnsi="Times New Roman" w:cs="Times New Roman"/>
          <w:position w:val="-12"/>
          <w:sz w:val="24"/>
          <w:szCs w:val="24"/>
        </w:rPr>
        <w:object w:dxaOrig="680" w:dyaOrig="360" w14:anchorId="62B8B5B0">
          <v:shape id="_x0000_i1057" type="#_x0000_t75" style="width:33.85pt;height:18.45pt" o:ole="" o:preferrelative="f">
            <v:imagedata r:id="rId75" o:title=""/>
            <o:lock v:ext="edit" aspectratio="f"/>
          </v:shape>
          <o:OLEObject Type="Embed" ProgID="Equation.DSMT4" ShapeID="_x0000_i1057" DrawAspect="Content" ObjectID="_1752435760" r:id="rId76"/>
        </w:object>
      </w:r>
      <w:r w:rsidR="000A4751" w:rsidRPr="005B36A0">
        <w:rPr>
          <w:rFonts w:ascii="Times New Roman" w:hAnsi="Times New Roman" w:cs="Times New Roman"/>
          <w:sz w:val="24"/>
          <w:szCs w:val="24"/>
        </w:rPr>
        <w:t>”</w:t>
      </w:r>
      <w:r w:rsidRPr="005B36A0">
        <w:rPr>
          <w:rFonts w:ascii="Times New Roman" w:hAnsi="Times New Roman" w:cs="Times New Roman"/>
          <w:sz w:val="24"/>
          <w:szCs w:val="24"/>
        </w:rPr>
        <w:t xml:space="preserve"> ensures that as the good becomes more desirable (through an increase in baseline preference or a decrease in satiation), its quality-adjusted</w:t>
      </w:r>
      <w:r w:rsidRPr="00303886">
        <w:rPr>
          <w:rFonts w:ascii="Times New Roman" w:hAnsi="Times New Roman" w:cs="Times New Roman"/>
          <w:sz w:val="24"/>
          <w:szCs w:val="24"/>
        </w:rPr>
        <w:t xml:space="preserve"> price index reduces. Notably, an increase in the unit price </w:t>
      </w:r>
      <w:r w:rsidR="005B36A0" w:rsidRPr="00303886">
        <w:rPr>
          <w:rFonts w:ascii="Times New Roman" w:hAnsi="Times New Roman" w:cs="Times New Roman"/>
          <w:position w:val="-12"/>
          <w:sz w:val="24"/>
          <w:szCs w:val="24"/>
        </w:rPr>
        <w:object w:dxaOrig="300" w:dyaOrig="360" w14:anchorId="631F03B1">
          <v:shape id="_x0000_i1058" type="#_x0000_t75" style="width:15pt;height:18.45pt" o:ole="" o:preferrelative="f">
            <v:imagedata r:id="rId77" o:title=""/>
            <o:lock v:ext="edit" aspectratio="f"/>
          </v:shape>
          <o:OLEObject Type="Embed" ProgID="Equation.DSMT4" ShapeID="_x0000_i1058" DrawAspect="Content" ObjectID="_1752435761" r:id="rId78"/>
        </w:object>
      </w:r>
      <w:r w:rsidRPr="00303886">
        <w:rPr>
          <w:rFonts w:ascii="Times New Roman" w:hAnsi="Times New Roman" w:cs="Times New Roman"/>
          <w:sz w:val="24"/>
          <w:szCs w:val="24"/>
        </w:rPr>
        <w:t xml:space="preserve"> of an alternative increases its quality-adjusted price, </w:t>
      </w:r>
      <w:r w:rsidRPr="00303886">
        <w:rPr>
          <w:rFonts w:ascii="Times New Roman" w:hAnsi="Times New Roman" w:cs="Times New Roman"/>
          <w:i/>
          <w:iCs/>
          <w:sz w:val="24"/>
          <w:szCs w:val="24"/>
        </w:rPr>
        <w:t>ceteris paribus</w:t>
      </w:r>
      <w:r w:rsidRPr="00303886">
        <w:rPr>
          <w:rFonts w:ascii="Times New Roman" w:hAnsi="Times New Roman" w:cs="Times New Roman"/>
          <w:sz w:val="24"/>
          <w:szCs w:val="24"/>
        </w:rPr>
        <w:t xml:space="preserve">, since an increase in </w:t>
      </w:r>
      <w:r w:rsidR="005B36A0" w:rsidRPr="00303886">
        <w:rPr>
          <w:rFonts w:ascii="Times New Roman" w:hAnsi="Times New Roman" w:cs="Times New Roman"/>
          <w:position w:val="-12"/>
          <w:sz w:val="24"/>
          <w:szCs w:val="24"/>
        </w:rPr>
        <w:object w:dxaOrig="300" w:dyaOrig="360" w14:anchorId="6BEF2237">
          <v:shape id="_x0000_i1059" type="#_x0000_t75" style="width:15pt;height:18.45pt" o:ole="" o:preferrelative="f">
            <v:imagedata r:id="rId77" o:title=""/>
            <o:lock v:ext="edit" aspectratio="f"/>
          </v:shape>
          <o:OLEObject Type="Embed" ProgID="Equation.DSMT4" ShapeID="_x0000_i1059" DrawAspect="Content" ObjectID="_1752435762" r:id="rId79"/>
        </w:object>
      </w:r>
      <w:r w:rsidRPr="00303886">
        <w:rPr>
          <w:rFonts w:ascii="Times New Roman" w:hAnsi="Times New Roman" w:cs="Times New Roman"/>
          <w:sz w:val="24"/>
          <w:szCs w:val="24"/>
        </w:rPr>
        <w:t xml:space="preserve"> leads to a reduction in baseline preference. </w:t>
      </w:r>
      <w:r w:rsidRPr="00303886">
        <w:rPr>
          <w:rFonts w:ascii="Times New Roman" w:hAnsi="Times New Roman" w:cs="Times New Roman"/>
          <w:position w:val="-10"/>
          <w:sz w:val="24"/>
        </w:rPr>
        <w:object w:dxaOrig="400" w:dyaOrig="340" w14:anchorId="4880971C">
          <v:shape id="_x0000_i1060" type="#_x0000_t75" style="width:21pt;height:17.15pt" o:ole="">
            <v:imagedata r:id="rId80" o:title=""/>
          </v:shape>
          <o:OLEObject Type="Embed" ProgID="Equation.DSMT4" ShapeID="_x0000_i1060" DrawAspect="Content" ObjectID="_1752435763" r:id="rId81"/>
        </w:object>
      </w:r>
      <w:r w:rsidRPr="00303886">
        <w:rPr>
          <w:rFonts w:ascii="Times New Roman" w:hAnsi="Times New Roman" w:cs="Times New Roman"/>
          <w:sz w:val="24"/>
        </w:rPr>
        <w:t xml:space="preserve"> represents the marginal utility </w:t>
      </w:r>
      <w:r w:rsidR="00483FC9">
        <w:rPr>
          <w:rFonts w:ascii="Times New Roman" w:hAnsi="Times New Roman" w:cs="Times New Roman"/>
          <w:sz w:val="24"/>
        </w:rPr>
        <w:t xml:space="preserve">of </w:t>
      </w:r>
      <w:r w:rsidRPr="00303886">
        <w:rPr>
          <w:rFonts w:ascii="Times New Roman" w:hAnsi="Times New Roman" w:cs="Times New Roman"/>
          <w:sz w:val="24"/>
        </w:rPr>
        <w:t>income</w:t>
      </w:r>
      <w:r w:rsidR="00483FC9">
        <w:rPr>
          <w:rFonts w:ascii="Times New Roman" w:hAnsi="Times New Roman" w:cs="Times New Roman"/>
          <w:sz w:val="24"/>
        </w:rPr>
        <w:t>.</w:t>
      </w:r>
    </w:p>
    <w:p w14:paraId="5010089C" w14:textId="2791B840" w:rsidR="00303886" w:rsidRPr="00303886" w:rsidRDefault="00303886" w:rsidP="005F211D">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ab/>
        <w:t xml:space="preserve">Note that the above price-index, in its logarithmic form, is a quality- and scale-adjusted price-index. </w:t>
      </w:r>
      <w:r w:rsidR="00CE2005">
        <w:rPr>
          <w:rFonts w:ascii="Times New Roman" w:hAnsi="Times New Roman" w:cs="Times New Roman"/>
          <w:sz w:val="24"/>
          <w:szCs w:val="24"/>
        </w:rPr>
        <w:t>S</w:t>
      </w:r>
      <w:r w:rsidRPr="00303886">
        <w:rPr>
          <w:rFonts w:ascii="Times New Roman" w:hAnsi="Times New Roman" w:cs="Times New Roman"/>
          <w:sz w:val="24"/>
          <w:szCs w:val="24"/>
        </w:rPr>
        <w:t>pecifically, the normali</w:t>
      </w:r>
      <w:r w:rsidR="000A4751">
        <w:rPr>
          <w:rFonts w:ascii="Times New Roman" w:hAnsi="Times New Roman" w:cs="Times New Roman"/>
          <w:sz w:val="24"/>
          <w:szCs w:val="24"/>
        </w:rPr>
        <w:t>z</w:t>
      </w:r>
      <w:r w:rsidRPr="00303886">
        <w:rPr>
          <w:rFonts w:ascii="Times New Roman" w:hAnsi="Times New Roman" w:cs="Times New Roman"/>
          <w:sz w:val="24"/>
          <w:szCs w:val="24"/>
        </w:rPr>
        <w:t>ation by the scale parameter</w:t>
      </w:r>
      <w:r w:rsidRPr="00303886">
        <w:rPr>
          <w:rFonts w:ascii="Times New Roman" w:hAnsi="Times New Roman" w:cs="Times New Roman"/>
          <w:sz w:val="24"/>
        </w:rPr>
        <w:t xml:space="preserve"> recogni</w:t>
      </w:r>
      <w:r w:rsidR="000A4751">
        <w:rPr>
          <w:rFonts w:ascii="Times New Roman" w:hAnsi="Times New Roman" w:cs="Times New Roman"/>
          <w:sz w:val="24"/>
        </w:rPr>
        <w:t>z</w:t>
      </w:r>
      <w:r w:rsidRPr="00303886">
        <w:rPr>
          <w:rFonts w:ascii="Times New Roman" w:hAnsi="Times New Roman" w:cs="Times New Roman"/>
          <w:sz w:val="24"/>
        </w:rPr>
        <w:t>es the need to scale the “signal” with the “noise”.</w:t>
      </w:r>
      <w:r w:rsidRPr="00303886">
        <w:rPr>
          <w:rFonts w:ascii="Times New Roman" w:hAnsi="Times New Roman" w:cs="Times New Roman"/>
          <w:sz w:val="24"/>
          <w:szCs w:val="24"/>
        </w:rPr>
        <w:t xml:space="preserve"> </w:t>
      </w:r>
      <w:r w:rsidR="00CE2005">
        <w:rPr>
          <w:rFonts w:ascii="Times New Roman" w:hAnsi="Times New Roman" w:cs="Times New Roman"/>
          <w:sz w:val="24"/>
          <w:szCs w:val="24"/>
        </w:rPr>
        <w:t xml:space="preserve">In Equation (4), we write the </w:t>
      </w:r>
      <w:r w:rsidRPr="00303886">
        <w:rPr>
          <w:rFonts w:ascii="Times New Roman" w:hAnsi="Times New Roman" w:cs="Times New Roman"/>
          <w:sz w:val="24"/>
          <w:szCs w:val="24"/>
        </w:rPr>
        <w:t>normali</w:t>
      </w:r>
      <w:r w:rsidR="000A4751">
        <w:rPr>
          <w:rFonts w:ascii="Times New Roman" w:hAnsi="Times New Roman" w:cs="Times New Roman"/>
          <w:sz w:val="24"/>
          <w:szCs w:val="24"/>
        </w:rPr>
        <w:t>z</w:t>
      </w:r>
      <w:r w:rsidRPr="00303886">
        <w:rPr>
          <w:rFonts w:ascii="Times New Roman" w:hAnsi="Times New Roman" w:cs="Times New Roman"/>
          <w:sz w:val="24"/>
          <w:szCs w:val="24"/>
        </w:rPr>
        <w:t>ed baseline preference parameter as:</w:t>
      </w:r>
    </w:p>
    <w:p w14:paraId="12273698" w14:textId="196D9519" w:rsidR="00303886" w:rsidRPr="00303886" w:rsidRDefault="005F211D" w:rsidP="005F211D">
      <w:pPr>
        <w:tabs>
          <w:tab w:val="right" w:pos="9360"/>
        </w:tabs>
        <w:spacing w:after="0" w:line="240" w:lineRule="auto"/>
        <w:jc w:val="both"/>
        <w:rPr>
          <w:rFonts w:ascii="Times New Roman" w:hAnsi="Times New Roman" w:cs="Times New Roman"/>
          <w:sz w:val="24"/>
          <w:szCs w:val="24"/>
        </w:rPr>
      </w:pPr>
      <w:r w:rsidRPr="00CE2005">
        <w:rPr>
          <w:rFonts w:ascii="Times New Roman" w:hAnsi="Times New Roman" w:cs="Times New Roman"/>
          <w:position w:val="-24"/>
          <w:sz w:val="24"/>
          <w:szCs w:val="24"/>
        </w:rPr>
        <w:object w:dxaOrig="5480" w:dyaOrig="620" w14:anchorId="19A38823">
          <v:shape id="_x0000_i1061" type="#_x0000_t75" style="width:274.3pt;height:30.45pt;mso-position-vertical:absolute" o:ole="" o:preferrelative="f">
            <v:imagedata r:id="rId82" o:title=""/>
            <o:lock v:ext="edit" aspectratio="f"/>
          </v:shape>
          <o:OLEObject Type="Embed" ProgID="Equation.DSMT4" ShapeID="_x0000_i1061" DrawAspect="Content" ObjectID="_1752435764" r:id="rId83"/>
        </w:object>
      </w:r>
      <w:r w:rsidR="00303886" w:rsidRPr="00303886">
        <w:rPr>
          <w:rFonts w:ascii="Times New Roman" w:hAnsi="Times New Roman" w:cs="Times New Roman"/>
          <w:sz w:val="24"/>
          <w:szCs w:val="24"/>
        </w:rPr>
        <w:tab/>
      </w:r>
      <w:r w:rsidR="007067E8">
        <w:rPr>
          <w:rFonts w:ascii="Times New Roman" w:hAnsi="Times New Roman" w:cs="Times New Roman"/>
          <w:sz w:val="24"/>
          <w:szCs w:val="24"/>
        </w:rPr>
        <w:t>(5)</w:t>
      </w:r>
      <w:r w:rsidR="007715FB">
        <w:rPr>
          <w:rFonts w:ascii="Times New Roman" w:hAnsi="Times New Roman" w:cs="Times New Roman"/>
          <w:sz w:val="24"/>
          <w:szCs w:val="24"/>
        </w:rPr>
        <w:t xml:space="preserve">  </w:t>
      </w:r>
    </w:p>
    <w:p w14:paraId="05662A9B" w14:textId="460C0D2C" w:rsidR="00303886" w:rsidRPr="00303886" w:rsidRDefault="00303886" w:rsidP="005F211D">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 xml:space="preserve">with </w:t>
      </w:r>
      <w:r w:rsidR="005F211D" w:rsidRPr="00303886">
        <w:rPr>
          <w:rFonts w:ascii="Times New Roman" w:hAnsi="Times New Roman" w:cs="Times New Roman"/>
          <w:position w:val="-12"/>
          <w:sz w:val="24"/>
        </w:rPr>
        <w:object w:dxaOrig="260" w:dyaOrig="360" w14:anchorId="31AA6A74">
          <v:shape id="_x0000_i1062" type="#_x0000_t75" style="width:12.85pt;height:18.45pt;mso-position-vertical:absolute" o:ole="" o:preferrelative="f">
            <v:imagedata r:id="rId84" o:title=""/>
            <o:lock v:ext="edit" aspectratio="f"/>
          </v:shape>
          <o:OLEObject Type="Embed" ProgID="Equation.DSMT4" ShapeID="_x0000_i1062" DrawAspect="Content" ObjectID="_1752435765" r:id="rId85"/>
        </w:object>
      </w:r>
      <w:r w:rsidRPr="00303886">
        <w:rPr>
          <w:rFonts w:ascii="Times New Roman" w:hAnsi="Times New Roman" w:cs="Times New Roman"/>
          <w:sz w:val="24"/>
          <w:szCs w:val="24"/>
        </w:rPr>
        <w:t xml:space="preserve"> </w:t>
      </w:r>
      <w:r w:rsidR="007715FB">
        <w:rPr>
          <w:rFonts w:ascii="Times New Roman" w:hAnsi="Times New Roman" w:cs="Times New Roman"/>
          <w:sz w:val="24"/>
          <w:szCs w:val="24"/>
        </w:rPr>
        <w:t xml:space="preserve">now </w:t>
      </w:r>
      <w:r w:rsidRPr="00303886">
        <w:rPr>
          <w:rFonts w:ascii="Times New Roman" w:hAnsi="Times New Roman" w:cs="Times New Roman"/>
          <w:sz w:val="24"/>
          <w:szCs w:val="24"/>
        </w:rPr>
        <w:t xml:space="preserve">standardized to unit scale. </w:t>
      </w:r>
    </w:p>
    <w:p w14:paraId="3B7D376D" w14:textId="7D302398" w:rsidR="00303886" w:rsidRPr="00303886" w:rsidRDefault="00303886" w:rsidP="005F211D">
      <w:pPr>
        <w:spacing w:after="0" w:line="240" w:lineRule="auto"/>
        <w:ind w:firstLine="720"/>
        <w:jc w:val="both"/>
        <w:rPr>
          <w:rFonts w:ascii="Times New Roman" w:hAnsi="Times New Roman" w:cs="Times New Roman"/>
          <w:sz w:val="24"/>
          <w:szCs w:val="24"/>
        </w:rPr>
      </w:pPr>
      <w:r w:rsidRPr="00303886">
        <w:rPr>
          <w:rFonts w:ascii="Times New Roman" w:hAnsi="Times New Roman" w:cs="Times New Roman"/>
          <w:sz w:val="24"/>
          <w:szCs w:val="24"/>
        </w:rPr>
        <w:lastRenderedPageBreak/>
        <w:t xml:space="preserve">Using the price-indices of all elemental alternatives within a product group, the fractional allocation to the alternatives in that product group can be derived, conditional on positive budget allocation to the product group, as below </w:t>
      </w:r>
      <w:r w:rsidRPr="001821F1">
        <w:rPr>
          <w:rFonts w:ascii="Times New Roman" w:hAnsi="Times New Roman" w:cs="Times New Roman"/>
          <w:sz w:val="24"/>
          <w:szCs w:val="24"/>
        </w:rPr>
        <w:t>(</w:t>
      </w:r>
      <w:r w:rsidR="007067E8" w:rsidRPr="001821F1">
        <w:rPr>
          <w:rFonts w:ascii="Times New Roman" w:hAnsi="Times New Roman" w:cs="Times New Roman"/>
          <w:sz w:val="24"/>
          <w:szCs w:val="24"/>
        </w:rPr>
        <w:t>see</w:t>
      </w:r>
      <w:r w:rsidR="007067E8">
        <w:rPr>
          <w:rFonts w:ascii="Times New Roman" w:hAnsi="Times New Roman" w:cs="Times New Roman"/>
          <w:i/>
          <w:iCs/>
          <w:sz w:val="24"/>
          <w:szCs w:val="24"/>
        </w:rPr>
        <w:t xml:space="preserve"> </w:t>
      </w:r>
      <w:r w:rsidR="00A523AA" w:rsidRPr="00A523AA">
        <w:rPr>
          <w:rFonts w:ascii="Times New Roman" w:hAnsi="Times New Roman" w:cs="Times New Roman"/>
          <w:i/>
          <w:iCs/>
          <w:sz w:val="24"/>
          <w:szCs w:val="24"/>
        </w:rPr>
        <w:t>15</w:t>
      </w:r>
      <w:r w:rsidR="007067E8">
        <w:rPr>
          <w:rFonts w:ascii="Times New Roman" w:hAnsi="Times New Roman" w:cs="Times New Roman"/>
          <w:i/>
          <w:iCs/>
          <w:sz w:val="24"/>
          <w:szCs w:val="24"/>
        </w:rPr>
        <w:t xml:space="preserve"> </w:t>
      </w:r>
      <w:r w:rsidR="007067E8" w:rsidRPr="001821F1">
        <w:rPr>
          <w:rFonts w:ascii="Times New Roman" w:hAnsi="Times New Roman" w:cs="Times New Roman"/>
          <w:sz w:val="24"/>
          <w:szCs w:val="24"/>
        </w:rPr>
        <w:t>for details</w:t>
      </w:r>
      <w:r w:rsidRPr="001821F1">
        <w:rPr>
          <w:rFonts w:ascii="Times New Roman" w:hAnsi="Times New Roman" w:cs="Times New Roman"/>
          <w:sz w:val="24"/>
          <w:szCs w:val="24"/>
        </w:rPr>
        <w:t>)</w:t>
      </w:r>
      <w:r w:rsidRPr="00303886">
        <w:rPr>
          <w:rFonts w:ascii="Times New Roman" w:hAnsi="Times New Roman" w:cs="Times New Roman"/>
          <w:sz w:val="24"/>
          <w:szCs w:val="24"/>
        </w:rPr>
        <w:t>:</w:t>
      </w:r>
    </w:p>
    <w:p w14:paraId="4DC43680" w14:textId="267EB17C" w:rsidR="00303886" w:rsidRPr="00303886" w:rsidRDefault="005B36A0" w:rsidP="005F211D">
      <w:pPr>
        <w:tabs>
          <w:tab w:val="right" w:pos="9360"/>
        </w:tabs>
        <w:spacing w:after="0" w:line="240" w:lineRule="auto"/>
        <w:jc w:val="both"/>
        <w:rPr>
          <w:rFonts w:ascii="Times New Roman" w:hAnsi="Times New Roman" w:cs="Times New Roman"/>
          <w:sz w:val="24"/>
          <w:szCs w:val="24"/>
        </w:rPr>
      </w:pPr>
      <w:r w:rsidRPr="005B36A0">
        <w:rPr>
          <w:rFonts w:ascii="Times New Roman" w:hAnsi="Times New Roman" w:cs="Times New Roman"/>
          <w:position w:val="-90"/>
          <w:sz w:val="24"/>
          <w:szCs w:val="24"/>
        </w:rPr>
        <w:object w:dxaOrig="7880" w:dyaOrig="1920" w14:anchorId="71C2B669">
          <v:shape id="_x0000_i1063" type="#_x0000_t75" style="width:393pt;height:95.55pt" o:ole="">
            <v:imagedata r:id="rId86" o:title=""/>
          </v:shape>
          <o:OLEObject Type="Embed" ProgID="Equation.DSMT4" ShapeID="_x0000_i1063" DrawAspect="Content" ObjectID="_1752435766" r:id="rId87"/>
        </w:object>
      </w:r>
      <w:r>
        <w:rPr>
          <w:rFonts w:ascii="Times New Roman" w:hAnsi="Times New Roman" w:cs="Times New Roman"/>
          <w:sz w:val="24"/>
          <w:szCs w:val="24"/>
        </w:rPr>
        <w:tab/>
      </w:r>
      <w:r w:rsidR="00303886" w:rsidRPr="00303886">
        <w:rPr>
          <w:rFonts w:ascii="Times New Roman" w:hAnsi="Times New Roman" w:cs="Times New Roman"/>
          <w:sz w:val="24"/>
          <w:szCs w:val="24"/>
        </w:rPr>
        <w:t>(6)</w:t>
      </w:r>
    </w:p>
    <w:p w14:paraId="7B6BA789" w14:textId="670046E1" w:rsidR="00303886" w:rsidRPr="00303886" w:rsidRDefault="00303886" w:rsidP="005F211D">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 xml:space="preserve">In the above expression, for notation convenience, </w:t>
      </w:r>
      <w:r w:rsidR="00C25A23" w:rsidRPr="00303886">
        <w:rPr>
          <w:rFonts w:ascii="Times New Roman" w:hAnsi="Times New Roman" w:cs="Times New Roman"/>
          <w:position w:val="-6"/>
          <w:sz w:val="24"/>
        </w:rPr>
        <w:object w:dxaOrig="360" w:dyaOrig="220" w14:anchorId="55DCC4EB">
          <v:shape id="_x0000_i1064" type="#_x0000_t75" style="width:18.45pt;height:10.3pt" o:ole="" o:preferrelative="f">
            <v:imagedata r:id="rId88" o:title=""/>
            <o:lock v:ext="edit" aspectratio="f"/>
          </v:shape>
          <o:OLEObject Type="Embed" ProgID="Equation.DSMT4" ShapeID="_x0000_i1064" DrawAspect="Content" ObjectID="_1752435767" r:id="rId89"/>
        </w:object>
      </w:r>
      <w:r w:rsidRPr="00303886">
        <w:rPr>
          <w:rFonts w:ascii="Times New Roman" w:hAnsi="Times New Roman" w:cs="Times New Roman"/>
          <w:sz w:val="24"/>
        </w:rPr>
        <w:t xml:space="preserve"> is denoted by </w:t>
      </w:r>
      <w:r w:rsidR="00C25A23" w:rsidRPr="00303886">
        <w:rPr>
          <w:rFonts w:ascii="Times New Roman" w:hAnsi="Times New Roman" w:cs="Times New Roman"/>
          <w:position w:val="-6"/>
          <w:sz w:val="24"/>
        </w:rPr>
        <w:object w:dxaOrig="220" w:dyaOrig="279" w14:anchorId="117B3F12">
          <v:shape id="_x0000_i1065" type="#_x0000_t75" style="width:10.3pt;height:13.7pt" o:ole="" o:preferrelative="f">
            <v:imagedata r:id="rId90" o:title=""/>
            <o:lock v:ext="edit" aspectratio="f"/>
          </v:shape>
          <o:OLEObject Type="Embed" ProgID="Equation.DSMT4" ShapeID="_x0000_i1065" DrawAspect="Content" ObjectID="_1752435768" r:id="rId91"/>
        </w:object>
      </w:r>
      <w:r w:rsidRPr="00303886">
        <w:rPr>
          <w:rFonts w:ascii="Times New Roman" w:hAnsi="Times New Roman" w:cs="Times New Roman"/>
          <w:sz w:val="24"/>
        </w:rPr>
        <w:t>.</w:t>
      </w:r>
    </w:p>
    <w:p w14:paraId="6C072735" w14:textId="3B738339" w:rsidR="00303886" w:rsidRPr="00303886" w:rsidRDefault="00303886" w:rsidP="005F211D">
      <w:pPr>
        <w:spacing w:after="0" w:line="240" w:lineRule="auto"/>
        <w:ind w:firstLine="720"/>
        <w:jc w:val="both"/>
        <w:rPr>
          <w:rFonts w:ascii="Times New Roman" w:hAnsi="Times New Roman" w:cs="Times New Roman"/>
          <w:sz w:val="24"/>
          <w:szCs w:val="24"/>
        </w:rPr>
      </w:pPr>
      <w:r w:rsidRPr="00303886">
        <w:rPr>
          <w:rFonts w:ascii="Times New Roman" w:hAnsi="Times New Roman" w:cs="Times New Roman"/>
          <w:sz w:val="24"/>
          <w:szCs w:val="24"/>
        </w:rPr>
        <w:t>Next, the price indices (</w:t>
      </w:r>
      <w:r w:rsidR="00C25A23" w:rsidRPr="00303886">
        <w:rPr>
          <w:rFonts w:ascii="Times New Roman" w:hAnsi="Times New Roman" w:cs="Times New Roman"/>
          <w:position w:val="-12"/>
          <w:sz w:val="24"/>
          <w:szCs w:val="24"/>
        </w:rPr>
        <w:object w:dxaOrig="300" w:dyaOrig="380" w14:anchorId="402F44E5">
          <v:shape id="_x0000_i1066" type="#_x0000_t75" style="width:15pt;height:18.85pt" o:ole="" o:preferrelative="f">
            <v:imagedata r:id="rId92" o:title=""/>
            <o:lock v:ext="edit" aspectratio="f"/>
          </v:shape>
          <o:OLEObject Type="Embed" ProgID="Equation.DSMT4" ShapeID="_x0000_i1066" DrawAspect="Content" ObjectID="_1752435769" r:id="rId93"/>
        </w:object>
      </w:r>
      <w:r w:rsidRPr="00303886">
        <w:rPr>
          <w:rFonts w:ascii="Times New Roman" w:hAnsi="Times New Roman" w:cs="Times New Roman"/>
          <w:sz w:val="24"/>
          <w:szCs w:val="24"/>
        </w:rPr>
        <w:t xml:space="preserve">) of all inside goods within a product group can be aggregated using the following constant elasticity of substitution (CES) form (which is homogenous of degree 1) to define a group-level price index </w:t>
      </w:r>
      <w:r w:rsidR="00A523AA" w:rsidRPr="00A523AA">
        <w:rPr>
          <w:rFonts w:ascii="Times New Roman" w:hAnsi="Times New Roman" w:cs="Times New Roman"/>
          <w:i/>
          <w:iCs/>
          <w:sz w:val="24"/>
          <w:szCs w:val="24"/>
        </w:rPr>
        <w:t>(15)</w:t>
      </w:r>
      <w:r w:rsidRPr="00303886">
        <w:rPr>
          <w:rFonts w:ascii="Times New Roman" w:hAnsi="Times New Roman" w:cs="Times New Roman"/>
          <w:sz w:val="24"/>
          <w:szCs w:val="24"/>
        </w:rPr>
        <w:t>:</w:t>
      </w:r>
    </w:p>
    <w:p w14:paraId="69780095" w14:textId="73791963" w:rsidR="00303886" w:rsidRPr="00303886" w:rsidRDefault="00F91DE5" w:rsidP="005F211D">
      <w:pPr>
        <w:tabs>
          <w:tab w:val="right" w:pos="9360"/>
        </w:tabs>
        <w:spacing w:after="0" w:line="240" w:lineRule="auto"/>
        <w:ind w:firstLine="360"/>
        <w:jc w:val="both"/>
        <w:rPr>
          <w:rFonts w:ascii="Times New Roman" w:hAnsi="Times New Roman" w:cs="Times New Roman"/>
          <w:sz w:val="24"/>
          <w:szCs w:val="24"/>
        </w:rPr>
      </w:pPr>
      <w:r w:rsidRPr="007715FB">
        <w:rPr>
          <w:rFonts w:ascii="Times New Roman" w:hAnsi="Times New Roman" w:cs="Times New Roman"/>
          <w:position w:val="-32"/>
          <w:sz w:val="24"/>
          <w:szCs w:val="24"/>
        </w:rPr>
        <w:object w:dxaOrig="6320" w:dyaOrig="820" w14:anchorId="7072D73C">
          <v:shape id="_x0000_i1067" type="#_x0000_t75" style="width:317.15pt;height:41.55pt" o:ole="">
            <v:imagedata r:id="rId94" o:title=""/>
          </v:shape>
          <o:OLEObject Type="Embed" ProgID="Equation.DSMT4" ShapeID="_x0000_i1067" DrawAspect="Content" ObjectID="_1752435770" r:id="rId95"/>
        </w:object>
      </w:r>
      <w:r w:rsidR="00303886" w:rsidRPr="00303886">
        <w:rPr>
          <w:rFonts w:ascii="Times New Roman" w:hAnsi="Times New Roman" w:cs="Times New Roman"/>
          <w:sz w:val="24"/>
          <w:szCs w:val="24"/>
        </w:rPr>
        <w:tab/>
      </w:r>
      <w:r w:rsidR="007715FB">
        <w:rPr>
          <w:rFonts w:ascii="Times New Roman" w:hAnsi="Times New Roman" w:cs="Times New Roman"/>
          <w:sz w:val="24"/>
          <w:szCs w:val="24"/>
        </w:rPr>
        <w:t xml:space="preserve"> </w:t>
      </w:r>
      <w:r w:rsidR="00303886" w:rsidRPr="00303886">
        <w:rPr>
          <w:rFonts w:ascii="Times New Roman" w:hAnsi="Times New Roman" w:cs="Times New Roman"/>
          <w:sz w:val="24"/>
          <w:szCs w:val="24"/>
        </w:rPr>
        <w:t>(7)</w:t>
      </w:r>
    </w:p>
    <w:p w14:paraId="3BBB365C" w14:textId="14D1E13D" w:rsidR="00303886" w:rsidRPr="00303886" w:rsidRDefault="00303886" w:rsidP="005F211D">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 xml:space="preserve">The product group-level price index defined above is used to link the second-stage fractional allocation to the first-stage budget allocation (i.e., to enable the second-stage allocation to influence the first-stage). However, to keep the fractional allocation to each good within the product group exogenous to the group-level budget (a requirement of the Gorman polar form), Bhat </w:t>
      </w:r>
      <w:r w:rsidRPr="003A54E6">
        <w:rPr>
          <w:rFonts w:ascii="Times New Roman" w:hAnsi="Times New Roman" w:cs="Times New Roman"/>
          <w:i/>
          <w:iCs/>
          <w:sz w:val="24"/>
          <w:szCs w:val="24"/>
        </w:rPr>
        <w:t>(</w:t>
      </w:r>
      <w:r w:rsidR="003A54E6" w:rsidRPr="003A54E6">
        <w:rPr>
          <w:rFonts w:ascii="Times New Roman" w:hAnsi="Times New Roman" w:cs="Times New Roman"/>
          <w:i/>
          <w:iCs/>
          <w:sz w:val="24"/>
          <w:szCs w:val="24"/>
        </w:rPr>
        <w:t>15</w:t>
      </w:r>
      <w:r w:rsidRPr="003A54E6">
        <w:rPr>
          <w:rFonts w:ascii="Times New Roman" w:hAnsi="Times New Roman" w:cs="Times New Roman"/>
          <w:i/>
          <w:iCs/>
          <w:sz w:val="24"/>
          <w:szCs w:val="24"/>
        </w:rPr>
        <w:t>)</w:t>
      </w:r>
      <w:r w:rsidRPr="00303886">
        <w:rPr>
          <w:rFonts w:ascii="Times New Roman" w:hAnsi="Times New Roman" w:cs="Times New Roman"/>
          <w:sz w:val="24"/>
          <w:szCs w:val="24"/>
        </w:rPr>
        <w:t xml:space="preserve"> used a different set of error terms (i.e., </w:t>
      </w:r>
      <w:r w:rsidR="00C25A23" w:rsidRPr="00303886">
        <w:rPr>
          <w:rFonts w:ascii="Times New Roman" w:hAnsi="Times New Roman" w:cs="Times New Roman"/>
          <w:position w:val="-12"/>
          <w:sz w:val="24"/>
          <w:szCs w:val="24"/>
        </w:rPr>
        <w:object w:dxaOrig="260" w:dyaOrig="360" w14:anchorId="00B81508">
          <v:shape id="_x0000_i1068" type="#_x0000_t75" style="width:12.85pt;height:18.45pt" o:ole="" o:preferrelative="f">
            <v:imagedata r:id="rId96" o:title=""/>
            <o:lock v:ext="edit" aspectratio="f"/>
          </v:shape>
          <o:OLEObject Type="Embed" ProgID="Equation.DSMT4" ShapeID="_x0000_i1068" DrawAspect="Content" ObjectID="_1752435771" r:id="rId97"/>
        </w:object>
      </w:r>
      <w:r w:rsidRPr="00303886">
        <w:rPr>
          <w:rFonts w:ascii="Times New Roman" w:hAnsi="Times New Roman" w:cs="Times New Roman"/>
          <w:sz w:val="24"/>
          <w:szCs w:val="24"/>
        </w:rPr>
        <w:t xml:space="preserve"> instead of </w:t>
      </w:r>
      <w:r w:rsidR="00C25A23" w:rsidRPr="00303886">
        <w:rPr>
          <w:rFonts w:ascii="Times New Roman" w:hAnsi="Times New Roman" w:cs="Times New Roman"/>
          <w:position w:val="-12"/>
          <w:sz w:val="24"/>
        </w:rPr>
        <w:object w:dxaOrig="260" w:dyaOrig="360" w14:anchorId="310B8DAD">
          <v:shape id="_x0000_i1069" type="#_x0000_t75" style="width:12.85pt;height:18.45pt" o:ole="" o:preferrelative="f">
            <v:imagedata r:id="rId84" o:title=""/>
            <o:lock v:ext="edit" aspectratio="f"/>
          </v:shape>
          <o:OLEObject Type="Embed" ProgID="Equation.DSMT4" ShapeID="_x0000_i1069" DrawAspect="Content" ObjectID="_1752435772" r:id="rId98"/>
        </w:object>
      </w:r>
      <w:r w:rsidRPr="00303886">
        <w:rPr>
          <w:rFonts w:ascii="Times New Roman" w:hAnsi="Times New Roman" w:cs="Times New Roman"/>
          <w:sz w:val="24"/>
          <w:szCs w:val="24"/>
        </w:rPr>
        <w:t xml:space="preserve">) for the baseline preference parameters in the group-level price index. This helps avoid any correlation or influence of the group-level budget on the second-stage fractional allocation. </w:t>
      </w:r>
    </w:p>
    <w:p w14:paraId="18214649" w14:textId="77B1542E" w:rsidR="00303886" w:rsidRPr="00303886" w:rsidRDefault="00303886" w:rsidP="005F211D">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The linking function</w:t>
      </w:r>
      <w:r w:rsidR="009478EF">
        <w:rPr>
          <w:rFonts w:ascii="Times New Roman" w:hAnsi="Times New Roman" w:cs="Times New Roman"/>
          <w:sz w:val="24"/>
          <w:szCs w:val="24"/>
        </w:rPr>
        <w:t>, in logarithmic form,</w:t>
      </w:r>
      <w:r w:rsidRPr="00303886">
        <w:rPr>
          <w:rFonts w:ascii="Times New Roman" w:hAnsi="Times New Roman" w:cs="Times New Roman"/>
          <w:sz w:val="24"/>
          <w:szCs w:val="24"/>
        </w:rPr>
        <w:t xml:space="preserve"> can </w:t>
      </w:r>
      <w:r w:rsidR="007715FB">
        <w:rPr>
          <w:rFonts w:ascii="Times New Roman" w:hAnsi="Times New Roman" w:cs="Times New Roman"/>
          <w:sz w:val="24"/>
          <w:szCs w:val="24"/>
        </w:rPr>
        <w:t xml:space="preserve">then </w:t>
      </w:r>
      <w:r w:rsidRPr="00303886">
        <w:rPr>
          <w:rFonts w:ascii="Times New Roman" w:hAnsi="Times New Roman" w:cs="Times New Roman"/>
          <w:sz w:val="24"/>
          <w:szCs w:val="24"/>
        </w:rPr>
        <w:t>be rewritten as:</w:t>
      </w:r>
    </w:p>
    <w:p w14:paraId="4F921059" w14:textId="69EA3068" w:rsidR="00303886" w:rsidRPr="00303886" w:rsidRDefault="00F91DE5" w:rsidP="005F211D">
      <w:pPr>
        <w:tabs>
          <w:tab w:val="right" w:pos="9360"/>
        </w:tabs>
        <w:spacing w:after="0" w:line="240" w:lineRule="auto"/>
        <w:jc w:val="both"/>
        <w:rPr>
          <w:rFonts w:ascii="Times New Roman" w:hAnsi="Times New Roman" w:cs="Times New Roman"/>
          <w:sz w:val="24"/>
          <w:szCs w:val="24"/>
        </w:rPr>
      </w:pPr>
      <w:r w:rsidRPr="00303886">
        <w:rPr>
          <w:rFonts w:ascii="Times New Roman" w:hAnsi="Times New Roman" w:cs="Times New Roman"/>
          <w:position w:val="-30"/>
          <w:sz w:val="24"/>
          <w:szCs w:val="24"/>
        </w:rPr>
        <w:object w:dxaOrig="8059" w:dyaOrig="760" w14:anchorId="2347016A">
          <v:shape id="_x0000_i1070" type="#_x0000_t75" style="width:405pt;height:38.15pt" o:ole="">
            <v:imagedata r:id="rId99" o:title=""/>
          </v:shape>
          <o:OLEObject Type="Embed" ProgID="Equation.DSMT4" ShapeID="_x0000_i1070" DrawAspect="Content" ObjectID="_1752435773" r:id="rId100"/>
        </w:object>
      </w:r>
      <w:r>
        <w:rPr>
          <w:rFonts w:ascii="Times New Roman" w:hAnsi="Times New Roman" w:cs="Times New Roman"/>
          <w:sz w:val="24"/>
          <w:szCs w:val="24"/>
        </w:rPr>
        <w:t xml:space="preserve">       </w:t>
      </w:r>
      <w:r w:rsidR="005B36A0">
        <w:rPr>
          <w:rFonts w:ascii="Times New Roman" w:hAnsi="Times New Roman" w:cs="Times New Roman"/>
          <w:sz w:val="24"/>
          <w:szCs w:val="24"/>
        </w:rPr>
        <w:tab/>
      </w:r>
      <w:r w:rsidR="00303886" w:rsidRPr="00303886">
        <w:rPr>
          <w:rFonts w:ascii="Times New Roman" w:hAnsi="Times New Roman" w:cs="Times New Roman"/>
          <w:sz w:val="24"/>
          <w:szCs w:val="24"/>
        </w:rPr>
        <w:t>(8)</w:t>
      </w:r>
    </w:p>
    <w:p w14:paraId="0271BB09" w14:textId="63635DB6" w:rsidR="00303886" w:rsidRDefault="00303886" w:rsidP="005F211D">
      <w:pPr>
        <w:spacing w:after="0" w:line="240" w:lineRule="auto"/>
        <w:jc w:val="both"/>
        <w:rPr>
          <w:rFonts w:ascii="Times New Roman" w:hAnsi="Times New Roman" w:cs="Times New Roman"/>
          <w:sz w:val="24"/>
          <w:szCs w:val="24"/>
        </w:rPr>
      </w:pPr>
      <w:r w:rsidRPr="00D20B53">
        <w:rPr>
          <w:rFonts w:ascii="Times New Roman" w:hAnsi="Times New Roman" w:cs="Times New Roman"/>
          <w:sz w:val="24"/>
          <w:szCs w:val="24"/>
        </w:rPr>
        <w:t xml:space="preserve">with </w:t>
      </w:r>
      <w:r w:rsidR="00524615" w:rsidRPr="00D20B53">
        <w:rPr>
          <w:rFonts w:ascii="Times New Roman" w:hAnsi="Times New Roman" w:cs="Times New Roman"/>
          <w:position w:val="-12"/>
          <w:sz w:val="24"/>
          <w:szCs w:val="24"/>
        </w:rPr>
        <w:object w:dxaOrig="260" w:dyaOrig="360" w14:anchorId="760DFD22">
          <v:shape id="_x0000_i1071" type="#_x0000_t75" style="width:17.15pt;height:18.85pt" o:ole="">
            <v:imagedata r:id="rId101" o:title=""/>
          </v:shape>
          <o:OLEObject Type="Embed" ProgID="Equation.DSMT4" ShapeID="_x0000_i1071" DrawAspect="Content" ObjectID="_1752435774" r:id="rId102"/>
        </w:object>
      </w:r>
      <w:r w:rsidRPr="00D20B53">
        <w:rPr>
          <w:rFonts w:ascii="Times New Roman" w:hAnsi="Times New Roman" w:cs="Times New Roman"/>
          <w:sz w:val="24"/>
          <w:szCs w:val="24"/>
        </w:rPr>
        <w:t xml:space="preserve"> following a standardi</w:t>
      </w:r>
      <w:r w:rsidR="000A4751" w:rsidRPr="00D20B53">
        <w:rPr>
          <w:rFonts w:ascii="Times New Roman" w:hAnsi="Times New Roman" w:cs="Times New Roman"/>
          <w:sz w:val="24"/>
          <w:szCs w:val="24"/>
        </w:rPr>
        <w:t>z</w:t>
      </w:r>
      <w:r w:rsidRPr="00D20B53">
        <w:rPr>
          <w:rFonts w:ascii="Times New Roman" w:hAnsi="Times New Roman" w:cs="Times New Roman"/>
          <w:sz w:val="24"/>
          <w:szCs w:val="24"/>
        </w:rPr>
        <w:t xml:space="preserve">ed reverse Gumbel distribution, </w:t>
      </w:r>
      <w:r w:rsidR="00C25A23" w:rsidRPr="001E5F24">
        <w:rPr>
          <w:position w:val="-12"/>
        </w:rPr>
        <w:object w:dxaOrig="499" w:dyaOrig="380" w14:anchorId="49F406F3">
          <v:shape id="_x0000_i1072" type="#_x0000_t75" style="width:25.7pt;height:18.85pt" o:ole="" o:preferrelative="f">
            <v:imagedata r:id="rId103" o:title=""/>
            <o:lock v:ext="edit" aspectratio="f"/>
          </v:shape>
          <o:OLEObject Type="Embed" ProgID="Equation.DSMT4" ShapeID="_x0000_i1072" DrawAspect="Content" ObjectID="_1752435775" r:id="rId104"/>
        </w:object>
      </w:r>
      <w:r w:rsidR="00F91DE5">
        <w:t xml:space="preserve"> </w:t>
      </w:r>
      <w:r w:rsidRPr="009478EF">
        <w:rPr>
          <w:rFonts w:ascii="Times New Roman" w:hAnsi="Times New Roman" w:cs="Times New Roman"/>
          <w:sz w:val="24"/>
          <w:szCs w:val="24"/>
        </w:rPr>
        <w:t xml:space="preserve">representing the </w:t>
      </w:r>
      <w:r w:rsidR="007715FB" w:rsidRPr="009478EF">
        <w:rPr>
          <w:rFonts w:ascii="Times New Roman" w:hAnsi="Times New Roman" w:cs="Times New Roman"/>
          <w:sz w:val="24"/>
          <w:szCs w:val="24"/>
        </w:rPr>
        <w:t>scale-</w:t>
      </w:r>
      <w:r w:rsidRPr="009478EF">
        <w:rPr>
          <w:rFonts w:ascii="Times New Roman" w:hAnsi="Times New Roman" w:cs="Times New Roman"/>
          <w:sz w:val="24"/>
          <w:szCs w:val="24"/>
        </w:rPr>
        <w:t>normali</w:t>
      </w:r>
      <w:r w:rsidR="000A4751" w:rsidRPr="009478EF">
        <w:rPr>
          <w:rFonts w:ascii="Times New Roman" w:hAnsi="Times New Roman" w:cs="Times New Roman"/>
          <w:sz w:val="24"/>
          <w:szCs w:val="24"/>
        </w:rPr>
        <w:t>z</w:t>
      </w:r>
      <w:r w:rsidRPr="009478EF">
        <w:rPr>
          <w:rFonts w:ascii="Times New Roman" w:hAnsi="Times New Roman" w:cs="Times New Roman"/>
          <w:sz w:val="24"/>
          <w:szCs w:val="24"/>
        </w:rPr>
        <w:t xml:space="preserve">ed deterministic part of the baseline preference </w:t>
      </w:r>
      <w:r w:rsidR="007715FB" w:rsidRPr="009478EF">
        <w:rPr>
          <w:rFonts w:ascii="Times New Roman" w:hAnsi="Times New Roman" w:cs="Times New Roman"/>
          <w:sz w:val="24"/>
          <w:szCs w:val="24"/>
        </w:rPr>
        <w:t>parameter,</w:t>
      </w:r>
      <w:r w:rsidRPr="009478EF">
        <w:rPr>
          <w:rFonts w:ascii="Times New Roman" w:hAnsi="Times New Roman" w:cs="Times New Roman"/>
          <w:sz w:val="24"/>
          <w:szCs w:val="24"/>
        </w:rPr>
        <w:t xml:space="preserve"> and the scale of the error terms (</w:t>
      </w:r>
      <w:r w:rsidRPr="00F91DE5">
        <w:rPr>
          <w:rFonts w:ascii="Times New Roman" w:hAnsi="Times New Roman" w:cs="Times New Roman"/>
          <w:position w:val="-4"/>
          <w:sz w:val="24"/>
          <w:szCs w:val="24"/>
        </w:rPr>
        <w:object w:dxaOrig="240" w:dyaOrig="200" w14:anchorId="67756CF4">
          <v:shape id="_x0000_i1073" type="#_x0000_t75" style="width:13.7pt;height:11.55pt" o:ole="">
            <v:imagedata r:id="rId105" o:title=""/>
          </v:shape>
          <o:OLEObject Type="Embed" ProgID="Equation.DSMT4" ShapeID="_x0000_i1073" DrawAspect="Content" ObjectID="_1752435776" r:id="rId106"/>
        </w:object>
      </w:r>
      <w:r w:rsidRPr="00D20B53">
        <w:rPr>
          <w:rFonts w:ascii="Times New Roman" w:hAnsi="Times New Roman" w:cs="Times New Roman"/>
          <w:sz w:val="24"/>
          <w:szCs w:val="24"/>
        </w:rPr>
        <w:t xml:space="preserve">) </w:t>
      </w:r>
      <w:r w:rsidR="007715FB" w:rsidRPr="009478EF">
        <w:rPr>
          <w:rFonts w:ascii="Times New Roman" w:hAnsi="Times New Roman" w:cs="Times New Roman"/>
          <w:sz w:val="24"/>
          <w:szCs w:val="24"/>
        </w:rPr>
        <w:t xml:space="preserve">also </w:t>
      </w:r>
      <w:r w:rsidRPr="009478EF">
        <w:rPr>
          <w:rFonts w:ascii="Times New Roman" w:hAnsi="Times New Roman" w:cs="Times New Roman"/>
          <w:sz w:val="24"/>
          <w:szCs w:val="24"/>
        </w:rPr>
        <w:t>appear</w:t>
      </w:r>
      <w:r w:rsidR="007715FB" w:rsidRPr="009478EF">
        <w:rPr>
          <w:rFonts w:ascii="Times New Roman" w:hAnsi="Times New Roman" w:cs="Times New Roman"/>
          <w:sz w:val="24"/>
          <w:szCs w:val="24"/>
        </w:rPr>
        <w:t>ing</w:t>
      </w:r>
      <w:r w:rsidRPr="009478EF">
        <w:rPr>
          <w:rFonts w:ascii="Times New Roman" w:hAnsi="Times New Roman" w:cs="Times New Roman"/>
          <w:sz w:val="24"/>
          <w:szCs w:val="24"/>
        </w:rPr>
        <w:t xml:space="preserve"> in the term </w:t>
      </w:r>
      <w:r w:rsidR="00C25A23" w:rsidRPr="00F91DE5">
        <w:rPr>
          <w:rFonts w:ascii="Times New Roman" w:hAnsi="Times New Roman" w:cs="Times New Roman"/>
          <w:position w:val="-6"/>
          <w:sz w:val="24"/>
          <w:szCs w:val="24"/>
        </w:rPr>
        <w:object w:dxaOrig="220" w:dyaOrig="279" w14:anchorId="1EE1BDEF">
          <v:shape id="_x0000_i1074" type="#_x0000_t75" style="width:10.3pt;height:13.7pt" o:ole="" o:preferrelative="f">
            <v:imagedata r:id="rId90" o:title=""/>
            <o:lock v:ext="edit" aspectratio="f"/>
          </v:shape>
          <o:OLEObject Type="Embed" ProgID="Equation.DSMT4" ShapeID="_x0000_i1074" DrawAspect="Content" ObjectID="_1752435777" r:id="rId107"/>
        </w:object>
      </w:r>
      <w:r w:rsidRPr="00D20B53">
        <w:rPr>
          <w:rFonts w:ascii="Times New Roman" w:hAnsi="Times New Roman" w:cs="Times New Roman"/>
          <w:sz w:val="24"/>
          <w:szCs w:val="24"/>
        </w:rPr>
        <w:t>.</w:t>
      </w:r>
    </w:p>
    <w:p w14:paraId="22593CF7" w14:textId="77777777" w:rsidR="005B36A0" w:rsidRPr="009478EF" w:rsidRDefault="005B36A0" w:rsidP="005F211D">
      <w:pPr>
        <w:spacing w:after="0" w:line="240" w:lineRule="auto"/>
        <w:jc w:val="both"/>
        <w:rPr>
          <w:rFonts w:ascii="Times New Roman" w:hAnsi="Times New Roman" w:cs="Times New Roman"/>
          <w:sz w:val="24"/>
          <w:szCs w:val="24"/>
        </w:rPr>
      </w:pPr>
    </w:p>
    <w:p w14:paraId="3625E112" w14:textId="6C41E758" w:rsidR="00303886" w:rsidRPr="00C41B76" w:rsidRDefault="00303886" w:rsidP="005F211D">
      <w:pPr>
        <w:keepNext/>
        <w:keepLines/>
        <w:spacing w:after="0" w:line="240" w:lineRule="auto"/>
        <w:jc w:val="both"/>
        <w:rPr>
          <w:rFonts w:ascii="Times New Roman" w:hAnsi="Times New Roman" w:cs="Times New Roman"/>
          <w:b/>
          <w:color w:val="000000" w:themeColor="text1"/>
          <w:sz w:val="24"/>
          <w:szCs w:val="24"/>
        </w:rPr>
      </w:pPr>
      <w:r w:rsidRPr="00C41B76">
        <w:rPr>
          <w:rFonts w:ascii="Times New Roman" w:hAnsi="Times New Roman" w:cs="Times New Roman"/>
          <w:b/>
          <w:color w:val="000000" w:themeColor="text1"/>
          <w:sz w:val="24"/>
          <w:szCs w:val="24"/>
        </w:rPr>
        <w:t xml:space="preserve">Structure of the </w:t>
      </w:r>
      <w:r w:rsidR="00DB73C4">
        <w:rPr>
          <w:rFonts w:ascii="Times New Roman" w:hAnsi="Times New Roman" w:cs="Times New Roman"/>
          <w:b/>
          <w:color w:val="000000" w:themeColor="text1"/>
          <w:sz w:val="24"/>
          <w:szCs w:val="24"/>
        </w:rPr>
        <w:t>F</w:t>
      </w:r>
      <w:r w:rsidRPr="00C41B76">
        <w:rPr>
          <w:rFonts w:ascii="Times New Roman" w:hAnsi="Times New Roman" w:cs="Times New Roman"/>
          <w:b/>
          <w:color w:val="000000" w:themeColor="text1"/>
          <w:sz w:val="24"/>
          <w:szCs w:val="24"/>
        </w:rPr>
        <w:t>irst-</w:t>
      </w:r>
      <w:r w:rsidR="00DB73C4">
        <w:rPr>
          <w:rFonts w:ascii="Times New Roman" w:hAnsi="Times New Roman" w:cs="Times New Roman"/>
          <w:b/>
          <w:color w:val="000000" w:themeColor="text1"/>
          <w:sz w:val="24"/>
          <w:szCs w:val="24"/>
        </w:rPr>
        <w:t>S</w:t>
      </w:r>
      <w:r w:rsidRPr="00C41B76">
        <w:rPr>
          <w:rFonts w:ascii="Times New Roman" w:hAnsi="Times New Roman" w:cs="Times New Roman"/>
          <w:b/>
          <w:color w:val="000000" w:themeColor="text1"/>
          <w:sz w:val="24"/>
          <w:szCs w:val="24"/>
        </w:rPr>
        <w:t xml:space="preserve">tage, </w:t>
      </w:r>
      <w:r w:rsidR="00DB73C4">
        <w:rPr>
          <w:rFonts w:ascii="Times New Roman" w:hAnsi="Times New Roman" w:cs="Times New Roman"/>
          <w:b/>
          <w:color w:val="000000" w:themeColor="text1"/>
          <w:sz w:val="24"/>
          <w:szCs w:val="24"/>
        </w:rPr>
        <w:t>P</w:t>
      </w:r>
      <w:r w:rsidRPr="00C41B76">
        <w:rPr>
          <w:rFonts w:ascii="Times New Roman" w:hAnsi="Times New Roman" w:cs="Times New Roman"/>
          <w:b/>
          <w:color w:val="000000" w:themeColor="text1"/>
          <w:sz w:val="24"/>
          <w:szCs w:val="24"/>
        </w:rPr>
        <w:t xml:space="preserve">roduct </w:t>
      </w:r>
      <w:r w:rsidR="00DB73C4">
        <w:rPr>
          <w:rFonts w:ascii="Times New Roman" w:hAnsi="Times New Roman" w:cs="Times New Roman"/>
          <w:b/>
          <w:color w:val="000000" w:themeColor="text1"/>
          <w:sz w:val="24"/>
          <w:szCs w:val="24"/>
        </w:rPr>
        <w:t>G</w:t>
      </w:r>
      <w:r w:rsidRPr="00C41B76">
        <w:rPr>
          <w:rFonts w:ascii="Times New Roman" w:hAnsi="Times New Roman" w:cs="Times New Roman"/>
          <w:b/>
          <w:color w:val="000000" w:themeColor="text1"/>
          <w:sz w:val="24"/>
          <w:szCs w:val="24"/>
        </w:rPr>
        <w:t>roup-</w:t>
      </w:r>
      <w:r w:rsidR="00DB73C4">
        <w:rPr>
          <w:rFonts w:ascii="Times New Roman" w:hAnsi="Times New Roman" w:cs="Times New Roman"/>
          <w:b/>
          <w:color w:val="000000" w:themeColor="text1"/>
          <w:sz w:val="24"/>
          <w:szCs w:val="24"/>
        </w:rPr>
        <w:t>L</w:t>
      </w:r>
      <w:r w:rsidRPr="00C41B76">
        <w:rPr>
          <w:rFonts w:ascii="Times New Roman" w:hAnsi="Times New Roman" w:cs="Times New Roman"/>
          <w:b/>
          <w:color w:val="000000" w:themeColor="text1"/>
          <w:sz w:val="24"/>
          <w:szCs w:val="24"/>
        </w:rPr>
        <w:t xml:space="preserve">evel </w:t>
      </w:r>
      <w:r w:rsidR="00DB73C4">
        <w:rPr>
          <w:rFonts w:ascii="Times New Roman" w:hAnsi="Times New Roman" w:cs="Times New Roman"/>
          <w:b/>
          <w:color w:val="000000" w:themeColor="text1"/>
          <w:sz w:val="24"/>
          <w:szCs w:val="24"/>
        </w:rPr>
        <w:t>B</w:t>
      </w:r>
      <w:r w:rsidRPr="00C41B76">
        <w:rPr>
          <w:rFonts w:ascii="Times New Roman" w:hAnsi="Times New Roman" w:cs="Times New Roman"/>
          <w:b/>
          <w:color w:val="000000" w:themeColor="text1"/>
          <w:sz w:val="24"/>
          <w:szCs w:val="24"/>
        </w:rPr>
        <w:t xml:space="preserve">udget </w:t>
      </w:r>
      <w:r w:rsidR="00DB73C4">
        <w:rPr>
          <w:rFonts w:ascii="Times New Roman" w:hAnsi="Times New Roman" w:cs="Times New Roman"/>
          <w:b/>
          <w:color w:val="000000" w:themeColor="text1"/>
          <w:sz w:val="24"/>
          <w:szCs w:val="24"/>
        </w:rPr>
        <w:t>E</w:t>
      </w:r>
      <w:r w:rsidRPr="00C41B76">
        <w:rPr>
          <w:rFonts w:ascii="Times New Roman" w:hAnsi="Times New Roman" w:cs="Times New Roman"/>
          <w:b/>
          <w:color w:val="000000" w:themeColor="text1"/>
          <w:sz w:val="24"/>
          <w:szCs w:val="24"/>
        </w:rPr>
        <w:t>quation</w:t>
      </w:r>
    </w:p>
    <w:p w14:paraId="4C3203E8" w14:textId="77777777" w:rsidR="00303886" w:rsidRPr="00303886" w:rsidRDefault="00303886" w:rsidP="005F211D">
      <w:pPr>
        <w:keepNext/>
        <w:keepLines/>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 xml:space="preserve">The </w:t>
      </w:r>
      <w:r w:rsidRPr="00303886">
        <w:rPr>
          <w:rFonts w:ascii="Times New Roman" w:hAnsi="Times New Roman" w:cs="Times New Roman"/>
          <w:sz w:val="24"/>
        </w:rPr>
        <w:t xml:space="preserve">group-level </w:t>
      </w:r>
      <w:r w:rsidRPr="00303886">
        <w:rPr>
          <w:rFonts w:ascii="Times New Roman" w:hAnsi="Times New Roman" w:cs="Times New Roman"/>
          <w:sz w:val="24"/>
          <w:szCs w:val="24"/>
        </w:rPr>
        <w:t>budget amount needs to be non-negative, with a positive probability of zero budget to the group. Consider the following Tobit-like equation:</w:t>
      </w:r>
    </w:p>
    <w:p w14:paraId="35CCC215" w14:textId="789E5C7A" w:rsidR="00303886" w:rsidRPr="00303886" w:rsidRDefault="00DB73C4" w:rsidP="005F211D">
      <w:pPr>
        <w:tabs>
          <w:tab w:val="right" w:pos="9360"/>
        </w:tabs>
        <w:spacing w:after="0" w:line="240" w:lineRule="auto"/>
        <w:jc w:val="both"/>
        <w:rPr>
          <w:rFonts w:ascii="Times New Roman" w:hAnsi="Times New Roman" w:cs="Times New Roman"/>
          <w:sz w:val="24"/>
          <w:szCs w:val="24"/>
        </w:rPr>
      </w:pPr>
      <w:r w:rsidRPr="00303886">
        <w:rPr>
          <w:rFonts w:ascii="Times New Roman" w:hAnsi="Times New Roman" w:cs="Times New Roman"/>
          <w:position w:val="-114"/>
          <w:sz w:val="24"/>
          <w:szCs w:val="24"/>
        </w:rPr>
        <w:object w:dxaOrig="5640" w:dyaOrig="2320" w14:anchorId="0ED612C5">
          <v:shape id="_x0000_i1075" type="#_x0000_t75" style="width:282pt;height:116.15pt" o:ole="" o:preferrelative="f">
            <v:imagedata r:id="rId108" o:title=""/>
            <o:lock v:ext="edit" aspectratio="f"/>
          </v:shape>
          <o:OLEObject Type="Embed" ProgID="Equation.DSMT4" ShapeID="_x0000_i1075" DrawAspect="Content" ObjectID="_1752435778" r:id="rId109"/>
        </w:object>
      </w:r>
      <w:r>
        <w:rPr>
          <w:rFonts w:ascii="Times New Roman" w:hAnsi="Times New Roman" w:cs="Times New Roman"/>
          <w:sz w:val="24"/>
          <w:szCs w:val="24"/>
        </w:rPr>
        <w:tab/>
      </w:r>
      <w:r w:rsidR="00303886" w:rsidRPr="00303886">
        <w:rPr>
          <w:rFonts w:ascii="Times New Roman" w:hAnsi="Times New Roman" w:cs="Times New Roman"/>
          <w:sz w:val="24"/>
          <w:szCs w:val="24"/>
        </w:rPr>
        <w:t>(9)</w:t>
      </w:r>
    </w:p>
    <w:p w14:paraId="0B3E8190" w14:textId="4800D82F" w:rsidR="00303886" w:rsidRPr="00303886" w:rsidRDefault="00303886" w:rsidP="005F211D">
      <w:pPr>
        <w:spacing w:after="0" w:line="240" w:lineRule="auto"/>
        <w:jc w:val="both"/>
        <w:rPr>
          <w:rFonts w:ascii="Times New Roman" w:hAnsi="Times New Roman" w:cs="Times New Roman"/>
          <w:sz w:val="24"/>
          <w:szCs w:val="24"/>
        </w:rPr>
      </w:pPr>
      <w:r w:rsidRPr="00303886">
        <w:rPr>
          <w:rFonts w:ascii="Times New Roman" w:hAnsi="Times New Roman" w:cs="Times New Roman"/>
          <w:sz w:val="24"/>
          <w:szCs w:val="24"/>
        </w:rPr>
        <w:t xml:space="preserve">In the above expression, </w:t>
      </w:r>
      <w:r w:rsidRPr="00303886">
        <w:rPr>
          <w:rFonts w:ascii="Times New Roman" w:hAnsi="Times New Roman" w:cs="Times New Roman"/>
          <w:position w:val="-6"/>
          <w:sz w:val="24"/>
          <w:szCs w:val="24"/>
        </w:rPr>
        <w:object w:dxaOrig="160" w:dyaOrig="220" w14:anchorId="459AB58E">
          <v:shape id="_x0000_i1076" type="#_x0000_t75" style="width:9pt;height:12.45pt" o:ole="">
            <v:imagedata r:id="rId110" o:title=""/>
          </v:shape>
          <o:OLEObject Type="Embed" ProgID="Equation.DSMT4" ShapeID="_x0000_i1076" DrawAspect="Content" ObjectID="_1752435779" r:id="rId111"/>
        </w:object>
      </w:r>
      <w:r w:rsidRPr="00303886">
        <w:rPr>
          <w:rFonts w:ascii="Times New Roman" w:hAnsi="Times New Roman" w:cs="Times New Roman"/>
          <w:sz w:val="24"/>
          <w:szCs w:val="24"/>
        </w:rPr>
        <w:t xml:space="preserve"> is an exogenous variable vector, </w:t>
      </w:r>
      <w:r w:rsidR="00C25A23" w:rsidRPr="00303886">
        <w:rPr>
          <w:rFonts w:ascii="Times New Roman" w:hAnsi="Times New Roman" w:cs="Times New Roman"/>
          <w:position w:val="-6"/>
          <w:sz w:val="24"/>
          <w:szCs w:val="24"/>
        </w:rPr>
        <w:object w:dxaOrig="200" w:dyaOrig="279" w14:anchorId="5B33E5F2">
          <v:shape id="_x0000_i1077" type="#_x0000_t75" style="width:9.45pt;height:13.7pt" o:ole="" o:preferrelative="f">
            <v:imagedata r:id="rId112" o:title=""/>
            <o:lock v:ext="edit" aspectratio="f"/>
          </v:shape>
          <o:OLEObject Type="Embed" ProgID="Equation.DSMT4" ShapeID="_x0000_i1077" DrawAspect="Content" ObjectID="_1752435780" r:id="rId113"/>
        </w:object>
      </w:r>
      <w:r w:rsidRPr="00303886">
        <w:rPr>
          <w:rFonts w:ascii="Times New Roman" w:hAnsi="Times New Roman" w:cs="Times New Roman"/>
          <w:sz w:val="24"/>
          <w:szCs w:val="24"/>
        </w:rPr>
        <w:t xml:space="preserve"> is a corresponding coefficient vector, </w:t>
      </w:r>
      <w:r w:rsidR="00DB73C4" w:rsidRPr="00303886">
        <w:rPr>
          <w:rFonts w:ascii="Times New Roman" w:hAnsi="Times New Roman" w:cs="Times New Roman"/>
          <w:position w:val="-6"/>
          <w:sz w:val="24"/>
          <w:szCs w:val="24"/>
        </w:rPr>
        <w:object w:dxaOrig="220" w:dyaOrig="279" w14:anchorId="71095B30">
          <v:shape id="_x0000_i1078" type="#_x0000_t75" style="width:10.3pt;height:13.7pt" o:ole="" o:preferrelative="f">
            <v:imagedata r:id="rId114" o:title=""/>
            <o:lock v:ext="edit" aspectratio="f"/>
          </v:shape>
          <o:OLEObject Type="Embed" ProgID="Equation.DSMT4" ShapeID="_x0000_i1078" DrawAspect="Content" ObjectID="_1752435781" r:id="rId115"/>
        </w:object>
      </w:r>
      <w:r w:rsidRPr="00303886">
        <w:rPr>
          <w:rFonts w:ascii="Times New Roman" w:hAnsi="Times New Roman" w:cs="Times New Roman"/>
          <w:sz w:val="24"/>
          <w:szCs w:val="24"/>
        </w:rPr>
        <w:t xml:space="preserve"> is a scalar link parameter (</w:t>
      </w:r>
      <w:r w:rsidR="00DB73C4" w:rsidRPr="00303886">
        <w:rPr>
          <w:rFonts w:ascii="Times New Roman" w:hAnsi="Times New Roman" w:cs="Times New Roman"/>
          <w:position w:val="-6"/>
          <w:sz w:val="24"/>
          <w:szCs w:val="24"/>
        </w:rPr>
        <w:object w:dxaOrig="220" w:dyaOrig="279" w14:anchorId="0EFC3E52">
          <v:shape id="_x0000_i1079" type="#_x0000_t75" style="width:10.3pt;height:13.7pt" o:ole="" o:preferrelative="f">
            <v:imagedata r:id="rId114" o:title=""/>
            <o:lock v:ext="edit" aspectratio="f"/>
          </v:shape>
          <o:OLEObject Type="Embed" ProgID="Equation.DSMT4" ShapeID="_x0000_i1079" DrawAspect="Content" ObjectID="_1752435782" r:id="rId116"/>
        </w:object>
      </w:r>
      <w:r w:rsidRPr="00303886">
        <w:rPr>
          <w:rFonts w:ascii="Times New Roman" w:hAnsi="Times New Roman" w:cs="Times New Roman"/>
          <w:sz w:val="24"/>
          <w:szCs w:val="24"/>
        </w:rPr>
        <w:t xml:space="preserve">&gt;0), and </w:t>
      </w:r>
      <w:r w:rsidR="00DB73C4" w:rsidRPr="00303886">
        <w:rPr>
          <w:rFonts w:ascii="Times New Roman" w:hAnsi="Times New Roman" w:cs="Times New Roman"/>
          <w:position w:val="-10"/>
          <w:sz w:val="24"/>
          <w:szCs w:val="24"/>
        </w:rPr>
        <w:object w:dxaOrig="240" w:dyaOrig="320" w14:anchorId="7DEF8941">
          <v:shape id="_x0000_i1080" type="#_x0000_t75" style="width:12.45pt;height:15.45pt" o:ole="" o:preferrelative="f">
            <v:imagedata r:id="rId117" o:title=""/>
            <o:lock v:ext="edit" aspectratio="f"/>
          </v:shape>
          <o:OLEObject Type="Embed" ProgID="Equation.DSMT4" ShapeID="_x0000_i1080" DrawAspect="Content" ObjectID="_1752435783" r:id="rId118"/>
        </w:object>
      </w:r>
      <w:r w:rsidRPr="00303886">
        <w:rPr>
          <w:rFonts w:ascii="Times New Roman" w:hAnsi="Times New Roman" w:cs="Times New Roman"/>
          <w:sz w:val="24"/>
          <w:szCs w:val="24"/>
        </w:rPr>
        <w:t xml:space="preserve"> is a random variable capturing the effects of </w:t>
      </w:r>
      <w:r w:rsidRPr="00303886">
        <w:rPr>
          <w:rFonts w:ascii="Times New Roman" w:hAnsi="Times New Roman" w:cs="Times New Roman"/>
          <w:sz w:val="24"/>
          <w:szCs w:val="24"/>
        </w:rPr>
        <w:lastRenderedPageBreak/>
        <w:t>unobserved variables in the budget equation. The linking parameter appendage</w:t>
      </w:r>
      <w:r w:rsidR="00524615">
        <w:rPr>
          <w:rFonts w:ascii="Times New Roman" w:hAnsi="Times New Roman" w:cs="Times New Roman"/>
          <w:sz w:val="24"/>
          <w:szCs w:val="24"/>
        </w:rPr>
        <w:t xml:space="preserve"> (i.e., </w:t>
      </w:r>
      <w:r w:rsidR="00524615" w:rsidRPr="00303886">
        <w:rPr>
          <w:rFonts w:ascii="Times New Roman" w:hAnsi="Times New Roman" w:cs="Times New Roman"/>
          <w:position w:val="-6"/>
          <w:sz w:val="24"/>
          <w:szCs w:val="24"/>
        </w:rPr>
        <w:object w:dxaOrig="220" w:dyaOrig="279" w14:anchorId="3B6E4B8B">
          <v:shape id="_x0000_i1081" type="#_x0000_t75" style="width:10.3pt;height:13.7pt" o:ole="" o:preferrelative="f">
            <v:imagedata r:id="rId114" o:title=""/>
            <o:lock v:ext="edit" aspectratio="f"/>
          </v:shape>
          <o:OLEObject Type="Embed" ProgID="Equation.DSMT4" ShapeID="_x0000_i1081" DrawAspect="Content" ObjectID="_1752435784" r:id="rId119"/>
        </w:object>
      </w:r>
      <w:r w:rsidR="00524615">
        <w:rPr>
          <w:rFonts w:ascii="Times New Roman" w:hAnsi="Times New Roman" w:cs="Times New Roman"/>
          <w:sz w:val="24"/>
          <w:szCs w:val="24"/>
        </w:rPr>
        <w:t>)</w:t>
      </w:r>
      <w:r w:rsidRPr="00303886">
        <w:rPr>
          <w:rFonts w:ascii="Times New Roman" w:hAnsi="Times New Roman" w:cs="Times New Roman"/>
          <w:sz w:val="24"/>
          <w:szCs w:val="24"/>
        </w:rPr>
        <w:t xml:space="preserve"> to the error term </w:t>
      </w:r>
      <w:r w:rsidR="00DB73C4" w:rsidRPr="00303886">
        <w:rPr>
          <w:rFonts w:ascii="Times New Roman" w:hAnsi="Times New Roman" w:cs="Times New Roman"/>
          <w:position w:val="-10"/>
          <w:sz w:val="24"/>
          <w:szCs w:val="24"/>
        </w:rPr>
        <w:object w:dxaOrig="240" w:dyaOrig="320" w14:anchorId="24C79C04">
          <v:shape id="_x0000_i1082" type="#_x0000_t75" style="width:12.45pt;height:15.45pt" o:ole="" o:preferrelative="f">
            <v:imagedata r:id="rId117" o:title=""/>
            <o:lock v:ext="edit" aspectratio="f"/>
          </v:shape>
          <o:OLEObject Type="Embed" ProgID="Equation.DSMT4" ShapeID="_x0000_i1082" DrawAspect="Content" ObjectID="_1752435785" r:id="rId120"/>
        </w:object>
      </w:r>
      <w:r w:rsidRPr="00303886">
        <w:rPr>
          <w:rFonts w:ascii="Times New Roman" w:hAnsi="Times New Roman" w:cs="Times New Roman"/>
          <w:sz w:val="24"/>
          <w:szCs w:val="24"/>
        </w:rPr>
        <w:t xml:space="preserve"> in the first line of Equation (</w:t>
      </w:r>
      <w:r>
        <w:rPr>
          <w:rFonts w:ascii="Times New Roman" w:hAnsi="Times New Roman" w:cs="Times New Roman"/>
          <w:sz w:val="24"/>
          <w:szCs w:val="24"/>
        </w:rPr>
        <w:t>9</w:t>
      </w:r>
      <w:r w:rsidRPr="00303886">
        <w:rPr>
          <w:rFonts w:ascii="Times New Roman" w:hAnsi="Times New Roman" w:cs="Times New Roman"/>
          <w:sz w:val="24"/>
          <w:szCs w:val="24"/>
        </w:rPr>
        <w:t>) is innocuous and is only for presentation ease in the characteri</w:t>
      </w:r>
      <w:r w:rsidR="000A4751">
        <w:rPr>
          <w:rFonts w:ascii="Times New Roman" w:hAnsi="Times New Roman" w:cs="Times New Roman"/>
          <w:sz w:val="24"/>
          <w:szCs w:val="24"/>
        </w:rPr>
        <w:t>z</w:t>
      </w:r>
      <w:r w:rsidRPr="00303886">
        <w:rPr>
          <w:rFonts w:ascii="Times New Roman" w:hAnsi="Times New Roman" w:cs="Times New Roman"/>
          <w:sz w:val="24"/>
          <w:szCs w:val="24"/>
        </w:rPr>
        <w:t xml:space="preserve">ation of the error term </w:t>
      </w:r>
      <w:r w:rsidR="00DB73C4" w:rsidRPr="00303886">
        <w:rPr>
          <w:rFonts w:ascii="Times New Roman" w:hAnsi="Times New Roman" w:cs="Times New Roman"/>
          <w:position w:val="-10"/>
          <w:sz w:val="24"/>
          <w:szCs w:val="24"/>
        </w:rPr>
        <w:object w:dxaOrig="200" w:dyaOrig="260" w14:anchorId="4488E8AB">
          <v:shape id="_x0000_i1083" type="#_x0000_t75" style="width:9.45pt;height:12.85pt" o:ole="" o:preferrelative="f">
            <v:imagedata r:id="rId121" o:title=""/>
            <o:lock v:ext="edit" aspectratio="f"/>
          </v:shape>
          <o:OLEObject Type="Embed" ProgID="Equation.DSMT4" ShapeID="_x0000_i1083" DrawAspect="Content" ObjectID="_1752435786" r:id="rId122"/>
        </w:object>
      </w:r>
      <w:r w:rsidRPr="00303886">
        <w:rPr>
          <w:rFonts w:ascii="Times New Roman" w:hAnsi="Times New Roman" w:cs="Times New Roman"/>
          <w:sz w:val="24"/>
          <w:szCs w:val="24"/>
        </w:rPr>
        <w:t xml:space="preserve">. As the price of any inside good </w:t>
      </w:r>
      <w:r w:rsidRPr="00303886">
        <w:rPr>
          <w:rFonts w:ascii="Times New Roman" w:hAnsi="Times New Roman" w:cs="Times New Roman"/>
          <w:i/>
          <w:sz w:val="24"/>
          <w:szCs w:val="24"/>
        </w:rPr>
        <w:t>k</w:t>
      </w:r>
      <w:r w:rsidRPr="00303886">
        <w:rPr>
          <w:rFonts w:ascii="Times New Roman" w:hAnsi="Times New Roman" w:cs="Times New Roman"/>
          <w:sz w:val="24"/>
          <w:szCs w:val="24"/>
        </w:rPr>
        <w:t xml:space="preserve"> (</w:t>
      </w:r>
      <w:r w:rsidR="00DB73C4" w:rsidRPr="00303886">
        <w:rPr>
          <w:rFonts w:ascii="Times New Roman" w:hAnsi="Times New Roman" w:cs="Times New Roman"/>
          <w:position w:val="-12"/>
          <w:sz w:val="24"/>
          <w:szCs w:val="24"/>
        </w:rPr>
        <w:object w:dxaOrig="300" w:dyaOrig="380" w14:anchorId="5352BBE4">
          <v:shape id="_x0000_i1084" type="#_x0000_t75" style="width:15pt;height:18.85pt" o:ole="" o:preferrelative="f">
            <v:imagedata r:id="rId123" o:title=""/>
            <o:lock v:ext="edit" aspectratio="f"/>
          </v:shape>
          <o:OLEObject Type="Embed" ProgID="Equation.DSMT4" ShapeID="_x0000_i1084" DrawAspect="Content" ObjectID="_1752435787" r:id="rId124"/>
        </w:object>
      </w:r>
      <w:r w:rsidRPr="00303886">
        <w:rPr>
          <w:rFonts w:ascii="Times New Roman" w:hAnsi="Times New Roman" w:cs="Times New Roman"/>
          <w:sz w:val="24"/>
          <w:szCs w:val="24"/>
        </w:rPr>
        <w:t xml:space="preserve">) decreases, or as the non-cost systematic (log) baseline utility element for any inside good </w:t>
      </w:r>
      <w:r w:rsidRPr="00303886">
        <w:rPr>
          <w:rFonts w:ascii="Times New Roman" w:hAnsi="Times New Roman" w:cs="Times New Roman"/>
          <w:i/>
          <w:sz w:val="24"/>
          <w:szCs w:val="24"/>
        </w:rPr>
        <w:t xml:space="preserve">k </w:t>
      </w:r>
      <w:r w:rsidRPr="00303886">
        <w:rPr>
          <w:rFonts w:ascii="Times New Roman" w:hAnsi="Times New Roman" w:cs="Times New Roman"/>
          <w:sz w:val="24"/>
          <w:szCs w:val="24"/>
        </w:rPr>
        <w:t>(</w:t>
      </w:r>
      <w:r w:rsidR="00DB73C4" w:rsidRPr="00303886">
        <w:rPr>
          <w:rFonts w:ascii="Times New Roman" w:hAnsi="Times New Roman" w:cs="Times New Roman"/>
          <w:position w:val="-12"/>
          <w:sz w:val="24"/>
          <w:szCs w:val="24"/>
        </w:rPr>
        <w:object w:dxaOrig="440" w:dyaOrig="360" w14:anchorId="27FEF684">
          <v:shape id="_x0000_i1085" type="#_x0000_t75" style="width:22.3pt;height:18.45pt" o:ole="" o:preferrelative="f">
            <v:imagedata r:id="rId125" o:title=""/>
            <o:lock v:ext="edit" aspectratio="f"/>
          </v:shape>
          <o:OLEObject Type="Embed" ProgID="Equation.DSMT4" ShapeID="_x0000_i1085" DrawAspect="Content" ObjectID="_1752435788" r:id="rId126"/>
        </w:object>
      </w:r>
      <w:r w:rsidRPr="00303886">
        <w:rPr>
          <w:rFonts w:ascii="Times New Roman" w:hAnsi="Times New Roman" w:cs="Times New Roman"/>
          <w:sz w:val="24"/>
          <w:szCs w:val="24"/>
        </w:rPr>
        <w:t xml:space="preserve">) increases, the value of </w:t>
      </w:r>
      <w:r w:rsidR="00DB73C4" w:rsidRPr="00303886">
        <w:rPr>
          <w:rFonts w:ascii="Times New Roman" w:hAnsi="Times New Roman" w:cs="Times New Roman"/>
          <w:position w:val="-10"/>
          <w:sz w:val="24"/>
          <w:szCs w:val="24"/>
        </w:rPr>
        <w:object w:dxaOrig="200" w:dyaOrig="260" w14:anchorId="6AE0C7D8">
          <v:shape id="_x0000_i1086" type="#_x0000_t75" style="width:9.45pt;height:12.85pt" o:ole="" o:preferrelative="f">
            <v:imagedata r:id="rId121" o:title=""/>
            <o:lock v:ext="edit" aspectratio="f"/>
          </v:shape>
          <o:OLEObject Type="Embed" ProgID="Equation.DSMT4" ShapeID="_x0000_i1086" DrawAspect="Content" ObjectID="_1752435789" r:id="rId127"/>
        </w:object>
      </w:r>
      <w:r w:rsidRPr="00303886">
        <w:rPr>
          <w:rFonts w:ascii="Times New Roman" w:hAnsi="Times New Roman" w:cs="Times New Roman"/>
          <w:sz w:val="24"/>
          <w:szCs w:val="24"/>
        </w:rPr>
        <w:t xml:space="preserve"> falls, and the value of the budget allocated to group </w:t>
      </w:r>
      <w:r w:rsidRPr="00303886">
        <w:rPr>
          <w:rFonts w:ascii="Times New Roman" w:hAnsi="Times New Roman" w:cs="Times New Roman"/>
          <w:i/>
          <w:sz w:val="24"/>
          <w:szCs w:val="24"/>
        </w:rPr>
        <w:t>g</w:t>
      </w:r>
      <w:r w:rsidRPr="00303886">
        <w:rPr>
          <w:rFonts w:ascii="Times New Roman" w:hAnsi="Times New Roman" w:cs="Times New Roman"/>
          <w:sz w:val="24"/>
          <w:szCs w:val="24"/>
        </w:rPr>
        <w:t xml:space="preserve">, (i.e., </w:t>
      </w:r>
      <w:r w:rsidR="00DB73C4" w:rsidRPr="00303886">
        <w:rPr>
          <w:rFonts w:ascii="Times New Roman" w:hAnsi="Times New Roman" w:cs="Times New Roman"/>
          <w:position w:val="-10"/>
          <w:sz w:val="24"/>
          <w:szCs w:val="24"/>
        </w:rPr>
        <w:object w:dxaOrig="220" w:dyaOrig="260" w14:anchorId="78EFD4FA">
          <v:shape id="_x0000_i1087" type="#_x0000_t75" style="width:10.3pt;height:12.85pt" o:ole="" o:preferrelative="f">
            <v:imagedata r:id="rId128" o:title=""/>
            <o:lock v:ext="edit" aspectratio="f"/>
          </v:shape>
          <o:OLEObject Type="Embed" ProgID="Equation.DSMT4" ShapeID="_x0000_i1087" DrawAspect="Content" ObjectID="_1752435790" r:id="rId129"/>
        </w:object>
      </w:r>
      <w:r w:rsidRPr="00303886">
        <w:rPr>
          <w:rFonts w:ascii="Times New Roman" w:hAnsi="Times New Roman" w:cs="Times New Roman"/>
          <w:sz w:val="24"/>
          <w:szCs w:val="24"/>
        </w:rPr>
        <w:t>) increases.</w:t>
      </w:r>
    </w:p>
    <w:p w14:paraId="5B4A71A1" w14:textId="18316398" w:rsidR="00303886" w:rsidRPr="00303886" w:rsidRDefault="00303886" w:rsidP="005F211D">
      <w:pPr>
        <w:spacing w:after="0" w:line="240" w:lineRule="auto"/>
        <w:jc w:val="both"/>
        <w:rPr>
          <w:rFonts w:ascii="Times New Roman" w:hAnsi="Times New Roman" w:cs="Times New Roman"/>
          <w:b/>
          <w:color w:val="000000" w:themeColor="text1"/>
        </w:rPr>
      </w:pPr>
      <w:r w:rsidRPr="00303886">
        <w:rPr>
          <w:rFonts w:ascii="Times New Roman" w:hAnsi="Times New Roman" w:cs="Times New Roman"/>
          <w:sz w:val="24"/>
          <w:szCs w:val="24"/>
        </w:rPr>
        <w:tab/>
        <w:t xml:space="preserve">As in </w:t>
      </w:r>
      <w:r w:rsidR="003A54E6" w:rsidRPr="003A54E6">
        <w:rPr>
          <w:rFonts w:ascii="Times New Roman" w:hAnsi="Times New Roman" w:cs="Times New Roman"/>
          <w:i/>
          <w:iCs/>
          <w:sz w:val="24"/>
          <w:szCs w:val="24"/>
        </w:rPr>
        <w:t>(15)</w:t>
      </w:r>
      <w:r w:rsidRPr="00303886">
        <w:rPr>
          <w:rFonts w:ascii="Times New Roman" w:hAnsi="Times New Roman" w:cs="Times New Roman"/>
          <w:sz w:val="24"/>
          <w:szCs w:val="24"/>
        </w:rPr>
        <w:t xml:space="preserve">, we assume </w:t>
      </w:r>
      <w:r w:rsidR="00DB73C4" w:rsidRPr="00303886">
        <w:rPr>
          <w:rFonts w:ascii="Times New Roman" w:hAnsi="Times New Roman" w:cs="Times New Roman"/>
          <w:position w:val="-10"/>
          <w:sz w:val="24"/>
          <w:szCs w:val="24"/>
        </w:rPr>
        <w:object w:dxaOrig="240" w:dyaOrig="320" w14:anchorId="23CA7DB9">
          <v:shape id="_x0000_i1088" type="#_x0000_t75" style="width:12.45pt;height:15.45pt" o:ole="" o:preferrelative="f">
            <v:imagedata r:id="rId130" o:title=""/>
            <o:lock v:ext="edit" aspectratio="f"/>
          </v:shape>
          <o:OLEObject Type="Embed" ProgID="Equation.DSMT4" ShapeID="_x0000_i1088" DrawAspect="Content" ObjectID="_1752435791" r:id="rId131"/>
        </w:object>
      </w:r>
      <w:r w:rsidRPr="00303886">
        <w:rPr>
          <w:rFonts w:ascii="Times New Roman" w:hAnsi="Times New Roman" w:cs="Times New Roman"/>
          <w:sz w:val="24"/>
          <w:szCs w:val="24"/>
        </w:rPr>
        <w:t xml:space="preserve"> to be reverse Gumbel distributed, however with scale </w:t>
      </w:r>
      <w:r w:rsidR="00DB73C4" w:rsidRPr="00C41B76">
        <w:rPr>
          <w:rFonts w:ascii="Times New Roman" w:hAnsi="Times New Roman" w:cs="Times New Roman"/>
          <w:position w:val="-8"/>
          <w:sz w:val="24"/>
          <w:szCs w:val="24"/>
        </w:rPr>
        <w:object w:dxaOrig="279" w:dyaOrig="300" w14:anchorId="2A45E246">
          <v:shape id="_x0000_i1089" type="#_x0000_t75" style="width:13.7pt;height:15pt" o:ole="" o:preferrelative="f">
            <v:imagedata r:id="rId132" o:title=""/>
            <o:lock v:ext="edit" aspectratio="f"/>
          </v:shape>
          <o:OLEObject Type="Embed" ProgID="Equation.DSMT4" ShapeID="_x0000_i1089" DrawAspect="Content" ObjectID="_1752435792" r:id="rId133"/>
        </w:object>
      </w:r>
      <w:r w:rsidRPr="00303886">
        <w:rPr>
          <w:rFonts w:ascii="Times New Roman" w:hAnsi="Times New Roman" w:cs="Times New Roman"/>
          <w:sz w:val="24"/>
          <w:szCs w:val="24"/>
        </w:rPr>
        <w:t xml:space="preserve">to derive the distribution of </w:t>
      </w:r>
      <w:r w:rsidR="00DB73C4" w:rsidRPr="00303886">
        <w:rPr>
          <w:rFonts w:ascii="Times New Roman" w:hAnsi="Times New Roman" w:cs="Times New Roman"/>
          <w:position w:val="-10"/>
          <w:sz w:val="24"/>
          <w:szCs w:val="24"/>
        </w:rPr>
        <w:object w:dxaOrig="200" w:dyaOrig="260" w14:anchorId="56065685">
          <v:shape id="_x0000_i1090" type="#_x0000_t75" style="width:9.45pt;height:12.85pt" o:ole="" o:preferrelative="f">
            <v:imagedata r:id="rId134" o:title=""/>
            <o:lock v:ext="edit" aspectratio="f"/>
          </v:shape>
          <o:OLEObject Type="Embed" ProgID="Equation.DSMT4" ShapeID="_x0000_i1090" DrawAspect="Content" ObjectID="_1752435793" r:id="rId135"/>
        </w:object>
      </w:r>
      <w:r w:rsidRPr="00303886">
        <w:rPr>
          <w:rFonts w:ascii="Times New Roman" w:hAnsi="Times New Roman" w:cs="Times New Roman"/>
          <w:sz w:val="24"/>
          <w:szCs w:val="24"/>
        </w:rPr>
        <w:t>. This new distribution, apparently not seen in the earlier statistical literature, was characteri</w:t>
      </w:r>
      <w:r w:rsidR="000A4751">
        <w:rPr>
          <w:rFonts w:ascii="Times New Roman" w:hAnsi="Times New Roman" w:cs="Times New Roman"/>
          <w:sz w:val="24"/>
          <w:szCs w:val="24"/>
        </w:rPr>
        <w:t>z</w:t>
      </w:r>
      <w:r w:rsidRPr="00303886">
        <w:rPr>
          <w:rFonts w:ascii="Times New Roman" w:hAnsi="Times New Roman" w:cs="Times New Roman"/>
          <w:sz w:val="24"/>
          <w:szCs w:val="24"/>
        </w:rPr>
        <w:t xml:space="preserve">ed by Bhat </w:t>
      </w:r>
      <w:r w:rsidR="00A523AA" w:rsidRPr="00A523AA">
        <w:rPr>
          <w:rFonts w:ascii="Times New Roman" w:hAnsi="Times New Roman" w:cs="Times New Roman"/>
          <w:i/>
          <w:iCs/>
          <w:sz w:val="24"/>
          <w:szCs w:val="24"/>
        </w:rPr>
        <w:t>(15)</w:t>
      </w:r>
      <w:r w:rsidRPr="00303886">
        <w:rPr>
          <w:rFonts w:ascii="Times New Roman" w:hAnsi="Times New Roman" w:cs="Times New Roman"/>
          <w:sz w:val="24"/>
          <w:szCs w:val="24"/>
        </w:rPr>
        <w:t xml:space="preserve"> as the </w:t>
      </w:r>
      <w:proofErr w:type="spellStart"/>
      <w:r w:rsidRPr="00303886">
        <w:rPr>
          <w:rFonts w:ascii="Times New Roman" w:hAnsi="Times New Roman" w:cs="Times New Roman"/>
          <w:sz w:val="24"/>
          <w:szCs w:val="24"/>
        </w:rPr>
        <w:t>minLogistic</w:t>
      </w:r>
      <w:proofErr w:type="spellEnd"/>
      <w:r w:rsidRPr="00303886">
        <w:rPr>
          <w:rFonts w:ascii="Times New Roman" w:hAnsi="Times New Roman" w:cs="Times New Roman"/>
          <w:sz w:val="24"/>
          <w:szCs w:val="24"/>
        </w:rPr>
        <w:t xml:space="preserve"> distribution, who derived its properties. The resulting cumulative distribution and probability density functions are closed-form expressions, pawing way to a simple likelihood expression, which is extendable to the case where the scale of the error terms of the MDC model are explicitly estimated.</w:t>
      </w:r>
    </w:p>
    <w:p w14:paraId="57468C8D" w14:textId="77777777" w:rsidR="00DB73C4" w:rsidRDefault="00DB73C4" w:rsidP="005F211D">
      <w:pPr>
        <w:spacing w:after="0" w:line="240" w:lineRule="auto"/>
        <w:jc w:val="both"/>
        <w:rPr>
          <w:rFonts w:ascii="Times New Roman" w:hAnsi="Times New Roman" w:cs="Times New Roman"/>
          <w:b/>
          <w:color w:val="000000" w:themeColor="text1"/>
          <w:sz w:val="24"/>
          <w:szCs w:val="24"/>
        </w:rPr>
      </w:pPr>
    </w:p>
    <w:p w14:paraId="39622337" w14:textId="41D2C138" w:rsidR="00303886" w:rsidRPr="001821F1" w:rsidRDefault="00303886" w:rsidP="005F211D">
      <w:pPr>
        <w:spacing w:after="0" w:line="240" w:lineRule="auto"/>
        <w:jc w:val="both"/>
        <w:rPr>
          <w:rFonts w:ascii="Times New Roman" w:hAnsi="Times New Roman" w:cs="Times New Roman"/>
          <w:b/>
          <w:color w:val="000000" w:themeColor="text1"/>
          <w:sz w:val="24"/>
          <w:szCs w:val="24"/>
        </w:rPr>
      </w:pPr>
      <w:r w:rsidRPr="001821F1">
        <w:rPr>
          <w:rFonts w:ascii="Times New Roman" w:hAnsi="Times New Roman" w:cs="Times New Roman"/>
          <w:b/>
          <w:color w:val="000000" w:themeColor="text1"/>
          <w:sz w:val="24"/>
          <w:szCs w:val="24"/>
        </w:rPr>
        <w:t xml:space="preserve">Model </w:t>
      </w:r>
      <w:r w:rsidR="00DB73C4">
        <w:rPr>
          <w:rFonts w:ascii="Times New Roman" w:hAnsi="Times New Roman" w:cs="Times New Roman"/>
          <w:b/>
          <w:color w:val="000000" w:themeColor="text1"/>
          <w:sz w:val="24"/>
          <w:szCs w:val="24"/>
        </w:rPr>
        <w:t>E</w:t>
      </w:r>
      <w:r w:rsidRPr="001821F1">
        <w:rPr>
          <w:rFonts w:ascii="Times New Roman" w:hAnsi="Times New Roman" w:cs="Times New Roman"/>
          <w:b/>
          <w:color w:val="000000" w:themeColor="text1"/>
          <w:sz w:val="24"/>
          <w:szCs w:val="24"/>
        </w:rPr>
        <w:t>stimation</w:t>
      </w:r>
    </w:p>
    <w:p w14:paraId="2A815844" w14:textId="5892CF62" w:rsidR="00C41B76" w:rsidRPr="00C41B76" w:rsidRDefault="00C41B76" w:rsidP="005F211D">
      <w:pPr>
        <w:spacing w:after="0" w:line="240" w:lineRule="auto"/>
        <w:jc w:val="both"/>
        <w:rPr>
          <w:rFonts w:ascii="Times New Roman" w:hAnsi="Times New Roman" w:cs="Times New Roman"/>
          <w:sz w:val="24"/>
          <w:szCs w:val="24"/>
        </w:rPr>
      </w:pPr>
      <w:r w:rsidRPr="00C41B76">
        <w:rPr>
          <w:rFonts w:ascii="Times New Roman" w:hAnsi="Times New Roman" w:cs="Times New Roman"/>
          <w:sz w:val="24"/>
          <w:szCs w:val="24"/>
        </w:rPr>
        <w:t xml:space="preserve">From the first and second stages of the two-stage model, collect the parameters to be estimated in a vector </w:t>
      </w:r>
      <w:r w:rsidR="00DB73C4" w:rsidRPr="00C41B76">
        <w:rPr>
          <w:rFonts w:ascii="Times New Roman" w:hAnsi="Times New Roman" w:cs="Times New Roman"/>
          <w:position w:val="-10"/>
          <w:sz w:val="24"/>
          <w:szCs w:val="24"/>
        </w:rPr>
        <w:object w:dxaOrig="2000" w:dyaOrig="320" w14:anchorId="3283BB7A">
          <v:shape id="_x0000_i1091" type="#_x0000_t75" style="width:99.85pt;height:15.45pt" o:ole="" o:preferrelative="f">
            <v:imagedata r:id="rId136" o:title=""/>
            <o:lock v:ext="edit" aspectratio="f"/>
          </v:shape>
          <o:OLEObject Type="Embed" ProgID="Equation.DSMT4" ShapeID="_x0000_i1091" DrawAspect="Content" ObjectID="_1752435794" r:id="rId137"/>
        </w:object>
      </w:r>
      <w:r w:rsidRPr="00C41B76">
        <w:rPr>
          <w:rFonts w:ascii="Times New Roman" w:hAnsi="Times New Roman" w:cs="Times New Roman"/>
          <w:sz w:val="24"/>
          <w:szCs w:val="24"/>
        </w:rPr>
        <w:t xml:space="preserve">. The likelihood of zero allocation to the product group (i.e., none of the inside goods from the product group are chosen for consumption) in the first stage is the expression below based on the properties of the </w:t>
      </w:r>
      <w:proofErr w:type="spellStart"/>
      <w:r w:rsidRPr="00C41B76">
        <w:rPr>
          <w:rFonts w:ascii="Times New Roman" w:hAnsi="Times New Roman" w:cs="Times New Roman"/>
          <w:sz w:val="24"/>
          <w:szCs w:val="24"/>
        </w:rPr>
        <w:t>minLogistic</w:t>
      </w:r>
      <w:proofErr w:type="spellEnd"/>
      <w:r w:rsidRPr="00C41B76">
        <w:rPr>
          <w:rFonts w:ascii="Times New Roman" w:hAnsi="Times New Roman" w:cs="Times New Roman"/>
          <w:sz w:val="24"/>
          <w:szCs w:val="24"/>
        </w:rPr>
        <w:t xml:space="preserve"> distribution:</w:t>
      </w:r>
    </w:p>
    <w:p w14:paraId="3F23EF5C" w14:textId="0EEF98BF" w:rsidR="00C41B76" w:rsidRPr="00C41B76" w:rsidRDefault="00DB73C4" w:rsidP="005F211D">
      <w:pPr>
        <w:tabs>
          <w:tab w:val="right" w:pos="9360"/>
        </w:tabs>
        <w:spacing w:after="0" w:line="240" w:lineRule="auto"/>
        <w:jc w:val="both"/>
        <w:rPr>
          <w:rFonts w:ascii="Times New Roman" w:hAnsi="Times New Roman" w:cs="Times New Roman"/>
          <w:sz w:val="24"/>
          <w:szCs w:val="24"/>
        </w:rPr>
      </w:pPr>
      <w:r w:rsidRPr="00C41B76">
        <w:rPr>
          <w:rFonts w:ascii="Times New Roman" w:hAnsi="Times New Roman" w:cs="Times New Roman"/>
          <w:position w:val="-60"/>
          <w:sz w:val="24"/>
          <w:szCs w:val="24"/>
        </w:rPr>
        <w:object w:dxaOrig="3540" w:dyaOrig="980" w14:anchorId="02BC00C1">
          <v:shape id="_x0000_i1092" type="#_x0000_t75" style="width:177.45pt;height:48.85pt" o:ole="">
            <v:imagedata r:id="rId138" o:title=""/>
          </v:shape>
          <o:OLEObject Type="Embed" ProgID="Equation.DSMT4" ShapeID="_x0000_i1092" DrawAspect="Content" ObjectID="_1752435795" r:id="rId139"/>
        </w:object>
      </w:r>
      <w:r w:rsidR="00C41B76" w:rsidRPr="00C41B76">
        <w:rPr>
          <w:rFonts w:ascii="Times New Roman" w:hAnsi="Times New Roman" w:cs="Times New Roman"/>
          <w:sz w:val="24"/>
          <w:szCs w:val="24"/>
        </w:rPr>
        <w:t xml:space="preserve"> , with </w:t>
      </w:r>
      <w:r w:rsidRPr="00C41B76">
        <w:rPr>
          <w:rFonts w:ascii="Times New Roman" w:hAnsi="Times New Roman" w:cs="Times New Roman"/>
          <w:position w:val="-6"/>
          <w:sz w:val="24"/>
          <w:szCs w:val="24"/>
        </w:rPr>
        <w:object w:dxaOrig="1420" w:dyaOrig="279" w14:anchorId="01759FE5">
          <v:shape id="_x0000_i1093" type="#_x0000_t75" style="width:71.15pt;height:13.7pt" o:ole="" o:preferrelative="f">
            <v:imagedata r:id="rId140" o:title=""/>
            <o:lock v:ext="edit" aspectratio="f"/>
          </v:shape>
          <o:OLEObject Type="Embed" ProgID="Equation.DSMT4" ShapeID="_x0000_i1093" DrawAspect="Content" ObjectID="_1752435796" r:id="rId141"/>
        </w:object>
      </w:r>
      <w:r w:rsidR="001027B3">
        <w:rPr>
          <w:rFonts w:ascii="Times New Roman" w:hAnsi="Times New Roman" w:cs="Times New Roman"/>
          <w:sz w:val="24"/>
          <w:szCs w:val="24"/>
        </w:rPr>
        <w:t>.</w:t>
      </w:r>
      <w:r w:rsidR="00C41B76" w:rsidRPr="00C41B76">
        <w:rPr>
          <w:rFonts w:ascii="Times New Roman" w:hAnsi="Times New Roman" w:cs="Times New Roman"/>
          <w:sz w:val="24"/>
          <w:szCs w:val="24"/>
        </w:rPr>
        <w:tab/>
        <w:t>(</w:t>
      </w:r>
      <w:r>
        <w:rPr>
          <w:rFonts w:ascii="Times New Roman" w:hAnsi="Times New Roman" w:cs="Times New Roman"/>
          <w:sz w:val="24"/>
          <w:szCs w:val="24"/>
        </w:rPr>
        <w:t>10</w:t>
      </w:r>
      <w:r w:rsidR="00C41B76" w:rsidRPr="00C41B76">
        <w:rPr>
          <w:rFonts w:ascii="Times New Roman" w:hAnsi="Times New Roman" w:cs="Times New Roman"/>
          <w:sz w:val="24"/>
          <w:szCs w:val="24"/>
        </w:rPr>
        <w:t>)</w:t>
      </w:r>
    </w:p>
    <w:p w14:paraId="60A28146" w14:textId="5FB2154D" w:rsidR="00C41B76" w:rsidRPr="00C41B76" w:rsidRDefault="00C41B76" w:rsidP="005F211D">
      <w:pPr>
        <w:spacing w:after="0" w:line="240" w:lineRule="auto"/>
        <w:jc w:val="both"/>
        <w:rPr>
          <w:rFonts w:ascii="Times New Roman" w:hAnsi="Times New Roman" w:cs="Times New Roman"/>
          <w:i/>
          <w:iCs/>
          <w:sz w:val="24"/>
          <w:szCs w:val="24"/>
        </w:rPr>
      </w:pPr>
      <w:r w:rsidRPr="00C41B76">
        <w:rPr>
          <w:rFonts w:ascii="Times New Roman" w:hAnsi="Times New Roman" w:cs="Times New Roman"/>
          <w:sz w:val="24"/>
          <w:szCs w:val="24"/>
        </w:rPr>
        <w:t xml:space="preserve">The likelihood for allocation of a positive budget amount </w:t>
      </w:r>
      <w:r w:rsidR="00DB73C4" w:rsidRPr="00C41B76">
        <w:rPr>
          <w:rFonts w:ascii="Times New Roman" w:hAnsi="Times New Roman" w:cs="Times New Roman"/>
          <w:position w:val="-6"/>
          <w:sz w:val="24"/>
        </w:rPr>
        <w:object w:dxaOrig="200" w:dyaOrig="279" w14:anchorId="1883B504">
          <v:shape id="_x0000_i1094" type="#_x0000_t75" style="width:9.45pt;height:13.7pt" o:ole="" o:preferrelative="f">
            <v:imagedata r:id="rId142" o:title=""/>
            <o:lock v:ext="edit" aspectratio="f"/>
          </v:shape>
          <o:OLEObject Type="Embed" ProgID="Equation.DSMT4" ShapeID="_x0000_i1094" DrawAspect="Content" ObjectID="_1752435797" r:id="rId143"/>
        </w:object>
      </w:r>
      <w:r w:rsidRPr="00C41B76">
        <w:rPr>
          <w:rFonts w:ascii="Times New Roman" w:hAnsi="Times New Roman" w:cs="Times New Roman"/>
          <w:sz w:val="24"/>
          <w:szCs w:val="24"/>
        </w:rPr>
        <w:t xml:space="preserve"> to the product group, along with that of the fractional allocations to the inside alternatives in product group is given by:</w:t>
      </w:r>
    </w:p>
    <w:p w14:paraId="55464700" w14:textId="4E83136D" w:rsidR="00C41B76" w:rsidRPr="00C41B76" w:rsidRDefault="00DB73C4" w:rsidP="005F211D">
      <w:pPr>
        <w:tabs>
          <w:tab w:val="right" w:pos="9360"/>
        </w:tabs>
        <w:spacing w:before="40" w:after="40" w:line="240" w:lineRule="auto"/>
        <w:jc w:val="both"/>
        <w:rPr>
          <w:rFonts w:ascii="Times New Roman" w:hAnsi="Times New Roman" w:cs="Times New Roman"/>
          <w:sz w:val="24"/>
          <w:szCs w:val="24"/>
        </w:rPr>
      </w:pPr>
      <w:r w:rsidRPr="00C41B76">
        <w:rPr>
          <w:rFonts w:ascii="Times New Roman" w:hAnsi="Times New Roman" w:cs="Times New Roman"/>
          <w:position w:val="-20"/>
          <w:sz w:val="24"/>
          <w:szCs w:val="24"/>
        </w:rPr>
        <w:object w:dxaOrig="6320" w:dyaOrig="520" w14:anchorId="0FC413FF">
          <v:shape id="_x0000_i1095" type="#_x0000_t75" style="width:315.85pt;height:26.55pt" o:ole="" o:preferrelative="f">
            <v:imagedata r:id="rId144" o:title=""/>
            <o:lock v:ext="edit" aspectratio="f"/>
          </v:shape>
          <o:OLEObject Type="Embed" ProgID="Equation.DSMT4" ShapeID="_x0000_i1095" DrawAspect="Content" ObjectID="_1752435798" r:id="rId145"/>
        </w:object>
      </w:r>
      <w:r>
        <w:rPr>
          <w:rFonts w:ascii="Times New Roman" w:hAnsi="Times New Roman" w:cs="Times New Roman"/>
          <w:sz w:val="24"/>
          <w:szCs w:val="24"/>
        </w:rPr>
        <w:tab/>
      </w:r>
      <w:r w:rsidR="00C41B76" w:rsidRPr="00C41B76">
        <w:rPr>
          <w:rFonts w:ascii="Times New Roman" w:hAnsi="Times New Roman" w:cs="Times New Roman"/>
          <w:sz w:val="24"/>
          <w:szCs w:val="24"/>
        </w:rPr>
        <w:t>(1</w:t>
      </w:r>
      <w:r>
        <w:rPr>
          <w:rFonts w:ascii="Times New Roman" w:hAnsi="Times New Roman" w:cs="Times New Roman"/>
          <w:sz w:val="24"/>
          <w:szCs w:val="24"/>
        </w:rPr>
        <w:t>1</w:t>
      </w:r>
      <w:r w:rsidR="00C41B76" w:rsidRPr="00C41B76">
        <w:rPr>
          <w:rFonts w:ascii="Times New Roman" w:hAnsi="Times New Roman" w:cs="Times New Roman"/>
          <w:sz w:val="24"/>
          <w:szCs w:val="24"/>
        </w:rPr>
        <w:t>)</w:t>
      </w:r>
    </w:p>
    <w:p w14:paraId="041EAC69" w14:textId="03A65308" w:rsidR="00C41B76" w:rsidRPr="00C41B76" w:rsidRDefault="00C41B76" w:rsidP="005F211D">
      <w:pPr>
        <w:spacing w:after="0" w:line="240" w:lineRule="auto"/>
        <w:jc w:val="both"/>
        <w:rPr>
          <w:rFonts w:ascii="Times New Roman" w:hAnsi="Times New Roman" w:cs="Times New Roman"/>
          <w:sz w:val="24"/>
          <w:szCs w:val="24"/>
        </w:rPr>
      </w:pPr>
      <w:r w:rsidRPr="00C41B76">
        <w:rPr>
          <w:rFonts w:ascii="Times New Roman" w:hAnsi="Times New Roman" w:cs="Times New Roman"/>
          <w:sz w:val="24"/>
          <w:szCs w:val="24"/>
        </w:rPr>
        <w:t xml:space="preserve">where, </w:t>
      </w:r>
      <w:r w:rsidR="00DB73C4" w:rsidRPr="00C41B76">
        <w:rPr>
          <w:rFonts w:ascii="Times New Roman" w:hAnsi="Times New Roman" w:cs="Times New Roman"/>
          <w:position w:val="-18"/>
          <w:sz w:val="24"/>
          <w:szCs w:val="24"/>
        </w:rPr>
        <w:object w:dxaOrig="580" w:dyaOrig="420" w14:anchorId="703FD12B">
          <v:shape id="_x0000_i1096" type="#_x0000_t75" style="width:28.7pt;height:21pt" o:ole="" o:preferrelative="f">
            <v:imagedata r:id="rId146" o:title=""/>
            <o:lock v:ext="edit" aspectratio="f"/>
          </v:shape>
          <o:OLEObject Type="Embed" ProgID="Equation.DSMT4" ShapeID="_x0000_i1096" DrawAspect="Content" ObjectID="_1752435799" r:id="rId147"/>
        </w:object>
      </w:r>
      <w:r w:rsidRPr="00C41B76">
        <w:rPr>
          <w:rFonts w:ascii="Times New Roman" w:hAnsi="Times New Roman" w:cs="Times New Roman"/>
          <w:sz w:val="24"/>
          <w:szCs w:val="24"/>
        </w:rPr>
        <w:t xml:space="preserve"> is the density of </w:t>
      </w:r>
      <w:r w:rsidR="00DB73C4" w:rsidRPr="00C41B76">
        <w:rPr>
          <w:rFonts w:ascii="Times New Roman" w:hAnsi="Times New Roman" w:cs="Times New Roman"/>
          <w:position w:val="-12"/>
          <w:sz w:val="24"/>
          <w:szCs w:val="24"/>
        </w:rPr>
        <w:object w:dxaOrig="279" w:dyaOrig="380" w14:anchorId="5B483F1C">
          <v:shape id="_x0000_i1097" type="#_x0000_t75" style="width:13.7pt;height:18.85pt" o:ole="" o:preferrelative="f">
            <v:imagedata r:id="rId148" o:title=""/>
            <o:lock v:ext="edit" aspectratio="f"/>
          </v:shape>
          <o:OLEObject Type="Embed" ProgID="Equation.DSMT4" ShapeID="_x0000_i1097" DrawAspect="Content" ObjectID="_1752435800" r:id="rId149"/>
        </w:object>
      </w:r>
      <w:r w:rsidRPr="00C41B76">
        <w:rPr>
          <w:rFonts w:ascii="Times New Roman" w:hAnsi="Times New Roman" w:cs="Times New Roman"/>
          <w:sz w:val="24"/>
          <w:szCs w:val="24"/>
        </w:rPr>
        <w:t>, given by:</w:t>
      </w:r>
    </w:p>
    <w:p w14:paraId="27C8F0B8" w14:textId="76E67891" w:rsidR="00C41B76" w:rsidRPr="00C41B76" w:rsidRDefault="00DB73C4" w:rsidP="005F211D">
      <w:pPr>
        <w:tabs>
          <w:tab w:val="right" w:pos="9360"/>
        </w:tabs>
        <w:spacing w:after="0" w:line="240" w:lineRule="auto"/>
        <w:jc w:val="both"/>
        <w:rPr>
          <w:rFonts w:ascii="Times New Roman" w:hAnsi="Times New Roman" w:cs="Times New Roman"/>
          <w:sz w:val="24"/>
          <w:szCs w:val="24"/>
        </w:rPr>
      </w:pPr>
      <w:r w:rsidRPr="001027B3">
        <w:rPr>
          <w:rFonts w:ascii="Times New Roman" w:hAnsi="Times New Roman" w:cs="Times New Roman"/>
          <w:position w:val="-60"/>
          <w:sz w:val="24"/>
          <w:szCs w:val="24"/>
        </w:rPr>
        <w:object w:dxaOrig="7460" w:dyaOrig="980" w14:anchorId="7DA9F527">
          <v:shape id="_x0000_i1098" type="#_x0000_t75" style="width:372.85pt;height:48.85pt" o:ole="" o:preferrelative="f">
            <v:imagedata r:id="rId150" o:title=""/>
            <o:lock v:ext="edit" aspectratio="f"/>
          </v:shape>
          <o:OLEObject Type="Embed" ProgID="Equation.DSMT4" ShapeID="_x0000_i1098" DrawAspect="Content" ObjectID="_1752435801" r:id="rId151"/>
        </w:object>
      </w:r>
      <w:r w:rsidR="001027B3">
        <w:rPr>
          <w:rFonts w:ascii="Times New Roman" w:hAnsi="Times New Roman" w:cs="Times New Roman"/>
          <w:sz w:val="24"/>
          <w:szCs w:val="24"/>
        </w:rPr>
        <w:t xml:space="preserve">               </w:t>
      </w:r>
      <w:r>
        <w:rPr>
          <w:rFonts w:ascii="Times New Roman" w:hAnsi="Times New Roman" w:cs="Times New Roman"/>
          <w:sz w:val="24"/>
          <w:szCs w:val="24"/>
        </w:rPr>
        <w:tab/>
      </w:r>
      <w:r w:rsidR="00C41B76" w:rsidRPr="00C41B76">
        <w:rPr>
          <w:rFonts w:ascii="Times New Roman" w:hAnsi="Times New Roman" w:cs="Times New Roman"/>
          <w:sz w:val="24"/>
          <w:szCs w:val="24"/>
        </w:rPr>
        <w:t>(1</w:t>
      </w:r>
      <w:r>
        <w:rPr>
          <w:rFonts w:ascii="Times New Roman" w:hAnsi="Times New Roman" w:cs="Times New Roman"/>
          <w:sz w:val="24"/>
          <w:szCs w:val="24"/>
        </w:rPr>
        <w:t>2</w:t>
      </w:r>
      <w:r w:rsidR="00C41B76" w:rsidRPr="00C41B76">
        <w:rPr>
          <w:rFonts w:ascii="Times New Roman" w:hAnsi="Times New Roman" w:cs="Times New Roman"/>
          <w:sz w:val="24"/>
          <w:szCs w:val="24"/>
        </w:rPr>
        <w:t>)</w:t>
      </w:r>
    </w:p>
    <w:p w14:paraId="62C77BA3" w14:textId="5FF11013" w:rsidR="00C41B76" w:rsidRPr="00C41B76" w:rsidRDefault="00C41B76" w:rsidP="005F211D">
      <w:pPr>
        <w:spacing w:after="0" w:line="240" w:lineRule="auto"/>
        <w:jc w:val="both"/>
        <w:rPr>
          <w:rFonts w:ascii="Times New Roman" w:hAnsi="Times New Roman" w:cs="Times New Roman"/>
          <w:sz w:val="24"/>
          <w:szCs w:val="24"/>
        </w:rPr>
      </w:pPr>
      <w:r w:rsidRPr="00C41B76">
        <w:rPr>
          <w:rFonts w:ascii="Times New Roman" w:hAnsi="Times New Roman" w:cs="Times New Roman"/>
          <w:sz w:val="24"/>
          <w:szCs w:val="24"/>
        </w:rPr>
        <w:t xml:space="preserve">and </w:t>
      </w:r>
      <w:r w:rsidR="00DB73C4" w:rsidRPr="00C41B76">
        <w:rPr>
          <w:rFonts w:ascii="Times New Roman" w:hAnsi="Times New Roman" w:cs="Times New Roman"/>
          <w:position w:val="-18"/>
          <w:sz w:val="24"/>
          <w:szCs w:val="24"/>
        </w:rPr>
        <w:object w:dxaOrig="2180" w:dyaOrig="480" w14:anchorId="7C2ECD27">
          <v:shape id="_x0000_i1099" type="#_x0000_t75" style="width:108.85pt;height:23.55pt" o:ole="" o:preferrelative="f">
            <v:imagedata r:id="rId152" o:title=""/>
            <o:lock v:ext="edit" aspectratio="f"/>
          </v:shape>
          <o:OLEObject Type="Embed" ProgID="Equation.DSMT4" ShapeID="_x0000_i1099" DrawAspect="Content" ObjectID="_1752435802" r:id="rId153"/>
        </w:object>
      </w:r>
      <w:r w:rsidRPr="00C41B76">
        <w:rPr>
          <w:rFonts w:ascii="Times New Roman" w:hAnsi="Times New Roman" w:cs="Times New Roman"/>
          <w:sz w:val="24"/>
          <w:szCs w:val="24"/>
        </w:rPr>
        <w:t xml:space="preserve"> is the likelihood for the observed fractional allocation in the second stage, given by Equation (3).</w:t>
      </w:r>
    </w:p>
    <w:p w14:paraId="577A7E6A" w14:textId="6F7C6175" w:rsidR="00303886" w:rsidRDefault="00C41B76" w:rsidP="005F211D">
      <w:pPr>
        <w:spacing w:after="0" w:line="240" w:lineRule="auto"/>
        <w:ind w:firstLine="720"/>
        <w:jc w:val="both"/>
        <w:rPr>
          <w:rFonts w:ascii="Times New Roman" w:hAnsi="Times New Roman" w:cs="Times New Roman"/>
          <w:sz w:val="24"/>
        </w:rPr>
      </w:pPr>
      <w:r w:rsidRPr="00C41B76">
        <w:rPr>
          <w:rFonts w:ascii="Times New Roman" w:hAnsi="Times New Roman" w:cs="Times New Roman"/>
          <w:sz w:val="24"/>
        </w:rPr>
        <w:t>Once the parameters are estimated, the total budget and budget allocations to individual inside goods may be obtained using the procedures laid down in</w:t>
      </w:r>
      <w:r w:rsidR="00A523AA">
        <w:rPr>
          <w:rFonts w:ascii="Times New Roman" w:hAnsi="Times New Roman" w:cs="Times New Roman"/>
          <w:sz w:val="24"/>
        </w:rPr>
        <w:t xml:space="preserve"> </w:t>
      </w:r>
      <w:r w:rsidR="001027B3">
        <w:rPr>
          <w:rFonts w:ascii="Times New Roman" w:hAnsi="Times New Roman" w:cs="Times New Roman"/>
          <w:sz w:val="24"/>
        </w:rPr>
        <w:t xml:space="preserve">Bhat </w:t>
      </w:r>
      <w:r w:rsidR="00A523AA" w:rsidRPr="00A523AA">
        <w:rPr>
          <w:rFonts w:ascii="Times New Roman" w:hAnsi="Times New Roman" w:cs="Times New Roman"/>
          <w:i/>
          <w:iCs/>
          <w:sz w:val="24"/>
        </w:rPr>
        <w:t>(15)</w:t>
      </w:r>
      <w:r w:rsidRPr="00C41B76">
        <w:rPr>
          <w:rFonts w:ascii="Times New Roman" w:hAnsi="Times New Roman" w:cs="Times New Roman"/>
          <w:sz w:val="24"/>
        </w:rPr>
        <w:t>.</w:t>
      </w:r>
    </w:p>
    <w:p w14:paraId="33E74664" w14:textId="77777777" w:rsidR="00C41B76" w:rsidRDefault="00C41B76" w:rsidP="005F211D">
      <w:pPr>
        <w:spacing w:after="0" w:line="240" w:lineRule="auto"/>
        <w:jc w:val="both"/>
        <w:rPr>
          <w:rFonts w:ascii="Times New Roman" w:hAnsi="Times New Roman" w:cs="Times New Roman"/>
          <w:sz w:val="24"/>
        </w:rPr>
      </w:pPr>
    </w:p>
    <w:p w14:paraId="33CE912E" w14:textId="104D1FB7" w:rsidR="00C41B76" w:rsidRPr="00C41B76" w:rsidRDefault="00C41B76" w:rsidP="005F211D">
      <w:pPr>
        <w:spacing w:after="0" w:line="240" w:lineRule="auto"/>
        <w:jc w:val="both"/>
        <w:rPr>
          <w:rFonts w:ascii="Times New Roman" w:hAnsi="Times New Roman" w:cs="Times New Roman"/>
          <w:b/>
          <w:color w:val="000000" w:themeColor="text1"/>
          <w:sz w:val="24"/>
          <w:szCs w:val="24"/>
        </w:rPr>
      </w:pPr>
      <w:r w:rsidRPr="00C41B76">
        <w:rPr>
          <w:rFonts w:ascii="Times New Roman" w:hAnsi="Times New Roman" w:cs="Times New Roman"/>
          <w:b/>
          <w:color w:val="000000" w:themeColor="text1"/>
          <w:sz w:val="24"/>
          <w:szCs w:val="24"/>
        </w:rPr>
        <w:t>EMPIRICAL ANALYSIS</w:t>
      </w:r>
    </w:p>
    <w:p w14:paraId="288F14D4" w14:textId="57FEE178" w:rsidR="00303886" w:rsidRPr="00C41B76" w:rsidRDefault="00C41B76" w:rsidP="005F211D">
      <w:pPr>
        <w:spacing w:after="0" w:line="240" w:lineRule="auto"/>
        <w:jc w:val="both"/>
        <w:rPr>
          <w:rFonts w:ascii="Times New Roman" w:hAnsi="Times New Roman" w:cs="Times New Roman"/>
          <w:b/>
          <w:color w:val="000000" w:themeColor="text1"/>
          <w:sz w:val="24"/>
          <w:szCs w:val="24"/>
        </w:rPr>
      </w:pPr>
      <w:r w:rsidRPr="00C41B76">
        <w:rPr>
          <w:rFonts w:ascii="Times New Roman" w:hAnsi="Times New Roman" w:cs="Times New Roman"/>
          <w:b/>
          <w:color w:val="000000" w:themeColor="text1"/>
          <w:sz w:val="24"/>
          <w:szCs w:val="24"/>
        </w:rPr>
        <w:t xml:space="preserve">Estimation </w:t>
      </w:r>
      <w:r w:rsidR="00DB73C4">
        <w:rPr>
          <w:rFonts w:ascii="Times New Roman" w:hAnsi="Times New Roman" w:cs="Times New Roman"/>
          <w:b/>
          <w:color w:val="000000" w:themeColor="text1"/>
          <w:sz w:val="24"/>
          <w:szCs w:val="24"/>
        </w:rPr>
        <w:t>R</w:t>
      </w:r>
      <w:r w:rsidRPr="00C41B76">
        <w:rPr>
          <w:rFonts w:ascii="Times New Roman" w:hAnsi="Times New Roman" w:cs="Times New Roman"/>
          <w:b/>
          <w:color w:val="000000" w:themeColor="text1"/>
          <w:sz w:val="24"/>
          <w:szCs w:val="24"/>
        </w:rPr>
        <w:t>esults</w:t>
      </w:r>
    </w:p>
    <w:p w14:paraId="362B7A87" w14:textId="18834710" w:rsidR="00C41B76" w:rsidRDefault="00C41B76" w:rsidP="005F211D">
      <w:pPr>
        <w:spacing w:after="0" w:line="240" w:lineRule="auto"/>
        <w:jc w:val="both"/>
        <w:rPr>
          <w:rFonts w:ascii="Times New Roman" w:hAnsi="Times New Roman" w:cs="Times New Roman"/>
          <w:sz w:val="24"/>
          <w:szCs w:val="24"/>
        </w:rPr>
      </w:pPr>
      <w:r w:rsidRPr="00C41B76">
        <w:rPr>
          <w:rFonts w:ascii="Times New Roman" w:hAnsi="Times New Roman" w:cs="Times New Roman"/>
          <w:sz w:val="24"/>
          <w:szCs w:val="24"/>
        </w:rPr>
        <w:t xml:space="preserve">The two-stage MDC model is useful </w:t>
      </w:r>
      <w:r w:rsidR="002F1DF4">
        <w:rPr>
          <w:rFonts w:ascii="Times New Roman" w:hAnsi="Times New Roman" w:cs="Times New Roman"/>
          <w:sz w:val="24"/>
          <w:szCs w:val="24"/>
        </w:rPr>
        <w:t xml:space="preserve">for </w:t>
      </w:r>
      <w:r w:rsidR="00D20B53">
        <w:rPr>
          <w:rFonts w:ascii="Times New Roman" w:hAnsi="Times New Roman" w:cs="Times New Roman"/>
          <w:sz w:val="24"/>
          <w:szCs w:val="24"/>
        </w:rPr>
        <w:t>analysing</w:t>
      </w:r>
      <w:r w:rsidRPr="00C41B76">
        <w:rPr>
          <w:rFonts w:ascii="Times New Roman" w:hAnsi="Times New Roman" w:cs="Times New Roman"/>
          <w:sz w:val="24"/>
          <w:szCs w:val="24"/>
        </w:rPr>
        <w:t xml:space="preserve"> expenditures when data on unit prices are available. In our empirical case, information on fuel efficiency (in </w:t>
      </w:r>
      <w:proofErr w:type="spellStart"/>
      <w:r w:rsidRPr="00C41B76">
        <w:rPr>
          <w:rFonts w:ascii="Times New Roman" w:hAnsi="Times New Roman" w:cs="Times New Roman"/>
          <w:sz w:val="24"/>
          <w:szCs w:val="24"/>
        </w:rPr>
        <w:t>MPeG</w:t>
      </w:r>
      <w:proofErr w:type="spellEnd"/>
      <w:r w:rsidRPr="00C41B76">
        <w:rPr>
          <w:rFonts w:ascii="Times New Roman" w:hAnsi="Times New Roman" w:cs="Times New Roman"/>
          <w:sz w:val="24"/>
          <w:szCs w:val="24"/>
        </w:rPr>
        <w:t>) for each vehicle type (that was owned by a household) was available as a proxy for price. In our estimation trials, we first started by using expenditure across each vehicle category and the total expenditure as the dependent variable. However, the estimated log-price coefficient turned out to be insignificant, possibly because of using aggregate price measures across vehicle categories that were not owned by the households</w:t>
      </w:r>
      <w:r w:rsidR="003A54E6">
        <w:rPr>
          <w:rFonts w:ascii="Times New Roman" w:hAnsi="Times New Roman" w:cs="Times New Roman"/>
          <w:sz w:val="24"/>
          <w:szCs w:val="24"/>
        </w:rPr>
        <w:t xml:space="preserve"> (since information on fuel efficiency was available only for vehicles that were </w:t>
      </w:r>
      <w:r w:rsidR="003A54E6">
        <w:rPr>
          <w:rFonts w:ascii="Times New Roman" w:hAnsi="Times New Roman" w:cs="Times New Roman"/>
          <w:sz w:val="24"/>
          <w:szCs w:val="24"/>
        </w:rPr>
        <w:lastRenderedPageBreak/>
        <w:t>owned by households)</w:t>
      </w:r>
      <w:r w:rsidRPr="00C41B76">
        <w:rPr>
          <w:rFonts w:ascii="Times New Roman" w:hAnsi="Times New Roman" w:cs="Times New Roman"/>
          <w:sz w:val="24"/>
          <w:szCs w:val="24"/>
        </w:rPr>
        <w:t>. As a result, we resorted to using mileage accrued on each vehicle type and the total annual mileage as the dependent variable in our analysis. The empirical specification of the model was systematically built by considering each of the relevant attributes in the budget equation (i.e., the first stage) and the fractional split model (i.e., the second stage) and retaining those variables that were statistically significant with t-statistic of more than 1. The use of a low confidence interval is to guide future investigations of these variables in influencing vehicle fleet ownership and usage analysis with large national-level datasets.</w:t>
      </w:r>
    </w:p>
    <w:p w14:paraId="7F49E70F" w14:textId="77777777" w:rsidR="00083907" w:rsidRDefault="00083907" w:rsidP="00DB73C4">
      <w:pPr>
        <w:spacing w:after="0" w:line="240" w:lineRule="auto"/>
        <w:jc w:val="both"/>
        <w:rPr>
          <w:rFonts w:ascii="Times New Roman" w:hAnsi="Times New Roman" w:cs="Times New Roman"/>
          <w:sz w:val="24"/>
          <w:szCs w:val="24"/>
        </w:rPr>
      </w:pPr>
    </w:p>
    <w:p w14:paraId="26278C2B" w14:textId="2226867C" w:rsidR="00C41B76" w:rsidRPr="00C41B76" w:rsidRDefault="00C41B76" w:rsidP="00DB73C4">
      <w:pPr>
        <w:spacing w:after="0" w:line="240" w:lineRule="auto"/>
        <w:rPr>
          <w:rFonts w:ascii="Times New Roman" w:hAnsi="Times New Roman" w:cs="Times New Roman"/>
          <w:i/>
          <w:sz w:val="24"/>
          <w:szCs w:val="24"/>
        </w:rPr>
      </w:pPr>
      <w:r w:rsidRPr="00C41B76">
        <w:rPr>
          <w:rFonts w:ascii="Times New Roman" w:hAnsi="Times New Roman" w:cs="Times New Roman"/>
          <w:i/>
          <w:sz w:val="24"/>
          <w:szCs w:val="24"/>
        </w:rPr>
        <w:t xml:space="preserve">MDCEV </w:t>
      </w:r>
      <w:r w:rsidR="00C25A23">
        <w:rPr>
          <w:rFonts w:ascii="Times New Roman" w:hAnsi="Times New Roman" w:cs="Times New Roman"/>
          <w:i/>
          <w:sz w:val="24"/>
          <w:szCs w:val="24"/>
        </w:rPr>
        <w:t>F</w:t>
      </w:r>
      <w:r w:rsidRPr="00C41B76">
        <w:rPr>
          <w:rFonts w:ascii="Times New Roman" w:hAnsi="Times New Roman" w:cs="Times New Roman"/>
          <w:i/>
          <w:sz w:val="24"/>
          <w:szCs w:val="24"/>
        </w:rPr>
        <w:t xml:space="preserve">ractional </w:t>
      </w:r>
      <w:r w:rsidR="00C25A23">
        <w:rPr>
          <w:rFonts w:ascii="Times New Roman" w:hAnsi="Times New Roman" w:cs="Times New Roman"/>
          <w:i/>
          <w:sz w:val="24"/>
          <w:szCs w:val="24"/>
        </w:rPr>
        <w:t>S</w:t>
      </w:r>
      <w:r w:rsidRPr="00C41B76">
        <w:rPr>
          <w:rFonts w:ascii="Times New Roman" w:hAnsi="Times New Roman" w:cs="Times New Roman"/>
          <w:i/>
          <w:sz w:val="24"/>
          <w:szCs w:val="24"/>
        </w:rPr>
        <w:t xml:space="preserve">plit </w:t>
      </w:r>
      <w:r w:rsidR="00C25A23">
        <w:rPr>
          <w:rFonts w:ascii="Times New Roman" w:hAnsi="Times New Roman" w:cs="Times New Roman"/>
          <w:i/>
          <w:sz w:val="24"/>
          <w:szCs w:val="24"/>
        </w:rPr>
        <w:t>M</w:t>
      </w:r>
      <w:r w:rsidRPr="00C41B76">
        <w:rPr>
          <w:rFonts w:ascii="Times New Roman" w:hAnsi="Times New Roman" w:cs="Times New Roman"/>
          <w:i/>
          <w:sz w:val="24"/>
          <w:szCs w:val="24"/>
        </w:rPr>
        <w:t xml:space="preserve">odel </w:t>
      </w:r>
      <w:r w:rsidR="00C25A23">
        <w:rPr>
          <w:rFonts w:ascii="Times New Roman" w:hAnsi="Times New Roman" w:cs="Times New Roman"/>
          <w:i/>
          <w:sz w:val="24"/>
          <w:szCs w:val="24"/>
        </w:rPr>
        <w:t>R</w:t>
      </w:r>
      <w:r w:rsidRPr="00C41B76">
        <w:rPr>
          <w:rFonts w:ascii="Times New Roman" w:hAnsi="Times New Roman" w:cs="Times New Roman"/>
          <w:i/>
          <w:sz w:val="24"/>
          <w:szCs w:val="24"/>
        </w:rPr>
        <w:t>esults</w:t>
      </w:r>
    </w:p>
    <w:p w14:paraId="53C5142A" w14:textId="476EA2BC" w:rsidR="00C41B76" w:rsidRDefault="00C41B76" w:rsidP="00DB73C4">
      <w:pPr>
        <w:spacing w:after="0" w:line="240" w:lineRule="auto"/>
        <w:jc w:val="both"/>
        <w:rPr>
          <w:rFonts w:ascii="Times New Roman" w:hAnsi="Times New Roman" w:cs="Times New Roman"/>
          <w:sz w:val="24"/>
          <w:szCs w:val="24"/>
        </w:rPr>
      </w:pPr>
      <w:r w:rsidRPr="00C41B76">
        <w:rPr>
          <w:rFonts w:ascii="Times New Roman" w:hAnsi="Times New Roman" w:cs="Times New Roman"/>
          <w:sz w:val="24"/>
          <w:szCs w:val="24"/>
        </w:rPr>
        <w:t xml:space="preserve">The parameter estimates are provided in Table 2. The baseline preference constants </w:t>
      </w:r>
      <w:r w:rsidR="001027B3">
        <w:rPr>
          <w:rFonts w:ascii="Times New Roman" w:hAnsi="Times New Roman" w:cs="Times New Roman"/>
          <w:sz w:val="24"/>
          <w:szCs w:val="24"/>
        </w:rPr>
        <w:t xml:space="preserve">(presented toward the end of the </w:t>
      </w:r>
      <w:proofErr w:type="gramStart"/>
      <w:r w:rsidR="001027B3">
        <w:rPr>
          <w:rFonts w:ascii="Times New Roman" w:hAnsi="Times New Roman" w:cs="Times New Roman"/>
          <w:sz w:val="24"/>
          <w:szCs w:val="24"/>
        </w:rPr>
        <w:t>first row</w:t>
      </w:r>
      <w:proofErr w:type="gramEnd"/>
      <w:r w:rsidR="001027B3">
        <w:rPr>
          <w:rFonts w:ascii="Times New Roman" w:hAnsi="Times New Roman" w:cs="Times New Roman"/>
          <w:sz w:val="24"/>
          <w:szCs w:val="24"/>
        </w:rPr>
        <w:t xml:space="preserve"> panel of Table 2) </w:t>
      </w:r>
      <w:r w:rsidRPr="00C41B76">
        <w:rPr>
          <w:rFonts w:ascii="Times New Roman" w:hAnsi="Times New Roman" w:cs="Times New Roman"/>
          <w:sz w:val="24"/>
          <w:szCs w:val="24"/>
        </w:rPr>
        <w:t xml:space="preserve">do not offer any substantive interpretation once other attributes are included in the specification. Household demographics significantly impact the vehicle type choice. As expected, high-income households (income &gt; $100K) are more likely to own electric and hybrid variants of cars and SUVs. These results reaffirm findings from the literature that income is one of the most </w:t>
      </w:r>
      <w:r w:rsidR="001027B3">
        <w:rPr>
          <w:rFonts w:ascii="Times New Roman" w:hAnsi="Times New Roman" w:cs="Times New Roman"/>
          <w:sz w:val="24"/>
          <w:szCs w:val="24"/>
        </w:rPr>
        <w:t xml:space="preserve">consequential </w:t>
      </w:r>
      <w:r w:rsidRPr="00C41B76">
        <w:rPr>
          <w:rFonts w:ascii="Times New Roman" w:hAnsi="Times New Roman" w:cs="Times New Roman"/>
          <w:sz w:val="24"/>
          <w:szCs w:val="24"/>
        </w:rPr>
        <w:t>determinants of (or a barrier to) E</w:t>
      </w:r>
      <w:r w:rsidR="000A4751">
        <w:rPr>
          <w:rFonts w:ascii="Times New Roman" w:hAnsi="Times New Roman" w:cs="Times New Roman"/>
          <w:sz w:val="24"/>
          <w:szCs w:val="24"/>
        </w:rPr>
        <w:t>V</w:t>
      </w:r>
      <w:r w:rsidRPr="00C41B76">
        <w:rPr>
          <w:rFonts w:ascii="Times New Roman" w:hAnsi="Times New Roman" w:cs="Times New Roman"/>
          <w:sz w:val="24"/>
          <w:szCs w:val="24"/>
        </w:rPr>
        <w:t xml:space="preserve"> ownership. This finding warrants the need for policies to address E</w:t>
      </w:r>
      <w:r w:rsidR="000A4751">
        <w:rPr>
          <w:rFonts w:ascii="Times New Roman" w:hAnsi="Times New Roman" w:cs="Times New Roman"/>
          <w:sz w:val="24"/>
          <w:szCs w:val="24"/>
        </w:rPr>
        <w:t>V</w:t>
      </w:r>
      <w:r w:rsidRPr="00C41B76">
        <w:rPr>
          <w:rFonts w:ascii="Times New Roman" w:hAnsi="Times New Roman" w:cs="Times New Roman"/>
          <w:sz w:val="24"/>
          <w:szCs w:val="24"/>
        </w:rPr>
        <w:t xml:space="preserve"> adoption equity concerns</w:t>
      </w:r>
      <w:r w:rsidR="00A523AA">
        <w:rPr>
          <w:rFonts w:ascii="Times New Roman" w:hAnsi="Times New Roman" w:cs="Times New Roman"/>
          <w:sz w:val="24"/>
          <w:szCs w:val="24"/>
        </w:rPr>
        <w:t xml:space="preserve"> </w:t>
      </w:r>
      <w:r w:rsidR="00A523AA" w:rsidRPr="00A523AA">
        <w:rPr>
          <w:rFonts w:ascii="Times New Roman" w:hAnsi="Times New Roman" w:cs="Times New Roman"/>
          <w:i/>
          <w:iCs/>
          <w:sz w:val="24"/>
          <w:szCs w:val="24"/>
        </w:rPr>
        <w:t>(26)</w:t>
      </w:r>
      <w:r w:rsidRPr="00C41B76">
        <w:rPr>
          <w:rFonts w:ascii="Times New Roman" w:hAnsi="Times New Roman" w:cs="Times New Roman"/>
          <w:sz w:val="24"/>
          <w:szCs w:val="24"/>
        </w:rPr>
        <w:t xml:space="preserve">. Interestingly, low-income households (income &lt; $50,000) have </w:t>
      </w:r>
      <w:r w:rsidR="000A4751">
        <w:rPr>
          <w:rFonts w:ascii="Times New Roman" w:hAnsi="Times New Roman" w:cs="Times New Roman"/>
          <w:sz w:val="24"/>
          <w:szCs w:val="24"/>
        </w:rPr>
        <w:t xml:space="preserve">a </w:t>
      </w:r>
      <w:r w:rsidRPr="00C41B76">
        <w:rPr>
          <w:rFonts w:ascii="Times New Roman" w:hAnsi="Times New Roman" w:cs="Times New Roman"/>
          <w:sz w:val="24"/>
          <w:szCs w:val="24"/>
        </w:rPr>
        <w:t>lower preference for SUVs, probably owing to their higher cost. On the other hand, households with income more than $50,000 prefer pickup trucks (see</w:t>
      </w:r>
      <w:r w:rsidR="00A523AA">
        <w:rPr>
          <w:rFonts w:ascii="Times New Roman" w:hAnsi="Times New Roman" w:cs="Times New Roman"/>
          <w:sz w:val="24"/>
          <w:szCs w:val="24"/>
        </w:rPr>
        <w:t xml:space="preserve"> </w:t>
      </w:r>
      <w:r w:rsidR="00A523AA" w:rsidRPr="00A523AA">
        <w:rPr>
          <w:rFonts w:ascii="Times New Roman" w:hAnsi="Times New Roman" w:cs="Times New Roman"/>
          <w:i/>
          <w:iCs/>
          <w:sz w:val="24"/>
          <w:szCs w:val="24"/>
        </w:rPr>
        <w:t>27</w:t>
      </w:r>
      <w:r w:rsidRPr="00C41B76">
        <w:rPr>
          <w:rFonts w:ascii="Times New Roman" w:hAnsi="Times New Roman" w:cs="Times New Roman"/>
          <w:sz w:val="24"/>
          <w:szCs w:val="24"/>
        </w:rPr>
        <w:t xml:space="preserve"> for a similar finding). In the context of household composition, individuals living alone (i.e., single-person households) are more likely to own gasoline and electric cars, and less likely to own vans. This may be because owning smaller cars satisfies their travel needs without any hassles of owning and maintaining large-sized vehicles. Similar findings can be observed for </w:t>
      </w:r>
      <w:r w:rsidR="001027B3">
        <w:rPr>
          <w:rFonts w:ascii="Times New Roman" w:hAnsi="Times New Roman" w:cs="Times New Roman"/>
          <w:sz w:val="24"/>
          <w:szCs w:val="24"/>
        </w:rPr>
        <w:t>women</w:t>
      </w:r>
      <w:r w:rsidRPr="00C41B76">
        <w:rPr>
          <w:rFonts w:ascii="Times New Roman" w:hAnsi="Times New Roman" w:cs="Times New Roman"/>
          <w:sz w:val="24"/>
          <w:szCs w:val="24"/>
        </w:rPr>
        <w:t xml:space="preserve"> living alone, with </w:t>
      </w:r>
      <w:r w:rsidR="000A4751">
        <w:rPr>
          <w:rFonts w:ascii="Times New Roman" w:hAnsi="Times New Roman" w:cs="Times New Roman"/>
          <w:sz w:val="24"/>
          <w:szCs w:val="24"/>
        </w:rPr>
        <w:t xml:space="preserve">a </w:t>
      </w:r>
      <w:r w:rsidRPr="00C41B76">
        <w:rPr>
          <w:rFonts w:ascii="Times New Roman" w:hAnsi="Times New Roman" w:cs="Times New Roman"/>
          <w:sz w:val="24"/>
          <w:szCs w:val="24"/>
        </w:rPr>
        <w:t xml:space="preserve">higher preference for gasoline and hybrid cars, and lower preference for pickup trucks. The presence of children (&lt;15 years age) in the household </w:t>
      </w:r>
      <w:r w:rsidR="001027B3">
        <w:rPr>
          <w:rFonts w:ascii="Times New Roman" w:hAnsi="Times New Roman" w:cs="Times New Roman"/>
          <w:sz w:val="24"/>
          <w:szCs w:val="24"/>
        </w:rPr>
        <w:t xml:space="preserve">results in </w:t>
      </w:r>
      <w:r w:rsidRPr="00C41B76">
        <w:rPr>
          <w:rFonts w:ascii="Times New Roman" w:hAnsi="Times New Roman" w:cs="Times New Roman"/>
          <w:sz w:val="24"/>
          <w:szCs w:val="24"/>
        </w:rPr>
        <w:t>a higher preference for vans and SUVs, pr</w:t>
      </w:r>
      <w:r w:rsidR="001027B3">
        <w:rPr>
          <w:rFonts w:ascii="Times New Roman" w:hAnsi="Times New Roman" w:cs="Times New Roman"/>
          <w:sz w:val="24"/>
          <w:szCs w:val="24"/>
        </w:rPr>
        <w:t>esumably</w:t>
      </w:r>
      <w:r w:rsidRPr="00C41B76">
        <w:rPr>
          <w:rFonts w:ascii="Times New Roman" w:hAnsi="Times New Roman" w:cs="Times New Roman"/>
          <w:sz w:val="24"/>
          <w:szCs w:val="24"/>
        </w:rPr>
        <w:t xml:space="preserve"> because such spacious vehicles are convenient for carpooling arrangements. Interestingly, the presence of an employed adult increases the preference for owning an electric vehicle (see </w:t>
      </w:r>
      <w:r w:rsidR="003A54E6" w:rsidRPr="003A54E6">
        <w:rPr>
          <w:rFonts w:ascii="Times New Roman" w:hAnsi="Times New Roman" w:cs="Times New Roman"/>
          <w:i/>
          <w:iCs/>
          <w:sz w:val="24"/>
          <w:szCs w:val="24"/>
        </w:rPr>
        <w:t>28</w:t>
      </w:r>
      <w:r w:rsidRPr="00C41B76">
        <w:rPr>
          <w:rFonts w:ascii="Times New Roman" w:hAnsi="Times New Roman" w:cs="Times New Roman"/>
          <w:sz w:val="24"/>
          <w:szCs w:val="24"/>
        </w:rPr>
        <w:t xml:space="preserve"> for a similar finding for German households). Surprisingly, the presence of employed individuals in the household also increases the preference </w:t>
      </w:r>
      <w:r w:rsidR="000A4751">
        <w:rPr>
          <w:rFonts w:ascii="Times New Roman" w:hAnsi="Times New Roman" w:cs="Times New Roman"/>
          <w:sz w:val="24"/>
          <w:szCs w:val="24"/>
        </w:rPr>
        <w:t>for</w:t>
      </w:r>
      <w:r w:rsidRPr="00C41B76">
        <w:rPr>
          <w:rFonts w:ascii="Times New Roman" w:hAnsi="Times New Roman" w:cs="Times New Roman"/>
          <w:sz w:val="24"/>
          <w:szCs w:val="24"/>
        </w:rPr>
        <w:t xml:space="preserve"> vans. This could be because of a seemingly increasing attraction towards nomadic lifestyle, where individuals undertake weekend getaways using larger sized vehicles</w:t>
      </w:r>
      <w:r w:rsidR="001821F1">
        <w:rPr>
          <w:rFonts w:ascii="Times New Roman" w:hAnsi="Times New Roman" w:cs="Times New Roman"/>
          <w:sz w:val="24"/>
          <w:szCs w:val="24"/>
        </w:rPr>
        <w:t xml:space="preserve"> (such as camper vans)</w:t>
      </w:r>
      <w:r w:rsidR="00A523AA">
        <w:rPr>
          <w:rFonts w:ascii="Times New Roman" w:hAnsi="Times New Roman" w:cs="Times New Roman"/>
          <w:sz w:val="24"/>
          <w:szCs w:val="24"/>
        </w:rPr>
        <w:t xml:space="preserve"> </w:t>
      </w:r>
      <w:r w:rsidR="00A523AA" w:rsidRPr="00A523AA">
        <w:rPr>
          <w:rFonts w:ascii="Times New Roman" w:hAnsi="Times New Roman" w:cs="Times New Roman"/>
          <w:i/>
          <w:iCs/>
          <w:sz w:val="24"/>
          <w:szCs w:val="24"/>
        </w:rPr>
        <w:t>(2</w:t>
      </w:r>
      <w:r w:rsidR="003A54E6">
        <w:rPr>
          <w:rFonts w:ascii="Times New Roman" w:hAnsi="Times New Roman" w:cs="Times New Roman"/>
          <w:i/>
          <w:iCs/>
          <w:sz w:val="24"/>
          <w:szCs w:val="24"/>
        </w:rPr>
        <w:t>9</w:t>
      </w:r>
      <w:r w:rsidR="00A523AA" w:rsidRPr="00A523AA">
        <w:rPr>
          <w:rFonts w:ascii="Times New Roman" w:hAnsi="Times New Roman" w:cs="Times New Roman"/>
          <w:i/>
          <w:iCs/>
          <w:sz w:val="24"/>
          <w:szCs w:val="24"/>
        </w:rPr>
        <w:t>)</w:t>
      </w:r>
      <w:r w:rsidRPr="00C41B76">
        <w:rPr>
          <w:rFonts w:ascii="Times New Roman" w:hAnsi="Times New Roman" w:cs="Times New Roman"/>
          <w:sz w:val="24"/>
          <w:szCs w:val="24"/>
        </w:rPr>
        <w:t>. Additional evidence is needed to corroborate this hypothesis</w:t>
      </w:r>
      <w:r>
        <w:rPr>
          <w:rFonts w:ascii="Times New Roman" w:hAnsi="Times New Roman" w:cs="Times New Roman"/>
          <w:sz w:val="24"/>
          <w:szCs w:val="24"/>
        </w:rPr>
        <w:t>.</w:t>
      </w:r>
    </w:p>
    <w:p w14:paraId="3119EC33" w14:textId="15C4D309" w:rsidR="00C41B76" w:rsidRPr="00C41B76" w:rsidRDefault="00C41B76" w:rsidP="00DB73C4">
      <w:pPr>
        <w:spacing w:after="0" w:line="240" w:lineRule="auto"/>
        <w:ind w:firstLine="720"/>
        <w:jc w:val="both"/>
        <w:rPr>
          <w:rFonts w:ascii="Times New Roman" w:hAnsi="Times New Roman" w:cs="Times New Roman"/>
          <w:sz w:val="24"/>
        </w:rPr>
      </w:pPr>
      <w:r w:rsidRPr="00C41B76">
        <w:rPr>
          <w:rFonts w:ascii="Times New Roman" w:hAnsi="Times New Roman" w:cs="Times New Roman"/>
          <w:sz w:val="24"/>
        </w:rPr>
        <w:t>Households living in detached housing units have a higher preference for larger vehicles and a lower preference for gasoline cars. Interestingly, the preference for owning larger vehicles (vans or pickup trucks) reduces if the household does not have access to covered parking. As expected, the absence of a charging facility in home-parking (or workplace parking or other frequently visited places) reduces the preference for owning an electric car. Finally, the regional attributes (population density and employment density) of household's location also influence car ownership and usage behavio</w:t>
      </w:r>
      <w:r w:rsidR="00D20B53">
        <w:rPr>
          <w:rFonts w:ascii="Times New Roman" w:hAnsi="Times New Roman" w:cs="Times New Roman"/>
          <w:sz w:val="24"/>
        </w:rPr>
        <w:t>u</w:t>
      </w:r>
      <w:r w:rsidRPr="00C41B76">
        <w:rPr>
          <w:rFonts w:ascii="Times New Roman" w:hAnsi="Times New Roman" w:cs="Times New Roman"/>
          <w:sz w:val="24"/>
        </w:rPr>
        <w:t xml:space="preserve">r. </w:t>
      </w:r>
      <w:r w:rsidR="001027B3">
        <w:rPr>
          <w:rFonts w:ascii="Times New Roman" w:hAnsi="Times New Roman" w:cs="Times New Roman"/>
          <w:sz w:val="24"/>
        </w:rPr>
        <w:t>Further</w:t>
      </w:r>
      <w:r w:rsidRPr="00C41B76">
        <w:rPr>
          <w:rFonts w:ascii="Times New Roman" w:hAnsi="Times New Roman" w:cs="Times New Roman"/>
          <w:sz w:val="24"/>
        </w:rPr>
        <w:t>, households located in regions of higher employment density (&gt; 500 persons per sq. mile) are less likely to own pickup trucks and SUVs. This result is not surprising since households in regions of lower employment density are likely to be self-employed in activities such as farming and construction, which require hauling material and manoeuvring in rugged terrains.</w:t>
      </w:r>
    </w:p>
    <w:p w14:paraId="54548961" w14:textId="6F3586D2" w:rsidR="00762947" w:rsidRDefault="00C41B76" w:rsidP="00DB73C4">
      <w:pPr>
        <w:spacing w:after="0" w:line="240" w:lineRule="auto"/>
        <w:jc w:val="both"/>
        <w:rPr>
          <w:rFonts w:ascii="Times New Roman" w:hAnsi="Times New Roman" w:cs="Times New Roman"/>
          <w:sz w:val="24"/>
        </w:rPr>
        <w:sectPr w:rsidR="00762947" w:rsidSect="000F372D">
          <w:pgSz w:w="12240" w:h="15840"/>
          <w:pgMar w:top="1440" w:right="1440" w:bottom="1440" w:left="1440" w:header="720" w:footer="720" w:gutter="0"/>
          <w:cols w:space="720"/>
          <w:titlePg/>
          <w:docGrid w:linePitch="360"/>
        </w:sectPr>
      </w:pPr>
      <w:r w:rsidRPr="00C41B76">
        <w:rPr>
          <w:rFonts w:ascii="Times New Roman" w:hAnsi="Times New Roman" w:cs="Times New Roman"/>
          <w:sz w:val="24"/>
        </w:rPr>
        <w:tab/>
        <w:t xml:space="preserve">  The parameters influencing the satiation functions (</w:t>
      </w:r>
      <w:r w:rsidR="00083907" w:rsidRPr="00C41B76">
        <w:rPr>
          <w:rFonts w:ascii="Times New Roman" w:hAnsi="Times New Roman" w:cs="Times New Roman"/>
          <w:position w:val="-12"/>
          <w:sz w:val="24"/>
        </w:rPr>
        <w:object w:dxaOrig="279" w:dyaOrig="360" w14:anchorId="18528736">
          <v:shape id="_x0000_i1100" type="#_x0000_t75" style="width:13.7pt;height:18.45pt" o:ole="" o:preferrelative="f">
            <v:imagedata r:id="rId154" o:title=""/>
            <o:lock v:ext="edit" aspectratio="f"/>
          </v:shape>
          <o:OLEObject Type="Embed" ProgID="Equation.DSMT4" ShapeID="_x0000_i1100" DrawAspect="Content" ObjectID="_1752435803" r:id="rId155"/>
        </w:object>
      </w:r>
      <w:r w:rsidRPr="00C41B76">
        <w:rPr>
          <w:rFonts w:ascii="Times New Roman" w:hAnsi="Times New Roman" w:cs="Times New Roman"/>
          <w:sz w:val="24"/>
        </w:rPr>
        <w:t xml:space="preserve">) are reported in the lower pane of Table 2. The parameter estimates reveal that as household income decreases, more mileage is put on gasoline-powered vehicles. Households with employed individuals tend to put less mileage on SUVs and vans, conditional on owning these vehicle types. Interestingly, recall from the baseline </w:t>
      </w:r>
    </w:p>
    <w:p w14:paraId="0A1ED17A" w14:textId="3530A49C" w:rsidR="00762947" w:rsidRPr="00C25A23" w:rsidRDefault="00C25A23" w:rsidP="00840278">
      <w:pPr>
        <w:spacing w:after="120" w:line="22" w:lineRule="atLeast"/>
        <w:jc w:val="both"/>
        <w:rPr>
          <w:rFonts w:ascii="Times New Roman" w:hAnsi="Times New Roman" w:cs="Times New Roman"/>
          <w:b/>
          <w:sz w:val="24"/>
          <w:szCs w:val="24"/>
        </w:rPr>
      </w:pPr>
      <w:r w:rsidRPr="00C25A23">
        <w:rPr>
          <w:rFonts w:ascii="Times New Roman" w:hAnsi="Times New Roman" w:cs="Times New Roman"/>
          <w:b/>
          <w:sz w:val="24"/>
        </w:rPr>
        <w:lastRenderedPageBreak/>
        <w:t>TABLE</w:t>
      </w:r>
      <w:r w:rsidR="00762947" w:rsidRPr="00C25A23">
        <w:rPr>
          <w:rFonts w:ascii="Times New Roman" w:hAnsi="Times New Roman" w:cs="Times New Roman"/>
          <w:b/>
          <w:sz w:val="24"/>
        </w:rPr>
        <w:t xml:space="preserve"> 2 </w:t>
      </w:r>
      <w:r w:rsidR="00762947" w:rsidRPr="00C25A23">
        <w:rPr>
          <w:rFonts w:ascii="Times New Roman" w:hAnsi="Times New Roman" w:cs="Times New Roman"/>
          <w:b/>
          <w:sz w:val="24"/>
          <w:szCs w:val="24"/>
        </w:rPr>
        <w:t xml:space="preserve">Estimation </w:t>
      </w:r>
      <w:r>
        <w:rPr>
          <w:rFonts w:ascii="Times New Roman" w:hAnsi="Times New Roman" w:cs="Times New Roman"/>
          <w:b/>
          <w:sz w:val="24"/>
          <w:szCs w:val="24"/>
        </w:rPr>
        <w:t>S</w:t>
      </w:r>
      <w:r w:rsidR="00762947" w:rsidRPr="00C25A23">
        <w:rPr>
          <w:rFonts w:ascii="Times New Roman" w:hAnsi="Times New Roman" w:cs="Times New Roman"/>
          <w:b/>
          <w:sz w:val="24"/>
          <w:szCs w:val="24"/>
        </w:rPr>
        <w:t xml:space="preserve">ummary: Parameter </w:t>
      </w:r>
      <w:r>
        <w:rPr>
          <w:rFonts w:ascii="Times New Roman" w:hAnsi="Times New Roman" w:cs="Times New Roman"/>
          <w:b/>
          <w:sz w:val="24"/>
          <w:szCs w:val="24"/>
        </w:rPr>
        <w:t>E</w:t>
      </w:r>
      <w:r w:rsidR="00762947" w:rsidRPr="00C25A23">
        <w:rPr>
          <w:rFonts w:ascii="Times New Roman" w:hAnsi="Times New Roman" w:cs="Times New Roman"/>
          <w:b/>
          <w:sz w:val="24"/>
          <w:szCs w:val="24"/>
        </w:rPr>
        <w:t xml:space="preserve">stimates of the </w:t>
      </w:r>
      <w:r>
        <w:rPr>
          <w:rFonts w:ascii="Times New Roman" w:hAnsi="Times New Roman" w:cs="Times New Roman"/>
          <w:b/>
          <w:sz w:val="24"/>
          <w:szCs w:val="24"/>
        </w:rPr>
        <w:t>F</w:t>
      </w:r>
      <w:r w:rsidR="00762947" w:rsidRPr="00C25A23">
        <w:rPr>
          <w:rFonts w:ascii="Times New Roman" w:hAnsi="Times New Roman" w:cs="Times New Roman"/>
          <w:b/>
          <w:sz w:val="24"/>
          <w:szCs w:val="24"/>
        </w:rPr>
        <w:t xml:space="preserve">ractional </w:t>
      </w:r>
      <w:r>
        <w:rPr>
          <w:rFonts w:ascii="Times New Roman" w:hAnsi="Times New Roman" w:cs="Times New Roman"/>
          <w:b/>
          <w:sz w:val="24"/>
          <w:szCs w:val="24"/>
        </w:rPr>
        <w:t>S</w:t>
      </w:r>
      <w:r w:rsidR="00762947" w:rsidRPr="00C25A23">
        <w:rPr>
          <w:rFonts w:ascii="Times New Roman" w:hAnsi="Times New Roman" w:cs="Times New Roman"/>
          <w:b/>
          <w:sz w:val="24"/>
          <w:szCs w:val="24"/>
        </w:rPr>
        <w:t xml:space="preserve">plit </w:t>
      </w:r>
      <w:r>
        <w:rPr>
          <w:rFonts w:ascii="Times New Roman" w:hAnsi="Times New Roman" w:cs="Times New Roman"/>
          <w:b/>
          <w:sz w:val="24"/>
          <w:szCs w:val="24"/>
        </w:rPr>
        <w:t>M</w:t>
      </w:r>
      <w:r w:rsidR="00762947" w:rsidRPr="00C25A23">
        <w:rPr>
          <w:rFonts w:ascii="Times New Roman" w:hAnsi="Times New Roman" w:cs="Times New Roman"/>
          <w:b/>
          <w:sz w:val="24"/>
          <w:szCs w:val="24"/>
        </w:rPr>
        <w:t>odel</w:t>
      </w:r>
    </w:p>
    <w:tbl>
      <w:tblPr>
        <w:tblStyle w:val="TableGrid1"/>
        <w:tblW w:w="1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1379"/>
        <w:gridCol w:w="1318"/>
        <w:gridCol w:w="1272"/>
        <w:gridCol w:w="1394"/>
        <w:gridCol w:w="1373"/>
        <w:gridCol w:w="1295"/>
        <w:gridCol w:w="1466"/>
      </w:tblGrid>
      <w:tr w:rsidR="00762947" w:rsidRPr="00762947" w14:paraId="3715DC43" w14:textId="77777777" w:rsidTr="000723CB">
        <w:trPr>
          <w:trHeight w:val="20"/>
        </w:trPr>
        <w:tc>
          <w:tcPr>
            <w:tcW w:w="3671" w:type="dxa"/>
            <w:tcBorders>
              <w:top w:val="single" w:sz="12" w:space="0" w:color="auto"/>
              <w:left w:val="single" w:sz="12" w:space="0" w:color="auto"/>
              <w:bottom w:val="single" w:sz="12" w:space="0" w:color="auto"/>
              <w:right w:val="double" w:sz="4" w:space="0" w:color="auto"/>
            </w:tcBorders>
          </w:tcPr>
          <w:p w14:paraId="58707653" w14:textId="77777777" w:rsidR="00762947" w:rsidRPr="00762947" w:rsidRDefault="00762947" w:rsidP="00762947">
            <w:pPr>
              <w:rPr>
                <w:sz w:val="20"/>
                <w:szCs w:val="20"/>
              </w:rPr>
            </w:pPr>
          </w:p>
        </w:tc>
        <w:tc>
          <w:tcPr>
            <w:tcW w:w="9497" w:type="dxa"/>
            <w:gridSpan w:val="7"/>
            <w:tcBorders>
              <w:top w:val="single" w:sz="12" w:space="0" w:color="auto"/>
              <w:left w:val="double" w:sz="4" w:space="0" w:color="auto"/>
              <w:right w:val="single" w:sz="12" w:space="0" w:color="auto"/>
            </w:tcBorders>
            <w:vAlign w:val="center"/>
          </w:tcPr>
          <w:p w14:paraId="6D7831A8" w14:textId="77777777" w:rsidR="00762947" w:rsidRPr="00762947" w:rsidRDefault="00762947" w:rsidP="00762947">
            <w:pPr>
              <w:jc w:val="center"/>
              <w:rPr>
                <w:b/>
                <w:bCs/>
                <w:sz w:val="20"/>
                <w:szCs w:val="20"/>
              </w:rPr>
            </w:pPr>
            <w:r w:rsidRPr="00762947">
              <w:rPr>
                <w:b/>
                <w:bCs/>
                <w:sz w:val="20"/>
                <w:szCs w:val="20"/>
              </w:rPr>
              <w:t>Parameter estimates (</w:t>
            </w:r>
            <w:r w:rsidRPr="00762947">
              <w:rPr>
                <w:b/>
                <w:bCs/>
                <w:i/>
                <w:iCs/>
                <w:sz w:val="20"/>
                <w:szCs w:val="20"/>
              </w:rPr>
              <w:t>t-stats</w:t>
            </w:r>
            <w:r w:rsidRPr="00762947">
              <w:rPr>
                <w:b/>
                <w:bCs/>
                <w:sz w:val="20"/>
                <w:szCs w:val="20"/>
              </w:rPr>
              <w:t>)</w:t>
            </w:r>
          </w:p>
        </w:tc>
      </w:tr>
      <w:tr w:rsidR="00762947" w:rsidRPr="00762947" w14:paraId="2C6E9B77" w14:textId="77777777" w:rsidTr="000723CB">
        <w:trPr>
          <w:trHeight w:val="20"/>
        </w:trPr>
        <w:tc>
          <w:tcPr>
            <w:tcW w:w="3671" w:type="dxa"/>
            <w:tcBorders>
              <w:top w:val="single" w:sz="12" w:space="0" w:color="auto"/>
              <w:left w:val="single" w:sz="12" w:space="0" w:color="auto"/>
              <w:bottom w:val="single" w:sz="12" w:space="0" w:color="auto"/>
              <w:right w:val="double" w:sz="4" w:space="0" w:color="auto"/>
            </w:tcBorders>
            <w:vAlign w:val="center"/>
          </w:tcPr>
          <w:p w14:paraId="5CAFD546" w14:textId="77777777" w:rsidR="00762947" w:rsidRPr="00762947" w:rsidRDefault="00762947" w:rsidP="00762947">
            <w:pPr>
              <w:rPr>
                <w:b/>
                <w:bCs/>
                <w:sz w:val="20"/>
                <w:szCs w:val="20"/>
              </w:rPr>
            </w:pPr>
            <w:r w:rsidRPr="00762947">
              <w:rPr>
                <w:b/>
                <w:bCs/>
                <w:sz w:val="20"/>
                <w:szCs w:val="20"/>
              </w:rPr>
              <w:t>Explanatory variables</w:t>
            </w:r>
          </w:p>
        </w:tc>
        <w:tc>
          <w:tcPr>
            <w:tcW w:w="1379" w:type="dxa"/>
            <w:tcBorders>
              <w:top w:val="single" w:sz="12" w:space="0" w:color="auto"/>
              <w:left w:val="double" w:sz="4" w:space="0" w:color="auto"/>
              <w:bottom w:val="single" w:sz="12" w:space="0" w:color="auto"/>
            </w:tcBorders>
            <w:vAlign w:val="center"/>
          </w:tcPr>
          <w:p w14:paraId="6095BD96" w14:textId="77777777" w:rsidR="00762947" w:rsidRPr="00762947" w:rsidRDefault="00762947" w:rsidP="00762947">
            <w:pPr>
              <w:jc w:val="center"/>
              <w:rPr>
                <w:b/>
                <w:bCs/>
                <w:sz w:val="20"/>
                <w:szCs w:val="20"/>
              </w:rPr>
            </w:pPr>
            <w:r w:rsidRPr="00762947">
              <w:rPr>
                <w:b/>
                <w:bCs/>
                <w:sz w:val="20"/>
                <w:szCs w:val="20"/>
              </w:rPr>
              <w:t>Gasoline car</w:t>
            </w:r>
          </w:p>
        </w:tc>
        <w:tc>
          <w:tcPr>
            <w:tcW w:w="1318" w:type="dxa"/>
            <w:tcBorders>
              <w:top w:val="single" w:sz="12" w:space="0" w:color="auto"/>
              <w:bottom w:val="single" w:sz="12" w:space="0" w:color="auto"/>
            </w:tcBorders>
            <w:vAlign w:val="center"/>
          </w:tcPr>
          <w:p w14:paraId="6B97178E" w14:textId="77777777" w:rsidR="00762947" w:rsidRPr="00762947" w:rsidRDefault="00762947" w:rsidP="00762947">
            <w:pPr>
              <w:jc w:val="center"/>
              <w:rPr>
                <w:b/>
                <w:bCs/>
                <w:sz w:val="20"/>
                <w:szCs w:val="20"/>
              </w:rPr>
            </w:pPr>
            <w:r w:rsidRPr="00762947">
              <w:rPr>
                <w:b/>
                <w:bCs/>
                <w:sz w:val="20"/>
                <w:szCs w:val="20"/>
              </w:rPr>
              <w:t>Hybrid car</w:t>
            </w:r>
          </w:p>
        </w:tc>
        <w:tc>
          <w:tcPr>
            <w:tcW w:w="1272" w:type="dxa"/>
            <w:tcBorders>
              <w:top w:val="single" w:sz="12" w:space="0" w:color="auto"/>
              <w:bottom w:val="single" w:sz="12" w:space="0" w:color="auto"/>
            </w:tcBorders>
            <w:vAlign w:val="center"/>
          </w:tcPr>
          <w:p w14:paraId="1E6F8A4A" w14:textId="77777777" w:rsidR="00762947" w:rsidRPr="00762947" w:rsidRDefault="00762947" w:rsidP="00762947">
            <w:pPr>
              <w:jc w:val="center"/>
              <w:rPr>
                <w:b/>
                <w:bCs/>
                <w:sz w:val="20"/>
                <w:szCs w:val="20"/>
              </w:rPr>
            </w:pPr>
            <w:r w:rsidRPr="00762947">
              <w:rPr>
                <w:b/>
                <w:bCs/>
                <w:sz w:val="20"/>
                <w:szCs w:val="20"/>
              </w:rPr>
              <w:t>Electric car</w:t>
            </w:r>
          </w:p>
        </w:tc>
        <w:tc>
          <w:tcPr>
            <w:tcW w:w="1394" w:type="dxa"/>
            <w:tcBorders>
              <w:top w:val="single" w:sz="12" w:space="0" w:color="auto"/>
              <w:bottom w:val="single" w:sz="12" w:space="0" w:color="auto"/>
            </w:tcBorders>
            <w:vAlign w:val="center"/>
          </w:tcPr>
          <w:p w14:paraId="3818FB58" w14:textId="77777777" w:rsidR="00762947" w:rsidRPr="00762947" w:rsidRDefault="00762947" w:rsidP="00762947">
            <w:pPr>
              <w:jc w:val="center"/>
              <w:rPr>
                <w:b/>
                <w:bCs/>
                <w:sz w:val="20"/>
                <w:szCs w:val="20"/>
              </w:rPr>
            </w:pPr>
            <w:r w:rsidRPr="00762947">
              <w:rPr>
                <w:b/>
                <w:bCs/>
                <w:sz w:val="20"/>
                <w:szCs w:val="20"/>
              </w:rPr>
              <w:t>Gasoline SUV</w:t>
            </w:r>
          </w:p>
        </w:tc>
        <w:tc>
          <w:tcPr>
            <w:tcW w:w="1373" w:type="dxa"/>
            <w:tcBorders>
              <w:top w:val="single" w:sz="12" w:space="0" w:color="auto"/>
              <w:bottom w:val="single" w:sz="12" w:space="0" w:color="auto"/>
            </w:tcBorders>
            <w:vAlign w:val="center"/>
          </w:tcPr>
          <w:p w14:paraId="316F3D3B" w14:textId="77777777" w:rsidR="00762947" w:rsidRPr="00762947" w:rsidRDefault="00762947" w:rsidP="00762947">
            <w:pPr>
              <w:jc w:val="center"/>
              <w:rPr>
                <w:b/>
                <w:bCs/>
                <w:sz w:val="20"/>
                <w:szCs w:val="20"/>
              </w:rPr>
            </w:pPr>
            <w:r w:rsidRPr="00762947">
              <w:rPr>
                <w:b/>
                <w:bCs/>
                <w:sz w:val="20"/>
                <w:szCs w:val="20"/>
              </w:rPr>
              <w:t>“Hybrid+” SUV</w:t>
            </w:r>
          </w:p>
        </w:tc>
        <w:tc>
          <w:tcPr>
            <w:tcW w:w="1295" w:type="dxa"/>
            <w:tcBorders>
              <w:top w:val="single" w:sz="12" w:space="0" w:color="auto"/>
              <w:bottom w:val="single" w:sz="12" w:space="0" w:color="auto"/>
            </w:tcBorders>
            <w:vAlign w:val="center"/>
          </w:tcPr>
          <w:p w14:paraId="138CC73E" w14:textId="77777777" w:rsidR="00762947" w:rsidRPr="00762947" w:rsidRDefault="00762947" w:rsidP="00762947">
            <w:pPr>
              <w:jc w:val="center"/>
              <w:rPr>
                <w:b/>
                <w:bCs/>
                <w:sz w:val="20"/>
                <w:szCs w:val="20"/>
              </w:rPr>
            </w:pPr>
            <w:r w:rsidRPr="00762947">
              <w:rPr>
                <w:b/>
                <w:bCs/>
                <w:sz w:val="20"/>
                <w:szCs w:val="20"/>
              </w:rPr>
              <w:t>Van</w:t>
            </w:r>
          </w:p>
        </w:tc>
        <w:tc>
          <w:tcPr>
            <w:tcW w:w="1466" w:type="dxa"/>
            <w:tcBorders>
              <w:top w:val="single" w:sz="12" w:space="0" w:color="auto"/>
              <w:bottom w:val="single" w:sz="12" w:space="0" w:color="auto"/>
              <w:right w:val="single" w:sz="12" w:space="0" w:color="auto"/>
            </w:tcBorders>
            <w:vAlign w:val="center"/>
          </w:tcPr>
          <w:p w14:paraId="1AC461F4" w14:textId="429E5836" w:rsidR="00762947" w:rsidRPr="00762947" w:rsidRDefault="00762947" w:rsidP="00762947">
            <w:pPr>
              <w:jc w:val="center"/>
              <w:rPr>
                <w:b/>
                <w:bCs/>
                <w:sz w:val="20"/>
                <w:szCs w:val="20"/>
              </w:rPr>
            </w:pPr>
            <w:r w:rsidRPr="00762947">
              <w:rPr>
                <w:b/>
                <w:bCs/>
                <w:sz w:val="20"/>
                <w:szCs w:val="20"/>
              </w:rPr>
              <w:t>Pickup</w:t>
            </w:r>
          </w:p>
          <w:p w14:paraId="7AEE8B9A" w14:textId="77777777" w:rsidR="00762947" w:rsidRPr="00762947" w:rsidRDefault="00762947" w:rsidP="00762947">
            <w:pPr>
              <w:jc w:val="center"/>
              <w:rPr>
                <w:b/>
                <w:bCs/>
                <w:sz w:val="20"/>
                <w:szCs w:val="20"/>
              </w:rPr>
            </w:pPr>
            <w:r w:rsidRPr="00762947">
              <w:rPr>
                <w:b/>
                <w:bCs/>
                <w:sz w:val="20"/>
                <w:szCs w:val="20"/>
              </w:rPr>
              <w:t>truck</w:t>
            </w:r>
          </w:p>
        </w:tc>
      </w:tr>
      <w:tr w:rsidR="00762947" w:rsidRPr="00762947" w14:paraId="69A43298" w14:textId="77777777" w:rsidTr="000723CB">
        <w:trPr>
          <w:trHeight w:val="20"/>
        </w:trPr>
        <w:tc>
          <w:tcPr>
            <w:tcW w:w="3671" w:type="dxa"/>
            <w:tcBorders>
              <w:top w:val="single" w:sz="12" w:space="0" w:color="auto"/>
              <w:left w:val="single" w:sz="12" w:space="0" w:color="auto"/>
              <w:right w:val="double" w:sz="4" w:space="0" w:color="auto"/>
            </w:tcBorders>
          </w:tcPr>
          <w:p w14:paraId="2A4EFC46" w14:textId="77777777" w:rsidR="00762947" w:rsidRPr="00762947" w:rsidRDefault="00762947" w:rsidP="00762947">
            <w:pPr>
              <w:rPr>
                <w:b/>
                <w:bCs/>
                <w:i/>
                <w:iCs/>
                <w:sz w:val="20"/>
                <w:szCs w:val="20"/>
              </w:rPr>
            </w:pPr>
            <w:r w:rsidRPr="00762947">
              <w:rPr>
                <w:b/>
                <w:bCs/>
                <w:i/>
                <w:iCs/>
                <w:sz w:val="20"/>
                <w:szCs w:val="20"/>
              </w:rPr>
              <w:t>Baseline preference function</w:t>
            </w:r>
          </w:p>
        </w:tc>
        <w:tc>
          <w:tcPr>
            <w:tcW w:w="1379" w:type="dxa"/>
            <w:tcBorders>
              <w:top w:val="single" w:sz="12" w:space="0" w:color="auto"/>
              <w:left w:val="double" w:sz="4" w:space="0" w:color="auto"/>
            </w:tcBorders>
          </w:tcPr>
          <w:p w14:paraId="3330CD51" w14:textId="77777777" w:rsidR="00762947" w:rsidRPr="00762947" w:rsidRDefault="00762947" w:rsidP="00762947">
            <w:pPr>
              <w:rPr>
                <w:sz w:val="20"/>
                <w:szCs w:val="20"/>
              </w:rPr>
            </w:pPr>
          </w:p>
        </w:tc>
        <w:tc>
          <w:tcPr>
            <w:tcW w:w="1318" w:type="dxa"/>
            <w:tcBorders>
              <w:top w:val="single" w:sz="12" w:space="0" w:color="auto"/>
            </w:tcBorders>
          </w:tcPr>
          <w:p w14:paraId="724165A1" w14:textId="77777777" w:rsidR="00762947" w:rsidRPr="00762947" w:rsidRDefault="00762947" w:rsidP="00762947">
            <w:pPr>
              <w:rPr>
                <w:sz w:val="20"/>
                <w:szCs w:val="20"/>
              </w:rPr>
            </w:pPr>
          </w:p>
        </w:tc>
        <w:tc>
          <w:tcPr>
            <w:tcW w:w="1272" w:type="dxa"/>
            <w:tcBorders>
              <w:top w:val="single" w:sz="12" w:space="0" w:color="auto"/>
            </w:tcBorders>
          </w:tcPr>
          <w:p w14:paraId="51E4BD16" w14:textId="77777777" w:rsidR="00762947" w:rsidRPr="00762947" w:rsidRDefault="00762947" w:rsidP="00762947">
            <w:pPr>
              <w:rPr>
                <w:sz w:val="20"/>
                <w:szCs w:val="20"/>
              </w:rPr>
            </w:pPr>
          </w:p>
        </w:tc>
        <w:tc>
          <w:tcPr>
            <w:tcW w:w="1394" w:type="dxa"/>
            <w:tcBorders>
              <w:top w:val="single" w:sz="12" w:space="0" w:color="auto"/>
            </w:tcBorders>
          </w:tcPr>
          <w:p w14:paraId="4F36C889" w14:textId="77777777" w:rsidR="00762947" w:rsidRPr="00762947" w:rsidRDefault="00762947" w:rsidP="00762947">
            <w:pPr>
              <w:rPr>
                <w:sz w:val="20"/>
                <w:szCs w:val="20"/>
              </w:rPr>
            </w:pPr>
          </w:p>
        </w:tc>
        <w:tc>
          <w:tcPr>
            <w:tcW w:w="1373" w:type="dxa"/>
            <w:tcBorders>
              <w:top w:val="single" w:sz="12" w:space="0" w:color="auto"/>
            </w:tcBorders>
          </w:tcPr>
          <w:p w14:paraId="03B81DEB" w14:textId="77777777" w:rsidR="00762947" w:rsidRPr="00762947" w:rsidRDefault="00762947" w:rsidP="00762947">
            <w:pPr>
              <w:rPr>
                <w:sz w:val="20"/>
                <w:szCs w:val="20"/>
              </w:rPr>
            </w:pPr>
          </w:p>
        </w:tc>
        <w:tc>
          <w:tcPr>
            <w:tcW w:w="1295" w:type="dxa"/>
            <w:tcBorders>
              <w:top w:val="single" w:sz="12" w:space="0" w:color="auto"/>
            </w:tcBorders>
          </w:tcPr>
          <w:p w14:paraId="4960744C" w14:textId="77777777" w:rsidR="00762947" w:rsidRPr="00762947" w:rsidRDefault="00762947" w:rsidP="00762947">
            <w:pPr>
              <w:rPr>
                <w:sz w:val="20"/>
                <w:szCs w:val="20"/>
              </w:rPr>
            </w:pPr>
          </w:p>
        </w:tc>
        <w:tc>
          <w:tcPr>
            <w:tcW w:w="1466" w:type="dxa"/>
            <w:tcBorders>
              <w:top w:val="single" w:sz="12" w:space="0" w:color="auto"/>
              <w:right w:val="single" w:sz="12" w:space="0" w:color="auto"/>
            </w:tcBorders>
          </w:tcPr>
          <w:p w14:paraId="145A5CBB" w14:textId="77777777" w:rsidR="00762947" w:rsidRPr="00762947" w:rsidRDefault="00762947" w:rsidP="00762947">
            <w:pPr>
              <w:rPr>
                <w:sz w:val="20"/>
                <w:szCs w:val="20"/>
              </w:rPr>
            </w:pPr>
          </w:p>
        </w:tc>
      </w:tr>
      <w:tr w:rsidR="00762947" w:rsidRPr="00762947" w14:paraId="6BDA849D" w14:textId="77777777" w:rsidTr="000723CB">
        <w:trPr>
          <w:trHeight w:val="20"/>
        </w:trPr>
        <w:tc>
          <w:tcPr>
            <w:tcW w:w="3671" w:type="dxa"/>
            <w:tcBorders>
              <w:left w:val="single" w:sz="12" w:space="0" w:color="auto"/>
              <w:right w:val="double" w:sz="4" w:space="0" w:color="auto"/>
            </w:tcBorders>
          </w:tcPr>
          <w:p w14:paraId="5B35E80E" w14:textId="7B4B0CE2" w:rsidR="00762947" w:rsidRPr="00762947" w:rsidRDefault="00762947" w:rsidP="00762947">
            <w:pPr>
              <w:rPr>
                <w:i/>
                <w:iCs/>
                <w:sz w:val="20"/>
                <w:szCs w:val="20"/>
                <w:u w:val="single"/>
              </w:rPr>
            </w:pPr>
            <w:r w:rsidRPr="00762947">
              <w:rPr>
                <w:i/>
                <w:iCs/>
                <w:sz w:val="20"/>
                <w:szCs w:val="20"/>
                <w:u w:val="single"/>
              </w:rPr>
              <w:t>Household income characteristics (Base: Income more than $200K)</w:t>
            </w:r>
          </w:p>
        </w:tc>
        <w:tc>
          <w:tcPr>
            <w:tcW w:w="1379" w:type="dxa"/>
            <w:tcBorders>
              <w:left w:val="double" w:sz="4" w:space="0" w:color="auto"/>
            </w:tcBorders>
            <w:vAlign w:val="center"/>
          </w:tcPr>
          <w:p w14:paraId="3E143E13" w14:textId="77777777" w:rsidR="00762947" w:rsidRPr="00762947" w:rsidRDefault="00762947" w:rsidP="00762947">
            <w:pPr>
              <w:jc w:val="center"/>
              <w:rPr>
                <w:sz w:val="20"/>
                <w:szCs w:val="20"/>
              </w:rPr>
            </w:pPr>
          </w:p>
        </w:tc>
        <w:tc>
          <w:tcPr>
            <w:tcW w:w="1318" w:type="dxa"/>
            <w:vAlign w:val="center"/>
          </w:tcPr>
          <w:p w14:paraId="299E2257" w14:textId="77777777" w:rsidR="00762947" w:rsidRPr="00762947" w:rsidRDefault="00762947" w:rsidP="00762947">
            <w:pPr>
              <w:jc w:val="center"/>
              <w:rPr>
                <w:sz w:val="20"/>
                <w:szCs w:val="20"/>
              </w:rPr>
            </w:pPr>
          </w:p>
        </w:tc>
        <w:tc>
          <w:tcPr>
            <w:tcW w:w="1272" w:type="dxa"/>
            <w:vAlign w:val="center"/>
          </w:tcPr>
          <w:p w14:paraId="3298295D" w14:textId="77777777" w:rsidR="00762947" w:rsidRPr="00762947" w:rsidRDefault="00762947" w:rsidP="00762947">
            <w:pPr>
              <w:jc w:val="center"/>
              <w:rPr>
                <w:sz w:val="20"/>
                <w:szCs w:val="20"/>
              </w:rPr>
            </w:pPr>
          </w:p>
        </w:tc>
        <w:tc>
          <w:tcPr>
            <w:tcW w:w="1394" w:type="dxa"/>
            <w:vAlign w:val="center"/>
          </w:tcPr>
          <w:p w14:paraId="1277B2C0" w14:textId="77777777" w:rsidR="00762947" w:rsidRPr="00762947" w:rsidRDefault="00762947" w:rsidP="00762947">
            <w:pPr>
              <w:jc w:val="center"/>
              <w:rPr>
                <w:sz w:val="20"/>
                <w:szCs w:val="20"/>
              </w:rPr>
            </w:pPr>
          </w:p>
        </w:tc>
        <w:tc>
          <w:tcPr>
            <w:tcW w:w="1373" w:type="dxa"/>
            <w:vAlign w:val="center"/>
          </w:tcPr>
          <w:p w14:paraId="15111AB0" w14:textId="77777777" w:rsidR="00762947" w:rsidRPr="00762947" w:rsidRDefault="00762947" w:rsidP="00762947">
            <w:pPr>
              <w:jc w:val="center"/>
              <w:rPr>
                <w:sz w:val="20"/>
                <w:szCs w:val="20"/>
              </w:rPr>
            </w:pPr>
          </w:p>
        </w:tc>
        <w:tc>
          <w:tcPr>
            <w:tcW w:w="1295" w:type="dxa"/>
            <w:vAlign w:val="center"/>
          </w:tcPr>
          <w:p w14:paraId="4C39887C"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5635DFE0" w14:textId="77777777" w:rsidR="00762947" w:rsidRPr="00762947" w:rsidRDefault="00762947" w:rsidP="00762947">
            <w:pPr>
              <w:jc w:val="center"/>
              <w:rPr>
                <w:sz w:val="20"/>
                <w:szCs w:val="20"/>
              </w:rPr>
            </w:pPr>
          </w:p>
        </w:tc>
      </w:tr>
      <w:tr w:rsidR="00762947" w:rsidRPr="00762947" w14:paraId="5A9B4CAD" w14:textId="77777777" w:rsidTr="000723CB">
        <w:trPr>
          <w:trHeight w:val="20"/>
        </w:trPr>
        <w:tc>
          <w:tcPr>
            <w:tcW w:w="3671" w:type="dxa"/>
            <w:tcBorders>
              <w:left w:val="single" w:sz="12" w:space="0" w:color="auto"/>
              <w:right w:val="double" w:sz="4" w:space="0" w:color="auto"/>
            </w:tcBorders>
          </w:tcPr>
          <w:p w14:paraId="391E7EFC" w14:textId="77777777" w:rsidR="00762947" w:rsidRPr="00762947" w:rsidRDefault="00762947" w:rsidP="00762947">
            <w:pPr>
              <w:ind w:firstLine="164"/>
              <w:rPr>
                <w:sz w:val="20"/>
                <w:szCs w:val="20"/>
              </w:rPr>
            </w:pPr>
            <w:r w:rsidRPr="00762947">
              <w:rPr>
                <w:sz w:val="20"/>
                <w:szCs w:val="20"/>
              </w:rPr>
              <w:t>Income less than $25K</w:t>
            </w:r>
          </w:p>
        </w:tc>
        <w:tc>
          <w:tcPr>
            <w:tcW w:w="1379" w:type="dxa"/>
            <w:tcBorders>
              <w:left w:val="double" w:sz="4" w:space="0" w:color="auto"/>
            </w:tcBorders>
            <w:vAlign w:val="center"/>
          </w:tcPr>
          <w:p w14:paraId="61FA5E70"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5D05E72C" w14:textId="77777777" w:rsidR="00762947" w:rsidRPr="00762947" w:rsidRDefault="00762947" w:rsidP="00762947">
            <w:pPr>
              <w:jc w:val="center"/>
              <w:rPr>
                <w:sz w:val="20"/>
                <w:szCs w:val="20"/>
              </w:rPr>
            </w:pPr>
            <w:r w:rsidRPr="00762947">
              <w:rPr>
                <w:sz w:val="20"/>
                <w:szCs w:val="20"/>
              </w:rPr>
              <w:t xml:space="preserve">-1.26 </w:t>
            </w:r>
            <w:r w:rsidRPr="00762947">
              <w:rPr>
                <w:i/>
                <w:iCs/>
                <w:sz w:val="20"/>
                <w:szCs w:val="20"/>
              </w:rPr>
              <w:t>(-3.10)</w:t>
            </w:r>
          </w:p>
        </w:tc>
        <w:tc>
          <w:tcPr>
            <w:tcW w:w="1272" w:type="dxa"/>
            <w:vAlign w:val="center"/>
          </w:tcPr>
          <w:p w14:paraId="46825FD2" w14:textId="77777777" w:rsidR="00762947" w:rsidRPr="00762947" w:rsidRDefault="00762947" w:rsidP="00762947">
            <w:pPr>
              <w:jc w:val="center"/>
              <w:rPr>
                <w:sz w:val="20"/>
                <w:szCs w:val="20"/>
              </w:rPr>
            </w:pPr>
            <w:r w:rsidRPr="00762947">
              <w:rPr>
                <w:sz w:val="20"/>
                <w:szCs w:val="20"/>
              </w:rPr>
              <w:t xml:space="preserve">-1.77 </w:t>
            </w:r>
            <w:r w:rsidRPr="00762947">
              <w:rPr>
                <w:i/>
                <w:iCs/>
                <w:sz w:val="20"/>
                <w:szCs w:val="20"/>
              </w:rPr>
              <w:t>(-3.09)</w:t>
            </w:r>
          </w:p>
        </w:tc>
        <w:tc>
          <w:tcPr>
            <w:tcW w:w="1394" w:type="dxa"/>
            <w:vAlign w:val="center"/>
          </w:tcPr>
          <w:p w14:paraId="12A2D727" w14:textId="77777777" w:rsidR="00762947" w:rsidRPr="00762947" w:rsidRDefault="00762947" w:rsidP="00762947">
            <w:pPr>
              <w:jc w:val="center"/>
              <w:rPr>
                <w:sz w:val="20"/>
                <w:szCs w:val="20"/>
              </w:rPr>
            </w:pPr>
            <w:r w:rsidRPr="00762947">
              <w:rPr>
                <w:sz w:val="20"/>
                <w:szCs w:val="20"/>
              </w:rPr>
              <w:t xml:space="preserve">-1.02 </w:t>
            </w:r>
            <w:r w:rsidRPr="00762947">
              <w:rPr>
                <w:i/>
                <w:iCs/>
                <w:sz w:val="20"/>
                <w:szCs w:val="20"/>
              </w:rPr>
              <w:t>(-3.</w:t>
            </w:r>
            <w:proofErr w:type="gramStart"/>
            <w:r w:rsidRPr="00762947">
              <w:rPr>
                <w:i/>
                <w:iCs/>
                <w:sz w:val="20"/>
                <w:szCs w:val="20"/>
              </w:rPr>
              <w:t>02)*</w:t>
            </w:r>
            <w:proofErr w:type="gramEnd"/>
          </w:p>
        </w:tc>
        <w:tc>
          <w:tcPr>
            <w:tcW w:w="1373" w:type="dxa"/>
            <w:vAlign w:val="center"/>
          </w:tcPr>
          <w:p w14:paraId="0C24C12C" w14:textId="77777777" w:rsidR="00762947" w:rsidRPr="00762947" w:rsidRDefault="00762947" w:rsidP="00762947">
            <w:pPr>
              <w:jc w:val="center"/>
              <w:rPr>
                <w:sz w:val="20"/>
                <w:szCs w:val="20"/>
              </w:rPr>
            </w:pPr>
            <w:r w:rsidRPr="00762947">
              <w:rPr>
                <w:sz w:val="20"/>
                <w:szCs w:val="20"/>
              </w:rPr>
              <w:t xml:space="preserve">-1.02 </w:t>
            </w:r>
            <w:r w:rsidRPr="00762947">
              <w:rPr>
                <w:i/>
                <w:iCs/>
                <w:sz w:val="20"/>
                <w:szCs w:val="20"/>
              </w:rPr>
              <w:t>(-3.</w:t>
            </w:r>
            <w:proofErr w:type="gramStart"/>
            <w:r w:rsidRPr="00762947">
              <w:rPr>
                <w:i/>
                <w:iCs/>
                <w:sz w:val="20"/>
                <w:szCs w:val="20"/>
              </w:rPr>
              <w:t>02)*</w:t>
            </w:r>
            <w:proofErr w:type="gramEnd"/>
          </w:p>
        </w:tc>
        <w:tc>
          <w:tcPr>
            <w:tcW w:w="1295" w:type="dxa"/>
            <w:vAlign w:val="center"/>
          </w:tcPr>
          <w:p w14:paraId="79136BD4"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791CA2B7" w14:textId="77777777" w:rsidR="00762947" w:rsidRPr="00762947" w:rsidRDefault="00762947" w:rsidP="00762947">
            <w:pPr>
              <w:jc w:val="center"/>
              <w:rPr>
                <w:sz w:val="20"/>
                <w:szCs w:val="20"/>
              </w:rPr>
            </w:pPr>
            <w:r w:rsidRPr="00762947">
              <w:rPr>
                <w:sz w:val="20"/>
                <w:szCs w:val="20"/>
              </w:rPr>
              <w:t>--</w:t>
            </w:r>
          </w:p>
        </w:tc>
      </w:tr>
      <w:tr w:rsidR="00762947" w:rsidRPr="00762947" w14:paraId="6EB98BF5" w14:textId="77777777" w:rsidTr="000723CB">
        <w:trPr>
          <w:trHeight w:val="20"/>
        </w:trPr>
        <w:tc>
          <w:tcPr>
            <w:tcW w:w="3671" w:type="dxa"/>
            <w:tcBorders>
              <w:left w:val="single" w:sz="12" w:space="0" w:color="auto"/>
              <w:right w:val="double" w:sz="4" w:space="0" w:color="auto"/>
            </w:tcBorders>
          </w:tcPr>
          <w:p w14:paraId="12D96EFA" w14:textId="77777777" w:rsidR="00762947" w:rsidRPr="00762947" w:rsidRDefault="00762947" w:rsidP="00762947">
            <w:pPr>
              <w:ind w:firstLine="164"/>
              <w:rPr>
                <w:sz w:val="20"/>
                <w:szCs w:val="20"/>
              </w:rPr>
            </w:pPr>
            <w:r w:rsidRPr="00762947">
              <w:rPr>
                <w:sz w:val="20"/>
                <w:szCs w:val="20"/>
              </w:rPr>
              <w:t>Income less than $25K to $50K</w:t>
            </w:r>
          </w:p>
        </w:tc>
        <w:tc>
          <w:tcPr>
            <w:tcW w:w="1379" w:type="dxa"/>
            <w:tcBorders>
              <w:left w:val="double" w:sz="4" w:space="0" w:color="auto"/>
            </w:tcBorders>
            <w:vAlign w:val="center"/>
          </w:tcPr>
          <w:p w14:paraId="3A833667"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56CACF21" w14:textId="77777777" w:rsidR="00762947" w:rsidRPr="00762947" w:rsidRDefault="00762947" w:rsidP="00762947">
            <w:pPr>
              <w:jc w:val="center"/>
              <w:rPr>
                <w:sz w:val="20"/>
                <w:szCs w:val="20"/>
              </w:rPr>
            </w:pPr>
            <w:r w:rsidRPr="00762947">
              <w:rPr>
                <w:sz w:val="20"/>
                <w:szCs w:val="20"/>
              </w:rPr>
              <w:t xml:space="preserve">-0.46 </w:t>
            </w:r>
            <w:r w:rsidRPr="00762947">
              <w:rPr>
                <w:i/>
                <w:iCs/>
                <w:sz w:val="20"/>
                <w:szCs w:val="20"/>
              </w:rPr>
              <w:t>(-2.73)</w:t>
            </w:r>
          </w:p>
        </w:tc>
        <w:tc>
          <w:tcPr>
            <w:tcW w:w="1272" w:type="dxa"/>
            <w:vAlign w:val="center"/>
          </w:tcPr>
          <w:p w14:paraId="3D790A4B" w14:textId="77777777" w:rsidR="00762947" w:rsidRPr="00762947" w:rsidRDefault="00762947" w:rsidP="00762947">
            <w:pPr>
              <w:jc w:val="center"/>
              <w:rPr>
                <w:sz w:val="20"/>
                <w:szCs w:val="20"/>
              </w:rPr>
            </w:pPr>
            <w:r w:rsidRPr="00762947">
              <w:rPr>
                <w:sz w:val="20"/>
                <w:szCs w:val="20"/>
              </w:rPr>
              <w:t xml:space="preserve">-0.88 </w:t>
            </w:r>
            <w:r w:rsidRPr="00762947">
              <w:rPr>
                <w:i/>
                <w:iCs/>
                <w:sz w:val="20"/>
                <w:szCs w:val="20"/>
              </w:rPr>
              <w:t>(-3.13)</w:t>
            </w:r>
          </w:p>
        </w:tc>
        <w:tc>
          <w:tcPr>
            <w:tcW w:w="1394" w:type="dxa"/>
            <w:vAlign w:val="center"/>
          </w:tcPr>
          <w:p w14:paraId="678CA8E6" w14:textId="77777777" w:rsidR="00762947" w:rsidRPr="00762947" w:rsidRDefault="00762947" w:rsidP="00762947">
            <w:pPr>
              <w:jc w:val="center"/>
              <w:rPr>
                <w:sz w:val="20"/>
                <w:szCs w:val="20"/>
              </w:rPr>
            </w:pPr>
            <w:r w:rsidRPr="00762947">
              <w:rPr>
                <w:sz w:val="20"/>
                <w:szCs w:val="20"/>
              </w:rPr>
              <w:t xml:space="preserve">-0.36 </w:t>
            </w:r>
            <w:r w:rsidRPr="00762947">
              <w:rPr>
                <w:i/>
                <w:iCs/>
                <w:sz w:val="20"/>
                <w:szCs w:val="20"/>
              </w:rPr>
              <w:t>(-2.50)</w:t>
            </w:r>
          </w:p>
        </w:tc>
        <w:tc>
          <w:tcPr>
            <w:tcW w:w="1373" w:type="dxa"/>
            <w:vAlign w:val="center"/>
          </w:tcPr>
          <w:p w14:paraId="1A386E9A" w14:textId="77777777" w:rsidR="00762947" w:rsidRPr="00762947" w:rsidRDefault="00762947" w:rsidP="00762947">
            <w:pPr>
              <w:jc w:val="center"/>
              <w:rPr>
                <w:sz w:val="20"/>
                <w:szCs w:val="20"/>
              </w:rPr>
            </w:pPr>
            <w:r w:rsidRPr="00762947">
              <w:rPr>
                <w:sz w:val="20"/>
                <w:szCs w:val="20"/>
              </w:rPr>
              <w:t xml:space="preserve">-0.50 </w:t>
            </w:r>
            <w:r w:rsidRPr="00762947">
              <w:rPr>
                <w:i/>
                <w:iCs/>
                <w:sz w:val="20"/>
                <w:szCs w:val="20"/>
              </w:rPr>
              <w:t>(-2.28)</w:t>
            </w:r>
          </w:p>
        </w:tc>
        <w:tc>
          <w:tcPr>
            <w:tcW w:w="1295" w:type="dxa"/>
            <w:vAlign w:val="center"/>
          </w:tcPr>
          <w:p w14:paraId="01F7C4C5"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19445D3C" w14:textId="77777777" w:rsidR="00762947" w:rsidRPr="00762947" w:rsidRDefault="00762947" w:rsidP="00762947">
            <w:pPr>
              <w:jc w:val="center"/>
              <w:rPr>
                <w:sz w:val="20"/>
                <w:szCs w:val="20"/>
              </w:rPr>
            </w:pPr>
            <w:r w:rsidRPr="00762947">
              <w:rPr>
                <w:sz w:val="20"/>
                <w:szCs w:val="20"/>
              </w:rPr>
              <w:t>--</w:t>
            </w:r>
          </w:p>
        </w:tc>
      </w:tr>
      <w:tr w:rsidR="00762947" w:rsidRPr="00762947" w14:paraId="7BE259E8" w14:textId="77777777" w:rsidTr="000723CB">
        <w:trPr>
          <w:trHeight w:val="20"/>
        </w:trPr>
        <w:tc>
          <w:tcPr>
            <w:tcW w:w="3671" w:type="dxa"/>
            <w:tcBorders>
              <w:left w:val="single" w:sz="12" w:space="0" w:color="auto"/>
              <w:right w:val="double" w:sz="4" w:space="0" w:color="auto"/>
            </w:tcBorders>
          </w:tcPr>
          <w:p w14:paraId="5F3B1995" w14:textId="77777777" w:rsidR="00762947" w:rsidRPr="00762947" w:rsidRDefault="00762947" w:rsidP="00762947">
            <w:pPr>
              <w:ind w:firstLine="164"/>
              <w:rPr>
                <w:sz w:val="20"/>
                <w:szCs w:val="20"/>
              </w:rPr>
            </w:pPr>
            <w:r w:rsidRPr="00762947">
              <w:rPr>
                <w:sz w:val="20"/>
                <w:szCs w:val="20"/>
              </w:rPr>
              <w:t>Income less than $50K to $100K</w:t>
            </w:r>
          </w:p>
        </w:tc>
        <w:tc>
          <w:tcPr>
            <w:tcW w:w="1379" w:type="dxa"/>
            <w:tcBorders>
              <w:left w:val="double" w:sz="4" w:space="0" w:color="auto"/>
            </w:tcBorders>
            <w:vAlign w:val="center"/>
          </w:tcPr>
          <w:p w14:paraId="79515266"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3FD31B20" w14:textId="77777777" w:rsidR="00762947" w:rsidRPr="00762947" w:rsidRDefault="00762947" w:rsidP="00762947">
            <w:pPr>
              <w:jc w:val="center"/>
              <w:rPr>
                <w:sz w:val="20"/>
                <w:szCs w:val="20"/>
              </w:rPr>
            </w:pPr>
            <w:r w:rsidRPr="00762947">
              <w:rPr>
                <w:sz w:val="20"/>
                <w:szCs w:val="20"/>
              </w:rPr>
              <w:t xml:space="preserve">-0.07 </w:t>
            </w:r>
            <w:r w:rsidRPr="00762947">
              <w:rPr>
                <w:i/>
                <w:iCs/>
                <w:sz w:val="20"/>
                <w:szCs w:val="20"/>
              </w:rPr>
              <w:t>(-1.10)</w:t>
            </w:r>
          </w:p>
        </w:tc>
        <w:tc>
          <w:tcPr>
            <w:tcW w:w="1272" w:type="dxa"/>
            <w:vAlign w:val="center"/>
          </w:tcPr>
          <w:p w14:paraId="20C46F12" w14:textId="77777777" w:rsidR="00762947" w:rsidRPr="00762947" w:rsidRDefault="00762947" w:rsidP="00762947">
            <w:pPr>
              <w:jc w:val="center"/>
              <w:rPr>
                <w:sz w:val="20"/>
                <w:szCs w:val="20"/>
              </w:rPr>
            </w:pPr>
            <w:r w:rsidRPr="00762947">
              <w:rPr>
                <w:sz w:val="20"/>
                <w:szCs w:val="20"/>
              </w:rPr>
              <w:t xml:space="preserve">-0.41 </w:t>
            </w:r>
            <w:r w:rsidRPr="00762947">
              <w:rPr>
                <w:i/>
                <w:iCs/>
                <w:sz w:val="20"/>
                <w:szCs w:val="20"/>
              </w:rPr>
              <w:t>(-2.35)</w:t>
            </w:r>
          </w:p>
        </w:tc>
        <w:tc>
          <w:tcPr>
            <w:tcW w:w="1394" w:type="dxa"/>
            <w:vAlign w:val="center"/>
          </w:tcPr>
          <w:p w14:paraId="2AE5D437"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4E0B112E" w14:textId="77777777" w:rsidR="00762947" w:rsidRPr="00762947" w:rsidRDefault="00762947" w:rsidP="00762947">
            <w:pPr>
              <w:jc w:val="center"/>
              <w:rPr>
                <w:sz w:val="20"/>
                <w:szCs w:val="20"/>
              </w:rPr>
            </w:pPr>
            <w:r w:rsidRPr="00762947">
              <w:rPr>
                <w:sz w:val="20"/>
                <w:szCs w:val="20"/>
              </w:rPr>
              <w:t xml:space="preserve">-0.19 </w:t>
            </w:r>
            <w:r w:rsidRPr="00762947">
              <w:rPr>
                <w:i/>
                <w:iCs/>
                <w:sz w:val="20"/>
                <w:szCs w:val="20"/>
              </w:rPr>
              <w:t>(-1.83)</w:t>
            </w:r>
          </w:p>
        </w:tc>
        <w:tc>
          <w:tcPr>
            <w:tcW w:w="1295" w:type="dxa"/>
            <w:vAlign w:val="center"/>
          </w:tcPr>
          <w:p w14:paraId="199EEB54"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00B6B249" w14:textId="77777777" w:rsidR="00762947" w:rsidRPr="00762947" w:rsidRDefault="00762947" w:rsidP="00762947">
            <w:pPr>
              <w:jc w:val="center"/>
              <w:rPr>
                <w:sz w:val="20"/>
                <w:szCs w:val="20"/>
              </w:rPr>
            </w:pPr>
            <w:r w:rsidRPr="00762947">
              <w:rPr>
                <w:sz w:val="20"/>
                <w:szCs w:val="20"/>
              </w:rPr>
              <w:t xml:space="preserve">0.22 </w:t>
            </w:r>
            <w:r w:rsidRPr="00762947">
              <w:rPr>
                <w:i/>
                <w:iCs/>
                <w:sz w:val="20"/>
                <w:szCs w:val="20"/>
              </w:rPr>
              <w:t>(1.74)</w:t>
            </w:r>
          </w:p>
        </w:tc>
      </w:tr>
      <w:tr w:rsidR="00762947" w:rsidRPr="00762947" w14:paraId="506AEEC0" w14:textId="77777777" w:rsidTr="000723CB">
        <w:trPr>
          <w:trHeight w:val="20"/>
        </w:trPr>
        <w:tc>
          <w:tcPr>
            <w:tcW w:w="3671" w:type="dxa"/>
            <w:tcBorders>
              <w:left w:val="single" w:sz="12" w:space="0" w:color="auto"/>
              <w:right w:val="double" w:sz="4" w:space="0" w:color="auto"/>
            </w:tcBorders>
          </w:tcPr>
          <w:p w14:paraId="35A00CBF" w14:textId="77777777" w:rsidR="00762947" w:rsidRPr="00762947" w:rsidRDefault="00762947" w:rsidP="00762947">
            <w:pPr>
              <w:ind w:firstLine="164"/>
              <w:rPr>
                <w:sz w:val="20"/>
                <w:szCs w:val="20"/>
              </w:rPr>
            </w:pPr>
            <w:r w:rsidRPr="00762947">
              <w:rPr>
                <w:sz w:val="20"/>
                <w:szCs w:val="20"/>
              </w:rPr>
              <w:t>Income between $100K to $200K</w:t>
            </w:r>
          </w:p>
        </w:tc>
        <w:tc>
          <w:tcPr>
            <w:tcW w:w="1379" w:type="dxa"/>
            <w:tcBorders>
              <w:left w:val="double" w:sz="4" w:space="0" w:color="auto"/>
            </w:tcBorders>
            <w:vAlign w:val="center"/>
          </w:tcPr>
          <w:p w14:paraId="5815DD51"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59D855C6"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5B5F759A"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782F8BA1"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530C94E6"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24B92DAC"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6F19EB76" w14:textId="77777777" w:rsidR="00762947" w:rsidRPr="00762947" w:rsidRDefault="00762947" w:rsidP="00762947">
            <w:pPr>
              <w:jc w:val="center"/>
              <w:rPr>
                <w:sz w:val="20"/>
                <w:szCs w:val="20"/>
              </w:rPr>
            </w:pPr>
            <w:r w:rsidRPr="00762947">
              <w:rPr>
                <w:sz w:val="20"/>
                <w:szCs w:val="20"/>
              </w:rPr>
              <w:t xml:space="preserve">0.19 </w:t>
            </w:r>
            <w:r w:rsidRPr="00762947">
              <w:rPr>
                <w:i/>
                <w:iCs/>
                <w:sz w:val="20"/>
                <w:szCs w:val="20"/>
              </w:rPr>
              <w:t>(1.60)</w:t>
            </w:r>
          </w:p>
        </w:tc>
      </w:tr>
      <w:tr w:rsidR="00762947" w:rsidRPr="00762947" w14:paraId="3880CA6A" w14:textId="77777777" w:rsidTr="000723CB">
        <w:trPr>
          <w:trHeight w:val="20"/>
        </w:trPr>
        <w:tc>
          <w:tcPr>
            <w:tcW w:w="3671" w:type="dxa"/>
            <w:tcBorders>
              <w:left w:val="single" w:sz="12" w:space="0" w:color="auto"/>
              <w:right w:val="double" w:sz="4" w:space="0" w:color="auto"/>
            </w:tcBorders>
          </w:tcPr>
          <w:p w14:paraId="31561058" w14:textId="77777777" w:rsidR="00762947" w:rsidRPr="00762947" w:rsidRDefault="00762947" w:rsidP="00762947">
            <w:pPr>
              <w:rPr>
                <w:i/>
                <w:iCs/>
                <w:sz w:val="20"/>
                <w:szCs w:val="20"/>
                <w:u w:val="single"/>
              </w:rPr>
            </w:pPr>
            <w:r w:rsidRPr="00762947">
              <w:rPr>
                <w:i/>
                <w:iCs/>
                <w:sz w:val="20"/>
                <w:szCs w:val="20"/>
                <w:u w:val="single"/>
              </w:rPr>
              <w:t>Household composition</w:t>
            </w:r>
          </w:p>
        </w:tc>
        <w:tc>
          <w:tcPr>
            <w:tcW w:w="1379" w:type="dxa"/>
            <w:tcBorders>
              <w:left w:val="double" w:sz="4" w:space="0" w:color="auto"/>
            </w:tcBorders>
            <w:vAlign w:val="center"/>
          </w:tcPr>
          <w:p w14:paraId="4DBDDC94" w14:textId="77777777" w:rsidR="00762947" w:rsidRPr="00762947" w:rsidRDefault="00762947" w:rsidP="00762947">
            <w:pPr>
              <w:jc w:val="center"/>
              <w:rPr>
                <w:sz w:val="20"/>
                <w:szCs w:val="20"/>
              </w:rPr>
            </w:pPr>
          </w:p>
        </w:tc>
        <w:tc>
          <w:tcPr>
            <w:tcW w:w="1318" w:type="dxa"/>
            <w:vAlign w:val="center"/>
          </w:tcPr>
          <w:p w14:paraId="07C40717" w14:textId="77777777" w:rsidR="00762947" w:rsidRPr="00762947" w:rsidRDefault="00762947" w:rsidP="00762947">
            <w:pPr>
              <w:jc w:val="center"/>
              <w:rPr>
                <w:sz w:val="20"/>
                <w:szCs w:val="20"/>
              </w:rPr>
            </w:pPr>
          </w:p>
        </w:tc>
        <w:tc>
          <w:tcPr>
            <w:tcW w:w="1272" w:type="dxa"/>
            <w:vAlign w:val="center"/>
          </w:tcPr>
          <w:p w14:paraId="0650B15C" w14:textId="77777777" w:rsidR="00762947" w:rsidRPr="00762947" w:rsidRDefault="00762947" w:rsidP="00762947">
            <w:pPr>
              <w:jc w:val="center"/>
              <w:rPr>
                <w:sz w:val="20"/>
                <w:szCs w:val="20"/>
              </w:rPr>
            </w:pPr>
          </w:p>
        </w:tc>
        <w:tc>
          <w:tcPr>
            <w:tcW w:w="1394" w:type="dxa"/>
            <w:vAlign w:val="center"/>
          </w:tcPr>
          <w:p w14:paraId="60B0CC25" w14:textId="77777777" w:rsidR="00762947" w:rsidRPr="00762947" w:rsidRDefault="00762947" w:rsidP="00762947">
            <w:pPr>
              <w:jc w:val="center"/>
              <w:rPr>
                <w:sz w:val="20"/>
                <w:szCs w:val="20"/>
              </w:rPr>
            </w:pPr>
          </w:p>
        </w:tc>
        <w:tc>
          <w:tcPr>
            <w:tcW w:w="1373" w:type="dxa"/>
            <w:vAlign w:val="center"/>
          </w:tcPr>
          <w:p w14:paraId="79948A58" w14:textId="77777777" w:rsidR="00762947" w:rsidRPr="00762947" w:rsidRDefault="00762947" w:rsidP="00762947">
            <w:pPr>
              <w:jc w:val="center"/>
              <w:rPr>
                <w:sz w:val="20"/>
                <w:szCs w:val="20"/>
              </w:rPr>
            </w:pPr>
          </w:p>
        </w:tc>
        <w:tc>
          <w:tcPr>
            <w:tcW w:w="1295" w:type="dxa"/>
            <w:vAlign w:val="center"/>
          </w:tcPr>
          <w:p w14:paraId="528C492E"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6AE0433F" w14:textId="77777777" w:rsidR="00762947" w:rsidRPr="00762947" w:rsidRDefault="00762947" w:rsidP="00762947">
            <w:pPr>
              <w:jc w:val="center"/>
              <w:rPr>
                <w:sz w:val="20"/>
                <w:szCs w:val="20"/>
              </w:rPr>
            </w:pPr>
          </w:p>
        </w:tc>
      </w:tr>
      <w:tr w:rsidR="00762947" w:rsidRPr="00762947" w14:paraId="0D623E3F" w14:textId="77777777" w:rsidTr="000723CB">
        <w:trPr>
          <w:trHeight w:val="20"/>
        </w:trPr>
        <w:tc>
          <w:tcPr>
            <w:tcW w:w="3671" w:type="dxa"/>
            <w:tcBorders>
              <w:left w:val="single" w:sz="12" w:space="0" w:color="auto"/>
              <w:right w:val="double" w:sz="4" w:space="0" w:color="auto"/>
            </w:tcBorders>
          </w:tcPr>
          <w:p w14:paraId="3FE2082B" w14:textId="77777777" w:rsidR="00762947" w:rsidRPr="00762947" w:rsidRDefault="00762947" w:rsidP="00762947">
            <w:pPr>
              <w:ind w:left="164"/>
              <w:rPr>
                <w:sz w:val="20"/>
                <w:szCs w:val="20"/>
              </w:rPr>
            </w:pPr>
            <w:r w:rsidRPr="00762947">
              <w:rPr>
                <w:sz w:val="20"/>
                <w:szCs w:val="20"/>
              </w:rPr>
              <w:t>Single person household</w:t>
            </w:r>
          </w:p>
        </w:tc>
        <w:tc>
          <w:tcPr>
            <w:tcW w:w="1379" w:type="dxa"/>
            <w:tcBorders>
              <w:left w:val="double" w:sz="4" w:space="0" w:color="auto"/>
            </w:tcBorders>
            <w:vAlign w:val="center"/>
          </w:tcPr>
          <w:p w14:paraId="5D603448" w14:textId="77777777" w:rsidR="00762947" w:rsidRPr="00762947" w:rsidRDefault="00762947" w:rsidP="00762947">
            <w:pPr>
              <w:jc w:val="center"/>
              <w:rPr>
                <w:sz w:val="20"/>
                <w:szCs w:val="20"/>
              </w:rPr>
            </w:pPr>
            <w:r w:rsidRPr="00762947">
              <w:rPr>
                <w:sz w:val="20"/>
                <w:szCs w:val="20"/>
              </w:rPr>
              <w:t xml:space="preserve">0.23 </w:t>
            </w:r>
            <w:r w:rsidRPr="00762947">
              <w:rPr>
                <w:i/>
                <w:iCs/>
                <w:sz w:val="20"/>
                <w:szCs w:val="20"/>
              </w:rPr>
              <w:t>(2.18)</w:t>
            </w:r>
          </w:p>
        </w:tc>
        <w:tc>
          <w:tcPr>
            <w:tcW w:w="1318" w:type="dxa"/>
            <w:vAlign w:val="center"/>
          </w:tcPr>
          <w:p w14:paraId="4EC2A61E"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1C6B9F52" w14:textId="77777777" w:rsidR="00762947" w:rsidRPr="00762947" w:rsidRDefault="00762947" w:rsidP="00762947">
            <w:pPr>
              <w:jc w:val="center"/>
              <w:rPr>
                <w:sz w:val="20"/>
                <w:szCs w:val="20"/>
              </w:rPr>
            </w:pPr>
            <w:r w:rsidRPr="00762947">
              <w:rPr>
                <w:sz w:val="20"/>
                <w:szCs w:val="20"/>
              </w:rPr>
              <w:t xml:space="preserve">0.23 </w:t>
            </w:r>
            <w:r w:rsidRPr="00762947">
              <w:rPr>
                <w:i/>
                <w:iCs/>
                <w:sz w:val="20"/>
                <w:szCs w:val="20"/>
              </w:rPr>
              <w:t>(2.11)</w:t>
            </w:r>
          </w:p>
        </w:tc>
        <w:tc>
          <w:tcPr>
            <w:tcW w:w="1394" w:type="dxa"/>
            <w:vAlign w:val="center"/>
          </w:tcPr>
          <w:p w14:paraId="67CBDF22"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133C0D19"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01CF2139" w14:textId="77777777" w:rsidR="00762947" w:rsidRPr="00762947" w:rsidRDefault="00762947" w:rsidP="00762947">
            <w:pPr>
              <w:jc w:val="center"/>
              <w:rPr>
                <w:sz w:val="20"/>
                <w:szCs w:val="20"/>
              </w:rPr>
            </w:pPr>
            <w:r w:rsidRPr="00762947">
              <w:rPr>
                <w:sz w:val="20"/>
                <w:szCs w:val="20"/>
              </w:rPr>
              <w:t xml:space="preserve">-0.21 </w:t>
            </w:r>
            <w:r w:rsidRPr="00762947">
              <w:rPr>
                <w:i/>
                <w:iCs/>
                <w:sz w:val="20"/>
                <w:szCs w:val="20"/>
              </w:rPr>
              <w:t>(-1.50)</w:t>
            </w:r>
          </w:p>
        </w:tc>
        <w:tc>
          <w:tcPr>
            <w:tcW w:w="1466" w:type="dxa"/>
            <w:tcBorders>
              <w:right w:val="single" w:sz="12" w:space="0" w:color="auto"/>
            </w:tcBorders>
            <w:vAlign w:val="center"/>
          </w:tcPr>
          <w:p w14:paraId="023A3079" w14:textId="77777777" w:rsidR="00762947" w:rsidRPr="00762947" w:rsidRDefault="00762947" w:rsidP="00762947">
            <w:pPr>
              <w:jc w:val="center"/>
              <w:rPr>
                <w:sz w:val="20"/>
                <w:szCs w:val="20"/>
              </w:rPr>
            </w:pPr>
            <w:r w:rsidRPr="00762947">
              <w:rPr>
                <w:sz w:val="20"/>
                <w:szCs w:val="20"/>
              </w:rPr>
              <w:t>--</w:t>
            </w:r>
          </w:p>
        </w:tc>
      </w:tr>
      <w:tr w:rsidR="00762947" w:rsidRPr="00762947" w14:paraId="44D700C6" w14:textId="77777777" w:rsidTr="000723CB">
        <w:trPr>
          <w:trHeight w:val="20"/>
        </w:trPr>
        <w:tc>
          <w:tcPr>
            <w:tcW w:w="3671" w:type="dxa"/>
            <w:tcBorders>
              <w:left w:val="single" w:sz="12" w:space="0" w:color="auto"/>
              <w:right w:val="double" w:sz="4" w:space="0" w:color="auto"/>
            </w:tcBorders>
          </w:tcPr>
          <w:p w14:paraId="0CFAA86A" w14:textId="77777777" w:rsidR="00762947" w:rsidRPr="00762947" w:rsidRDefault="00762947" w:rsidP="00762947">
            <w:pPr>
              <w:ind w:left="22" w:firstLine="142"/>
              <w:rPr>
                <w:sz w:val="20"/>
                <w:szCs w:val="20"/>
              </w:rPr>
            </w:pPr>
            <w:r w:rsidRPr="00762947">
              <w:rPr>
                <w:sz w:val="20"/>
                <w:szCs w:val="20"/>
              </w:rPr>
              <w:t>Single female household</w:t>
            </w:r>
          </w:p>
        </w:tc>
        <w:tc>
          <w:tcPr>
            <w:tcW w:w="1379" w:type="dxa"/>
            <w:tcBorders>
              <w:left w:val="double" w:sz="4" w:space="0" w:color="auto"/>
            </w:tcBorders>
            <w:vAlign w:val="center"/>
          </w:tcPr>
          <w:p w14:paraId="071B98D6" w14:textId="77777777" w:rsidR="00762947" w:rsidRPr="00762947" w:rsidRDefault="00762947" w:rsidP="00762947">
            <w:pPr>
              <w:jc w:val="center"/>
              <w:rPr>
                <w:sz w:val="20"/>
                <w:szCs w:val="20"/>
              </w:rPr>
            </w:pPr>
            <w:r w:rsidRPr="00762947">
              <w:rPr>
                <w:sz w:val="20"/>
                <w:szCs w:val="20"/>
              </w:rPr>
              <w:t xml:space="preserve">0.13 </w:t>
            </w:r>
            <w:r w:rsidRPr="00762947">
              <w:rPr>
                <w:i/>
                <w:iCs/>
                <w:sz w:val="20"/>
                <w:szCs w:val="20"/>
              </w:rPr>
              <w:t>(1.39)</w:t>
            </w:r>
          </w:p>
        </w:tc>
        <w:tc>
          <w:tcPr>
            <w:tcW w:w="1318" w:type="dxa"/>
            <w:vAlign w:val="center"/>
          </w:tcPr>
          <w:p w14:paraId="48C2FF1C" w14:textId="77777777" w:rsidR="00762947" w:rsidRPr="00762947" w:rsidRDefault="00762947" w:rsidP="00762947">
            <w:pPr>
              <w:jc w:val="center"/>
              <w:rPr>
                <w:sz w:val="20"/>
                <w:szCs w:val="20"/>
              </w:rPr>
            </w:pPr>
            <w:r w:rsidRPr="00762947">
              <w:rPr>
                <w:sz w:val="20"/>
                <w:szCs w:val="20"/>
              </w:rPr>
              <w:t xml:space="preserve">0.23 </w:t>
            </w:r>
            <w:r w:rsidRPr="00762947">
              <w:rPr>
                <w:i/>
                <w:iCs/>
                <w:sz w:val="20"/>
                <w:szCs w:val="20"/>
              </w:rPr>
              <w:t>(2.13)</w:t>
            </w:r>
          </w:p>
        </w:tc>
        <w:tc>
          <w:tcPr>
            <w:tcW w:w="1272" w:type="dxa"/>
            <w:vAlign w:val="center"/>
          </w:tcPr>
          <w:p w14:paraId="7BC1B3BF"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5119A790"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603E1ED8"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4A323503"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03288730" w14:textId="77777777" w:rsidR="00762947" w:rsidRPr="00762947" w:rsidRDefault="00762947" w:rsidP="00762947">
            <w:pPr>
              <w:jc w:val="center"/>
              <w:rPr>
                <w:sz w:val="20"/>
                <w:szCs w:val="20"/>
              </w:rPr>
            </w:pPr>
            <w:r w:rsidRPr="00762947">
              <w:rPr>
                <w:sz w:val="20"/>
                <w:szCs w:val="20"/>
              </w:rPr>
              <w:t xml:space="preserve">-0.49 </w:t>
            </w:r>
            <w:r w:rsidRPr="00762947">
              <w:rPr>
                <w:i/>
                <w:iCs/>
                <w:sz w:val="20"/>
                <w:szCs w:val="20"/>
              </w:rPr>
              <w:t>(-2.18)</w:t>
            </w:r>
          </w:p>
        </w:tc>
      </w:tr>
      <w:tr w:rsidR="00762947" w:rsidRPr="00762947" w14:paraId="4D7FF897" w14:textId="77777777" w:rsidTr="000723CB">
        <w:trPr>
          <w:trHeight w:val="20"/>
        </w:trPr>
        <w:tc>
          <w:tcPr>
            <w:tcW w:w="3671" w:type="dxa"/>
            <w:tcBorders>
              <w:left w:val="single" w:sz="12" w:space="0" w:color="auto"/>
              <w:right w:val="double" w:sz="4" w:space="0" w:color="auto"/>
            </w:tcBorders>
            <w:vAlign w:val="center"/>
          </w:tcPr>
          <w:p w14:paraId="07457896" w14:textId="77777777" w:rsidR="00762947" w:rsidRPr="00762947" w:rsidRDefault="00762947" w:rsidP="00762947">
            <w:pPr>
              <w:ind w:firstLine="164"/>
              <w:rPr>
                <w:sz w:val="20"/>
                <w:szCs w:val="20"/>
              </w:rPr>
            </w:pPr>
            <w:r w:rsidRPr="00762947">
              <w:rPr>
                <w:sz w:val="20"/>
                <w:szCs w:val="20"/>
              </w:rPr>
              <w:t>Presence of children (age less than 15 years)</w:t>
            </w:r>
          </w:p>
        </w:tc>
        <w:tc>
          <w:tcPr>
            <w:tcW w:w="1379" w:type="dxa"/>
            <w:tcBorders>
              <w:left w:val="double" w:sz="4" w:space="0" w:color="auto"/>
            </w:tcBorders>
            <w:vAlign w:val="center"/>
          </w:tcPr>
          <w:p w14:paraId="0F2FD602"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3931B117"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42639932"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01F8E4D7" w14:textId="77777777" w:rsidR="00762947" w:rsidRPr="00762947" w:rsidRDefault="00762947" w:rsidP="00762947">
            <w:pPr>
              <w:jc w:val="center"/>
              <w:rPr>
                <w:sz w:val="20"/>
                <w:szCs w:val="20"/>
              </w:rPr>
            </w:pPr>
            <w:r w:rsidRPr="00762947">
              <w:rPr>
                <w:sz w:val="20"/>
                <w:szCs w:val="20"/>
              </w:rPr>
              <w:t xml:space="preserve">0.19 </w:t>
            </w:r>
            <w:r w:rsidRPr="00762947">
              <w:rPr>
                <w:i/>
                <w:iCs/>
                <w:sz w:val="20"/>
                <w:szCs w:val="20"/>
              </w:rPr>
              <w:t>(2.04)</w:t>
            </w:r>
          </w:p>
        </w:tc>
        <w:tc>
          <w:tcPr>
            <w:tcW w:w="1373" w:type="dxa"/>
            <w:vAlign w:val="center"/>
          </w:tcPr>
          <w:p w14:paraId="446FBF22" w14:textId="77777777" w:rsidR="00762947" w:rsidRPr="00762947" w:rsidRDefault="00762947" w:rsidP="00762947">
            <w:pPr>
              <w:jc w:val="center"/>
              <w:rPr>
                <w:sz w:val="20"/>
                <w:szCs w:val="20"/>
              </w:rPr>
            </w:pPr>
            <w:r w:rsidRPr="00762947">
              <w:rPr>
                <w:sz w:val="20"/>
                <w:szCs w:val="20"/>
              </w:rPr>
              <w:t>0.10 (1.29)</w:t>
            </w:r>
          </w:p>
        </w:tc>
        <w:tc>
          <w:tcPr>
            <w:tcW w:w="1295" w:type="dxa"/>
            <w:vAlign w:val="center"/>
          </w:tcPr>
          <w:p w14:paraId="0E044995" w14:textId="77777777" w:rsidR="00762947" w:rsidRPr="00762947" w:rsidRDefault="00762947" w:rsidP="00762947">
            <w:pPr>
              <w:jc w:val="center"/>
              <w:rPr>
                <w:sz w:val="20"/>
                <w:szCs w:val="20"/>
              </w:rPr>
            </w:pPr>
            <w:r w:rsidRPr="00762947">
              <w:rPr>
                <w:sz w:val="20"/>
                <w:szCs w:val="20"/>
              </w:rPr>
              <w:t xml:space="preserve">0.15 </w:t>
            </w:r>
            <w:r w:rsidRPr="00762947">
              <w:rPr>
                <w:i/>
                <w:iCs/>
                <w:sz w:val="20"/>
                <w:szCs w:val="20"/>
              </w:rPr>
              <w:t>(2.23)</w:t>
            </w:r>
          </w:p>
        </w:tc>
        <w:tc>
          <w:tcPr>
            <w:tcW w:w="1466" w:type="dxa"/>
            <w:tcBorders>
              <w:right w:val="single" w:sz="12" w:space="0" w:color="auto"/>
            </w:tcBorders>
            <w:vAlign w:val="center"/>
          </w:tcPr>
          <w:p w14:paraId="55879585" w14:textId="77777777" w:rsidR="00762947" w:rsidRPr="00762947" w:rsidRDefault="00762947" w:rsidP="00762947">
            <w:pPr>
              <w:jc w:val="center"/>
              <w:rPr>
                <w:sz w:val="20"/>
                <w:szCs w:val="20"/>
              </w:rPr>
            </w:pPr>
            <w:r w:rsidRPr="00762947">
              <w:rPr>
                <w:sz w:val="20"/>
                <w:szCs w:val="20"/>
              </w:rPr>
              <w:t>--</w:t>
            </w:r>
          </w:p>
        </w:tc>
      </w:tr>
      <w:tr w:rsidR="00762947" w:rsidRPr="00762947" w14:paraId="243A4EAA" w14:textId="77777777" w:rsidTr="000723CB">
        <w:trPr>
          <w:trHeight w:val="20"/>
        </w:trPr>
        <w:tc>
          <w:tcPr>
            <w:tcW w:w="3671" w:type="dxa"/>
            <w:tcBorders>
              <w:left w:val="single" w:sz="12" w:space="0" w:color="auto"/>
              <w:right w:val="double" w:sz="4" w:space="0" w:color="auto"/>
            </w:tcBorders>
          </w:tcPr>
          <w:p w14:paraId="41709A90" w14:textId="77777777" w:rsidR="00762947" w:rsidRPr="00762947" w:rsidRDefault="00762947" w:rsidP="00762947">
            <w:pPr>
              <w:ind w:firstLine="164"/>
              <w:rPr>
                <w:sz w:val="20"/>
                <w:szCs w:val="20"/>
              </w:rPr>
            </w:pPr>
            <w:r w:rsidRPr="00762947">
              <w:rPr>
                <w:sz w:val="20"/>
                <w:szCs w:val="20"/>
              </w:rPr>
              <w:t>Presence of employed individuals</w:t>
            </w:r>
          </w:p>
        </w:tc>
        <w:tc>
          <w:tcPr>
            <w:tcW w:w="1379" w:type="dxa"/>
            <w:tcBorders>
              <w:left w:val="double" w:sz="4" w:space="0" w:color="auto"/>
            </w:tcBorders>
            <w:vAlign w:val="center"/>
          </w:tcPr>
          <w:p w14:paraId="17E65AC2"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7B349326"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2AFE0E5E" w14:textId="77777777" w:rsidR="00762947" w:rsidRPr="00762947" w:rsidRDefault="00762947" w:rsidP="00762947">
            <w:pPr>
              <w:jc w:val="center"/>
              <w:rPr>
                <w:sz w:val="20"/>
                <w:szCs w:val="20"/>
              </w:rPr>
            </w:pPr>
            <w:r w:rsidRPr="00762947">
              <w:rPr>
                <w:sz w:val="20"/>
                <w:szCs w:val="20"/>
              </w:rPr>
              <w:t>0.19 (1.94)</w:t>
            </w:r>
          </w:p>
        </w:tc>
        <w:tc>
          <w:tcPr>
            <w:tcW w:w="1394" w:type="dxa"/>
            <w:vAlign w:val="center"/>
          </w:tcPr>
          <w:p w14:paraId="6F7A05D6"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373ECCD7"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7F4535BC" w14:textId="77777777" w:rsidR="00762947" w:rsidRPr="00762947" w:rsidRDefault="00762947" w:rsidP="00762947">
            <w:pPr>
              <w:jc w:val="center"/>
              <w:rPr>
                <w:sz w:val="20"/>
                <w:szCs w:val="20"/>
              </w:rPr>
            </w:pPr>
            <w:r w:rsidRPr="00762947">
              <w:rPr>
                <w:sz w:val="20"/>
                <w:szCs w:val="20"/>
              </w:rPr>
              <w:t xml:space="preserve">0.10 </w:t>
            </w:r>
            <w:r w:rsidRPr="00762947">
              <w:rPr>
                <w:i/>
                <w:iCs/>
                <w:sz w:val="20"/>
                <w:szCs w:val="20"/>
              </w:rPr>
              <w:t>(1.40)</w:t>
            </w:r>
          </w:p>
        </w:tc>
        <w:tc>
          <w:tcPr>
            <w:tcW w:w="1466" w:type="dxa"/>
            <w:tcBorders>
              <w:right w:val="single" w:sz="12" w:space="0" w:color="auto"/>
            </w:tcBorders>
            <w:vAlign w:val="center"/>
          </w:tcPr>
          <w:p w14:paraId="1D2B6123" w14:textId="77777777" w:rsidR="00762947" w:rsidRPr="00762947" w:rsidRDefault="00762947" w:rsidP="00762947">
            <w:pPr>
              <w:jc w:val="center"/>
              <w:rPr>
                <w:sz w:val="20"/>
                <w:szCs w:val="20"/>
              </w:rPr>
            </w:pPr>
            <w:r w:rsidRPr="00762947">
              <w:rPr>
                <w:sz w:val="20"/>
                <w:szCs w:val="20"/>
              </w:rPr>
              <w:t>--</w:t>
            </w:r>
          </w:p>
        </w:tc>
      </w:tr>
      <w:tr w:rsidR="00762947" w:rsidRPr="00762947" w14:paraId="0F1A8F4D" w14:textId="77777777" w:rsidTr="000723CB">
        <w:trPr>
          <w:trHeight w:val="20"/>
        </w:trPr>
        <w:tc>
          <w:tcPr>
            <w:tcW w:w="3671" w:type="dxa"/>
            <w:tcBorders>
              <w:left w:val="single" w:sz="12" w:space="0" w:color="auto"/>
              <w:right w:val="double" w:sz="4" w:space="0" w:color="auto"/>
            </w:tcBorders>
          </w:tcPr>
          <w:p w14:paraId="6BE88627" w14:textId="77777777" w:rsidR="00762947" w:rsidRPr="00762947" w:rsidRDefault="00762947" w:rsidP="00762947">
            <w:pPr>
              <w:rPr>
                <w:i/>
                <w:iCs/>
                <w:sz w:val="20"/>
                <w:szCs w:val="20"/>
                <w:u w:val="single"/>
              </w:rPr>
            </w:pPr>
            <w:r w:rsidRPr="00762947">
              <w:rPr>
                <w:i/>
                <w:iCs/>
                <w:sz w:val="20"/>
                <w:szCs w:val="20"/>
                <w:u w:val="single"/>
              </w:rPr>
              <w:t>Household structure (Base: Apartment/attached and other)</w:t>
            </w:r>
          </w:p>
        </w:tc>
        <w:tc>
          <w:tcPr>
            <w:tcW w:w="1379" w:type="dxa"/>
            <w:tcBorders>
              <w:left w:val="double" w:sz="4" w:space="0" w:color="auto"/>
            </w:tcBorders>
            <w:vAlign w:val="center"/>
          </w:tcPr>
          <w:p w14:paraId="526F816D" w14:textId="77777777" w:rsidR="00762947" w:rsidRPr="00762947" w:rsidRDefault="00762947" w:rsidP="00762947">
            <w:pPr>
              <w:jc w:val="center"/>
              <w:rPr>
                <w:sz w:val="20"/>
                <w:szCs w:val="20"/>
              </w:rPr>
            </w:pPr>
          </w:p>
        </w:tc>
        <w:tc>
          <w:tcPr>
            <w:tcW w:w="1318" w:type="dxa"/>
            <w:vAlign w:val="center"/>
          </w:tcPr>
          <w:p w14:paraId="1AC504CC" w14:textId="77777777" w:rsidR="00762947" w:rsidRPr="00762947" w:rsidRDefault="00762947" w:rsidP="00762947">
            <w:pPr>
              <w:jc w:val="center"/>
              <w:rPr>
                <w:sz w:val="20"/>
                <w:szCs w:val="20"/>
              </w:rPr>
            </w:pPr>
          </w:p>
        </w:tc>
        <w:tc>
          <w:tcPr>
            <w:tcW w:w="1272" w:type="dxa"/>
            <w:vAlign w:val="center"/>
          </w:tcPr>
          <w:p w14:paraId="1355C38E" w14:textId="77777777" w:rsidR="00762947" w:rsidRPr="00762947" w:rsidRDefault="00762947" w:rsidP="00762947">
            <w:pPr>
              <w:jc w:val="center"/>
              <w:rPr>
                <w:sz w:val="20"/>
                <w:szCs w:val="20"/>
              </w:rPr>
            </w:pPr>
          </w:p>
        </w:tc>
        <w:tc>
          <w:tcPr>
            <w:tcW w:w="1394" w:type="dxa"/>
            <w:vAlign w:val="center"/>
          </w:tcPr>
          <w:p w14:paraId="5C3BCFF6" w14:textId="77777777" w:rsidR="00762947" w:rsidRPr="00762947" w:rsidRDefault="00762947" w:rsidP="00762947">
            <w:pPr>
              <w:jc w:val="center"/>
              <w:rPr>
                <w:sz w:val="20"/>
                <w:szCs w:val="20"/>
              </w:rPr>
            </w:pPr>
          </w:p>
        </w:tc>
        <w:tc>
          <w:tcPr>
            <w:tcW w:w="1373" w:type="dxa"/>
            <w:vAlign w:val="center"/>
          </w:tcPr>
          <w:p w14:paraId="7DA6051A" w14:textId="77777777" w:rsidR="00762947" w:rsidRPr="00762947" w:rsidRDefault="00762947" w:rsidP="00762947">
            <w:pPr>
              <w:jc w:val="center"/>
              <w:rPr>
                <w:sz w:val="20"/>
                <w:szCs w:val="20"/>
              </w:rPr>
            </w:pPr>
          </w:p>
        </w:tc>
        <w:tc>
          <w:tcPr>
            <w:tcW w:w="1295" w:type="dxa"/>
            <w:vAlign w:val="center"/>
          </w:tcPr>
          <w:p w14:paraId="651EB67F"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664C104F" w14:textId="77777777" w:rsidR="00762947" w:rsidRPr="00762947" w:rsidRDefault="00762947" w:rsidP="00762947">
            <w:pPr>
              <w:jc w:val="center"/>
              <w:rPr>
                <w:sz w:val="20"/>
                <w:szCs w:val="20"/>
              </w:rPr>
            </w:pPr>
          </w:p>
        </w:tc>
      </w:tr>
      <w:tr w:rsidR="00762947" w:rsidRPr="00762947" w14:paraId="7B861BCE" w14:textId="77777777" w:rsidTr="000723CB">
        <w:trPr>
          <w:trHeight w:val="20"/>
        </w:trPr>
        <w:tc>
          <w:tcPr>
            <w:tcW w:w="3671" w:type="dxa"/>
            <w:tcBorders>
              <w:left w:val="single" w:sz="12" w:space="0" w:color="auto"/>
              <w:right w:val="double" w:sz="4" w:space="0" w:color="auto"/>
            </w:tcBorders>
          </w:tcPr>
          <w:p w14:paraId="08F84655" w14:textId="77777777" w:rsidR="00762947" w:rsidRPr="00762947" w:rsidRDefault="00762947" w:rsidP="00762947">
            <w:pPr>
              <w:ind w:firstLine="164"/>
              <w:rPr>
                <w:sz w:val="20"/>
                <w:szCs w:val="20"/>
              </w:rPr>
            </w:pPr>
            <w:r w:rsidRPr="00762947">
              <w:rPr>
                <w:sz w:val="20"/>
                <w:szCs w:val="20"/>
              </w:rPr>
              <w:t>Detached household</w:t>
            </w:r>
          </w:p>
        </w:tc>
        <w:tc>
          <w:tcPr>
            <w:tcW w:w="1379" w:type="dxa"/>
            <w:tcBorders>
              <w:left w:val="double" w:sz="4" w:space="0" w:color="auto"/>
            </w:tcBorders>
            <w:vAlign w:val="center"/>
          </w:tcPr>
          <w:p w14:paraId="37AED7B0" w14:textId="77777777" w:rsidR="00762947" w:rsidRPr="00762947" w:rsidRDefault="00762947" w:rsidP="00762947">
            <w:pPr>
              <w:jc w:val="center"/>
              <w:rPr>
                <w:sz w:val="20"/>
                <w:szCs w:val="20"/>
              </w:rPr>
            </w:pPr>
            <w:r w:rsidRPr="00762947">
              <w:rPr>
                <w:sz w:val="20"/>
                <w:szCs w:val="20"/>
              </w:rPr>
              <w:t xml:space="preserve">-0.21 </w:t>
            </w:r>
            <w:r w:rsidRPr="00762947">
              <w:rPr>
                <w:i/>
                <w:iCs/>
                <w:sz w:val="20"/>
                <w:szCs w:val="20"/>
              </w:rPr>
              <w:t>(-2.58)</w:t>
            </w:r>
          </w:p>
        </w:tc>
        <w:tc>
          <w:tcPr>
            <w:tcW w:w="1318" w:type="dxa"/>
            <w:vAlign w:val="center"/>
          </w:tcPr>
          <w:p w14:paraId="4995463D"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7EB4810D"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6DC7C954" w14:textId="77777777" w:rsidR="00762947" w:rsidRPr="00762947" w:rsidRDefault="00762947" w:rsidP="00762947">
            <w:pPr>
              <w:jc w:val="center"/>
              <w:rPr>
                <w:sz w:val="20"/>
                <w:szCs w:val="20"/>
              </w:rPr>
            </w:pPr>
            <w:r w:rsidRPr="00762947">
              <w:rPr>
                <w:sz w:val="20"/>
                <w:szCs w:val="20"/>
              </w:rPr>
              <w:t xml:space="preserve">0.09 </w:t>
            </w:r>
            <w:r w:rsidRPr="00762947">
              <w:rPr>
                <w:i/>
                <w:iCs/>
                <w:sz w:val="20"/>
                <w:szCs w:val="20"/>
              </w:rPr>
              <w:t>(1.03)</w:t>
            </w:r>
          </w:p>
        </w:tc>
        <w:tc>
          <w:tcPr>
            <w:tcW w:w="1373" w:type="dxa"/>
            <w:vAlign w:val="center"/>
          </w:tcPr>
          <w:p w14:paraId="2483943A" w14:textId="77777777" w:rsidR="00762947" w:rsidRPr="00762947" w:rsidRDefault="00762947" w:rsidP="00762947">
            <w:pPr>
              <w:jc w:val="center"/>
              <w:rPr>
                <w:sz w:val="20"/>
                <w:szCs w:val="20"/>
              </w:rPr>
            </w:pPr>
            <w:r w:rsidRPr="00762947">
              <w:rPr>
                <w:sz w:val="20"/>
                <w:szCs w:val="20"/>
              </w:rPr>
              <w:t xml:space="preserve">0.25 </w:t>
            </w:r>
            <w:r w:rsidRPr="00762947">
              <w:rPr>
                <w:i/>
                <w:iCs/>
                <w:sz w:val="20"/>
                <w:szCs w:val="20"/>
              </w:rPr>
              <w:t>(2.24)</w:t>
            </w:r>
          </w:p>
        </w:tc>
        <w:tc>
          <w:tcPr>
            <w:tcW w:w="1295" w:type="dxa"/>
            <w:vAlign w:val="center"/>
          </w:tcPr>
          <w:p w14:paraId="66DA4085" w14:textId="77777777" w:rsidR="00762947" w:rsidRPr="00762947" w:rsidRDefault="00762947" w:rsidP="00762947">
            <w:pPr>
              <w:jc w:val="center"/>
              <w:rPr>
                <w:sz w:val="20"/>
                <w:szCs w:val="20"/>
              </w:rPr>
            </w:pPr>
            <w:r w:rsidRPr="00762947">
              <w:rPr>
                <w:sz w:val="20"/>
                <w:szCs w:val="20"/>
              </w:rPr>
              <w:t xml:space="preserve">0.22 </w:t>
            </w:r>
            <w:r w:rsidRPr="00762947">
              <w:rPr>
                <w:i/>
                <w:iCs/>
                <w:sz w:val="20"/>
                <w:szCs w:val="20"/>
              </w:rPr>
              <w:t>(2.14)</w:t>
            </w:r>
          </w:p>
        </w:tc>
        <w:tc>
          <w:tcPr>
            <w:tcW w:w="1466" w:type="dxa"/>
            <w:tcBorders>
              <w:right w:val="single" w:sz="12" w:space="0" w:color="auto"/>
            </w:tcBorders>
            <w:vAlign w:val="center"/>
          </w:tcPr>
          <w:p w14:paraId="5DEA2B25" w14:textId="77777777" w:rsidR="00762947" w:rsidRPr="00762947" w:rsidRDefault="00762947" w:rsidP="00762947">
            <w:pPr>
              <w:jc w:val="center"/>
              <w:rPr>
                <w:sz w:val="20"/>
                <w:szCs w:val="20"/>
              </w:rPr>
            </w:pPr>
            <w:r w:rsidRPr="00762947">
              <w:rPr>
                <w:sz w:val="20"/>
                <w:szCs w:val="20"/>
              </w:rPr>
              <w:t xml:space="preserve">0.34 </w:t>
            </w:r>
            <w:r w:rsidRPr="00762947">
              <w:rPr>
                <w:i/>
                <w:iCs/>
                <w:sz w:val="20"/>
                <w:szCs w:val="20"/>
              </w:rPr>
              <w:t>(2.82)</w:t>
            </w:r>
          </w:p>
        </w:tc>
      </w:tr>
      <w:tr w:rsidR="00762947" w:rsidRPr="00762947" w14:paraId="79C9F91C" w14:textId="77777777" w:rsidTr="000723CB">
        <w:trPr>
          <w:trHeight w:val="20"/>
        </w:trPr>
        <w:tc>
          <w:tcPr>
            <w:tcW w:w="3671" w:type="dxa"/>
            <w:tcBorders>
              <w:left w:val="single" w:sz="12" w:space="0" w:color="auto"/>
              <w:right w:val="double" w:sz="4" w:space="0" w:color="auto"/>
            </w:tcBorders>
          </w:tcPr>
          <w:p w14:paraId="62E5A738" w14:textId="77777777" w:rsidR="00762947" w:rsidRPr="00762947" w:rsidRDefault="00762947" w:rsidP="00762947">
            <w:pPr>
              <w:rPr>
                <w:i/>
                <w:iCs/>
                <w:sz w:val="20"/>
                <w:szCs w:val="20"/>
                <w:u w:val="single"/>
              </w:rPr>
            </w:pPr>
            <w:r w:rsidRPr="00762947">
              <w:rPr>
                <w:i/>
                <w:iCs/>
                <w:sz w:val="20"/>
                <w:szCs w:val="20"/>
                <w:u w:val="single"/>
              </w:rPr>
              <w:t>Parking facilities in the household</w:t>
            </w:r>
          </w:p>
        </w:tc>
        <w:tc>
          <w:tcPr>
            <w:tcW w:w="1379" w:type="dxa"/>
            <w:tcBorders>
              <w:left w:val="double" w:sz="4" w:space="0" w:color="auto"/>
            </w:tcBorders>
            <w:vAlign w:val="center"/>
          </w:tcPr>
          <w:p w14:paraId="1F4CF313" w14:textId="77777777" w:rsidR="00762947" w:rsidRPr="00762947" w:rsidRDefault="00762947" w:rsidP="00762947">
            <w:pPr>
              <w:jc w:val="center"/>
              <w:rPr>
                <w:sz w:val="20"/>
                <w:szCs w:val="20"/>
              </w:rPr>
            </w:pPr>
          </w:p>
        </w:tc>
        <w:tc>
          <w:tcPr>
            <w:tcW w:w="1318" w:type="dxa"/>
            <w:vAlign w:val="center"/>
          </w:tcPr>
          <w:p w14:paraId="6615F0AC" w14:textId="77777777" w:rsidR="00762947" w:rsidRPr="00762947" w:rsidRDefault="00762947" w:rsidP="00762947">
            <w:pPr>
              <w:jc w:val="center"/>
              <w:rPr>
                <w:sz w:val="20"/>
                <w:szCs w:val="20"/>
              </w:rPr>
            </w:pPr>
          </w:p>
        </w:tc>
        <w:tc>
          <w:tcPr>
            <w:tcW w:w="1272" w:type="dxa"/>
            <w:vAlign w:val="center"/>
          </w:tcPr>
          <w:p w14:paraId="72BEEF57" w14:textId="77777777" w:rsidR="00762947" w:rsidRPr="00762947" w:rsidRDefault="00762947" w:rsidP="00762947">
            <w:pPr>
              <w:jc w:val="center"/>
              <w:rPr>
                <w:sz w:val="20"/>
                <w:szCs w:val="20"/>
              </w:rPr>
            </w:pPr>
          </w:p>
        </w:tc>
        <w:tc>
          <w:tcPr>
            <w:tcW w:w="1394" w:type="dxa"/>
            <w:vAlign w:val="center"/>
          </w:tcPr>
          <w:p w14:paraId="21F0DC49" w14:textId="77777777" w:rsidR="00762947" w:rsidRPr="00762947" w:rsidRDefault="00762947" w:rsidP="00762947">
            <w:pPr>
              <w:jc w:val="center"/>
              <w:rPr>
                <w:sz w:val="20"/>
                <w:szCs w:val="20"/>
              </w:rPr>
            </w:pPr>
          </w:p>
        </w:tc>
        <w:tc>
          <w:tcPr>
            <w:tcW w:w="1373" w:type="dxa"/>
            <w:vAlign w:val="center"/>
          </w:tcPr>
          <w:p w14:paraId="303FA3C7" w14:textId="77777777" w:rsidR="00762947" w:rsidRPr="00762947" w:rsidRDefault="00762947" w:rsidP="00762947">
            <w:pPr>
              <w:jc w:val="center"/>
              <w:rPr>
                <w:sz w:val="20"/>
                <w:szCs w:val="20"/>
              </w:rPr>
            </w:pPr>
          </w:p>
        </w:tc>
        <w:tc>
          <w:tcPr>
            <w:tcW w:w="1295" w:type="dxa"/>
            <w:vAlign w:val="center"/>
          </w:tcPr>
          <w:p w14:paraId="147AD92B"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47EA1239" w14:textId="77777777" w:rsidR="00762947" w:rsidRPr="00762947" w:rsidRDefault="00762947" w:rsidP="00762947">
            <w:pPr>
              <w:jc w:val="center"/>
              <w:rPr>
                <w:sz w:val="20"/>
                <w:szCs w:val="20"/>
              </w:rPr>
            </w:pPr>
          </w:p>
        </w:tc>
      </w:tr>
      <w:tr w:rsidR="00762947" w:rsidRPr="00762947" w14:paraId="5F786C1A" w14:textId="77777777" w:rsidTr="000723CB">
        <w:trPr>
          <w:trHeight w:val="20"/>
        </w:trPr>
        <w:tc>
          <w:tcPr>
            <w:tcW w:w="3671" w:type="dxa"/>
            <w:tcBorders>
              <w:left w:val="single" w:sz="12" w:space="0" w:color="auto"/>
              <w:right w:val="double" w:sz="4" w:space="0" w:color="auto"/>
            </w:tcBorders>
          </w:tcPr>
          <w:p w14:paraId="5466904C" w14:textId="77777777" w:rsidR="00762947" w:rsidRPr="00762947" w:rsidRDefault="00762947" w:rsidP="00762947">
            <w:pPr>
              <w:ind w:firstLine="164"/>
              <w:rPr>
                <w:sz w:val="20"/>
                <w:szCs w:val="20"/>
              </w:rPr>
            </w:pPr>
            <w:r w:rsidRPr="00762947">
              <w:rPr>
                <w:sz w:val="20"/>
                <w:szCs w:val="20"/>
              </w:rPr>
              <w:t>Absence of a covered parking</w:t>
            </w:r>
          </w:p>
        </w:tc>
        <w:tc>
          <w:tcPr>
            <w:tcW w:w="1379" w:type="dxa"/>
            <w:tcBorders>
              <w:left w:val="double" w:sz="4" w:space="0" w:color="auto"/>
            </w:tcBorders>
            <w:vAlign w:val="center"/>
          </w:tcPr>
          <w:p w14:paraId="7DBA8773"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77EB50CB"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19876C11"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7B498670" w14:textId="77777777" w:rsidR="00762947" w:rsidRPr="00762947" w:rsidRDefault="00762947" w:rsidP="00762947">
            <w:pPr>
              <w:jc w:val="center"/>
              <w:rPr>
                <w:sz w:val="20"/>
                <w:szCs w:val="20"/>
              </w:rPr>
            </w:pPr>
            <w:r w:rsidRPr="00762947">
              <w:rPr>
                <w:sz w:val="20"/>
                <w:szCs w:val="20"/>
              </w:rPr>
              <w:t xml:space="preserve">-0.19 </w:t>
            </w:r>
            <w:r w:rsidRPr="00762947">
              <w:rPr>
                <w:i/>
                <w:iCs/>
                <w:sz w:val="20"/>
                <w:szCs w:val="20"/>
              </w:rPr>
              <w:t>(-2.22)</w:t>
            </w:r>
          </w:p>
        </w:tc>
        <w:tc>
          <w:tcPr>
            <w:tcW w:w="1373" w:type="dxa"/>
            <w:vAlign w:val="center"/>
          </w:tcPr>
          <w:p w14:paraId="4EB774B7" w14:textId="77777777" w:rsidR="00762947" w:rsidRPr="00762947" w:rsidRDefault="00762947" w:rsidP="00762947">
            <w:pPr>
              <w:jc w:val="center"/>
              <w:rPr>
                <w:sz w:val="20"/>
                <w:szCs w:val="20"/>
              </w:rPr>
            </w:pPr>
            <w:r w:rsidRPr="00762947">
              <w:rPr>
                <w:sz w:val="20"/>
                <w:szCs w:val="20"/>
              </w:rPr>
              <w:t xml:space="preserve">-0.19 </w:t>
            </w:r>
            <w:r w:rsidRPr="00762947">
              <w:rPr>
                <w:i/>
                <w:iCs/>
                <w:sz w:val="20"/>
                <w:szCs w:val="20"/>
              </w:rPr>
              <w:t>(-2.22)</w:t>
            </w:r>
          </w:p>
        </w:tc>
        <w:tc>
          <w:tcPr>
            <w:tcW w:w="1295" w:type="dxa"/>
            <w:vAlign w:val="center"/>
          </w:tcPr>
          <w:p w14:paraId="6F057E66" w14:textId="77777777" w:rsidR="00762947" w:rsidRPr="00762947" w:rsidRDefault="00762947" w:rsidP="00762947">
            <w:pPr>
              <w:jc w:val="center"/>
              <w:rPr>
                <w:sz w:val="20"/>
                <w:szCs w:val="20"/>
              </w:rPr>
            </w:pPr>
            <w:r w:rsidRPr="00762947">
              <w:rPr>
                <w:sz w:val="20"/>
                <w:szCs w:val="20"/>
              </w:rPr>
              <w:t xml:space="preserve">-0.20 </w:t>
            </w:r>
            <w:r w:rsidRPr="00762947">
              <w:rPr>
                <w:i/>
                <w:iCs/>
                <w:sz w:val="20"/>
                <w:szCs w:val="20"/>
              </w:rPr>
              <w:t>(-1.91)</w:t>
            </w:r>
          </w:p>
        </w:tc>
        <w:tc>
          <w:tcPr>
            <w:tcW w:w="1466" w:type="dxa"/>
            <w:tcBorders>
              <w:right w:val="single" w:sz="12" w:space="0" w:color="auto"/>
            </w:tcBorders>
            <w:vAlign w:val="center"/>
          </w:tcPr>
          <w:p w14:paraId="40CEFACD" w14:textId="77777777" w:rsidR="00762947" w:rsidRPr="00762947" w:rsidRDefault="00762947" w:rsidP="00762947">
            <w:pPr>
              <w:jc w:val="center"/>
              <w:rPr>
                <w:sz w:val="20"/>
                <w:szCs w:val="20"/>
              </w:rPr>
            </w:pPr>
            <w:r w:rsidRPr="00762947">
              <w:rPr>
                <w:sz w:val="20"/>
                <w:szCs w:val="20"/>
              </w:rPr>
              <w:t xml:space="preserve">-0.39 </w:t>
            </w:r>
            <w:r w:rsidRPr="00762947">
              <w:rPr>
                <w:i/>
                <w:iCs/>
                <w:sz w:val="20"/>
                <w:szCs w:val="20"/>
              </w:rPr>
              <w:t>(-2.37)</w:t>
            </w:r>
          </w:p>
        </w:tc>
      </w:tr>
      <w:tr w:rsidR="00762947" w:rsidRPr="00762947" w14:paraId="3431E12F" w14:textId="77777777" w:rsidTr="000723CB">
        <w:trPr>
          <w:trHeight w:val="20"/>
        </w:trPr>
        <w:tc>
          <w:tcPr>
            <w:tcW w:w="3671" w:type="dxa"/>
            <w:tcBorders>
              <w:left w:val="single" w:sz="12" w:space="0" w:color="auto"/>
              <w:right w:val="double" w:sz="4" w:space="0" w:color="auto"/>
            </w:tcBorders>
          </w:tcPr>
          <w:p w14:paraId="29D81549" w14:textId="77777777" w:rsidR="00762947" w:rsidRPr="00762947" w:rsidRDefault="00762947" w:rsidP="00762947">
            <w:pPr>
              <w:ind w:firstLine="164"/>
              <w:rPr>
                <w:sz w:val="20"/>
                <w:szCs w:val="20"/>
              </w:rPr>
            </w:pPr>
            <w:r w:rsidRPr="00762947">
              <w:rPr>
                <w:sz w:val="20"/>
                <w:szCs w:val="20"/>
              </w:rPr>
              <w:t>Absence of electric charging facility in the parking of home/workplace</w:t>
            </w:r>
          </w:p>
        </w:tc>
        <w:tc>
          <w:tcPr>
            <w:tcW w:w="1379" w:type="dxa"/>
            <w:tcBorders>
              <w:left w:val="double" w:sz="4" w:space="0" w:color="auto"/>
            </w:tcBorders>
            <w:vAlign w:val="center"/>
          </w:tcPr>
          <w:p w14:paraId="61B56450"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06D64641"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6551E262" w14:textId="77777777" w:rsidR="00762947" w:rsidRPr="00762947" w:rsidRDefault="00762947" w:rsidP="00762947">
            <w:pPr>
              <w:jc w:val="center"/>
              <w:rPr>
                <w:sz w:val="20"/>
                <w:szCs w:val="20"/>
              </w:rPr>
            </w:pPr>
            <w:r w:rsidRPr="00762947">
              <w:rPr>
                <w:sz w:val="20"/>
                <w:szCs w:val="20"/>
              </w:rPr>
              <w:t xml:space="preserve">-0.18 </w:t>
            </w:r>
            <w:r w:rsidRPr="00762947">
              <w:rPr>
                <w:i/>
                <w:iCs/>
                <w:sz w:val="20"/>
                <w:szCs w:val="20"/>
              </w:rPr>
              <w:t>(-1.89)</w:t>
            </w:r>
          </w:p>
        </w:tc>
        <w:tc>
          <w:tcPr>
            <w:tcW w:w="1394" w:type="dxa"/>
            <w:vAlign w:val="center"/>
          </w:tcPr>
          <w:p w14:paraId="1166C157" w14:textId="5CC045F6" w:rsidR="00762947" w:rsidRPr="00762947" w:rsidRDefault="00762947" w:rsidP="00762947">
            <w:pPr>
              <w:jc w:val="center"/>
              <w:rPr>
                <w:sz w:val="20"/>
                <w:szCs w:val="20"/>
              </w:rPr>
            </w:pPr>
            <w:r w:rsidRPr="00762947">
              <w:rPr>
                <w:sz w:val="20"/>
                <w:szCs w:val="20"/>
              </w:rPr>
              <w:t>N</w:t>
            </w:r>
            <w:r w:rsidR="000A4751">
              <w:rPr>
                <w:sz w:val="20"/>
                <w:szCs w:val="20"/>
              </w:rPr>
              <w:t>.A.</w:t>
            </w:r>
          </w:p>
        </w:tc>
        <w:tc>
          <w:tcPr>
            <w:tcW w:w="1373" w:type="dxa"/>
            <w:vAlign w:val="center"/>
          </w:tcPr>
          <w:p w14:paraId="2E13E41F"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4C2357F8" w14:textId="3B46BC44" w:rsidR="00762947" w:rsidRPr="00762947" w:rsidRDefault="00762947" w:rsidP="00762947">
            <w:pPr>
              <w:jc w:val="center"/>
              <w:rPr>
                <w:sz w:val="20"/>
                <w:szCs w:val="20"/>
              </w:rPr>
            </w:pPr>
            <w:r w:rsidRPr="00762947">
              <w:rPr>
                <w:sz w:val="20"/>
                <w:szCs w:val="20"/>
              </w:rPr>
              <w:t>N</w:t>
            </w:r>
            <w:r w:rsidR="000A4751">
              <w:rPr>
                <w:sz w:val="20"/>
                <w:szCs w:val="20"/>
              </w:rPr>
              <w:t>.A.</w:t>
            </w:r>
          </w:p>
        </w:tc>
        <w:tc>
          <w:tcPr>
            <w:tcW w:w="1466" w:type="dxa"/>
            <w:tcBorders>
              <w:right w:val="single" w:sz="12" w:space="0" w:color="auto"/>
            </w:tcBorders>
            <w:vAlign w:val="center"/>
          </w:tcPr>
          <w:p w14:paraId="02F2B5B7" w14:textId="77777777" w:rsidR="00762947" w:rsidRPr="00762947" w:rsidRDefault="00762947" w:rsidP="00762947">
            <w:pPr>
              <w:jc w:val="center"/>
              <w:rPr>
                <w:sz w:val="20"/>
                <w:szCs w:val="20"/>
              </w:rPr>
            </w:pPr>
            <w:r w:rsidRPr="00762947">
              <w:rPr>
                <w:sz w:val="20"/>
                <w:szCs w:val="20"/>
              </w:rPr>
              <w:t>NA</w:t>
            </w:r>
          </w:p>
        </w:tc>
      </w:tr>
      <w:tr w:rsidR="00762947" w:rsidRPr="00762947" w14:paraId="21C6296E" w14:textId="77777777" w:rsidTr="000723CB">
        <w:trPr>
          <w:trHeight w:val="20"/>
        </w:trPr>
        <w:tc>
          <w:tcPr>
            <w:tcW w:w="3671" w:type="dxa"/>
            <w:tcBorders>
              <w:left w:val="single" w:sz="12" w:space="0" w:color="auto"/>
              <w:right w:val="double" w:sz="4" w:space="0" w:color="auto"/>
            </w:tcBorders>
          </w:tcPr>
          <w:p w14:paraId="78988849" w14:textId="77777777" w:rsidR="00762947" w:rsidRPr="00762947" w:rsidRDefault="00762947" w:rsidP="00762947">
            <w:pPr>
              <w:rPr>
                <w:i/>
                <w:iCs/>
                <w:sz w:val="20"/>
                <w:szCs w:val="20"/>
                <w:u w:val="single"/>
              </w:rPr>
            </w:pPr>
            <w:r w:rsidRPr="00762947">
              <w:rPr>
                <w:i/>
                <w:iCs/>
                <w:sz w:val="20"/>
                <w:szCs w:val="20"/>
                <w:u w:val="single"/>
              </w:rPr>
              <w:t>Household’s regional attributes</w:t>
            </w:r>
          </w:p>
        </w:tc>
        <w:tc>
          <w:tcPr>
            <w:tcW w:w="1379" w:type="dxa"/>
            <w:tcBorders>
              <w:left w:val="double" w:sz="4" w:space="0" w:color="auto"/>
            </w:tcBorders>
            <w:vAlign w:val="center"/>
          </w:tcPr>
          <w:p w14:paraId="0EB162EA" w14:textId="77777777" w:rsidR="00762947" w:rsidRPr="00762947" w:rsidRDefault="00762947" w:rsidP="00762947">
            <w:pPr>
              <w:jc w:val="center"/>
              <w:rPr>
                <w:sz w:val="20"/>
                <w:szCs w:val="20"/>
              </w:rPr>
            </w:pPr>
          </w:p>
        </w:tc>
        <w:tc>
          <w:tcPr>
            <w:tcW w:w="1318" w:type="dxa"/>
            <w:vAlign w:val="center"/>
          </w:tcPr>
          <w:p w14:paraId="462C715E" w14:textId="77777777" w:rsidR="00762947" w:rsidRPr="00762947" w:rsidRDefault="00762947" w:rsidP="00762947">
            <w:pPr>
              <w:jc w:val="center"/>
              <w:rPr>
                <w:sz w:val="20"/>
                <w:szCs w:val="20"/>
              </w:rPr>
            </w:pPr>
          </w:p>
        </w:tc>
        <w:tc>
          <w:tcPr>
            <w:tcW w:w="1272" w:type="dxa"/>
            <w:vAlign w:val="center"/>
          </w:tcPr>
          <w:p w14:paraId="3205EC21" w14:textId="77777777" w:rsidR="00762947" w:rsidRPr="00762947" w:rsidRDefault="00762947" w:rsidP="00762947">
            <w:pPr>
              <w:jc w:val="center"/>
              <w:rPr>
                <w:sz w:val="20"/>
                <w:szCs w:val="20"/>
              </w:rPr>
            </w:pPr>
          </w:p>
        </w:tc>
        <w:tc>
          <w:tcPr>
            <w:tcW w:w="1394" w:type="dxa"/>
            <w:vAlign w:val="center"/>
          </w:tcPr>
          <w:p w14:paraId="284084AF" w14:textId="77777777" w:rsidR="00762947" w:rsidRPr="00762947" w:rsidRDefault="00762947" w:rsidP="00762947">
            <w:pPr>
              <w:jc w:val="center"/>
              <w:rPr>
                <w:sz w:val="20"/>
                <w:szCs w:val="20"/>
              </w:rPr>
            </w:pPr>
          </w:p>
        </w:tc>
        <w:tc>
          <w:tcPr>
            <w:tcW w:w="1373" w:type="dxa"/>
            <w:vAlign w:val="center"/>
          </w:tcPr>
          <w:p w14:paraId="4E2EE71E" w14:textId="77777777" w:rsidR="00762947" w:rsidRPr="00762947" w:rsidRDefault="00762947" w:rsidP="00762947">
            <w:pPr>
              <w:jc w:val="center"/>
              <w:rPr>
                <w:sz w:val="20"/>
                <w:szCs w:val="20"/>
              </w:rPr>
            </w:pPr>
          </w:p>
        </w:tc>
        <w:tc>
          <w:tcPr>
            <w:tcW w:w="1295" w:type="dxa"/>
            <w:vAlign w:val="center"/>
          </w:tcPr>
          <w:p w14:paraId="786556EA"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62C45A39" w14:textId="77777777" w:rsidR="00762947" w:rsidRPr="00762947" w:rsidRDefault="00762947" w:rsidP="00762947">
            <w:pPr>
              <w:jc w:val="center"/>
              <w:rPr>
                <w:sz w:val="20"/>
                <w:szCs w:val="20"/>
              </w:rPr>
            </w:pPr>
          </w:p>
        </w:tc>
      </w:tr>
      <w:tr w:rsidR="00762947" w:rsidRPr="00762947" w14:paraId="229BBED7" w14:textId="77777777" w:rsidTr="000723CB">
        <w:trPr>
          <w:trHeight w:val="20"/>
        </w:trPr>
        <w:tc>
          <w:tcPr>
            <w:tcW w:w="3671" w:type="dxa"/>
            <w:tcBorders>
              <w:left w:val="single" w:sz="12" w:space="0" w:color="auto"/>
              <w:right w:val="double" w:sz="4" w:space="0" w:color="auto"/>
            </w:tcBorders>
          </w:tcPr>
          <w:p w14:paraId="4A3029F1" w14:textId="77777777" w:rsidR="00762947" w:rsidRPr="00762947" w:rsidRDefault="00762947" w:rsidP="00762947">
            <w:pPr>
              <w:ind w:left="165" w:hanging="1"/>
              <w:rPr>
                <w:sz w:val="20"/>
                <w:szCs w:val="20"/>
              </w:rPr>
            </w:pPr>
            <w:r w:rsidRPr="00762947">
              <w:rPr>
                <w:sz w:val="20"/>
                <w:szCs w:val="20"/>
              </w:rPr>
              <w:t>Employment density more than 500 person/ sq. mile</w:t>
            </w:r>
          </w:p>
        </w:tc>
        <w:tc>
          <w:tcPr>
            <w:tcW w:w="1379" w:type="dxa"/>
            <w:tcBorders>
              <w:left w:val="double" w:sz="4" w:space="0" w:color="auto"/>
            </w:tcBorders>
            <w:vAlign w:val="center"/>
          </w:tcPr>
          <w:p w14:paraId="34C5D93E"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252BFF6F"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23F30BFC"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3E1F810A" w14:textId="77777777" w:rsidR="00762947" w:rsidRPr="00762947" w:rsidRDefault="00762947" w:rsidP="00762947">
            <w:pPr>
              <w:jc w:val="center"/>
              <w:rPr>
                <w:sz w:val="20"/>
                <w:szCs w:val="20"/>
              </w:rPr>
            </w:pPr>
            <w:r w:rsidRPr="00762947">
              <w:rPr>
                <w:sz w:val="20"/>
                <w:szCs w:val="20"/>
              </w:rPr>
              <w:t xml:space="preserve">-0.08 </w:t>
            </w:r>
            <w:r w:rsidRPr="00762947">
              <w:rPr>
                <w:i/>
                <w:iCs/>
                <w:sz w:val="20"/>
                <w:szCs w:val="20"/>
              </w:rPr>
              <w:t>(-1.51)</w:t>
            </w:r>
          </w:p>
        </w:tc>
        <w:tc>
          <w:tcPr>
            <w:tcW w:w="1373" w:type="dxa"/>
            <w:vAlign w:val="center"/>
          </w:tcPr>
          <w:p w14:paraId="59A622D7"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55937383"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14C34787" w14:textId="77777777" w:rsidR="00762947" w:rsidRPr="00762947" w:rsidRDefault="00762947" w:rsidP="00762947">
            <w:pPr>
              <w:jc w:val="center"/>
              <w:rPr>
                <w:sz w:val="20"/>
                <w:szCs w:val="20"/>
              </w:rPr>
            </w:pPr>
            <w:r w:rsidRPr="00762947">
              <w:rPr>
                <w:sz w:val="20"/>
                <w:szCs w:val="20"/>
              </w:rPr>
              <w:t xml:space="preserve">-0.44 </w:t>
            </w:r>
            <w:r w:rsidRPr="00762947">
              <w:rPr>
                <w:i/>
                <w:iCs/>
                <w:sz w:val="20"/>
                <w:szCs w:val="20"/>
              </w:rPr>
              <w:t>(-3.14)</w:t>
            </w:r>
          </w:p>
        </w:tc>
      </w:tr>
      <w:tr w:rsidR="00762947" w:rsidRPr="00762947" w14:paraId="35BB985F" w14:textId="77777777" w:rsidTr="000723CB">
        <w:trPr>
          <w:trHeight w:val="20"/>
        </w:trPr>
        <w:tc>
          <w:tcPr>
            <w:tcW w:w="3671" w:type="dxa"/>
            <w:tcBorders>
              <w:left w:val="single" w:sz="12" w:space="0" w:color="auto"/>
              <w:bottom w:val="single" w:sz="12" w:space="0" w:color="auto"/>
              <w:right w:val="double" w:sz="4" w:space="0" w:color="auto"/>
            </w:tcBorders>
          </w:tcPr>
          <w:p w14:paraId="4BF50BCE" w14:textId="77777777" w:rsidR="00762947" w:rsidRPr="00762947" w:rsidRDefault="00762947" w:rsidP="00762947">
            <w:pPr>
              <w:rPr>
                <w:sz w:val="20"/>
                <w:szCs w:val="20"/>
              </w:rPr>
            </w:pPr>
            <w:r w:rsidRPr="00762947">
              <w:rPr>
                <w:sz w:val="20"/>
                <w:szCs w:val="20"/>
              </w:rPr>
              <w:t>Constant</w:t>
            </w:r>
          </w:p>
        </w:tc>
        <w:tc>
          <w:tcPr>
            <w:tcW w:w="1379" w:type="dxa"/>
            <w:tcBorders>
              <w:left w:val="double" w:sz="4" w:space="0" w:color="auto"/>
              <w:bottom w:val="single" w:sz="12" w:space="0" w:color="auto"/>
            </w:tcBorders>
            <w:vAlign w:val="center"/>
          </w:tcPr>
          <w:p w14:paraId="12D2C58A" w14:textId="77777777" w:rsidR="00762947" w:rsidRPr="00762947" w:rsidRDefault="00762947" w:rsidP="00762947">
            <w:pPr>
              <w:jc w:val="center"/>
              <w:rPr>
                <w:sz w:val="20"/>
                <w:szCs w:val="20"/>
              </w:rPr>
            </w:pPr>
            <w:r w:rsidRPr="00762947">
              <w:rPr>
                <w:sz w:val="20"/>
                <w:szCs w:val="20"/>
              </w:rPr>
              <w:t>--</w:t>
            </w:r>
          </w:p>
        </w:tc>
        <w:tc>
          <w:tcPr>
            <w:tcW w:w="1318" w:type="dxa"/>
            <w:tcBorders>
              <w:bottom w:val="single" w:sz="12" w:space="0" w:color="auto"/>
            </w:tcBorders>
            <w:vAlign w:val="center"/>
          </w:tcPr>
          <w:p w14:paraId="3AF10198" w14:textId="77777777" w:rsidR="00762947" w:rsidRPr="00762947" w:rsidRDefault="00762947" w:rsidP="00762947">
            <w:pPr>
              <w:jc w:val="center"/>
              <w:rPr>
                <w:sz w:val="20"/>
                <w:szCs w:val="20"/>
              </w:rPr>
            </w:pPr>
            <w:r w:rsidRPr="00762947">
              <w:rPr>
                <w:sz w:val="20"/>
                <w:szCs w:val="20"/>
              </w:rPr>
              <w:t xml:space="preserve">-0.88 </w:t>
            </w:r>
            <w:r w:rsidRPr="00762947">
              <w:rPr>
                <w:i/>
                <w:iCs/>
                <w:sz w:val="20"/>
                <w:szCs w:val="20"/>
              </w:rPr>
              <w:t>(-3.42)</w:t>
            </w:r>
          </w:p>
        </w:tc>
        <w:tc>
          <w:tcPr>
            <w:tcW w:w="1272" w:type="dxa"/>
            <w:tcBorders>
              <w:bottom w:val="single" w:sz="12" w:space="0" w:color="auto"/>
            </w:tcBorders>
            <w:vAlign w:val="center"/>
          </w:tcPr>
          <w:p w14:paraId="4AD7027A" w14:textId="77777777" w:rsidR="00762947" w:rsidRPr="00762947" w:rsidRDefault="00762947" w:rsidP="00762947">
            <w:pPr>
              <w:jc w:val="center"/>
              <w:rPr>
                <w:sz w:val="20"/>
                <w:szCs w:val="20"/>
              </w:rPr>
            </w:pPr>
            <w:r w:rsidRPr="00762947">
              <w:rPr>
                <w:sz w:val="20"/>
                <w:szCs w:val="20"/>
              </w:rPr>
              <w:t xml:space="preserve">-0.94 </w:t>
            </w:r>
            <w:r w:rsidRPr="00762947">
              <w:rPr>
                <w:i/>
                <w:iCs/>
                <w:sz w:val="20"/>
                <w:szCs w:val="20"/>
              </w:rPr>
              <w:t>(-3.28)</w:t>
            </w:r>
          </w:p>
        </w:tc>
        <w:tc>
          <w:tcPr>
            <w:tcW w:w="1394" w:type="dxa"/>
            <w:tcBorders>
              <w:bottom w:val="single" w:sz="12" w:space="0" w:color="auto"/>
            </w:tcBorders>
            <w:vAlign w:val="center"/>
          </w:tcPr>
          <w:p w14:paraId="3586EF7E" w14:textId="77777777" w:rsidR="00762947" w:rsidRPr="00762947" w:rsidRDefault="00762947" w:rsidP="00762947">
            <w:pPr>
              <w:jc w:val="center"/>
              <w:rPr>
                <w:sz w:val="20"/>
                <w:szCs w:val="20"/>
              </w:rPr>
            </w:pPr>
            <w:r w:rsidRPr="00762947">
              <w:rPr>
                <w:sz w:val="20"/>
                <w:szCs w:val="20"/>
              </w:rPr>
              <w:t xml:space="preserve">-0.25 </w:t>
            </w:r>
            <w:r w:rsidRPr="00762947">
              <w:rPr>
                <w:i/>
                <w:iCs/>
                <w:sz w:val="20"/>
                <w:szCs w:val="20"/>
              </w:rPr>
              <w:t>(-2.37)</w:t>
            </w:r>
          </w:p>
        </w:tc>
        <w:tc>
          <w:tcPr>
            <w:tcW w:w="1373" w:type="dxa"/>
            <w:tcBorders>
              <w:bottom w:val="single" w:sz="12" w:space="0" w:color="auto"/>
            </w:tcBorders>
            <w:vAlign w:val="center"/>
          </w:tcPr>
          <w:p w14:paraId="149E8134" w14:textId="77777777" w:rsidR="00762947" w:rsidRPr="00762947" w:rsidRDefault="00762947" w:rsidP="00762947">
            <w:pPr>
              <w:jc w:val="center"/>
              <w:rPr>
                <w:sz w:val="20"/>
                <w:szCs w:val="20"/>
              </w:rPr>
            </w:pPr>
            <w:r w:rsidRPr="00762947">
              <w:rPr>
                <w:sz w:val="20"/>
                <w:szCs w:val="20"/>
              </w:rPr>
              <w:t xml:space="preserve">-1.44 </w:t>
            </w:r>
            <w:r w:rsidRPr="00762947">
              <w:rPr>
                <w:i/>
                <w:iCs/>
                <w:sz w:val="20"/>
                <w:szCs w:val="20"/>
              </w:rPr>
              <w:t>(-3.46)</w:t>
            </w:r>
          </w:p>
        </w:tc>
        <w:tc>
          <w:tcPr>
            <w:tcW w:w="1295" w:type="dxa"/>
            <w:tcBorders>
              <w:bottom w:val="single" w:sz="12" w:space="0" w:color="auto"/>
            </w:tcBorders>
            <w:vAlign w:val="center"/>
          </w:tcPr>
          <w:p w14:paraId="1FCF65DC" w14:textId="77777777" w:rsidR="00762947" w:rsidRPr="00762947" w:rsidRDefault="00762947" w:rsidP="00762947">
            <w:pPr>
              <w:jc w:val="center"/>
              <w:rPr>
                <w:sz w:val="20"/>
                <w:szCs w:val="20"/>
              </w:rPr>
            </w:pPr>
            <w:r w:rsidRPr="00762947">
              <w:rPr>
                <w:sz w:val="20"/>
                <w:szCs w:val="20"/>
              </w:rPr>
              <w:t xml:space="preserve">-1.52 </w:t>
            </w:r>
            <w:r w:rsidRPr="00762947">
              <w:rPr>
                <w:i/>
                <w:iCs/>
                <w:sz w:val="20"/>
                <w:szCs w:val="20"/>
              </w:rPr>
              <w:t>(-3.45)</w:t>
            </w:r>
          </w:p>
        </w:tc>
        <w:tc>
          <w:tcPr>
            <w:tcW w:w="1466" w:type="dxa"/>
            <w:tcBorders>
              <w:bottom w:val="single" w:sz="12" w:space="0" w:color="auto"/>
              <w:right w:val="single" w:sz="12" w:space="0" w:color="auto"/>
            </w:tcBorders>
            <w:vAlign w:val="center"/>
          </w:tcPr>
          <w:p w14:paraId="728364B6" w14:textId="77777777" w:rsidR="00762947" w:rsidRPr="00762947" w:rsidRDefault="00762947" w:rsidP="00762947">
            <w:pPr>
              <w:jc w:val="center"/>
              <w:rPr>
                <w:sz w:val="20"/>
                <w:szCs w:val="20"/>
              </w:rPr>
            </w:pPr>
            <w:r w:rsidRPr="00762947">
              <w:rPr>
                <w:sz w:val="20"/>
                <w:szCs w:val="20"/>
              </w:rPr>
              <w:t xml:space="preserve">-1.01 </w:t>
            </w:r>
            <w:r w:rsidRPr="00762947">
              <w:rPr>
                <w:i/>
                <w:iCs/>
                <w:sz w:val="20"/>
                <w:szCs w:val="20"/>
              </w:rPr>
              <w:t>(-3.35)</w:t>
            </w:r>
          </w:p>
        </w:tc>
      </w:tr>
      <w:tr w:rsidR="00762947" w:rsidRPr="00762947" w14:paraId="66B5D05A" w14:textId="77777777" w:rsidTr="000723CB">
        <w:trPr>
          <w:trHeight w:val="20"/>
        </w:trPr>
        <w:tc>
          <w:tcPr>
            <w:tcW w:w="3671" w:type="dxa"/>
            <w:tcBorders>
              <w:top w:val="single" w:sz="12" w:space="0" w:color="auto"/>
              <w:left w:val="single" w:sz="12" w:space="0" w:color="auto"/>
              <w:right w:val="double" w:sz="4" w:space="0" w:color="auto"/>
            </w:tcBorders>
          </w:tcPr>
          <w:p w14:paraId="78D150E5" w14:textId="77777777" w:rsidR="00762947" w:rsidRPr="00762947" w:rsidRDefault="00762947" w:rsidP="00762947">
            <w:pPr>
              <w:rPr>
                <w:b/>
                <w:bCs/>
                <w:i/>
                <w:iCs/>
                <w:sz w:val="20"/>
                <w:szCs w:val="20"/>
              </w:rPr>
            </w:pPr>
            <w:r w:rsidRPr="00762947">
              <w:rPr>
                <w:b/>
                <w:bCs/>
                <w:i/>
                <w:iCs/>
                <w:sz w:val="20"/>
                <w:szCs w:val="20"/>
              </w:rPr>
              <w:t>Satiation function</w:t>
            </w:r>
          </w:p>
        </w:tc>
        <w:tc>
          <w:tcPr>
            <w:tcW w:w="1379" w:type="dxa"/>
            <w:tcBorders>
              <w:top w:val="single" w:sz="12" w:space="0" w:color="auto"/>
              <w:left w:val="double" w:sz="4" w:space="0" w:color="auto"/>
            </w:tcBorders>
            <w:vAlign w:val="center"/>
          </w:tcPr>
          <w:p w14:paraId="11195FF9" w14:textId="77777777" w:rsidR="00762947" w:rsidRPr="00762947" w:rsidRDefault="00762947" w:rsidP="00762947">
            <w:pPr>
              <w:jc w:val="center"/>
              <w:rPr>
                <w:sz w:val="20"/>
                <w:szCs w:val="20"/>
              </w:rPr>
            </w:pPr>
          </w:p>
        </w:tc>
        <w:tc>
          <w:tcPr>
            <w:tcW w:w="1318" w:type="dxa"/>
            <w:tcBorders>
              <w:top w:val="single" w:sz="12" w:space="0" w:color="auto"/>
            </w:tcBorders>
            <w:vAlign w:val="center"/>
          </w:tcPr>
          <w:p w14:paraId="158393D3" w14:textId="77777777" w:rsidR="00762947" w:rsidRPr="00762947" w:rsidRDefault="00762947" w:rsidP="00762947">
            <w:pPr>
              <w:jc w:val="center"/>
              <w:rPr>
                <w:sz w:val="20"/>
                <w:szCs w:val="20"/>
              </w:rPr>
            </w:pPr>
          </w:p>
        </w:tc>
        <w:tc>
          <w:tcPr>
            <w:tcW w:w="1272" w:type="dxa"/>
            <w:tcBorders>
              <w:top w:val="single" w:sz="12" w:space="0" w:color="auto"/>
            </w:tcBorders>
            <w:vAlign w:val="center"/>
          </w:tcPr>
          <w:p w14:paraId="73CABA40" w14:textId="77777777" w:rsidR="00762947" w:rsidRPr="00762947" w:rsidRDefault="00762947" w:rsidP="00762947">
            <w:pPr>
              <w:jc w:val="center"/>
              <w:rPr>
                <w:sz w:val="20"/>
                <w:szCs w:val="20"/>
              </w:rPr>
            </w:pPr>
          </w:p>
        </w:tc>
        <w:tc>
          <w:tcPr>
            <w:tcW w:w="1394" w:type="dxa"/>
            <w:tcBorders>
              <w:top w:val="single" w:sz="12" w:space="0" w:color="auto"/>
            </w:tcBorders>
            <w:vAlign w:val="center"/>
          </w:tcPr>
          <w:p w14:paraId="435816B8" w14:textId="77777777" w:rsidR="00762947" w:rsidRPr="00762947" w:rsidRDefault="00762947" w:rsidP="00762947">
            <w:pPr>
              <w:jc w:val="center"/>
              <w:rPr>
                <w:sz w:val="20"/>
                <w:szCs w:val="20"/>
              </w:rPr>
            </w:pPr>
          </w:p>
        </w:tc>
        <w:tc>
          <w:tcPr>
            <w:tcW w:w="1373" w:type="dxa"/>
            <w:tcBorders>
              <w:top w:val="single" w:sz="12" w:space="0" w:color="auto"/>
            </w:tcBorders>
            <w:vAlign w:val="center"/>
          </w:tcPr>
          <w:p w14:paraId="256C7939" w14:textId="77777777" w:rsidR="00762947" w:rsidRPr="00762947" w:rsidRDefault="00762947" w:rsidP="00762947">
            <w:pPr>
              <w:jc w:val="center"/>
              <w:rPr>
                <w:sz w:val="20"/>
                <w:szCs w:val="20"/>
              </w:rPr>
            </w:pPr>
          </w:p>
        </w:tc>
        <w:tc>
          <w:tcPr>
            <w:tcW w:w="1295" w:type="dxa"/>
            <w:tcBorders>
              <w:top w:val="single" w:sz="12" w:space="0" w:color="auto"/>
            </w:tcBorders>
            <w:vAlign w:val="center"/>
          </w:tcPr>
          <w:p w14:paraId="4D733428" w14:textId="77777777" w:rsidR="00762947" w:rsidRPr="00762947" w:rsidRDefault="00762947" w:rsidP="00762947">
            <w:pPr>
              <w:jc w:val="center"/>
              <w:rPr>
                <w:sz w:val="20"/>
                <w:szCs w:val="20"/>
              </w:rPr>
            </w:pPr>
          </w:p>
        </w:tc>
        <w:tc>
          <w:tcPr>
            <w:tcW w:w="1466" w:type="dxa"/>
            <w:tcBorders>
              <w:top w:val="single" w:sz="12" w:space="0" w:color="auto"/>
              <w:right w:val="single" w:sz="12" w:space="0" w:color="auto"/>
            </w:tcBorders>
            <w:vAlign w:val="center"/>
          </w:tcPr>
          <w:p w14:paraId="57A4C210" w14:textId="77777777" w:rsidR="00762947" w:rsidRPr="00762947" w:rsidRDefault="00762947" w:rsidP="00762947">
            <w:pPr>
              <w:jc w:val="center"/>
              <w:rPr>
                <w:sz w:val="20"/>
                <w:szCs w:val="20"/>
              </w:rPr>
            </w:pPr>
          </w:p>
        </w:tc>
      </w:tr>
      <w:tr w:rsidR="00762947" w:rsidRPr="00762947" w14:paraId="5B0F6A2C" w14:textId="77777777" w:rsidTr="000723CB">
        <w:trPr>
          <w:trHeight w:val="20"/>
        </w:trPr>
        <w:tc>
          <w:tcPr>
            <w:tcW w:w="3671" w:type="dxa"/>
            <w:tcBorders>
              <w:left w:val="single" w:sz="12" w:space="0" w:color="auto"/>
              <w:right w:val="double" w:sz="4" w:space="0" w:color="auto"/>
            </w:tcBorders>
          </w:tcPr>
          <w:p w14:paraId="68070627" w14:textId="77777777" w:rsidR="00762947" w:rsidRPr="00762947" w:rsidRDefault="00762947" w:rsidP="00762947">
            <w:pPr>
              <w:rPr>
                <w:sz w:val="20"/>
                <w:szCs w:val="20"/>
                <w:u w:val="single"/>
              </w:rPr>
            </w:pPr>
            <w:r w:rsidRPr="00762947">
              <w:rPr>
                <w:i/>
                <w:iCs/>
                <w:sz w:val="20"/>
                <w:szCs w:val="20"/>
                <w:u w:val="single"/>
              </w:rPr>
              <w:t>Household income characteristics (</w:t>
            </w:r>
            <w:r w:rsidRPr="00762947">
              <w:rPr>
                <w:sz w:val="20"/>
                <w:szCs w:val="20"/>
                <w:u w:val="single"/>
              </w:rPr>
              <w:t>(</w:t>
            </w:r>
            <w:r w:rsidRPr="00762947">
              <w:rPr>
                <w:i/>
                <w:iCs/>
                <w:sz w:val="20"/>
                <w:szCs w:val="20"/>
                <w:u w:val="single"/>
              </w:rPr>
              <w:t>Base: Income more than $200K</w:t>
            </w:r>
            <w:r w:rsidRPr="00762947">
              <w:rPr>
                <w:sz w:val="20"/>
                <w:szCs w:val="20"/>
                <w:u w:val="single"/>
              </w:rPr>
              <w:t>)</w:t>
            </w:r>
            <w:r w:rsidRPr="00762947">
              <w:rPr>
                <w:i/>
                <w:iCs/>
                <w:sz w:val="20"/>
                <w:szCs w:val="20"/>
                <w:u w:val="single"/>
              </w:rPr>
              <w:t>)</w:t>
            </w:r>
          </w:p>
        </w:tc>
        <w:tc>
          <w:tcPr>
            <w:tcW w:w="1379" w:type="dxa"/>
            <w:tcBorders>
              <w:left w:val="double" w:sz="4" w:space="0" w:color="auto"/>
            </w:tcBorders>
            <w:vAlign w:val="center"/>
          </w:tcPr>
          <w:p w14:paraId="7083F0DD" w14:textId="77777777" w:rsidR="00762947" w:rsidRPr="00762947" w:rsidRDefault="00762947" w:rsidP="00762947">
            <w:pPr>
              <w:jc w:val="center"/>
              <w:rPr>
                <w:sz w:val="20"/>
                <w:szCs w:val="20"/>
              </w:rPr>
            </w:pPr>
          </w:p>
        </w:tc>
        <w:tc>
          <w:tcPr>
            <w:tcW w:w="1318" w:type="dxa"/>
            <w:vAlign w:val="center"/>
          </w:tcPr>
          <w:p w14:paraId="10BC414E" w14:textId="77777777" w:rsidR="00762947" w:rsidRPr="00762947" w:rsidRDefault="00762947" w:rsidP="00762947">
            <w:pPr>
              <w:jc w:val="center"/>
              <w:rPr>
                <w:sz w:val="20"/>
                <w:szCs w:val="20"/>
              </w:rPr>
            </w:pPr>
          </w:p>
        </w:tc>
        <w:tc>
          <w:tcPr>
            <w:tcW w:w="1272" w:type="dxa"/>
            <w:vAlign w:val="center"/>
          </w:tcPr>
          <w:p w14:paraId="2121F9EC" w14:textId="77777777" w:rsidR="00762947" w:rsidRPr="00762947" w:rsidRDefault="00762947" w:rsidP="00762947">
            <w:pPr>
              <w:jc w:val="center"/>
              <w:rPr>
                <w:sz w:val="20"/>
                <w:szCs w:val="20"/>
              </w:rPr>
            </w:pPr>
          </w:p>
        </w:tc>
        <w:tc>
          <w:tcPr>
            <w:tcW w:w="1394" w:type="dxa"/>
            <w:vAlign w:val="center"/>
          </w:tcPr>
          <w:p w14:paraId="2F7D8922" w14:textId="77777777" w:rsidR="00762947" w:rsidRPr="00762947" w:rsidRDefault="00762947" w:rsidP="00762947">
            <w:pPr>
              <w:jc w:val="center"/>
              <w:rPr>
                <w:sz w:val="20"/>
                <w:szCs w:val="20"/>
              </w:rPr>
            </w:pPr>
          </w:p>
        </w:tc>
        <w:tc>
          <w:tcPr>
            <w:tcW w:w="1373" w:type="dxa"/>
            <w:vAlign w:val="center"/>
          </w:tcPr>
          <w:p w14:paraId="7E02B23E" w14:textId="77777777" w:rsidR="00762947" w:rsidRPr="00762947" w:rsidRDefault="00762947" w:rsidP="00762947">
            <w:pPr>
              <w:jc w:val="center"/>
              <w:rPr>
                <w:sz w:val="20"/>
                <w:szCs w:val="20"/>
              </w:rPr>
            </w:pPr>
          </w:p>
        </w:tc>
        <w:tc>
          <w:tcPr>
            <w:tcW w:w="1295" w:type="dxa"/>
            <w:vAlign w:val="center"/>
          </w:tcPr>
          <w:p w14:paraId="487CED02"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7B9D428F" w14:textId="77777777" w:rsidR="00762947" w:rsidRPr="00762947" w:rsidRDefault="00762947" w:rsidP="00762947">
            <w:pPr>
              <w:jc w:val="center"/>
              <w:rPr>
                <w:sz w:val="20"/>
                <w:szCs w:val="20"/>
              </w:rPr>
            </w:pPr>
          </w:p>
        </w:tc>
      </w:tr>
      <w:tr w:rsidR="00762947" w:rsidRPr="00762947" w14:paraId="7F7A3475" w14:textId="77777777" w:rsidTr="000723CB">
        <w:trPr>
          <w:trHeight w:val="20"/>
        </w:trPr>
        <w:tc>
          <w:tcPr>
            <w:tcW w:w="3671" w:type="dxa"/>
            <w:tcBorders>
              <w:left w:val="single" w:sz="12" w:space="0" w:color="auto"/>
              <w:right w:val="double" w:sz="4" w:space="0" w:color="auto"/>
            </w:tcBorders>
          </w:tcPr>
          <w:p w14:paraId="79690E7F" w14:textId="77777777" w:rsidR="00762947" w:rsidRPr="00762947" w:rsidRDefault="00762947" w:rsidP="00762947">
            <w:pPr>
              <w:ind w:firstLine="166"/>
              <w:rPr>
                <w:sz w:val="20"/>
                <w:szCs w:val="20"/>
              </w:rPr>
            </w:pPr>
            <w:r w:rsidRPr="00762947">
              <w:rPr>
                <w:sz w:val="20"/>
                <w:szCs w:val="20"/>
              </w:rPr>
              <w:t>Income less than $25K</w:t>
            </w:r>
          </w:p>
        </w:tc>
        <w:tc>
          <w:tcPr>
            <w:tcW w:w="1379" w:type="dxa"/>
            <w:tcBorders>
              <w:left w:val="double" w:sz="4" w:space="0" w:color="auto"/>
            </w:tcBorders>
            <w:vAlign w:val="center"/>
          </w:tcPr>
          <w:p w14:paraId="4E5E0949" w14:textId="77777777" w:rsidR="00762947" w:rsidRPr="00762947" w:rsidRDefault="00762947" w:rsidP="00762947">
            <w:pPr>
              <w:jc w:val="center"/>
              <w:rPr>
                <w:sz w:val="20"/>
                <w:szCs w:val="20"/>
              </w:rPr>
            </w:pPr>
            <w:r w:rsidRPr="00762947">
              <w:rPr>
                <w:sz w:val="20"/>
                <w:szCs w:val="20"/>
              </w:rPr>
              <w:t xml:space="preserve">0.68 </w:t>
            </w:r>
            <w:r w:rsidRPr="00762947">
              <w:rPr>
                <w:i/>
                <w:iCs/>
                <w:sz w:val="20"/>
                <w:szCs w:val="20"/>
              </w:rPr>
              <w:t>(1.70)</w:t>
            </w:r>
          </w:p>
        </w:tc>
        <w:tc>
          <w:tcPr>
            <w:tcW w:w="1318" w:type="dxa"/>
            <w:vAlign w:val="center"/>
          </w:tcPr>
          <w:p w14:paraId="089705C5"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24C51EA6"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3935961B" w14:textId="77777777" w:rsidR="00762947" w:rsidRPr="00762947" w:rsidRDefault="00762947" w:rsidP="00762947">
            <w:pPr>
              <w:jc w:val="center"/>
              <w:rPr>
                <w:sz w:val="20"/>
                <w:szCs w:val="20"/>
              </w:rPr>
            </w:pPr>
            <w:r w:rsidRPr="00762947">
              <w:rPr>
                <w:sz w:val="20"/>
                <w:szCs w:val="20"/>
              </w:rPr>
              <w:t xml:space="preserve">1.84 </w:t>
            </w:r>
            <w:r w:rsidRPr="00762947">
              <w:rPr>
                <w:i/>
                <w:iCs/>
                <w:sz w:val="20"/>
                <w:szCs w:val="20"/>
              </w:rPr>
              <w:t>(1.22)</w:t>
            </w:r>
          </w:p>
        </w:tc>
        <w:tc>
          <w:tcPr>
            <w:tcW w:w="1373" w:type="dxa"/>
            <w:vAlign w:val="center"/>
          </w:tcPr>
          <w:p w14:paraId="57CC4E71"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53EA2D93"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59E34927" w14:textId="77777777" w:rsidR="00762947" w:rsidRPr="00762947" w:rsidRDefault="00762947" w:rsidP="00762947">
            <w:pPr>
              <w:jc w:val="center"/>
              <w:rPr>
                <w:sz w:val="20"/>
                <w:szCs w:val="20"/>
              </w:rPr>
            </w:pPr>
            <w:r w:rsidRPr="00762947">
              <w:rPr>
                <w:sz w:val="20"/>
                <w:szCs w:val="20"/>
              </w:rPr>
              <w:t>--</w:t>
            </w:r>
          </w:p>
        </w:tc>
      </w:tr>
      <w:tr w:rsidR="00762947" w:rsidRPr="00762947" w14:paraId="4AD9387D" w14:textId="77777777" w:rsidTr="000723CB">
        <w:trPr>
          <w:trHeight w:val="20"/>
        </w:trPr>
        <w:tc>
          <w:tcPr>
            <w:tcW w:w="3671" w:type="dxa"/>
            <w:tcBorders>
              <w:left w:val="single" w:sz="12" w:space="0" w:color="auto"/>
              <w:right w:val="double" w:sz="4" w:space="0" w:color="auto"/>
            </w:tcBorders>
          </w:tcPr>
          <w:p w14:paraId="0E3B5DCD" w14:textId="77777777" w:rsidR="00762947" w:rsidRPr="00762947" w:rsidRDefault="00762947" w:rsidP="00762947">
            <w:pPr>
              <w:ind w:firstLine="166"/>
              <w:rPr>
                <w:sz w:val="20"/>
                <w:szCs w:val="20"/>
              </w:rPr>
            </w:pPr>
            <w:r w:rsidRPr="00762947">
              <w:rPr>
                <w:sz w:val="20"/>
                <w:szCs w:val="20"/>
              </w:rPr>
              <w:t>Income less than $25K to $50K</w:t>
            </w:r>
          </w:p>
        </w:tc>
        <w:tc>
          <w:tcPr>
            <w:tcW w:w="1379" w:type="dxa"/>
            <w:tcBorders>
              <w:left w:val="double" w:sz="4" w:space="0" w:color="auto"/>
            </w:tcBorders>
            <w:vAlign w:val="center"/>
          </w:tcPr>
          <w:p w14:paraId="168A272A" w14:textId="77777777" w:rsidR="00762947" w:rsidRPr="00762947" w:rsidRDefault="00762947" w:rsidP="00762947">
            <w:pPr>
              <w:jc w:val="center"/>
              <w:rPr>
                <w:sz w:val="20"/>
                <w:szCs w:val="20"/>
              </w:rPr>
            </w:pPr>
            <w:r w:rsidRPr="00762947">
              <w:rPr>
                <w:sz w:val="20"/>
                <w:szCs w:val="20"/>
              </w:rPr>
              <w:t xml:space="preserve">0.73 </w:t>
            </w:r>
            <w:r w:rsidRPr="00762947">
              <w:rPr>
                <w:i/>
                <w:iCs/>
                <w:sz w:val="20"/>
                <w:szCs w:val="20"/>
              </w:rPr>
              <w:t>(2.92)</w:t>
            </w:r>
          </w:p>
        </w:tc>
        <w:tc>
          <w:tcPr>
            <w:tcW w:w="1318" w:type="dxa"/>
            <w:vAlign w:val="center"/>
          </w:tcPr>
          <w:p w14:paraId="4D0D37BF" w14:textId="77777777" w:rsidR="00762947" w:rsidRPr="00762947" w:rsidRDefault="00762947" w:rsidP="00762947">
            <w:pPr>
              <w:jc w:val="center"/>
              <w:rPr>
                <w:sz w:val="20"/>
                <w:szCs w:val="20"/>
              </w:rPr>
            </w:pPr>
            <w:r w:rsidRPr="00762947">
              <w:rPr>
                <w:sz w:val="20"/>
                <w:szCs w:val="20"/>
              </w:rPr>
              <w:t xml:space="preserve">1.69 </w:t>
            </w:r>
            <w:r w:rsidRPr="00762947">
              <w:rPr>
                <w:i/>
                <w:iCs/>
                <w:sz w:val="20"/>
                <w:szCs w:val="20"/>
              </w:rPr>
              <w:t>(1.93)</w:t>
            </w:r>
          </w:p>
        </w:tc>
        <w:tc>
          <w:tcPr>
            <w:tcW w:w="1272" w:type="dxa"/>
            <w:vAlign w:val="center"/>
          </w:tcPr>
          <w:p w14:paraId="0F206ACA"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69AD7709" w14:textId="77777777" w:rsidR="00762947" w:rsidRPr="00762947" w:rsidRDefault="00762947" w:rsidP="00762947">
            <w:pPr>
              <w:jc w:val="center"/>
              <w:rPr>
                <w:sz w:val="20"/>
                <w:szCs w:val="20"/>
              </w:rPr>
            </w:pPr>
            <w:r w:rsidRPr="00762947">
              <w:rPr>
                <w:sz w:val="20"/>
                <w:szCs w:val="20"/>
              </w:rPr>
              <w:t xml:space="preserve">1.65 </w:t>
            </w:r>
            <w:r w:rsidRPr="00762947">
              <w:rPr>
                <w:i/>
                <w:iCs/>
                <w:sz w:val="20"/>
                <w:szCs w:val="20"/>
              </w:rPr>
              <w:t>(3.51)</w:t>
            </w:r>
          </w:p>
        </w:tc>
        <w:tc>
          <w:tcPr>
            <w:tcW w:w="1373" w:type="dxa"/>
            <w:vAlign w:val="center"/>
          </w:tcPr>
          <w:p w14:paraId="3EBC8231"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60DB572F"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59AC878E" w14:textId="77777777" w:rsidR="00762947" w:rsidRPr="00762947" w:rsidRDefault="00762947" w:rsidP="00762947">
            <w:pPr>
              <w:jc w:val="center"/>
              <w:rPr>
                <w:sz w:val="20"/>
                <w:szCs w:val="20"/>
              </w:rPr>
            </w:pPr>
            <w:r w:rsidRPr="00762947">
              <w:rPr>
                <w:sz w:val="20"/>
                <w:szCs w:val="20"/>
              </w:rPr>
              <w:t>--</w:t>
            </w:r>
          </w:p>
        </w:tc>
      </w:tr>
      <w:tr w:rsidR="00762947" w:rsidRPr="00762947" w14:paraId="39345671" w14:textId="77777777" w:rsidTr="000723CB">
        <w:trPr>
          <w:trHeight w:val="20"/>
        </w:trPr>
        <w:tc>
          <w:tcPr>
            <w:tcW w:w="3671" w:type="dxa"/>
            <w:tcBorders>
              <w:left w:val="single" w:sz="12" w:space="0" w:color="auto"/>
              <w:right w:val="double" w:sz="4" w:space="0" w:color="auto"/>
            </w:tcBorders>
          </w:tcPr>
          <w:p w14:paraId="0A58EE74" w14:textId="77777777" w:rsidR="00762947" w:rsidRPr="00762947" w:rsidRDefault="00762947" w:rsidP="00762947">
            <w:pPr>
              <w:ind w:firstLine="166"/>
              <w:rPr>
                <w:sz w:val="20"/>
                <w:szCs w:val="20"/>
              </w:rPr>
            </w:pPr>
            <w:r w:rsidRPr="00762947">
              <w:rPr>
                <w:sz w:val="20"/>
                <w:szCs w:val="20"/>
              </w:rPr>
              <w:t>Income less than $50K to $100K</w:t>
            </w:r>
          </w:p>
        </w:tc>
        <w:tc>
          <w:tcPr>
            <w:tcW w:w="1379" w:type="dxa"/>
            <w:tcBorders>
              <w:left w:val="double" w:sz="4" w:space="0" w:color="auto"/>
            </w:tcBorders>
            <w:vAlign w:val="center"/>
          </w:tcPr>
          <w:p w14:paraId="10C07FDB" w14:textId="77777777" w:rsidR="00762947" w:rsidRPr="00762947" w:rsidRDefault="00762947" w:rsidP="00762947">
            <w:pPr>
              <w:jc w:val="center"/>
              <w:rPr>
                <w:sz w:val="20"/>
                <w:szCs w:val="20"/>
              </w:rPr>
            </w:pPr>
            <w:r w:rsidRPr="00762947">
              <w:rPr>
                <w:sz w:val="20"/>
                <w:szCs w:val="20"/>
              </w:rPr>
              <w:t xml:space="preserve">0.57 </w:t>
            </w:r>
            <w:r w:rsidRPr="00762947">
              <w:rPr>
                <w:i/>
                <w:iCs/>
                <w:sz w:val="20"/>
                <w:szCs w:val="20"/>
              </w:rPr>
              <w:t>(3.71)</w:t>
            </w:r>
          </w:p>
        </w:tc>
        <w:tc>
          <w:tcPr>
            <w:tcW w:w="1318" w:type="dxa"/>
            <w:vAlign w:val="center"/>
          </w:tcPr>
          <w:p w14:paraId="43F5B260" w14:textId="77777777" w:rsidR="00762947" w:rsidRPr="00762947" w:rsidRDefault="00762947" w:rsidP="00762947">
            <w:pPr>
              <w:jc w:val="center"/>
              <w:rPr>
                <w:sz w:val="20"/>
                <w:szCs w:val="20"/>
              </w:rPr>
            </w:pPr>
            <w:r w:rsidRPr="00762947">
              <w:rPr>
                <w:sz w:val="20"/>
                <w:szCs w:val="20"/>
              </w:rPr>
              <w:t xml:space="preserve">1.63 </w:t>
            </w:r>
            <w:r w:rsidRPr="00762947">
              <w:rPr>
                <w:i/>
                <w:iCs/>
                <w:sz w:val="20"/>
                <w:szCs w:val="20"/>
              </w:rPr>
              <w:t>(2.89)</w:t>
            </w:r>
          </w:p>
        </w:tc>
        <w:tc>
          <w:tcPr>
            <w:tcW w:w="1272" w:type="dxa"/>
            <w:vAlign w:val="center"/>
          </w:tcPr>
          <w:p w14:paraId="43C8E118"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0C7035DB" w14:textId="77777777" w:rsidR="00762947" w:rsidRPr="00762947" w:rsidRDefault="00762947" w:rsidP="00762947">
            <w:pPr>
              <w:jc w:val="center"/>
              <w:rPr>
                <w:sz w:val="20"/>
                <w:szCs w:val="20"/>
              </w:rPr>
            </w:pPr>
            <w:r w:rsidRPr="00762947">
              <w:rPr>
                <w:sz w:val="20"/>
                <w:szCs w:val="20"/>
              </w:rPr>
              <w:t xml:space="preserve">0.62 </w:t>
            </w:r>
            <w:r w:rsidRPr="00762947">
              <w:rPr>
                <w:i/>
                <w:iCs/>
                <w:sz w:val="20"/>
                <w:szCs w:val="20"/>
              </w:rPr>
              <w:t>(3.94)</w:t>
            </w:r>
          </w:p>
        </w:tc>
        <w:tc>
          <w:tcPr>
            <w:tcW w:w="1373" w:type="dxa"/>
            <w:vAlign w:val="center"/>
          </w:tcPr>
          <w:p w14:paraId="47CEC7C2"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62D235F7"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356D326D" w14:textId="77777777" w:rsidR="00762947" w:rsidRPr="00762947" w:rsidRDefault="00762947" w:rsidP="00762947">
            <w:pPr>
              <w:jc w:val="center"/>
              <w:rPr>
                <w:sz w:val="20"/>
                <w:szCs w:val="20"/>
              </w:rPr>
            </w:pPr>
            <w:r w:rsidRPr="00762947">
              <w:rPr>
                <w:sz w:val="20"/>
                <w:szCs w:val="20"/>
              </w:rPr>
              <w:t>--</w:t>
            </w:r>
          </w:p>
        </w:tc>
      </w:tr>
      <w:tr w:rsidR="00762947" w:rsidRPr="00762947" w14:paraId="73408D58" w14:textId="77777777" w:rsidTr="000723CB">
        <w:trPr>
          <w:trHeight w:val="20"/>
        </w:trPr>
        <w:tc>
          <w:tcPr>
            <w:tcW w:w="3671" w:type="dxa"/>
            <w:tcBorders>
              <w:left w:val="single" w:sz="12" w:space="0" w:color="auto"/>
              <w:right w:val="double" w:sz="4" w:space="0" w:color="auto"/>
            </w:tcBorders>
          </w:tcPr>
          <w:p w14:paraId="27E4F489" w14:textId="77777777" w:rsidR="00762947" w:rsidRPr="00762947" w:rsidRDefault="00762947" w:rsidP="00762947">
            <w:pPr>
              <w:ind w:firstLine="166"/>
              <w:rPr>
                <w:sz w:val="20"/>
                <w:szCs w:val="20"/>
              </w:rPr>
            </w:pPr>
            <w:r w:rsidRPr="00762947">
              <w:rPr>
                <w:sz w:val="20"/>
                <w:szCs w:val="20"/>
              </w:rPr>
              <w:t>Income between $100K to $200K</w:t>
            </w:r>
          </w:p>
        </w:tc>
        <w:tc>
          <w:tcPr>
            <w:tcW w:w="1379" w:type="dxa"/>
            <w:tcBorders>
              <w:left w:val="double" w:sz="4" w:space="0" w:color="auto"/>
            </w:tcBorders>
            <w:vAlign w:val="center"/>
          </w:tcPr>
          <w:p w14:paraId="1585EA30"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4D75F2AD" w14:textId="77777777" w:rsidR="00762947" w:rsidRPr="00762947" w:rsidRDefault="00762947" w:rsidP="00762947">
            <w:pPr>
              <w:jc w:val="center"/>
              <w:rPr>
                <w:sz w:val="20"/>
                <w:szCs w:val="20"/>
              </w:rPr>
            </w:pPr>
            <w:r w:rsidRPr="00762947">
              <w:rPr>
                <w:sz w:val="20"/>
                <w:szCs w:val="20"/>
              </w:rPr>
              <w:t xml:space="preserve">1.53 </w:t>
            </w:r>
            <w:r w:rsidRPr="00762947">
              <w:rPr>
                <w:i/>
                <w:iCs/>
                <w:sz w:val="20"/>
                <w:szCs w:val="20"/>
              </w:rPr>
              <w:t>(2.77)</w:t>
            </w:r>
          </w:p>
        </w:tc>
        <w:tc>
          <w:tcPr>
            <w:tcW w:w="1272" w:type="dxa"/>
            <w:vAlign w:val="center"/>
          </w:tcPr>
          <w:p w14:paraId="40EBBC60"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2EA68D70"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468CBE01"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20620EAC"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6CD99BF2" w14:textId="77777777" w:rsidR="00762947" w:rsidRPr="00762947" w:rsidRDefault="00762947" w:rsidP="00762947">
            <w:pPr>
              <w:jc w:val="center"/>
              <w:rPr>
                <w:sz w:val="20"/>
                <w:szCs w:val="20"/>
              </w:rPr>
            </w:pPr>
            <w:r w:rsidRPr="00762947">
              <w:rPr>
                <w:sz w:val="20"/>
                <w:szCs w:val="20"/>
              </w:rPr>
              <w:t>--</w:t>
            </w:r>
          </w:p>
        </w:tc>
      </w:tr>
      <w:tr w:rsidR="00762947" w:rsidRPr="00762947" w14:paraId="5576F23C" w14:textId="77777777" w:rsidTr="000723CB">
        <w:trPr>
          <w:trHeight w:val="20"/>
        </w:trPr>
        <w:tc>
          <w:tcPr>
            <w:tcW w:w="3671" w:type="dxa"/>
            <w:tcBorders>
              <w:left w:val="single" w:sz="12" w:space="0" w:color="auto"/>
              <w:right w:val="double" w:sz="4" w:space="0" w:color="auto"/>
            </w:tcBorders>
          </w:tcPr>
          <w:p w14:paraId="0E7B61AE" w14:textId="77777777" w:rsidR="00762947" w:rsidRPr="00762947" w:rsidRDefault="00762947" w:rsidP="00762947">
            <w:pPr>
              <w:rPr>
                <w:sz w:val="20"/>
                <w:szCs w:val="20"/>
              </w:rPr>
            </w:pPr>
            <w:r w:rsidRPr="00762947">
              <w:rPr>
                <w:i/>
                <w:iCs/>
                <w:sz w:val="20"/>
                <w:szCs w:val="20"/>
                <w:u w:val="single"/>
              </w:rPr>
              <w:t>Household composition</w:t>
            </w:r>
          </w:p>
        </w:tc>
        <w:tc>
          <w:tcPr>
            <w:tcW w:w="1379" w:type="dxa"/>
            <w:tcBorders>
              <w:left w:val="double" w:sz="4" w:space="0" w:color="auto"/>
            </w:tcBorders>
            <w:vAlign w:val="center"/>
          </w:tcPr>
          <w:p w14:paraId="2E5F1BAA" w14:textId="77777777" w:rsidR="00762947" w:rsidRPr="00762947" w:rsidRDefault="00762947" w:rsidP="00762947">
            <w:pPr>
              <w:jc w:val="center"/>
              <w:rPr>
                <w:sz w:val="20"/>
                <w:szCs w:val="20"/>
              </w:rPr>
            </w:pPr>
          </w:p>
        </w:tc>
        <w:tc>
          <w:tcPr>
            <w:tcW w:w="1318" w:type="dxa"/>
            <w:vAlign w:val="center"/>
          </w:tcPr>
          <w:p w14:paraId="11B51F3A" w14:textId="77777777" w:rsidR="00762947" w:rsidRPr="00762947" w:rsidRDefault="00762947" w:rsidP="00762947">
            <w:pPr>
              <w:jc w:val="center"/>
              <w:rPr>
                <w:sz w:val="20"/>
                <w:szCs w:val="20"/>
              </w:rPr>
            </w:pPr>
          </w:p>
        </w:tc>
        <w:tc>
          <w:tcPr>
            <w:tcW w:w="1272" w:type="dxa"/>
            <w:vAlign w:val="center"/>
          </w:tcPr>
          <w:p w14:paraId="6C7BBF12" w14:textId="77777777" w:rsidR="00762947" w:rsidRPr="00762947" w:rsidRDefault="00762947" w:rsidP="00762947">
            <w:pPr>
              <w:jc w:val="center"/>
              <w:rPr>
                <w:sz w:val="20"/>
                <w:szCs w:val="20"/>
              </w:rPr>
            </w:pPr>
          </w:p>
        </w:tc>
        <w:tc>
          <w:tcPr>
            <w:tcW w:w="1394" w:type="dxa"/>
            <w:vAlign w:val="center"/>
          </w:tcPr>
          <w:p w14:paraId="625E0EEC" w14:textId="77777777" w:rsidR="00762947" w:rsidRPr="00762947" w:rsidRDefault="00762947" w:rsidP="00762947">
            <w:pPr>
              <w:jc w:val="center"/>
              <w:rPr>
                <w:sz w:val="20"/>
                <w:szCs w:val="20"/>
              </w:rPr>
            </w:pPr>
          </w:p>
        </w:tc>
        <w:tc>
          <w:tcPr>
            <w:tcW w:w="1373" w:type="dxa"/>
            <w:vAlign w:val="center"/>
          </w:tcPr>
          <w:p w14:paraId="4D6F5777" w14:textId="77777777" w:rsidR="00762947" w:rsidRPr="00762947" w:rsidRDefault="00762947" w:rsidP="00762947">
            <w:pPr>
              <w:jc w:val="center"/>
              <w:rPr>
                <w:sz w:val="20"/>
                <w:szCs w:val="20"/>
              </w:rPr>
            </w:pPr>
          </w:p>
        </w:tc>
        <w:tc>
          <w:tcPr>
            <w:tcW w:w="1295" w:type="dxa"/>
            <w:vAlign w:val="center"/>
          </w:tcPr>
          <w:p w14:paraId="437B4101"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6A7995DB" w14:textId="77777777" w:rsidR="00762947" w:rsidRPr="00762947" w:rsidRDefault="00762947" w:rsidP="00762947">
            <w:pPr>
              <w:jc w:val="center"/>
              <w:rPr>
                <w:sz w:val="20"/>
                <w:szCs w:val="20"/>
              </w:rPr>
            </w:pPr>
          </w:p>
        </w:tc>
      </w:tr>
      <w:tr w:rsidR="00762947" w:rsidRPr="00762947" w14:paraId="79F50E8F" w14:textId="77777777" w:rsidTr="000723CB">
        <w:trPr>
          <w:trHeight w:val="20"/>
        </w:trPr>
        <w:tc>
          <w:tcPr>
            <w:tcW w:w="3671" w:type="dxa"/>
            <w:tcBorders>
              <w:left w:val="single" w:sz="12" w:space="0" w:color="auto"/>
              <w:right w:val="double" w:sz="4" w:space="0" w:color="auto"/>
            </w:tcBorders>
          </w:tcPr>
          <w:p w14:paraId="4F37D56B" w14:textId="77777777" w:rsidR="00762947" w:rsidRPr="00762947" w:rsidRDefault="00762947" w:rsidP="00762947">
            <w:pPr>
              <w:ind w:firstLine="166"/>
              <w:rPr>
                <w:sz w:val="20"/>
                <w:szCs w:val="20"/>
              </w:rPr>
            </w:pPr>
            <w:r w:rsidRPr="00762947">
              <w:rPr>
                <w:sz w:val="20"/>
                <w:szCs w:val="20"/>
              </w:rPr>
              <w:t>Presence employed individuals</w:t>
            </w:r>
          </w:p>
        </w:tc>
        <w:tc>
          <w:tcPr>
            <w:tcW w:w="1379" w:type="dxa"/>
            <w:tcBorders>
              <w:left w:val="double" w:sz="4" w:space="0" w:color="auto"/>
            </w:tcBorders>
            <w:vAlign w:val="center"/>
          </w:tcPr>
          <w:p w14:paraId="2C0339BF" w14:textId="77777777" w:rsidR="00762947" w:rsidRPr="00762947" w:rsidRDefault="00762947" w:rsidP="00762947">
            <w:pPr>
              <w:jc w:val="center"/>
              <w:rPr>
                <w:sz w:val="20"/>
                <w:szCs w:val="20"/>
              </w:rPr>
            </w:pPr>
            <w:r w:rsidRPr="00762947">
              <w:rPr>
                <w:sz w:val="20"/>
                <w:szCs w:val="20"/>
              </w:rPr>
              <w:t>--</w:t>
            </w:r>
          </w:p>
        </w:tc>
        <w:tc>
          <w:tcPr>
            <w:tcW w:w="1318" w:type="dxa"/>
            <w:vAlign w:val="center"/>
          </w:tcPr>
          <w:p w14:paraId="12CB1FFE"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15971151"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5F80132F" w14:textId="77777777" w:rsidR="00762947" w:rsidRPr="00762947" w:rsidRDefault="00762947" w:rsidP="00762947">
            <w:pPr>
              <w:jc w:val="center"/>
              <w:rPr>
                <w:sz w:val="20"/>
                <w:szCs w:val="20"/>
              </w:rPr>
            </w:pPr>
            <w:r w:rsidRPr="00762947">
              <w:rPr>
                <w:sz w:val="20"/>
                <w:szCs w:val="20"/>
              </w:rPr>
              <w:t xml:space="preserve">-0.47 </w:t>
            </w:r>
            <w:r w:rsidRPr="00762947">
              <w:rPr>
                <w:i/>
                <w:iCs/>
                <w:sz w:val="20"/>
                <w:szCs w:val="20"/>
              </w:rPr>
              <w:t>(-2.81)</w:t>
            </w:r>
          </w:p>
        </w:tc>
        <w:tc>
          <w:tcPr>
            <w:tcW w:w="1373" w:type="dxa"/>
            <w:vAlign w:val="center"/>
          </w:tcPr>
          <w:p w14:paraId="4F6CEC35"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20AE89F1" w14:textId="77777777" w:rsidR="00762947" w:rsidRPr="00762947" w:rsidRDefault="00762947" w:rsidP="00762947">
            <w:pPr>
              <w:jc w:val="center"/>
              <w:rPr>
                <w:sz w:val="20"/>
                <w:szCs w:val="20"/>
              </w:rPr>
            </w:pPr>
            <w:r w:rsidRPr="00762947">
              <w:rPr>
                <w:sz w:val="20"/>
                <w:szCs w:val="20"/>
              </w:rPr>
              <w:t xml:space="preserve">-1.17 </w:t>
            </w:r>
            <w:r w:rsidRPr="00762947">
              <w:rPr>
                <w:i/>
                <w:iCs/>
                <w:sz w:val="20"/>
                <w:szCs w:val="20"/>
              </w:rPr>
              <w:t>(-2.01)</w:t>
            </w:r>
          </w:p>
        </w:tc>
        <w:tc>
          <w:tcPr>
            <w:tcW w:w="1466" w:type="dxa"/>
            <w:tcBorders>
              <w:right w:val="single" w:sz="12" w:space="0" w:color="auto"/>
            </w:tcBorders>
            <w:vAlign w:val="center"/>
          </w:tcPr>
          <w:p w14:paraId="62EEB079" w14:textId="77777777" w:rsidR="00762947" w:rsidRPr="00762947" w:rsidRDefault="00762947" w:rsidP="00762947">
            <w:pPr>
              <w:jc w:val="center"/>
              <w:rPr>
                <w:sz w:val="20"/>
                <w:szCs w:val="20"/>
              </w:rPr>
            </w:pPr>
            <w:r w:rsidRPr="00762947">
              <w:rPr>
                <w:sz w:val="20"/>
                <w:szCs w:val="20"/>
              </w:rPr>
              <w:t>--</w:t>
            </w:r>
          </w:p>
        </w:tc>
      </w:tr>
      <w:tr w:rsidR="00762947" w:rsidRPr="00762947" w14:paraId="289D6518" w14:textId="77777777" w:rsidTr="000723CB">
        <w:trPr>
          <w:trHeight w:val="20"/>
        </w:trPr>
        <w:tc>
          <w:tcPr>
            <w:tcW w:w="3671" w:type="dxa"/>
            <w:tcBorders>
              <w:left w:val="single" w:sz="12" w:space="0" w:color="auto"/>
              <w:right w:val="double" w:sz="4" w:space="0" w:color="auto"/>
            </w:tcBorders>
          </w:tcPr>
          <w:p w14:paraId="493C86C6" w14:textId="77777777" w:rsidR="00762947" w:rsidRPr="00762947" w:rsidRDefault="00762947" w:rsidP="00762947">
            <w:pPr>
              <w:rPr>
                <w:i/>
                <w:iCs/>
                <w:sz w:val="20"/>
                <w:szCs w:val="20"/>
                <w:u w:val="single"/>
              </w:rPr>
            </w:pPr>
            <w:r w:rsidRPr="00762947">
              <w:rPr>
                <w:i/>
                <w:iCs/>
                <w:sz w:val="20"/>
                <w:szCs w:val="20"/>
                <w:u w:val="single"/>
              </w:rPr>
              <w:t>Regional attributes</w:t>
            </w:r>
          </w:p>
        </w:tc>
        <w:tc>
          <w:tcPr>
            <w:tcW w:w="1379" w:type="dxa"/>
            <w:tcBorders>
              <w:left w:val="double" w:sz="4" w:space="0" w:color="auto"/>
            </w:tcBorders>
            <w:vAlign w:val="center"/>
          </w:tcPr>
          <w:p w14:paraId="320B3977" w14:textId="77777777" w:rsidR="00762947" w:rsidRPr="00762947" w:rsidRDefault="00762947" w:rsidP="00762947">
            <w:pPr>
              <w:jc w:val="center"/>
              <w:rPr>
                <w:sz w:val="20"/>
                <w:szCs w:val="20"/>
              </w:rPr>
            </w:pPr>
          </w:p>
        </w:tc>
        <w:tc>
          <w:tcPr>
            <w:tcW w:w="1318" w:type="dxa"/>
            <w:vAlign w:val="center"/>
          </w:tcPr>
          <w:p w14:paraId="73A85468" w14:textId="77777777" w:rsidR="00762947" w:rsidRPr="00762947" w:rsidRDefault="00762947" w:rsidP="00762947">
            <w:pPr>
              <w:jc w:val="center"/>
              <w:rPr>
                <w:sz w:val="20"/>
                <w:szCs w:val="20"/>
              </w:rPr>
            </w:pPr>
          </w:p>
        </w:tc>
        <w:tc>
          <w:tcPr>
            <w:tcW w:w="1272" w:type="dxa"/>
            <w:vAlign w:val="center"/>
          </w:tcPr>
          <w:p w14:paraId="1BBB133E" w14:textId="77777777" w:rsidR="00762947" w:rsidRPr="00762947" w:rsidRDefault="00762947" w:rsidP="00762947">
            <w:pPr>
              <w:jc w:val="center"/>
              <w:rPr>
                <w:sz w:val="20"/>
                <w:szCs w:val="20"/>
              </w:rPr>
            </w:pPr>
          </w:p>
        </w:tc>
        <w:tc>
          <w:tcPr>
            <w:tcW w:w="1394" w:type="dxa"/>
            <w:vAlign w:val="center"/>
          </w:tcPr>
          <w:p w14:paraId="72DDF5EE" w14:textId="77777777" w:rsidR="00762947" w:rsidRPr="00762947" w:rsidRDefault="00762947" w:rsidP="00762947">
            <w:pPr>
              <w:jc w:val="center"/>
              <w:rPr>
                <w:sz w:val="20"/>
                <w:szCs w:val="20"/>
              </w:rPr>
            </w:pPr>
          </w:p>
        </w:tc>
        <w:tc>
          <w:tcPr>
            <w:tcW w:w="1373" w:type="dxa"/>
            <w:vAlign w:val="center"/>
          </w:tcPr>
          <w:p w14:paraId="4830A572" w14:textId="77777777" w:rsidR="00762947" w:rsidRPr="00762947" w:rsidRDefault="00762947" w:rsidP="00762947">
            <w:pPr>
              <w:jc w:val="center"/>
              <w:rPr>
                <w:sz w:val="20"/>
                <w:szCs w:val="20"/>
              </w:rPr>
            </w:pPr>
          </w:p>
        </w:tc>
        <w:tc>
          <w:tcPr>
            <w:tcW w:w="1295" w:type="dxa"/>
            <w:vAlign w:val="center"/>
          </w:tcPr>
          <w:p w14:paraId="0D47D52B" w14:textId="77777777" w:rsidR="00762947" w:rsidRPr="00762947" w:rsidRDefault="00762947" w:rsidP="00762947">
            <w:pPr>
              <w:jc w:val="center"/>
              <w:rPr>
                <w:sz w:val="20"/>
                <w:szCs w:val="20"/>
              </w:rPr>
            </w:pPr>
          </w:p>
        </w:tc>
        <w:tc>
          <w:tcPr>
            <w:tcW w:w="1466" w:type="dxa"/>
            <w:tcBorders>
              <w:right w:val="single" w:sz="12" w:space="0" w:color="auto"/>
            </w:tcBorders>
            <w:vAlign w:val="center"/>
          </w:tcPr>
          <w:p w14:paraId="17C9826E" w14:textId="77777777" w:rsidR="00762947" w:rsidRPr="00762947" w:rsidRDefault="00762947" w:rsidP="00762947">
            <w:pPr>
              <w:jc w:val="center"/>
              <w:rPr>
                <w:sz w:val="20"/>
                <w:szCs w:val="20"/>
              </w:rPr>
            </w:pPr>
          </w:p>
        </w:tc>
      </w:tr>
      <w:tr w:rsidR="00762947" w:rsidRPr="00762947" w14:paraId="6598FCCA" w14:textId="77777777" w:rsidTr="000723CB">
        <w:trPr>
          <w:trHeight w:val="20"/>
        </w:trPr>
        <w:tc>
          <w:tcPr>
            <w:tcW w:w="3671" w:type="dxa"/>
            <w:tcBorders>
              <w:left w:val="single" w:sz="12" w:space="0" w:color="auto"/>
              <w:right w:val="double" w:sz="4" w:space="0" w:color="auto"/>
            </w:tcBorders>
          </w:tcPr>
          <w:p w14:paraId="393C06DC" w14:textId="77777777" w:rsidR="00762947" w:rsidRPr="00762947" w:rsidRDefault="00762947" w:rsidP="00762947">
            <w:pPr>
              <w:ind w:firstLine="164"/>
              <w:rPr>
                <w:sz w:val="20"/>
                <w:szCs w:val="20"/>
              </w:rPr>
            </w:pPr>
            <w:r w:rsidRPr="00762947">
              <w:rPr>
                <w:sz w:val="20"/>
                <w:szCs w:val="20"/>
              </w:rPr>
              <w:t>Employment density</w:t>
            </w:r>
          </w:p>
        </w:tc>
        <w:tc>
          <w:tcPr>
            <w:tcW w:w="1379" w:type="dxa"/>
            <w:tcBorders>
              <w:left w:val="double" w:sz="4" w:space="0" w:color="auto"/>
            </w:tcBorders>
            <w:vAlign w:val="center"/>
          </w:tcPr>
          <w:p w14:paraId="4EE00827" w14:textId="77777777" w:rsidR="00762947" w:rsidRPr="00762947" w:rsidRDefault="00762947" w:rsidP="00762947">
            <w:pPr>
              <w:jc w:val="center"/>
              <w:rPr>
                <w:sz w:val="20"/>
                <w:szCs w:val="20"/>
              </w:rPr>
            </w:pPr>
          </w:p>
        </w:tc>
        <w:tc>
          <w:tcPr>
            <w:tcW w:w="1318" w:type="dxa"/>
            <w:vAlign w:val="center"/>
          </w:tcPr>
          <w:p w14:paraId="03A59F08" w14:textId="77777777" w:rsidR="00762947" w:rsidRPr="00762947" w:rsidRDefault="00762947" w:rsidP="00762947">
            <w:pPr>
              <w:jc w:val="center"/>
              <w:rPr>
                <w:sz w:val="20"/>
                <w:szCs w:val="20"/>
              </w:rPr>
            </w:pPr>
            <w:r w:rsidRPr="00762947">
              <w:rPr>
                <w:sz w:val="20"/>
                <w:szCs w:val="20"/>
              </w:rPr>
              <w:t>--</w:t>
            </w:r>
          </w:p>
        </w:tc>
        <w:tc>
          <w:tcPr>
            <w:tcW w:w="1272" w:type="dxa"/>
            <w:vAlign w:val="center"/>
          </w:tcPr>
          <w:p w14:paraId="03D2A7BD" w14:textId="77777777" w:rsidR="00762947" w:rsidRPr="00762947" w:rsidRDefault="00762947" w:rsidP="00762947">
            <w:pPr>
              <w:jc w:val="center"/>
              <w:rPr>
                <w:sz w:val="20"/>
                <w:szCs w:val="20"/>
              </w:rPr>
            </w:pPr>
            <w:r w:rsidRPr="00762947">
              <w:rPr>
                <w:sz w:val="20"/>
                <w:szCs w:val="20"/>
              </w:rPr>
              <w:t>--</w:t>
            </w:r>
          </w:p>
        </w:tc>
        <w:tc>
          <w:tcPr>
            <w:tcW w:w="1394" w:type="dxa"/>
            <w:vAlign w:val="center"/>
          </w:tcPr>
          <w:p w14:paraId="4379A91E" w14:textId="77777777" w:rsidR="00762947" w:rsidRPr="00762947" w:rsidRDefault="00762947" w:rsidP="00762947">
            <w:pPr>
              <w:jc w:val="center"/>
              <w:rPr>
                <w:sz w:val="20"/>
                <w:szCs w:val="20"/>
              </w:rPr>
            </w:pPr>
            <w:r w:rsidRPr="00762947">
              <w:rPr>
                <w:sz w:val="20"/>
                <w:szCs w:val="20"/>
              </w:rPr>
              <w:t>--</w:t>
            </w:r>
          </w:p>
        </w:tc>
        <w:tc>
          <w:tcPr>
            <w:tcW w:w="1373" w:type="dxa"/>
            <w:vAlign w:val="center"/>
          </w:tcPr>
          <w:p w14:paraId="2D59CB3A" w14:textId="77777777" w:rsidR="00762947" w:rsidRPr="00762947" w:rsidRDefault="00762947" w:rsidP="00762947">
            <w:pPr>
              <w:jc w:val="center"/>
              <w:rPr>
                <w:sz w:val="20"/>
                <w:szCs w:val="20"/>
              </w:rPr>
            </w:pPr>
            <w:r w:rsidRPr="00762947">
              <w:rPr>
                <w:sz w:val="20"/>
                <w:szCs w:val="20"/>
              </w:rPr>
              <w:t>--</w:t>
            </w:r>
          </w:p>
        </w:tc>
        <w:tc>
          <w:tcPr>
            <w:tcW w:w="1295" w:type="dxa"/>
            <w:vAlign w:val="center"/>
          </w:tcPr>
          <w:p w14:paraId="68D6360D" w14:textId="77777777" w:rsidR="00762947" w:rsidRPr="00762947" w:rsidRDefault="00762947" w:rsidP="00762947">
            <w:pPr>
              <w:jc w:val="center"/>
              <w:rPr>
                <w:sz w:val="20"/>
                <w:szCs w:val="20"/>
              </w:rPr>
            </w:pPr>
            <w:r w:rsidRPr="00762947">
              <w:rPr>
                <w:sz w:val="20"/>
                <w:szCs w:val="20"/>
              </w:rPr>
              <w:t>--</w:t>
            </w:r>
          </w:p>
        </w:tc>
        <w:tc>
          <w:tcPr>
            <w:tcW w:w="1466" w:type="dxa"/>
            <w:tcBorders>
              <w:right w:val="single" w:sz="12" w:space="0" w:color="auto"/>
            </w:tcBorders>
            <w:vAlign w:val="center"/>
          </w:tcPr>
          <w:p w14:paraId="7CE48396" w14:textId="77777777" w:rsidR="00762947" w:rsidRPr="00762947" w:rsidRDefault="00762947" w:rsidP="00762947">
            <w:pPr>
              <w:jc w:val="center"/>
              <w:rPr>
                <w:sz w:val="20"/>
                <w:szCs w:val="20"/>
              </w:rPr>
            </w:pPr>
            <w:r w:rsidRPr="00762947">
              <w:rPr>
                <w:sz w:val="20"/>
                <w:szCs w:val="20"/>
              </w:rPr>
              <w:t xml:space="preserve">0.31 </w:t>
            </w:r>
            <w:r w:rsidRPr="00762947">
              <w:rPr>
                <w:i/>
                <w:iCs/>
                <w:sz w:val="20"/>
                <w:szCs w:val="20"/>
              </w:rPr>
              <w:t>(1.61)</w:t>
            </w:r>
          </w:p>
        </w:tc>
      </w:tr>
      <w:tr w:rsidR="00762947" w:rsidRPr="00762947" w14:paraId="41F7CFF3" w14:textId="77777777" w:rsidTr="000723CB">
        <w:trPr>
          <w:trHeight w:val="20"/>
        </w:trPr>
        <w:tc>
          <w:tcPr>
            <w:tcW w:w="3671" w:type="dxa"/>
            <w:tcBorders>
              <w:left w:val="single" w:sz="12" w:space="0" w:color="auto"/>
              <w:bottom w:val="single" w:sz="12" w:space="0" w:color="auto"/>
              <w:right w:val="double" w:sz="4" w:space="0" w:color="auto"/>
            </w:tcBorders>
          </w:tcPr>
          <w:p w14:paraId="3926AF6B" w14:textId="77777777" w:rsidR="00762947" w:rsidRPr="00762947" w:rsidRDefault="00762947" w:rsidP="00762947">
            <w:pPr>
              <w:rPr>
                <w:sz w:val="20"/>
                <w:szCs w:val="20"/>
              </w:rPr>
            </w:pPr>
            <w:r w:rsidRPr="00762947">
              <w:rPr>
                <w:sz w:val="20"/>
                <w:szCs w:val="20"/>
              </w:rPr>
              <w:t>Constant</w:t>
            </w:r>
          </w:p>
        </w:tc>
        <w:tc>
          <w:tcPr>
            <w:tcW w:w="1379" w:type="dxa"/>
            <w:tcBorders>
              <w:left w:val="double" w:sz="4" w:space="0" w:color="auto"/>
              <w:bottom w:val="single" w:sz="12" w:space="0" w:color="auto"/>
            </w:tcBorders>
            <w:vAlign w:val="center"/>
          </w:tcPr>
          <w:p w14:paraId="1C247424" w14:textId="77777777" w:rsidR="00762947" w:rsidRPr="00762947" w:rsidRDefault="00762947" w:rsidP="00762947">
            <w:pPr>
              <w:jc w:val="center"/>
              <w:rPr>
                <w:i/>
                <w:iCs/>
                <w:sz w:val="20"/>
                <w:szCs w:val="20"/>
              </w:rPr>
            </w:pPr>
            <w:r w:rsidRPr="00762947">
              <w:rPr>
                <w:i/>
                <w:iCs/>
                <w:sz w:val="20"/>
                <w:szCs w:val="20"/>
              </w:rPr>
              <w:t>-0.02 (-0.98)</w:t>
            </w:r>
          </w:p>
        </w:tc>
        <w:tc>
          <w:tcPr>
            <w:tcW w:w="1318" w:type="dxa"/>
            <w:tcBorders>
              <w:bottom w:val="single" w:sz="12" w:space="0" w:color="auto"/>
            </w:tcBorders>
            <w:vAlign w:val="center"/>
          </w:tcPr>
          <w:p w14:paraId="3D883B81" w14:textId="77777777" w:rsidR="00762947" w:rsidRPr="00762947" w:rsidRDefault="00762947" w:rsidP="00762947">
            <w:pPr>
              <w:jc w:val="center"/>
              <w:rPr>
                <w:sz w:val="20"/>
                <w:szCs w:val="20"/>
              </w:rPr>
            </w:pPr>
            <w:r w:rsidRPr="00762947">
              <w:rPr>
                <w:sz w:val="20"/>
                <w:szCs w:val="20"/>
              </w:rPr>
              <w:t xml:space="preserve">0.44 </w:t>
            </w:r>
            <w:r w:rsidRPr="00762947">
              <w:rPr>
                <w:i/>
                <w:iCs/>
                <w:sz w:val="20"/>
                <w:szCs w:val="20"/>
              </w:rPr>
              <w:t>(1.06)</w:t>
            </w:r>
          </w:p>
        </w:tc>
        <w:tc>
          <w:tcPr>
            <w:tcW w:w="1272" w:type="dxa"/>
            <w:tcBorders>
              <w:bottom w:val="single" w:sz="12" w:space="0" w:color="auto"/>
            </w:tcBorders>
            <w:vAlign w:val="center"/>
          </w:tcPr>
          <w:p w14:paraId="2E5FA712" w14:textId="77777777" w:rsidR="00762947" w:rsidRPr="00762947" w:rsidRDefault="00762947" w:rsidP="00762947">
            <w:pPr>
              <w:jc w:val="center"/>
              <w:rPr>
                <w:sz w:val="20"/>
                <w:szCs w:val="20"/>
              </w:rPr>
            </w:pPr>
            <w:r w:rsidRPr="00762947">
              <w:rPr>
                <w:sz w:val="20"/>
                <w:szCs w:val="20"/>
              </w:rPr>
              <w:t xml:space="preserve">1.33 </w:t>
            </w:r>
            <w:r w:rsidRPr="00762947">
              <w:rPr>
                <w:i/>
                <w:iCs/>
                <w:sz w:val="20"/>
                <w:szCs w:val="20"/>
              </w:rPr>
              <w:t>(2.30)</w:t>
            </w:r>
          </w:p>
        </w:tc>
        <w:tc>
          <w:tcPr>
            <w:tcW w:w="1394" w:type="dxa"/>
            <w:tcBorders>
              <w:bottom w:val="single" w:sz="12" w:space="0" w:color="auto"/>
            </w:tcBorders>
            <w:vAlign w:val="center"/>
          </w:tcPr>
          <w:p w14:paraId="269923E6" w14:textId="77777777" w:rsidR="00762947" w:rsidRPr="00762947" w:rsidRDefault="00762947" w:rsidP="00762947">
            <w:pPr>
              <w:jc w:val="center"/>
              <w:rPr>
                <w:sz w:val="20"/>
                <w:szCs w:val="20"/>
              </w:rPr>
            </w:pPr>
            <w:r w:rsidRPr="00762947">
              <w:rPr>
                <w:sz w:val="20"/>
                <w:szCs w:val="20"/>
              </w:rPr>
              <w:t xml:space="preserve">0.24 </w:t>
            </w:r>
            <w:r w:rsidRPr="00762947">
              <w:rPr>
                <w:i/>
                <w:iCs/>
                <w:sz w:val="20"/>
                <w:szCs w:val="20"/>
              </w:rPr>
              <w:t>(0.60)</w:t>
            </w:r>
          </w:p>
        </w:tc>
        <w:tc>
          <w:tcPr>
            <w:tcW w:w="1373" w:type="dxa"/>
            <w:tcBorders>
              <w:bottom w:val="single" w:sz="12" w:space="0" w:color="auto"/>
            </w:tcBorders>
            <w:vAlign w:val="center"/>
          </w:tcPr>
          <w:p w14:paraId="5C02F789" w14:textId="77777777" w:rsidR="00762947" w:rsidRPr="00762947" w:rsidRDefault="00762947" w:rsidP="00762947">
            <w:pPr>
              <w:jc w:val="center"/>
              <w:rPr>
                <w:sz w:val="20"/>
                <w:szCs w:val="20"/>
              </w:rPr>
            </w:pPr>
            <w:r w:rsidRPr="00762947">
              <w:rPr>
                <w:sz w:val="20"/>
                <w:szCs w:val="20"/>
              </w:rPr>
              <w:t xml:space="preserve">1.97 </w:t>
            </w:r>
            <w:r w:rsidRPr="00762947">
              <w:rPr>
                <w:i/>
                <w:iCs/>
                <w:sz w:val="20"/>
                <w:szCs w:val="20"/>
              </w:rPr>
              <w:t>(3.72)</w:t>
            </w:r>
          </w:p>
        </w:tc>
        <w:tc>
          <w:tcPr>
            <w:tcW w:w="1295" w:type="dxa"/>
            <w:tcBorders>
              <w:bottom w:val="single" w:sz="12" w:space="0" w:color="auto"/>
            </w:tcBorders>
            <w:vAlign w:val="center"/>
          </w:tcPr>
          <w:p w14:paraId="78DF1975" w14:textId="77777777" w:rsidR="00762947" w:rsidRPr="00762947" w:rsidRDefault="00762947" w:rsidP="00762947">
            <w:pPr>
              <w:jc w:val="center"/>
              <w:rPr>
                <w:sz w:val="20"/>
                <w:szCs w:val="20"/>
              </w:rPr>
            </w:pPr>
            <w:r w:rsidRPr="00762947">
              <w:rPr>
                <w:sz w:val="20"/>
                <w:szCs w:val="20"/>
              </w:rPr>
              <w:t xml:space="preserve">1.81 </w:t>
            </w:r>
            <w:r w:rsidRPr="00762947">
              <w:rPr>
                <w:i/>
                <w:iCs/>
                <w:sz w:val="20"/>
                <w:szCs w:val="20"/>
              </w:rPr>
              <w:t>(2.82)</w:t>
            </w:r>
          </w:p>
        </w:tc>
        <w:tc>
          <w:tcPr>
            <w:tcW w:w="1466" w:type="dxa"/>
            <w:tcBorders>
              <w:bottom w:val="single" w:sz="12" w:space="0" w:color="auto"/>
              <w:right w:val="single" w:sz="12" w:space="0" w:color="auto"/>
            </w:tcBorders>
            <w:vAlign w:val="center"/>
          </w:tcPr>
          <w:p w14:paraId="21E0A3C7" w14:textId="77777777" w:rsidR="00762947" w:rsidRPr="00762947" w:rsidRDefault="00762947" w:rsidP="00762947">
            <w:pPr>
              <w:jc w:val="center"/>
              <w:rPr>
                <w:sz w:val="20"/>
                <w:szCs w:val="20"/>
              </w:rPr>
            </w:pPr>
            <w:r w:rsidRPr="00762947">
              <w:rPr>
                <w:sz w:val="20"/>
                <w:szCs w:val="20"/>
              </w:rPr>
              <w:t xml:space="preserve">0.14 </w:t>
            </w:r>
            <w:r w:rsidRPr="00762947">
              <w:rPr>
                <w:i/>
                <w:iCs/>
                <w:sz w:val="20"/>
                <w:szCs w:val="20"/>
              </w:rPr>
              <w:t>(0.37)</w:t>
            </w:r>
          </w:p>
        </w:tc>
      </w:tr>
    </w:tbl>
    <w:p w14:paraId="20AA5A87" w14:textId="5AF18221" w:rsidR="00762947" w:rsidRDefault="00762947" w:rsidP="00A523AA">
      <w:pPr>
        <w:spacing w:line="22" w:lineRule="atLeast"/>
        <w:jc w:val="both"/>
        <w:rPr>
          <w:rFonts w:ascii="Times New Roman" w:hAnsi="Times New Roman" w:cs="Times New Roman"/>
          <w:sz w:val="24"/>
        </w:rPr>
        <w:sectPr w:rsidR="00762947" w:rsidSect="000F372D">
          <w:pgSz w:w="15842" w:h="12247" w:orient="landscape"/>
          <w:pgMar w:top="1152" w:right="1440" w:bottom="720" w:left="1440" w:header="720" w:footer="720" w:gutter="0"/>
          <w:cols w:space="720"/>
          <w:titlePg/>
          <w:docGrid w:linePitch="360"/>
        </w:sectPr>
      </w:pPr>
      <w:r w:rsidRPr="00762947">
        <w:rPr>
          <w:rFonts w:ascii="Times New Roman" w:hAnsi="Times New Roman" w:cs="Times New Roman"/>
          <w:sz w:val="18"/>
          <w:szCs w:val="16"/>
        </w:rPr>
        <w:t>--: Insignificant/same as the base category. *Same parameter across the alternatives</w:t>
      </w:r>
    </w:p>
    <w:p w14:paraId="3AE61867" w14:textId="1F14E0F9" w:rsidR="00C41B76" w:rsidRPr="00CB3471" w:rsidRDefault="00C25A23" w:rsidP="00C25A23">
      <w:pPr>
        <w:spacing w:after="0" w:line="240" w:lineRule="auto"/>
        <w:jc w:val="both"/>
        <w:rPr>
          <w:rFonts w:ascii="Times New Roman" w:hAnsi="Times New Roman" w:cs="Times New Roman"/>
          <w:sz w:val="24"/>
          <w:szCs w:val="24"/>
        </w:rPr>
      </w:pPr>
      <w:r w:rsidRPr="00C41B76">
        <w:rPr>
          <w:rFonts w:ascii="Times New Roman" w:hAnsi="Times New Roman" w:cs="Times New Roman"/>
          <w:sz w:val="24"/>
        </w:rPr>
        <w:lastRenderedPageBreak/>
        <w:t xml:space="preserve">preference parameter estimates that households with employed </w:t>
      </w:r>
      <w:r w:rsidRPr="00CB3471">
        <w:rPr>
          <w:rFonts w:ascii="Times New Roman" w:hAnsi="Times New Roman" w:cs="Times New Roman"/>
          <w:sz w:val="24"/>
          <w:szCs w:val="24"/>
        </w:rPr>
        <w:t xml:space="preserve">individuals had a higher preference for owning a van. Despite the high preference, such households are less likely to use them than households that do not have any employed individuals. This result reaffirms our earlier hypothesis </w:t>
      </w:r>
      <w:r w:rsidR="00C41B76" w:rsidRPr="00CB3471">
        <w:rPr>
          <w:rFonts w:ascii="Times New Roman" w:hAnsi="Times New Roman" w:cs="Times New Roman"/>
          <w:sz w:val="24"/>
          <w:szCs w:val="24"/>
        </w:rPr>
        <w:t>that vans serve more of a leisurely purpose in households with employed individuals rather than providing day-to-day functionality. Finally, despite the lower preference for owning pickup trucks by households in regions of high employment densities, mileage accrued to these vehicles, if they are owned, is higher than that in regions of low employment densities. This is potentially because these vehicles typically serve the purpose of hauling goods and materials and therefore, would travel longer distances in urban regions with high employment density.</w:t>
      </w:r>
    </w:p>
    <w:p w14:paraId="7F0767C0" w14:textId="77777777" w:rsidR="00C25A23" w:rsidRPr="00CB3471" w:rsidRDefault="00C25A23" w:rsidP="00C25A23">
      <w:pPr>
        <w:spacing w:after="0" w:line="240" w:lineRule="auto"/>
        <w:jc w:val="both"/>
        <w:rPr>
          <w:rFonts w:ascii="Times New Roman" w:hAnsi="Times New Roman" w:cs="Times New Roman"/>
          <w:sz w:val="24"/>
          <w:szCs w:val="24"/>
        </w:rPr>
      </w:pPr>
    </w:p>
    <w:p w14:paraId="199EE33C" w14:textId="434F9DC1" w:rsidR="00C41B76" w:rsidRPr="00CB3471" w:rsidRDefault="00C41B76" w:rsidP="00C25A23">
      <w:pPr>
        <w:spacing w:after="0" w:line="240" w:lineRule="auto"/>
        <w:jc w:val="both"/>
        <w:rPr>
          <w:rFonts w:ascii="Times New Roman" w:hAnsi="Times New Roman" w:cs="Times New Roman"/>
          <w:i/>
          <w:sz w:val="24"/>
          <w:szCs w:val="24"/>
        </w:rPr>
      </w:pPr>
      <w:r w:rsidRPr="00CB3471">
        <w:rPr>
          <w:rFonts w:ascii="Times New Roman" w:hAnsi="Times New Roman" w:cs="Times New Roman"/>
          <w:i/>
          <w:sz w:val="24"/>
          <w:szCs w:val="24"/>
        </w:rPr>
        <w:t xml:space="preserve">Budget </w:t>
      </w:r>
      <w:r w:rsidR="00C25A23" w:rsidRPr="00CB3471">
        <w:rPr>
          <w:rFonts w:ascii="Times New Roman" w:hAnsi="Times New Roman" w:cs="Times New Roman"/>
          <w:i/>
          <w:sz w:val="24"/>
          <w:szCs w:val="24"/>
        </w:rPr>
        <w:t>E</w:t>
      </w:r>
      <w:r w:rsidRPr="00CB3471">
        <w:rPr>
          <w:rFonts w:ascii="Times New Roman" w:hAnsi="Times New Roman" w:cs="Times New Roman"/>
          <w:i/>
          <w:sz w:val="24"/>
          <w:szCs w:val="24"/>
        </w:rPr>
        <w:t xml:space="preserve">quation </w:t>
      </w:r>
      <w:r w:rsidR="00C25A23" w:rsidRPr="00CB3471">
        <w:rPr>
          <w:rFonts w:ascii="Times New Roman" w:hAnsi="Times New Roman" w:cs="Times New Roman"/>
          <w:i/>
          <w:sz w:val="24"/>
          <w:szCs w:val="24"/>
        </w:rPr>
        <w:t>R</w:t>
      </w:r>
      <w:r w:rsidRPr="00CB3471">
        <w:rPr>
          <w:rFonts w:ascii="Times New Roman" w:hAnsi="Times New Roman" w:cs="Times New Roman"/>
          <w:i/>
          <w:sz w:val="24"/>
          <w:szCs w:val="24"/>
        </w:rPr>
        <w:t>esults</w:t>
      </w:r>
    </w:p>
    <w:p w14:paraId="5D351F52" w14:textId="4C0CFC3E" w:rsidR="00C41B76" w:rsidRPr="00CB3471" w:rsidRDefault="00C41B76" w:rsidP="00C25A23">
      <w:pPr>
        <w:spacing w:after="0" w:line="240" w:lineRule="auto"/>
        <w:jc w:val="both"/>
        <w:rPr>
          <w:rFonts w:ascii="Times New Roman" w:hAnsi="Times New Roman" w:cs="Times New Roman"/>
          <w:sz w:val="24"/>
          <w:szCs w:val="24"/>
        </w:rPr>
      </w:pPr>
      <w:r w:rsidRPr="00CB3471">
        <w:rPr>
          <w:rFonts w:ascii="Times New Roman" w:hAnsi="Times New Roman" w:cs="Times New Roman"/>
          <w:sz w:val="24"/>
          <w:szCs w:val="24"/>
        </w:rPr>
        <w:t>The following Tobit budget equation (based on Equation (9)</w:t>
      </w:r>
      <w:r w:rsidR="001F22F4" w:rsidRPr="00CB3471">
        <w:rPr>
          <w:rFonts w:ascii="Times New Roman" w:hAnsi="Times New Roman" w:cs="Times New Roman"/>
          <w:sz w:val="24"/>
          <w:szCs w:val="24"/>
        </w:rPr>
        <w:t>)</w:t>
      </w:r>
      <w:r w:rsidRPr="00CB3471">
        <w:rPr>
          <w:rFonts w:ascii="Times New Roman" w:hAnsi="Times New Roman" w:cs="Times New Roman"/>
          <w:sz w:val="24"/>
          <w:szCs w:val="24"/>
        </w:rPr>
        <w:t xml:space="preserve"> was estimated:</w:t>
      </w:r>
    </w:p>
    <w:p w14:paraId="59FF680D" w14:textId="01CEF005" w:rsidR="00C41B76" w:rsidRPr="00CB3471" w:rsidRDefault="00CB3471" w:rsidP="00CB3471">
      <w:pPr>
        <w:tabs>
          <w:tab w:val="right" w:pos="9360"/>
        </w:tabs>
        <w:spacing w:before="40" w:after="40" w:line="240" w:lineRule="auto"/>
        <w:jc w:val="both"/>
        <w:rPr>
          <w:rFonts w:ascii="Times New Roman" w:hAnsi="Times New Roman" w:cs="Times New Roman"/>
          <w:sz w:val="24"/>
          <w:szCs w:val="24"/>
        </w:rPr>
      </w:pPr>
      <w:r w:rsidRPr="00CB3471">
        <w:rPr>
          <w:rFonts w:ascii="Times New Roman" w:hAnsi="Times New Roman" w:cs="Times New Roman"/>
          <w:position w:val="-88"/>
          <w:sz w:val="24"/>
          <w:szCs w:val="24"/>
        </w:rPr>
        <w:object w:dxaOrig="9600" w:dyaOrig="1540" w14:anchorId="71BA854F">
          <v:shape id="_x0000_i1101" type="#_x0000_t75" style="width:447.85pt;height:1in" o:ole="">
            <v:imagedata r:id="rId156" o:title=""/>
          </v:shape>
          <o:OLEObject Type="Embed" ProgID="Equation.DSMT4" ShapeID="_x0000_i1101" DrawAspect="Content" ObjectID="_1752435804" r:id="rId157"/>
        </w:object>
      </w:r>
      <w:r w:rsidRPr="00CB3471">
        <w:rPr>
          <w:rFonts w:ascii="Times New Roman" w:hAnsi="Times New Roman" w:cs="Times New Roman"/>
          <w:sz w:val="24"/>
          <w:szCs w:val="24"/>
        </w:rPr>
        <w:tab/>
        <w:t>(13)</w:t>
      </w:r>
    </w:p>
    <w:p w14:paraId="7401E98B" w14:textId="39DCBD6D" w:rsidR="001F22F4" w:rsidRPr="00CB3471" w:rsidRDefault="001F22F4" w:rsidP="00C25A23">
      <w:pPr>
        <w:spacing w:after="0" w:line="240" w:lineRule="auto"/>
        <w:jc w:val="both"/>
        <w:rPr>
          <w:rFonts w:ascii="Times New Roman" w:hAnsi="Times New Roman" w:cs="Times New Roman"/>
          <w:sz w:val="24"/>
          <w:szCs w:val="24"/>
        </w:rPr>
      </w:pPr>
      <w:r w:rsidRPr="00CB3471">
        <w:rPr>
          <w:rFonts w:ascii="Times New Roman" w:hAnsi="Times New Roman" w:cs="Times New Roman"/>
          <w:sz w:val="24"/>
          <w:szCs w:val="24"/>
        </w:rPr>
        <w:t xml:space="preserve">where index </w:t>
      </w:r>
      <w:r w:rsidRPr="00CB3471">
        <w:rPr>
          <w:rFonts w:ascii="Times New Roman" w:hAnsi="Times New Roman" w:cs="Times New Roman"/>
          <w:i/>
          <w:iCs/>
          <w:sz w:val="24"/>
          <w:szCs w:val="24"/>
        </w:rPr>
        <w:t xml:space="preserve">q </w:t>
      </w:r>
      <w:r w:rsidRPr="00CB3471">
        <w:rPr>
          <w:rFonts w:ascii="Times New Roman" w:hAnsi="Times New Roman" w:cs="Times New Roman"/>
          <w:sz w:val="24"/>
          <w:szCs w:val="24"/>
        </w:rPr>
        <w:t xml:space="preserve">represents a household, </w:t>
      </w:r>
      <w:r w:rsidR="00CB3471" w:rsidRPr="00CB3471">
        <w:rPr>
          <w:rFonts w:ascii="Times New Roman" w:hAnsi="Times New Roman" w:cs="Times New Roman"/>
          <w:position w:val="-14"/>
          <w:sz w:val="24"/>
          <w:szCs w:val="24"/>
        </w:rPr>
        <w:object w:dxaOrig="639" w:dyaOrig="380" w14:anchorId="6523A948">
          <v:shape id="_x0000_i1102" type="#_x0000_t75" style="width:31.3pt;height:18.85pt" o:ole="" o:preferrelative="f">
            <v:imagedata r:id="rId158" o:title=""/>
            <o:lock v:ext="edit" aspectratio="f"/>
          </v:shape>
          <o:OLEObject Type="Embed" ProgID="Equation.DSMT4" ShapeID="_x0000_i1102" DrawAspect="Content" ObjectID="_1752435805" r:id="rId159"/>
        </w:object>
      </w:r>
      <w:r w:rsidRPr="00CB3471">
        <w:rPr>
          <w:rFonts w:ascii="Times New Roman" w:hAnsi="Times New Roman" w:cs="Times New Roman"/>
          <w:sz w:val="24"/>
          <w:szCs w:val="24"/>
        </w:rPr>
        <w:t xml:space="preserve"> represents the </w:t>
      </w:r>
      <w:proofErr w:type="spellStart"/>
      <w:r w:rsidRPr="00CB3471">
        <w:rPr>
          <w:rFonts w:ascii="Times New Roman" w:hAnsi="Times New Roman" w:cs="Times New Roman"/>
          <w:i/>
          <w:iCs/>
          <w:sz w:val="24"/>
          <w:szCs w:val="24"/>
        </w:rPr>
        <w:t>q</w:t>
      </w:r>
      <w:r w:rsidR="00DB73C4" w:rsidRPr="00CB3471">
        <w:rPr>
          <w:rFonts w:ascii="Times New Roman" w:hAnsi="Times New Roman" w:cs="Times New Roman"/>
          <w:i/>
          <w:iCs/>
          <w:sz w:val="24"/>
          <w:szCs w:val="24"/>
        </w:rPr>
        <w:t>th</w:t>
      </w:r>
      <w:proofErr w:type="spellEnd"/>
      <w:r w:rsidRPr="00CB3471">
        <w:rPr>
          <w:rFonts w:ascii="Times New Roman" w:hAnsi="Times New Roman" w:cs="Times New Roman"/>
          <w:sz w:val="24"/>
          <w:szCs w:val="24"/>
        </w:rPr>
        <w:t xml:space="preserve"> household’s annual income and, </w:t>
      </w:r>
      <w:r w:rsidR="00DB73C4" w:rsidRPr="00CB3471">
        <w:rPr>
          <w:rFonts w:ascii="Times New Roman" w:hAnsi="Times New Roman" w:cs="Times New Roman"/>
          <w:position w:val="-10"/>
          <w:sz w:val="24"/>
          <w:szCs w:val="24"/>
        </w:rPr>
        <w:object w:dxaOrig="400" w:dyaOrig="320" w14:anchorId="09222D77">
          <v:shape id="_x0000_i1103" type="#_x0000_t75" style="width:20.55pt;height:15.45pt" o:ole="" o:preferrelative="f">
            <v:imagedata r:id="rId160" o:title=""/>
            <o:lock v:ext="edit" aspectratio="f"/>
          </v:shape>
          <o:OLEObject Type="Embed" ProgID="Equation.DSMT4" ShapeID="_x0000_i1103" DrawAspect="Content" ObjectID="_1752435806" r:id="rId161"/>
        </w:object>
      </w:r>
      <w:r w:rsidRPr="00CB3471">
        <w:rPr>
          <w:rFonts w:ascii="Times New Roman" w:hAnsi="Times New Roman" w:cs="Times New Roman"/>
          <w:sz w:val="24"/>
          <w:szCs w:val="24"/>
        </w:rPr>
        <w:t xml:space="preserve"> is an indicator function.</w:t>
      </w:r>
    </w:p>
    <w:p w14:paraId="36479DB4" w14:textId="57E3601C" w:rsidR="00C41B76" w:rsidRPr="00CB3471" w:rsidRDefault="00C41B76" w:rsidP="00CB3471">
      <w:pPr>
        <w:spacing w:after="0" w:line="240" w:lineRule="auto"/>
        <w:ind w:firstLine="720"/>
        <w:jc w:val="both"/>
        <w:rPr>
          <w:rFonts w:ascii="Times New Roman" w:hAnsi="Times New Roman" w:cs="Times New Roman"/>
          <w:sz w:val="24"/>
          <w:szCs w:val="24"/>
        </w:rPr>
      </w:pPr>
      <w:r w:rsidRPr="00CB3471">
        <w:rPr>
          <w:rFonts w:ascii="Times New Roman" w:hAnsi="Times New Roman" w:cs="Times New Roman"/>
          <w:sz w:val="24"/>
          <w:szCs w:val="24"/>
        </w:rPr>
        <w:t>Notably, the scale of the error terms in the fractional split MDCEV model (</w:t>
      </w:r>
      <w:r w:rsidRPr="00CB3471">
        <w:rPr>
          <w:rFonts w:ascii="Times New Roman" w:hAnsi="Times New Roman" w:cs="Times New Roman"/>
          <w:position w:val="-4"/>
          <w:sz w:val="24"/>
          <w:szCs w:val="24"/>
        </w:rPr>
        <w:object w:dxaOrig="220" w:dyaOrig="200" w14:anchorId="1B992535">
          <v:shape id="_x0000_i1104" type="#_x0000_t75" style="width:11.55pt;height:9.45pt" o:ole="">
            <v:imagedata r:id="rId162" o:title=""/>
          </v:shape>
          <o:OLEObject Type="Embed" ProgID="Equation.DSMT4" ShapeID="_x0000_i1104" DrawAspect="Content" ObjectID="_1752435807" r:id="rId163"/>
        </w:object>
      </w:r>
      <w:r w:rsidRPr="00CB3471">
        <w:rPr>
          <w:rFonts w:ascii="Times New Roman" w:hAnsi="Times New Roman" w:cs="Times New Roman"/>
          <w:sz w:val="24"/>
          <w:szCs w:val="24"/>
        </w:rPr>
        <w:t xml:space="preserve">) is estimated with a value of 0.76 and a corresponding t-statistic </w:t>
      </w:r>
      <w:r w:rsidR="00F862BE" w:rsidRPr="00CB3471">
        <w:rPr>
          <w:rFonts w:ascii="Times New Roman" w:hAnsi="Times New Roman" w:cs="Times New Roman"/>
          <w:sz w:val="24"/>
          <w:szCs w:val="24"/>
        </w:rPr>
        <w:t>2.25</w:t>
      </w:r>
      <w:r w:rsidR="001821F1" w:rsidRPr="00CB3471">
        <w:rPr>
          <w:rFonts w:ascii="Times New Roman" w:hAnsi="Times New Roman" w:cs="Times New Roman"/>
          <w:sz w:val="24"/>
          <w:szCs w:val="24"/>
        </w:rPr>
        <w:t xml:space="preserve"> (against 1)</w:t>
      </w:r>
      <w:r w:rsidRPr="00CB3471">
        <w:rPr>
          <w:rFonts w:ascii="Times New Roman" w:hAnsi="Times New Roman" w:cs="Times New Roman"/>
          <w:sz w:val="24"/>
          <w:szCs w:val="24"/>
        </w:rPr>
        <w:t xml:space="preserve">, indicating that the scale parameter is significantly different from 1 (with </w:t>
      </w:r>
      <w:r w:rsidR="00F862BE" w:rsidRPr="00CB3471">
        <w:rPr>
          <w:rFonts w:ascii="Times New Roman" w:hAnsi="Times New Roman" w:cs="Times New Roman"/>
          <w:sz w:val="24"/>
          <w:szCs w:val="24"/>
        </w:rPr>
        <w:t>more than</w:t>
      </w:r>
      <w:r w:rsidRPr="00CB3471">
        <w:rPr>
          <w:rFonts w:ascii="Times New Roman" w:hAnsi="Times New Roman" w:cs="Times New Roman"/>
          <w:sz w:val="24"/>
          <w:szCs w:val="24"/>
        </w:rPr>
        <w:t xml:space="preserve"> 9</w:t>
      </w:r>
      <w:r w:rsidR="00F862BE" w:rsidRPr="00CB3471">
        <w:rPr>
          <w:rFonts w:ascii="Times New Roman" w:hAnsi="Times New Roman" w:cs="Times New Roman"/>
          <w:sz w:val="24"/>
          <w:szCs w:val="24"/>
        </w:rPr>
        <w:t>5</w:t>
      </w:r>
      <w:r w:rsidRPr="00CB3471">
        <w:rPr>
          <w:rFonts w:ascii="Times New Roman" w:hAnsi="Times New Roman" w:cs="Times New Roman"/>
          <w:sz w:val="24"/>
          <w:szCs w:val="24"/>
        </w:rPr>
        <w:t>% confidence level). Also, the linking parameter is significantly different from 0 (with a value of 10.42 and a t-statistic of 37.36)</w:t>
      </w:r>
      <w:r w:rsidR="000A4751" w:rsidRPr="00CB3471">
        <w:rPr>
          <w:rFonts w:ascii="Times New Roman" w:hAnsi="Times New Roman" w:cs="Times New Roman"/>
          <w:sz w:val="24"/>
          <w:szCs w:val="24"/>
        </w:rPr>
        <w:t>,</w:t>
      </w:r>
      <w:r w:rsidRPr="00CB3471">
        <w:rPr>
          <w:rFonts w:ascii="Times New Roman" w:hAnsi="Times New Roman" w:cs="Times New Roman"/>
          <w:sz w:val="24"/>
          <w:szCs w:val="24"/>
        </w:rPr>
        <w:t xml:space="preserve"> indicating that the desirability of a vehicle type increases the total mileage driven by the household. These effects can potentially provide better insights from a policy standpoint. For instance, </w:t>
      </w:r>
      <w:r w:rsidR="000A4751" w:rsidRPr="00CB3471">
        <w:rPr>
          <w:rFonts w:ascii="Times New Roman" w:hAnsi="Times New Roman" w:cs="Times New Roman"/>
          <w:sz w:val="24"/>
          <w:szCs w:val="24"/>
        </w:rPr>
        <w:t xml:space="preserve">the </w:t>
      </w:r>
      <w:r w:rsidRPr="00CB3471">
        <w:rPr>
          <w:rFonts w:ascii="Times New Roman" w:hAnsi="Times New Roman" w:cs="Times New Roman"/>
          <w:sz w:val="24"/>
          <w:szCs w:val="24"/>
        </w:rPr>
        <w:t xml:space="preserve">densification of a region by increasing employment density may likely reduce the total mileage driven by households in that region. However, this effect could not be captured directly in the budget equation, with the corresponding parameter turning out insignificant. On the other hand, this effect is indirectly captured through the linking function, where an increase in employment density results in lower preference </w:t>
      </w:r>
      <w:r w:rsidR="000A4751" w:rsidRPr="00CB3471">
        <w:rPr>
          <w:rFonts w:ascii="Times New Roman" w:hAnsi="Times New Roman" w:cs="Times New Roman"/>
          <w:sz w:val="24"/>
          <w:szCs w:val="24"/>
        </w:rPr>
        <w:t>for</w:t>
      </w:r>
      <w:r w:rsidRPr="00CB3471">
        <w:rPr>
          <w:rFonts w:ascii="Times New Roman" w:hAnsi="Times New Roman" w:cs="Times New Roman"/>
          <w:sz w:val="24"/>
          <w:szCs w:val="24"/>
        </w:rPr>
        <w:t xml:space="preserve"> gas</w:t>
      </w:r>
      <w:r w:rsidR="000A4751" w:rsidRPr="00CB3471">
        <w:rPr>
          <w:rFonts w:ascii="Times New Roman" w:hAnsi="Times New Roman" w:cs="Times New Roman"/>
          <w:sz w:val="24"/>
          <w:szCs w:val="24"/>
        </w:rPr>
        <w:t>oline</w:t>
      </w:r>
      <w:r w:rsidRPr="00CB3471">
        <w:rPr>
          <w:rFonts w:ascii="Times New Roman" w:hAnsi="Times New Roman" w:cs="Times New Roman"/>
          <w:sz w:val="24"/>
          <w:szCs w:val="24"/>
        </w:rPr>
        <w:t xml:space="preserve"> SUVs and pickup trucks</w:t>
      </w:r>
      <w:r w:rsidR="000A4751" w:rsidRPr="00CB3471">
        <w:rPr>
          <w:rFonts w:ascii="Times New Roman" w:hAnsi="Times New Roman" w:cs="Times New Roman"/>
          <w:sz w:val="24"/>
          <w:szCs w:val="24"/>
        </w:rPr>
        <w:t>,</w:t>
      </w:r>
      <w:r w:rsidRPr="00CB3471">
        <w:rPr>
          <w:rFonts w:ascii="Times New Roman" w:hAnsi="Times New Roman" w:cs="Times New Roman"/>
          <w:sz w:val="24"/>
          <w:szCs w:val="24"/>
        </w:rPr>
        <w:t xml:space="preserve"> thereby reducing the</w:t>
      </w:r>
      <w:r w:rsidR="001821F1" w:rsidRPr="00CB3471">
        <w:rPr>
          <w:rFonts w:ascii="Times New Roman" w:hAnsi="Times New Roman" w:cs="Times New Roman"/>
          <w:sz w:val="24"/>
          <w:szCs w:val="24"/>
        </w:rPr>
        <w:t xml:space="preserve"> total</w:t>
      </w:r>
      <w:r w:rsidRPr="00CB3471">
        <w:rPr>
          <w:rFonts w:ascii="Times New Roman" w:hAnsi="Times New Roman" w:cs="Times New Roman"/>
          <w:sz w:val="24"/>
          <w:szCs w:val="24"/>
        </w:rPr>
        <w:t xml:space="preserve"> price index. </w:t>
      </w:r>
    </w:p>
    <w:p w14:paraId="38C5197C" w14:textId="110CC1FD" w:rsidR="00C41B76" w:rsidRPr="00CB3471" w:rsidRDefault="00C41B76" w:rsidP="00C25A23">
      <w:pPr>
        <w:spacing w:after="0" w:line="240" w:lineRule="auto"/>
        <w:jc w:val="both"/>
        <w:rPr>
          <w:rFonts w:ascii="Times New Roman" w:hAnsi="Times New Roman" w:cs="Times New Roman"/>
          <w:sz w:val="24"/>
          <w:szCs w:val="24"/>
        </w:rPr>
      </w:pPr>
      <w:r w:rsidRPr="00CB3471">
        <w:rPr>
          <w:rFonts w:ascii="Times New Roman" w:hAnsi="Times New Roman" w:cs="Times New Roman"/>
          <w:sz w:val="24"/>
          <w:szCs w:val="24"/>
        </w:rPr>
        <w:tab/>
        <w:t xml:space="preserve">The parameters offer intuitive insights </w:t>
      </w:r>
      <w:r w:rsidR="002F1DF4" w:rsidRPr="00CB3471">
        <w:rPr>
          <w:rFonts w:ascii="Times New Roman" w:hAnsi="Times New Roman" w:cs="Times New Roman"/>
          <w:sz w:val="24"/>
          <w:szCs w:val="24"/>
        </w:rPr>
        <w:t>into</w:t>
      </w:r>
      <w:r w:rsidRPr="00CB3471">
        <w:rPr>
          <w:rFonts w:ascii="Times New Roman" w:hAnsi="Times New Roman" w:cs="Times New Roman"/>
          <w:sz w:val="24"/>
          <w:szCs w:val="24"/>
        </w:rPr>
        <w:t xml:space="preserve"> the annual mileage. As the number of valid driving license holders increases in the household, total annual mileage is also likely to increase. The same trend follows with the presence of workers in the household as well. In the context of annual household income, the annual mileage by high-income households (with income more than $50,000) is likely to be higher than low-income households. Intuitively, households where individuals use work shuttle to commute accrue lesser mileage Finally, households in regions with high population density (more than 2000 persons per sq. mile) are likely to drive less.</w:t>
      </w:r>
    </w:p>
    <w:p w14:paraId="442EABBB" w14:textId="77777777" w:rsidR="00A523AA" w:rsidRPr="00CB3471" w:rsidRDefault="00A523AA" w:rsidP="00C25A23">
      <w:pPr>
        <w:spacing w:after="0" w:line="240" w:lineRule="auto"/>
        <w:rPr>
          <w:rFonts w:ascii="Times New Roman" w:hAnsi="Times New Roman" w:cs="Times New Roman"/>
          <w:b/>
          <w:color w:val="000000" w:themeColor="text1"/>
          <w:sz w:val="24"/>
          <w:szCs w:val="24"/>
        </w:rPr>
      </w:pPr>
    </w:p>
    <w:p w14:paraId="5841FEBE" w14:textId="7A901125" w:rsidR="001F22F4" w:rsidRPr="00CB3471" w:rsidRDefault="001F22F4" w:rsidP="00C25A23">
      <w:pPr>
        <w:spacing w:after="0" w:line="240" w:lineRule="auto"/>
        <w:rPr>
          <w:rFonts w:ascii="Times New Roman" w:hAnsi="Times New Roman" w:cs="Times New Roman"/>
          <w:b/>
          <w:color w:val="000000" w:themeColor="text1"/>
          <w:sz w:val="24"/>
          <w:szCs w:val="24"/>
        </w:rPr>
      </w:pPr>
      <w:r w:rsidRPr="00CB3471">
        <w:rPr>
          <w:rFonts w:ascii="Times New Roman" w:hAnsi="Times New Roman" w:cs="Times New Roman"/>
          <w:b/>
          <w:color w:val="000000" w:themeColor="text1"/>
          <w:sz w:val="24"/>
          <w:szCs w:val="24"/>
        </w:rPr>
        <w:t xml:space="preserve">Model </w:t>
      </w:r>
      <w:r w:rsidR="00CB3471" w:rsidRPr="00CB3471">
        <w:rPr>
          <w:rFonts w:ascii="Times New Roman" w:hAnsi="Times New Roman" w:cs="Times New Roman"/>
          <w:b/>
          <w:color w:val="000000" w:themeColor="text1"/>
          <w:sz w:val="24"/>
          <w:szCs w:val="24"/>
        </w:rPr>
        <w:t>F</w:t>
      </w:r>
      <w:r w:rsidRPr="00CB3471">
        <w:rPr>
          <w:rFonts w:ascii="Times New Roman" w:hAnsi="Times New Roman" w:cs="Times New Roman"/>
          <w:b/>
          <w:color w:val="000000" w:themeColor="text1"/>
          <w:sz w:val="24"/>
          <w:szCs w:val="24"/>
        </w:rPr>
        <w:t xml:space="preserve">it </w:t>
      </w:r>
      <w:r w:rsidR="00CB3471" w:rsidRPr="00CB3471">
        <w:rPr>
          <w:rFonts w:ascii="Times New Roman" w:hAnsi="Times New Roman" w:cs="Times New Roman"/>
          <w:b/>
          <w:color w:val="000000" w:themeColor="text1"/>
          <w:sz w:val="24"/>
          <w:szCs w:val="24"/>
        </w:rPr>
        <w:t>S</w:t>
      </w:r>
      <w:r w:rsidRPr="00CB3471">
        <w:rPr>
          <w:rFonts w:ascii="Times New Roman" w:hAnsi="Times New Roman" w:cs="Times New Roman"/>
          <w:b/>
          <w:color w:val="000000" w:themeColor="text1"/>
          <w:sz w:val="24"/>
          <w:szCs w:val="24"/>
        </w:rPr>
        <w:t>tatistics</w:t>
      </w:r>
    </w:p>
    <w:p w14:paraId="38731B03" w14:textId="23AA7E3A" w:rsidR="001F22F4" w:rsidRPr="00CB3471" w:rsidRDefault="001F22F4" w:rsidP="00C25A23">
      <w:pPr>
        <w:spacing w:after="0" w:line="240" w:lineRule="auto"/>
        <w:rPr>
          <w:rFonts w:ascii="Times New Roman" w:hAnsi="Times New Roman" w:cs="Times New Roman"/>
          <w:i/>
          <w:sz w:val="24"/>
          <w:szCs w:val="24"/>
        </w:rPr>
      </w:pPr>
      <w:r w:rsidRPr="00CB3471">
        <w:rPr>
          <w:rFonts w:ascii="Times New Roman" w:hAnsi="Times New Roman" w:cs="Times New Roman"/>
          <w:i/>
          <w:sz w:val="24"/>
          <w:szCs w:val="24"/>
        </w:rPr>
        <w:t>Likelihood-</w:t>
      </w:r>
      <w:r w:rsidR="00CB3471" w:rsidRPr="00CB3471">
        <w:rPr>
          <w:rFonts w:ascii="Times New Roman" w:hAnsi="Times New Roman" w:cs="Times New Roman"/>
          <w:i/>
          <w:sz w:val="24"/>
          <w:szCs w:val="24"/>
        </w:rPr>
        <w:t>B</w:t>
      </w:r>
      <w:r w:rsidRPr="00CB3471">
        <w:rPr>
          <w:rFonts w:ascii="Times New Roman" w:hAnsi="Times New Roman" w:cs="Times New Roman"/>
          <w:i/>
          <w:sz w:val="24"/>
          <w:szCs w:val="24"/>
        </w:rPr>
        <w:t xml:space="preserve">ased </w:t>
      </w:r>
      <w:r w:rsidR="00CB3471" w:rsidRPr="00CB3471">
        <w:rPr>
          <w:rFonts w:ascii="Times New Roman" w:hAnsi="Times New Roman" w:cs="Times New Roman"/>
          <w:i/>
          <w:sz w:val="24"/>
          <w:szCs w:val="24"/>
        </w:rPr>
        <w:t>G</w:t>
      </w:r>
      <w:r w:rsidRPr="00CB3471">
        <w:rPr>
          <w:rFonts w:ascii="Times New Roman" w:hAnsi="Times New Roman" w:cs="Times New Roman"/>
          <w:i/>
          <w:sz w:val="24"/>
          <w:szCs w:val="24"/>
        </w:rPr>
        <w:t xml:space="preserve">oodness of </w:t>
      </w:r>
      <w:r w:rsidR="00CB3471" w:rsidRPr="00CB3471">
        <w:rPr>
          <w:rFonts w:ascii="Times New Roman" w:hAnsi="Times New Roman" w:cs="Times New Roman"/>
          <w:i/>
          <w:sz w:val="24"/>
          <w:szCs w:val="24"/>
        </w:rPr>
        <w:t>F</w:t>
      </w:r>
      <w:r w:rsidRPr="00CB3471">
        <w:rPr>
          <w:rFonts w:ascii="Times New Roman" w:hAnsi="Times New Roman" w:cs="Times New Roman"/>
          <w:i/>
          <w:sz w:val="24"/>
          <w:szCs w:val="24"/>
        </w:rPr>
        <w:t xml:space="preserve">it </w:t>
      </w:r>
      <w:r w:rsidR="00CB3471" w:rsidRPr="00CB3471">
        <w:rPr>
          <w:rFonts w:ascii="Times New Roman" w:hAnsi="Times New Roman" w:cs="Times New Roman"/>
          <w:i/>
          <w:sz w:val="24"/>
          <w:szCs w:val="24"/>
        </w:rPr>
        <w:t>S</w:t>
      </w:r>
      <w:r w:rsidRPr="00CB3471">
        <w:rPr>
          <w:rFonts w:ascii="Times New Roman" w:hAnsi="Times New Roman" w:cs="Times New Roman"/>
          <w:i/>
          <w:sz w:val="24"/>
          <w:szCs w:val="24"/>
        </w:rPr>
        <w:t>tatistics</w:t>
      </w:r>
    </w:p>
    <w:p w14:paraId="7C155E1A" w14:textId="0FED6A6C" w:rsidR="001F22F4" w:rsidRDefault="001F22F4" w:rsidP="00C25A23">
      <w:pPr>
        <w:spacing w:after="0" w:line="240" w:lineRule="auto"/>
        <w:jc w:val="both"/>
        <w:rPr>
          <w:rFonts w:ascii="Times New Roman" w:hAnsi="Times New Roman" w:cs="Times New Roman"/>
          <w:sz w:val="24"/>
          <w:szCs w:val="24"/>
        </w:rPr>
      </w:pPr>
      <w:r w:rsidRPr="00CB3471">
        <w:rPr>
          <w:rFonts w:ascii="Times New Roman" w:hAnsi="Times New Roman" w:cs="Times New Roman"/>
          <w:sz w:val="24"/>
          <w:szCs w:val="24"/>
        </w:rPr>
        <w:t>The log-likelihood of the final model (log-likelihood of -12429.02 with 72 parameters) is superior to the constant-only model (log-likelihood of -13150.50 with 16 parameters)</w:t>
      </w:r>
      <w:r w:rsidR="000A4751" w:rsidRPr="00CB3471">
        <w:rPr>
          <w:rFonts w:ascii="Times New Roman" w:hAnsi="Times New Roman" w:cs="Times New Roman"/>
          <w:sz w:val="24"/>
          <w:szCs w:val="24"/>
        </w:rPr>
        <w:t>,</w:t>
      </w:r>
      <w:r w:rsidRPr="00CB3471">
        <w:rPr>
          <w:rFonts w:ascii="Times New Roman" w:hAnsi="Times New Roman" w:cs="Times New Roman"/>
          <w:sz w:val="24"/>
          <w:szCs w:val="24"/>
        </w:rPr>
        <w:t xml:space="preserve"> indicating the importance of our empirical specification. Further, allowing free estimation of the scale parameter in the fractional split model generally improves the statistical fit of the model (final log-likelihood </w:t>
      </w:r>
      <w:r w:rsidRPr="00CB3471">
        <w:rPr>
          <w:rFonts w:ascii="Times New Roman" w:hAnsi="Times New Roman" w:cs="Times New Roman"/>
          <w:sz w:val="24"/>
          <w:szCs w:val="24"/>
        </w:rPr>
        <w:lastRenderedPageBreak/>
        <w:t xml:space="preserve">of -12450.10 with unit scale assumption and a total of 71 parameters). This result is demonstrated by the superior fit of the model with free scale parameter when compared with the model with restricted scale parameter (corresponding likelihood ratio test with </w:t>
      </w:r>
      <w:r w:rsidR="002F1DF4" w:rsidRPr="00CB3471">
        <w:rPr>
          <w:rFonts w:ascii="Times New Roman" w:hAnsi="Times New Roman" w:cs="Times New Roman"/>
          <w:sz w:val="24"/>
          <w:szCs w:val="24"/>
        </w:rPr>
        <w:t xml:space="preserve">a </w:t>
      </w:r>
      <w:r w:rsidRPr="00CB3471">
        <w:rPr>
          <w:rFonts w:ascii="Times New Roman" w:hAnsi="Times New Roman" w:cs="Times New Roman"/>
          <w:sz w:val="24"/>
          <w:szCs w:val="24"/>
        </w:rPr>
        <w:t>test statistic of 42.16 is greater than the critical squared value for a single degree of freedom at any reasonable significance level). The same trend is also observed in the holdout sample (with an LRT test statistic of 4.48 which is greater than the critical chi-squared value for a single degree of freedom at 5% significance level), indicating the importance of freely estimating the scale parameter. Overall, freely estimating the scale parameter will generally result in improvement in likelihood-based model-fit measures.</w:t>
      </w:r>
    </w:p>
    <w:p w14:paraId="22187532" w14:textId="77777777" w:rsidR="00CB3471" w:rsidRPr="00CB3471" w:rsidRDefault="00CB3471" w:rsidP="00C25A23">
      <w:pPr>
        <w:spacing w:after="0" w:line="240" w:lineRule="auto"/>
        <w:jc w:val="both"/>
        <w:rPr>
          <w:rFonts w:ascii="Times New Roman" w:hAnsi="Times New Roman" w:cs="Times New Roman"/>
          <w:iCs/>
          <w:sz w:val="24"/>
          <w:szCs w:val="24"/>
        </w:rPr>
      </w:pPr>
    </w:p>
    <w:p w14:paraId="2A2BBD16" w14:textId="394039E5" w:rsidR="001F22F4" w:rsidRPr="00CB3471" w:rsidRDefault="001F22F4" w:rsidP="00C25A23">
      <w:pPr>
        <w:spacing w:after="0" w:line="240" w:lineRule="auto"/>
        <w:rPr>
          <w:rFonts w:ascii="Times New Roman" w:hAnsi="Times New Roman" w:cs="Times New Roman"/>
          <w:i/>
          <w:sz w:val="24"/>
          <w:szCs w:val="24"/>
        </w:rPr>
      </w:pPr>
      <w:r w:rsidRPr="00CB3471">
        <w:rPr>
          <w:rFonts w:ascii="Times New Roman" w:hAnsi="Times New Roman" w:cs="Times New Roman"/>
          <w:i/>
          <w:sz w:val="24"/>
          <w:szCs w:val="24"/>
        </w:rPr>
        <w:t>Non-</w:t>
      </w:r>
      <w:r w:rsidR="00CB3471">
        <w:rPr>
          <w:rFonts w:ascii="Times New Roman" w:hAnsi="Times New Roman" w:cs="Times New Roman"/>
          <w:i/>
          <w:sz w:val="24"/>
          <w:szCs w:val="24"/>
        </w:rPr>
        <w:t>L</w:t>
      </w:r>
      <w:r w:rsidRPr="00CB3471">
        <w:rPr>
          <w:rFonts w:ascii="Times New Roman" w:hAnsi="Times New Roman" w:cs="Times New Roman"/>
          <w:i/>
          <w:sz w:val="24"/>
          <w:szCs w:val="24"/>
        </w:rPr>
        <w:t>ikelihood-</w:t>
      </w:r>
      <w:r w:rsidR="00CB3471">
        <w:rPr>
          <w:rFonts w:ascii="Times New Roman" w:hAnsi="Times New Roman" w:cs="Times New Roman"/>
          <w:i/>
          <w:sz w:val="24"/>
          <w:szCs w:val="24"/>
        </w:rPr>
        <w:t>B</w:t>
      </w:r>
      <w:r w:rsidRPr="00CB3471">
        <w:rPr>
          <w:rFonts w:ascii="Times New Roman" w:hAnsi="Times New Roman" w:cs="Times New Roman"/>
          <w:i/>
          <w:sz w:val="24"/>
          <w:szCs w:val="24"/>
        </w:rPr>
        <w:t xml:space="preserve">ased </w:t>
      </w:r>
      <w:r w:rsidR="00CB3471">
        <w:rPr>
          <w:rFonts w:ascii="Times New Roman" w:hAnsi="Times New Roman" w:cs="Times New Roman"/>
          <w:i/>
          <w:sz w:val="24"/>
          <w:szCs w:val="24"/>
        </w:rPr>
        <w:t>G</w:t>
      </w:r>
      <w:r w:rsidRPr="00CB3471">
        <w:rPr>
          <w:rFonts w:ascii="Times New Roman" w:hAnsi="Times New Roman" w:cs="Times New Roman"/>
          <w:i/>
          <w:sz w:val="24"/>
          <w:szCs w:val="24"/>
        </w:rPr>
        <w:t xml:space="preserve">oodness of </w:t>
      </w:r>
      <w:r w:rsidR="00CB3471">
        <w:rPr>
          <w:rFonts w:ascii="Times New Roman" w:hAnsi="Times New Roman" w:cs="Times New Roman"/>
          <w:i/>
          <w:sz w:val="24"/>
          <w:szCs w:val="24"/>
        </w:rPr>
        <w:t>F</w:t>
      </w:r>
      <w:r w:rsidRPr="00CB3471">
        <w:rPr>
          <w:rFonts w:ascii="Times New Roman" w:hAnsi="Times New Roman" w:cs="Times New Roman"/>
          <w:i/>
          <w:sz w:val="24"/>
          <w:szCs w:val="24"/>
        </w:rPr>
        <w:t xml:space="preserve">it </w:t>
      </w:r>
      <w:r w:rsidR="00CB3471">
        <w:rPr>
          <w:rFonts w:ascii="Times New Roman" w:hAnsi="Times New Roman" w:cs="Times New Roman"/>
          <w:i/>
          <w:sz w:val="24"/>
          <w:szCs w:val="24"/>
        </w:rPr>
        <w:t>S</w:t>
      </w:r>
      <w:r w:rsidRPr="00CB3471">
        <w:rPr>
          <w:rFonts w:ascii="Times New Roman" w:hAnsi="Times New Roman" w:cs="Times New Roman"/>
          <w:i/>
          <w:sz w:val="24"/>
          <w:szCs w:val="24"/>
        </w:rPr>
        <w:t>tatistics</w:t>
      </w:r>
    </w:p>
    <w:p w14:paraId="1707B7B9" w14:textId="0979B2AB" w:rsidR="001F22F4" w:rsidRPr="00CB3471" w:rsidRDefault="001F22F4" w:rsidP="00C25A23">
      <w:pPr>
        <w:spacing w:after="0" w:line="240" w:lineRule="auto"/>
        <w:jc w:val="both"/>
        <w:rPr>
          <w:rFonts w:ascii="Times New Roman" w:hAnsi="Times New Roman" w:cs="Times New Roman"/>
          <w:sz w:val="24"/>
          <w:szCs w:val="24"/>
        </w:rPr>
      </w:pPr>
      <w:r w:rsidRPr="00CB3471">
        <w:rPr>
          <w:rFonts w:ascii="Times New Roman" w:hAnsi="Times New Roman" w:cs="Times New Roman"/>
          <w:sz w:val="24"/>
          <w:szCs w:val="24"/>
        </w:rPr>
        <w:t xml:space="preserve">To further assess the importance of freely estimating the scale parameter, we undertake a comparative assessment of </w:t>
      </w:r>
      <w:r w:rsidR="002F1DF4" w:rsidRPr="00CB3471">
        <w:rPr>
          <w:rFonts w:ascii="Times New Roman" w:hAnsi="Times New Roman" w:cs="Times New Roman"/>
          <w:sz w:val="24"/>
          <w:szCs w:val="24"/>
        </w:rPr>
        <w:t xml:space="preserve">the </w:t>
      </w:r>
      <w:r w:rsidRPr="00CB3471">
        <w:rPr>
          <w:rFonts w:ascii="Times New Roman" w:hAnsi="Times New Roman" w:cs="Times New Roman"/>
          <w:sz w:val="24"/>
          <w:szCs w:val="24"/>
        </w:rPr>
        <w:t xml:space="preserve">prediction performance of the estimated model on the holdout sample. The level of accuracy in </w:t>
      </w:r>
      <w:r w:rsidR="002F1DF4" w:rsidRPr="00CB3471">
        <w:rPr>
          <w:rFonts w:ascii="Times New Roman" w:hAnsi="Times New Roman" w:cs="Times New Roman"/>
          <w:sz w:val="24"/>
          <w:szCs w:val="24"/>
        </w:rPr>
        <w:t xml:space="preserve">the </w:t>
      </w:r>
      <w:r w:rsidRPr="00CB3471">
        <w:rPr>
          <w:rFonts w:ascii="Times New Roman" w:hAnsi="Times New Roman" w:cs="Times New Roman"/>
          <w:sz w:val="24"/>
          <w:szCs w:val="24"/>
        </w:rPr>
        <w:t>predicted vehicle holding pattern is computed using weighted mean absolute percentage error (MAPE), which is computed as:</w:t>
      </w:r>
    </w:p>
    <w:p w14:paraId="1E1FFFAA" w14:textId="276E5966" w:rsidR="001F22F4" w:rsidRPr="00CB3471" w:rsidRDefault="005F211D" w:rsidP="00C25A23">
      <w:pPr>
        <w:tabs>
          <w:tab w:val="right" w:pos="9360"/>
        </w:tabs>
        <w:spacing w:after="0" w:line="240" w:lineRule="auto"/>
        <w:jc w:val="both"/>
        <w:rPr>
          <w:rFonts w:ascii="Times New Roman" w:hAnsi="Times New Roman" w:cs="Times New Roman"/>
          <w:sz w:val="24"/>
          <w:szCs w:val="24"/>
        </w:rPr>
      </w:pPr>
      <w:r w:rsidRPr="00CB3471">
        <w:rPr>
          <w:rFonts w:ascii="Times New Roman" w:hAnsi="Times New Roman" w:cs="Times New Roman"/>
          <w:position w:val="-34"/>
          <w:sz w:val="24"/>
          <w:szCs w:val="24"/>
        </w:rPr>
        <w:object w:dxaOrig="4020" w:dyaOrig="1120" w14:anchorId="68357C66">
          <v:shape id="_x0000_i1105" type="#_x0000_t75" style="width:195.45pt;height:54.85pt" o:ole="">
            <v:imagedata r:id="rId164" o:title=""/>
          </v:shape>
          <o:OLEObject Type="Embed" ProgID="Equation.DSMT4" ShapeID="_x0000_i1105" DrawAspect="Content" ObjectID="_1752435808" r:id="rId165"/>
        </w:object>
      </w:r>
      <w:r w:rsidR="00CB3471">
        <w:rPr>
          <w:rFonts w:ascii="Times New Roman" w:hAnsi="Times New Roman" w:cs="Times New Roman"/>
          <w:sz w:val="24"/>
          <w:szCs w:val="24"/>
        </w:rPr>
        <w:t>,</w:t>
      </w:r>
      <w:r w:rsidR="001F22F4" w:rsidRPr="00CB3471">
        <w:rPr>
          <w:rFonts w:ascii="Times New Roman" w:hAnsi="Times New Roman" w:cs="Times New Roman"/>
          <w:sz w:val="24"/>
          <w:szCs w:val="24"/>
        </w:rPr>
        <w:tab/>
        <w:t>(1</w:t>
      </w:r>
      <w:r w:rsidR="00C25A23" w:rsidRPr="00CB3471">
        <w:rPr>
          <w:rFonts w:ascii="Times New Roman" w:hAnsi="Times New Roman" w:cs="Times New Roman"/>
          <w:sz w:val="24"/>
          <w:szCs w:val="24"/>
        </w:rPr>
        <w:t>4</w:t>
      </w:r>
      <w:r w:rsidR="001F22F4" w:rsidRPr="00CB3471">
        <w:rPr>
          <w:rFonts w:ascii="Times New Roman" w:hAnsi="Times New Roman" w:cs="Times New Roman"/>
          <w:sz w:val="24"/>
          <w:szCs w:val="24"/>
        </w:rPr>
        <w:t>)</w:t>
      </w:r>
    </w:p>
    <w:p w14:paraId="4C9FCCDD" w14:textId="3378F568" w:rsidR="001F22F4" w:rsidRPr="00CB3471" w:rsidRDefault="001F22F4" w:rsidP="00C25A23">
      <w:pPr>
        <w:spacing w:after="0" w:line="240" w:lineRule="auto"/>
        <w:jc w:val="both"/>
        <w:rPr>
          <w:rFonts w:ascii="Times New Roman" w:hAnsi="Times New Roman" w:cs="Times New Roman"/>
          <w:sz w:val="24"/>
          <w:szCs w:val="24"/>
        </w:rPr>
      </w:pPr>
      <w:r w:rsidRPr="00CB3471">
        <w:rPr>
          <w:rFonts w:ascii="Times New Roman" w:hAnsi="Times New Roman" w:cs="Times New Roman"/>
          <w:sz w:val="24"/>
          <w:szCs w:val="24"/>
        </w:rPr>
        <w:t xml:space="preserve">where </w:t>
      </w:r>
      <w:r w:rsidR="00CB3471" w:rsidRPr="00CB3471">
        <w:rPr>
          <w:rFonts w:ascii="Times New Roman" w:hAnsi="Times New Roman" w:cs="Times New Roman"/>
          <w:position w:val="-12"/>
          <w:sz w:val="24"/>
          <w:szCs w:val="24"/>
        </w:rPr>
        <w:object w:dxaOrig="279" w:dyaOrig="360" w14:anchorId="66F24D03">
          <v:shape id="_x0000_i1106" type="#_x0000_t75" style="width:13.7pt;height:18.45pt;mso-position-vertical:absolute" o:ole="" o:preferrelative="f">
            <v:imagedata r:id="rId166" o:title=""/>
            <o:lock v:ext="edit" aspectratio="f"/>
          </v:shape>
          <o:OLEObject Type="Embed" ProgID="Equation.DSMT4" ShapeID="_x0000_i1106" DrawAspect="Content" ObjectID="_1752435809" r:id="rId167"/>
        </w:object>
      </w:r>
      <w:r w:rsidRPr="00CB3471">
        <w:rPr>
          <w:rFonts w:ascii="Times New Roman" w:hAnsi="Times New Roman" w:cs="Times New Roman"/>
          <w:sz w:val="24"/>
          <w:szCs w:val="24"/>
        </w:rPr>
        <w:t xml:space="preserve"> is the observed share (or continuous mileage) and </w:t>
      </w:r>
      <w:r w:rsidR="00CB3471" w:rsidRPr="00CB3471">
        <w:rPr>
          <w:rFonts w:ascii="Times New Roman" w:hAnsi="Times New Roman" w:cs="Times New Roman"/>
          <w:position w:val="-12"/>
          <w:sz w:val="24"/>
          <w:szCs w:val="24"/>
        </w:rPr>
        <w:object w:dxaOrig="240" w:dyaOrig="360" w14:anchorId="788164DF">
          <v:shape id="_x0000_i1107" type="#_x0000_t75" style="width:12.45pt;height:18.45pt" o:ole="" o:preferrelative="f">
            <v:imagedata r:id="rId168" o:title=""/>
            <o:lock v:ext="edit" aspectratio="f"/>
          </v:shape>
          <o:OLEObject Type="Embed" ProgID="Equation.DSMT4" ShapeID="_x0000_i1107" DrawAspect="Content" ObjectID="_1752435810" r:id="rId169"/>
        </w:object>
      </w:r>
      <w:r w:rsidRPr="00CB3471">
        <w:rPr>
          <w:rFonts w:ascii="Times New Roman" w:hAnsi="Times New Roman" w:cs="Times New Roman"/>
          <w:sz w:val="24"/>
          <w:szCs w:val="24"/>
        </w:rPr>
        <w:t xml:space="preserve"> is the predicted share (or continuous mileage) for alternative </w:t>
      </w:r>
      <w:r w:rsidRPr="00CB3471">
        <w:rPr>
          <w:rFonts w:ascii="Times New Roman" w:hAnsi="Times New Roman" w:cs="Times New Roman"/>
          <w:i/>
          <w:iCs/>
          <w:sz w:val="24"/>
          <w:szCs w:val="24"/>
        </w:rPr>
        <w:t>i</w:t>
      </w:r>
      <w:r w:rsidRPr="00CB3471">
        <w:rPr>
          <w:rFonts w:ascii="Times New Roman" w:hAnsi="Times New Roman" w:cs="Times New Roman"/>
          <w:iCs/>
          <w:sz w:val="24"/>
          <w:szCs w:val="24"/>
        </w:rPr>
        <w:t>.</w:t>
      </w:r>
      <w:r w:rsidRPr="00CB3471">
        <w:rPr>
          <w:rFonts w:ascii="Times New Roman" w:hAnsi="Times New Roman" w:cs="Times New Roman"/>
          <w:sz w:val="24"/>
          <w:szCs w:val="24"/>
        </w:rPr>
        <w:t xml:space="preserve"> </w:t>
      </w:r>
    </w:p>
    <w:p w14:paraId="7F7B1904" w14:textId="68994919" w:rsidR="001F22F4" w:rsidRDefault="001F22F4" w:rsidP="00CB3471">
      <w:pPr>
        <w:spacing w:after="0" w:line="240" w:lineRule="auto"/>
        <w:ind w:firstLine="720"/>
        <w:jc w:val="both"/>
        <w:rPr>
          <w:rFonts w:ascii="Times New Roman" w:hAnsi="Times New Roman" w:cs="Times New Roman"/>
          <w:sz w:val="24"/>
          <w:szCs w:val="24"/>
        </w:rPr>
      </w:pPr>
      <w:r w:rsidRPr="00CB3471">
        <w:rPr>
          <w:rFonts w:ascii="Times New Roman" w:hAnsi="Times New Roman" w:cs="Times New Roman"/>
          <w:sz w:val="24"/>
          <w:szCs w:val="24"/>
        </w:rPr>
        <w:t>The predicted vehicle holding and usage pattern is presented in Table 3 (under the heading non-likelihood-based data fit). As indicated from the results, the discrete shares of vehicle holdings are predicted close to the observed vehicle holding patterns with the weighted MAPE of 5.19%. However, the predictions of mileage accrued to each of the vehicle categor</w:t>
      </w:r>
      <w:r w:rsidR="000A4751" w:rsidRPr="00CB3471">
        <w:rPr>
          <w:rFonts w:ascii="Times New Roman" w:hAnsi="Times New Roman" w:cs="Times New Roman"/>
          <w:sz w:val="24"/>
          <w:szCs w:val="24"/>
        </w:rPr>
        <w:t>y</w:t>
      </w:r>
      <w:r w:rsidRPr="00CB3471">
        <w:rPr>
          <w:rFonts w:ascii="Times New Roman" w:hAnsi="Times New Roman" w:cs="Times New Roman"/>
          <w:sz w:val="24"/>
          <w:szCs w:val="24"/>
        </w:rPr>
        <w:t xml:space="preserve"> has a slightly magnified error of 8.67%. Despite this slight error, the total average mileage is predicted with great accuracy (a weighted percentage error of 1.57%). However, </w:t>
      </w:r>
      <w:r w:rsidR="000A4751" w:rsidRPr="00CB3471">
        <w:rPr>
          <w:rFonts w:ascii="Times New Roman" w:hAnsi="Times New Roman" w:cs="Times New Roman"/>
          <w:sz w:val="24"/>
          <w:szCs w:val="24"/>
        </w:rPr>
        <w:t xml:space="preserve">the </w:t>
      </w:r>
      <w:r w:rsidRPr="00CB3471">
        <w:rPr>
          <w:rFonts w:ascii="Times New Roman" w:hAnsi="Times New Roman" w:cs="Times New Roman"/>
          <w:sz w:val="24"/>
          <w:szCs w:val="24"/>
        </w:rPr>
        <w:t>number of households predicted with zero vehicle ownership w</w:t>
      </w:r>
      <w:r w:rsidR="000A4751" w:rsidRPr="00CB3471">
        <w:rPr>
          <w:rFonts w:ascii="Times New Roman" w:hAnsi="Times New Roman" w:cs="Times New Roman"/>
          <w:sz w:val="24"/>
          <w:szCs w:val="24"/>
        </w:rPr>
        <w:t>as</w:t>
      </w:r>
      <w:r w:rsidRPr="00CB3471">
        <w:rPr>
          <w:rFonts w:ascii="Times New Roman" w:hAnsi="Times New Roman" w:cs="Times New Roman"/>
          <w:sz w:val="24"/>
          <w:szCs w:val="24"/>
        </w:rPr>
        <w:t xml:space="preserve"> way off from the observed value (7.95% </w:t>
      </w:r>
      <w:r w:rsidR="000A4751" w:rsidRPr="00CB3471">
        <w:rPr>
          <w:rFonts w:ascii="Times New Roman" w:hAnsi="Times New Roman" w:cs="Times New Roman"/>
          <w:sz w:val="24"/>
          <w:szCs w:val="24"/>
        </w:rPr>
        <w:t xml:space="preserve">of </w:t>
      </w:r>
      <w:r w:rsidRPr="00CB3471">
        <w:rPr>
          <w:rFonts w:ascii="Times New Roman" w:hAnsi="Times New Roman" w:cs="Times New Roman"/>
          <w:sz w:val="24"/>
          <w:szCs w:val="24"/>
        </w:rPr>
        <w:t xml:space="preserve">households predicted with zero vehicle holdings as opposed to the observed value of 2.55%). This high error could be attributed to an inherent small proportion of households with zero car ownership. Overall, </w:t>
      </w:r>
      <w:proofErr w:type="gramStart"/>
      <w:r w:rsidRPr="00CB3471">
        <w:rPr>
          <w:rFonts w:ascii="Times New Roman" w:hAnsi="Times New Roman" w:cs="Times New Roman"/>
          <w:sz w:val="24"/>
          <w:szCs w:val="24"/>
        </w:rPr>
        <w:t>these predicted vehicle</w:t>
      </w:r>
      <w:proofErr w:type="gramEnd"/>
      <w:r w:rsidRPr="00CB3471">
        <w:rPr>
          <w:rFonts w:ascii="Times New Roman" w:hAnsi="Times New Roman" w:cs="Times New Roman"/>
          <w:sz w:val="24"/>
          <w:szCs w:val="24"/>
        </w:rPr>
        <w:t xml:space="preserve"> holding and usage patterns are reasonably close to the observed values in the holdout sample, with an overall weighted MAPE of 6.28%. In comparison, errors in predictions from the model with unit scale were slightly higher (a weighted MAPE of 7.03%). This result underscores the importance of freely estimating the scale parameter in the model.</w:t>
      </w:r>
    </w:p>
    <w:p w14:paraId="5B962EA1" w14:textId="77777777" w:rsidR="00CB3471" w:rsidRPr="00CB3471" w:rsidRDefault="00CB3471" w:rsidP="00CB3471">
      <w:pPr>
        <w:spacing w:after="0" w:line="240" w:lineRule="auto"/>
        <w:ind w:firstLine="720"/>
        <w:jc w:val="both"/>
        <w:rPr>
          <w:rFonts w:ascii="Times New Roman" w:hAnsi="Times New Roman" w:cs="Times New Roman"/>
          <w:b/>
          <w:color w:val="000000" w:themeColor="text1"/>
          <w:sz w:val="24"/>
          <w:szCs w:val="24"/>
        </w:rPr>
      </w:pPr>
    </w:p>
    <w:p w14:paraId="2A3917E2" w14:textId="7A2F759C" w:rsidR="001F22F4" w:rsidRPr="00CB3471" w:rsidRDefault="001F22F4" w:rsidP="00C25A23">
      <w:pPr>
        <w:spacing w:after="0" w:line="240" w:lineRule="auto"/>
        <w:rPr>
          <w:rFonts w:ascii="Times New Roman" w:hAnsi="Times New Roman" w:cs="Times New Roman"/>
          <w:b/>
          <w:color w:val="000000" w:themeColor="text1"/>
          <w:sz w:val="24"/>
          <w:szCs w:val="24"/>
        </w:rPr>
      </w:pPr>
      <w:r w:rsidRPr="00CB3471">
        <w:rPr>
          <w:rFonts w:ascii="Times New Roman" w:hAnsi="Times New Roman" w:cs="Times New Roman"/>
          <w:b/>
          <w:color w:val="000000" w:themeColor="text1"/>
          <w:sz w:val="24"/>
          <w:szCs w:val="24"/>
        </w:rPr>
        <w:t xml:space="preserve">Policy </w:t>
      </w:r>
      <w:r w:rsidR="00CB3471">
        <w:rPr>
          <w:rFonts w:ascii="Times New Roman" w:hAnsi="Times New Roman" w:cs="Times New Roman"/>
          <w:b/>
          <w:color w:val="000000" w:themeColor="text1"/>
          <w:sz w:val="24"/>
          <w:szCs w:val="24"/>
        </w:rPr>
        <w:t>E</w:t>
      </w:r>
      <w:r w:rsidRPr="00CB3471">
        <w:rPr>
          <w:rFonts w:ascii="Times New Roman" w:hAnsi="Times New Roman" w:cs="Times New Roman"/>
          <w:b/>
          <w:color w:val="000000" w:themeColor="text1"/>
          <w:sz w:val="24"/>
          <w:szCs w:val="24"/>
        </w:rPr>
        <w:t>valuation</w:t>
      </w:r>
    </w:p>
    <w:p w14:paraId="56D66D13" w14:textId="3F50AFBF" w:rsidR="00762947" w:rsidRDefault="001F22F4" w:rsidP="00C25A23">
      <w:pPr>
        <w:spacing w:after="0" w:line="240" w:lineRule="auto"/>
        <w:jc w:val="both"/>
        <w:rPr>
          <w:rFonts w:ascii="Times New Roman" w:hAnsi="Times New Roman" w:cs="Times New Roman"/>
          <w:sz w:val="24"/>
          <w:szCs w:val="24"/>
        </w:rPr>
        <w:sectPr w:rsidR="00762947" w:rsidSect="000F372D">
          <w:pgSz w:w="12240" w:h="15840"/>
          <w:pgMar w:top="1440" w:right="1440" w:bottom="1440" w:left="1440" w:header="720" w:footer="720" w:gutter="0"/>
          <w:cols w:space="720"/>
          <w:titlePg/>
          <w:docGrid w:linePitch="360"/>
        </w:sectPr>
      </w:pPr>
      <w:r w:rsidRPr="00CB3471">
        <w:rPr>
          <w:rFonts w:ascii="Times New Roman" w:hAnsi="Times New Roman" w:cs="Times New Roman"/>
          <w:sz w:val="24"/>
          <w:szCs w:val="24"/>
        </w:rPr>
        <w:t>The two-stage MDC allows better evaluation of policies since it allows the possibility of both complementarity and/or substitution effects (through income effects). In this study, we undertake analysis of two specific policies that demonstrate the advantages of the two-stage MDC model. Specifically, we focus on understanding the effects of</w:t>
      </w:r>
      <w:r w:rsidR="000A4751" w:rsidRPr="00CB3471">
        <w:rPr>
          <w:rFonts w:ascii="Times New Roman" w:hAnsi="Times New Roman" w:cs="Times New Roman"/>
          <w:sz w:val="24"/>
          <w:szCs w:val="24"/>
        </w:rPr>
        <w:t>:</w:t>
      </w:r>
      <w:r w:rsidRPr="00CB3471">
        <w:rPr>
          <w:rFonts w:ascii="Times New Roman" w:hAnsi="Times New Roman" w:cs="Times New Roman"/>
          <w:sz w:val="24"/>
          <w:szCs w:val="24"/>
        </w:rPr>
        <w:t xml:space="preserve"> (a) regional densification by increasing employment</w:t>
      </w:r>
      <w:r w:rsidRPr="001F22F4">
        <w:rPr>
          <w:rFonts w:ascii="Times New Roman" w:hAnsi="Times New Roman" w:cs="Times New Roman"/>
          <w:sz w:val="24"/>
          <w:szCs w:val="24"/>
        </w:rPr>
        <w:t xml:space="preserve"> density</w:t>
      </w:r>
      <w:r w:rsidR="005F211D">
        <w:rPr>
          <w:rFonts w:ascii="Times New Roman" w:hAnsi="Times New Roman" w:cs="Times New Roman"/>
          <w:sz w:val="24"/>
          <w:szCs w:val="24"/>
        </w:rPr>
        <w:t>,</w:t>
      </w:r>
      <w:r w:rsidRPr="001F22F4">
        <w:rPr>
          <w:rFonts w:ascii="Times New Roman" w:hAnsi="Times New Roman" w:cs="Times New Roman"/>
          <w:sz w:val="24"/>
          <w:szCs w:val="24"/>
        </w:rPr>
        <w:t xml:space="preserve"> and (b) providing non-private commute opportunities to every household with</w:t>
      </w:r>
      <w:r w:rsidR="00CB3471">
        <w:rPr>
          <w:rFonts w:ascii="Times New Roman" w:hAnsi="Times New Roman" w:cs="Times New Roman"/>
          <w:sz w:val="24"/>
          <w:szCs w:val="24"/>
        </w:rPr>
        <w:t xml:space="preserve"> </w:t>
      </w:r>
      <w:r w:rsidR="00CB3471" w:rsidRPr="001F22F4">
        <w:rPr>
          <w:rFonts w:ascii="Times New Roman" w:hAnsi="Times New Roman" w:cs="Times New Roman"/>
          <w:sz w:val="24"/>
          <w:szCs w:val="24"/>
        </w:rPr>
        <w:t xml:space="preserve">employed individuals. In the context of quantifying changes in vehicle holdings due to densification of employment opportunities, households’ vehicle holdings and mileage decisions were compared between two scenarios: i) all households </w:t>
      </w:r>
      <w:r w:rsidR="00CB3471">
        <w:rPr>
          <w:rFonts w:ascii="Times New Roman" w:hAnsi="Times New Roman" w:cs="Times New Roman"/>
          <w:sz w:val="24"/>
          <w:szCs w:val="24"/>
        </w:rPr>
        <w:t>living in</w:t>
      </w:r>
      <w:r w:rsidR="00CB3471" w:rsidRPr="001F22F4">
        <w:rPr>
          <w:rFonts w:ascii="Times New Roman" w:hAnsi="Times New Roman" w:cs="Times New Roman"/>
          <w:sz w:val="24"/>
          <w:szCs w:val="24"/>
        </w:rPr>
        <w:t xml:space="preserve"> regions with employment density less than 500 person</w:t>
      </w:r>
      <w:r w:rsidR="00CB3471">
        <w:rPr>
          <w:rFonts w:ascii="Times New Roman" w:hAnsi="Times New Roman" w:cs="Times New Roman"/>
          <w:sz w:val="24"/>
          <w:szCs w:val="24"/>
        </w:rPr>
        <w:t>s</w:t>
      </w:r>
      <w:r w:rsidR="00CB3471" w:rsidRPr="001F22F4">
        <w:rPr>
          <w:rFonts w:ascii="Times New Roman" w:hAnsi="Times New Roman" w:cs="Times New Roman"/>
          <w:sz w:val="24"/>
          <w:szCs w:val="24"/>
        </w:rPr>
        <w:t xml:space="preserve"> per sq. mile, and ii) all households </w:t>
      </w:r>
      <w:r w:rsidR="00CB3471">
        <w:rPr>
          <w:rFonts w:ascii="Times New Roman" w:hAnsi="Times New Roman" w:cs="Times New Roman"/>
          <w:sz w:val="24"/>
          <w:szCs w:val="24"/>
        </w:rPr>
        <w:t>living in</w:t>
      </w:r>
      <w:r w:rsidR="00CB3471" w:rsidRPr="001F22F4">
        <w:rPr>
          <w:rFonts w:ascii="Times New Roman" w:hAnsi="Times New Roman" w:cs="Times New Roman"/>
          <w:sz w:val="24"/>
          <w:szCs w:val="24"/>
        </w:rPr>
        <w:t xml:space="preserve"> regions of employment density more than 500 persons per sq. mile. Similarly, in the context of providing non-private commute options to workers, vehicle holdings were forecasted for two scenarios: i) none of the households</w:t>
      </w:r>
      <w:r w:rsidRPr="001F22F4">
        <w:rPr>
          <w:rFonts w:ascii="Times New Roman" w:hAnsi="Times New Roman" w:cs="Times New Roman"/>
          <w:sz w:val="24"/>
          <w:szCs w:val="24"/>
        </w:rPr>
        <w:t xml:space="preserve"> </w:t>
      </w:r>
    </w:p>
    <w:p w14:paraId="1E9ECCD2" w14:textId="757DB62E" w:rsidR="00762947" w:rsidRPr="00CB3471" w:rsidRDefault="00CB3471" w:rsidP="00840278">
      <w:pPr>
        <w:spacing w:after="120"/>
        <w:jc w:val="both"/>
        <w:rPr>
          <w:rFonts w:ascii="Times New Roman" w:hAnsi="Times New Roman" w:cs="Times New Roman"/>
          <w:b/>
          <w:sz w:val="24"/>
          <w:szCs w:val="24"/>
        </w:rPr>
      </w:pPr>
      <w:r w:rsidRPr="00CB3471">
        <w:rPr>
          <w:rFonts w:ascii="Times New Roman" w:hAnsi="Times New Roman" w:cs="Times New Roman"/>
          <w:b/>
          <w:sz w:val="24"/>
          <w:szCs w:val="24"/>
        </w:rPr>
        <w:lastRenderedPageBreak/>
        <w:t>TABLE</w:t>
      </w:r>
      <w:r w:rsidR="00762947" w:rsidRPr="00CB3471">
        <w:rPr>
          <w:rFonts w:ascii="Times New Roman" w:hAnsi="Times New Roman" w:cs="Times New Roman"/>
          <w:b/>
          <w:sz w:val="24"/>
          <w:szCs w:val="24"/>
        </w:rPr>
        <w:t xml:space="preserve"> 3 Non-</w:t>
      </w:r>
      <w:r w:rsidRPr="00CB3471">
        <w:rPr>
          <w:rFonts w:ascii="Times New Roman" w:hAnsi="Times New Roman" w:cs="Times New Roman"/>
          <w:b/>
          <w:sz w:val="24"/>
          <w:szCs w:val="24"/>
        </w:rPr>
        <w:t>L</w:t>
      </w:r>
      <w:r w:rsidR="00762947" w:rsidRPr="00CB3471">
        <w:rPr>
          <w:rFonts w:ascii="Times New Roman" w:hAnsi="Times New Roman" w:cs="Times New Roman"/>
          <w:b/>
          <w:sz w:val="24"/>
          <w:szCs w:val="24"/>
        </w:rPr>
        <w:t>ikelihood-</w:t>
      </w:r>
      <w:r w:rsidRPr="00CB3471">
        <w:rPr>
          <w:rFonts w:ascii="Times New Roman" w:hAnsi="Times New Roman" w:cs="Times New Roman"/>
          <w:b/>
          <w:sz w:val="24"/>
          <w:szCs w:val="24"/>
        </w:rPr>
        <w:t>B</w:t>
      </w:r>
      <w:r w:rsidR="00762947" w:rsidRPr="00CB3471">
        <w:rPr>
          <w:rFonts w:ascii="Times New Roman" w:hAnsi="Times New Roman" w:cs="Times New Roman"/>
          <w:b/>
          <w:sz w:val="24"/>
          <w:szCs w:val="24"/>
        </w:rPr>
        <w:t xml:space="preserve">ased </w:t>
      </w:r>
      <w:r w:rsidRPr="00CB3471">
        <w:rPr>
          <w:rFonts w:ascii="Times New Roman" w:hAnsi="Times New Roman" w:cs="Times New Roman"/>
          <w:b/>
          <w:sz w:val="24"/>
          <w:szCs w:val="24"/>
        </w:rPr>
        <w:t>D</w:t>
      </w:r>
      <w:r w:rsidR="00762947" w:rsidRPr="00CB3471">
        <w:rPr>
          <w:rFonts w:ascii="Times New Roman" w:hAnsi="Times New Roman" w:cs="Times New Roman"/>
          <w:b/>
          <w:sz w:val="24"/>
          <w:szCs w:val="24"/>
        </w:rPr>
        <w:t xml:space="preserve">ata </w:t>
      </w:r>
      <w:r w:rsidRPr="00CB3471">
        <w:rPr>
          <w:rFonts w:ascii="Times New Roman" w:hAnsi="Times New Roman" w:cs="Times New Roman"/>
          <w:b/>
          <w:sz w:val="24"/>
          <w:szCs w:val="24"/>
        </w:rPr>
        <w:t>M</w:t>
      </w:r>
      <w:r w:rsidR="00762947" w:rsidRPr="00CB3471">
        <w:rPr>
          <w:rFonts w:ascii="Times New Roman" w:hAnsi="Times New Roman" w:cs="Times New Roman"/>
          <w:b/>
          <w:sz w:val="24"/>
          <w:szCs w:val="24"/>
        </w:rPr>
        <w:t xml:space="preserve">easures </w:t>
      </w:r>
      <w:r w:rsidRPr="00CB3471">
        <w:rPr>
          <w:rFonts w:ascii="Times New Roman" w:hAnsi="Times New Roman" w:cs="Times New Roman"/>
          <w:b/>
          <w:sz w:val="24"/>
          <w:szCs w:val="24"/>
        </w:rPr>
        <w:t>(P</w:t>
      </w:r>
      <w:r w:rsidR="00762947" w:rsidRPr="00CB3471">
        <w:rPr>
          <w:rFonts w:ascii="Times New Roman" w:hAnsi="Times New Roman" w:cs="Times New Roman"/>
          <w:b/>
          <w:sz w:val="24"/>
          <w:szCs w:val="24"/>
        </w:rPr>
        <w:t xml:space="preserve">rediction </w:t>
      </w:r>
      <w:r w:rsidRPr="00CB3471">
        <w:rPr>
          <w:rFonts w:ascii="Times New Roman" w:hAnsi="Times New Roman" w:cs="Times New Roman"/>
          <w:b/>
          <w:sz w:val="24"/>
          <w:szCs w:val="24"/>
        </w:rPr>
        <w:t>P</w:t>
      </w:r>
      <w:r w:rsidR="00762947" w:rsidRPr="00CB3471">
        <w:rPr>
          <w:rFonts w:ascii="Times New Roman" w:hAnsi="Times New Roman" w:cs="Times New Roman"/>
          <w:b/>
          <w:sz w:val="24"/>
          <w:szCs w:val="24"/>
        </w:rPr>
        <w:t xml:space="preserve">erformance) and </w:t>
      </w:r>
      <w:r w:rsidRPr="00CB3471">
        <w:rPr>
          <w:rFonts w:ascii="Times New Roman" w:hAnsi="Times New Roman" w:cs="Times New Roman"/>
          <w:b/>
          <w:sz w:val="24"/>
          <w:szCs w:val="24"/>
        </w:rPr>
        <w:t>P</w:t>
      </w:r>
      <w:r w:rsidR="00762947" w:rsidRPr="00CB3471">
        <w:rPr>
          <w:rFonts w:ascii="Times New Roman" w:hAnsi="Times New Roman" w:cs="Times New Roman"/>
          <w:b/>
          <w:sz w:val="24"/>
          <w:szCs w:val="24"/>
        </w:rPr>
        <w:t xml:space="preserve">olicy </w:t>
      </w:r>
      <w:r w:rsidRPr="00CB3471">
        <w:rPr>
          <w:rFonts w:ascii="Times New Roman" w:hAnsi="Times New Roman" w:cs="Times New Roman"/>
          <w:b/>
          <w:sz w:val="24"/>
          <w:szCs w:val="24"/>
        </w:rPr>
        <w:t>E</w:t>
      </w:r>
      <w:r w:rsidR="00762947" w:rsidRPr="00CB3471">
        <w:rPr>
          <w:rFonts w:ascii="Times New Roman" w:hAnsi="Times New Roman" w:cs="Times New Roman"/>
          <w:b/>
          <w:sz w:val="24"/>
          <w:szCs w:val="24"/>
        </w:rPr>
        <w:t>valuations</w:t>
      </w:r>
    </w:p>
    <w:tbl>
      <w:tblPr>
        <w:tblStyle w:val="TableGrid1"/>
        <w:tblW w:w="1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1594"/>
        <w:gridCol w:w="875"/>
        <w:gridCol w:w="70"/>
        <w:gridCol w:w="1008"/>
        <w:gridCol w:w="1102"/>
        <w:gridCol w:w="1386"/>
        <w:gridCol w:w="118"/>
        <w:gridCol w:w="67"/>
        <w:gridCol w:w="696"/>
        <w:gridCol w:w="136"/>
        <w:gridCol w:w="73"/>
        <w:gridCol w:w="771"/>
        <w:gridCol w:w="56"/>
      </w:tblGrid>
      <w:tr w:rsidR="00762947" w:rsidRPr="00CB3471" w14:paraId="7DC4987A" w14:textId="77777777" w:rsidTr="00CB3471">
        <w:trPr>
          <w:gridAfter w:val="1"/>
          <w:wAfter w:w="56" w:type="dxa"/>
          <w:trHeight w:val="273"/>
        </w:trPr>
        <w:tc>
          <w:tcPr>
            <w:tcW w:w="5220" w:type="dxa"/>
            <w:tcBorders>
              <w:top w:val="single" w:sz="12" w:space="0" w:color="auto"/>
              <w:bottom w:val="single" w:sz="12" w:space="0" w:color="auto"/>
            </w:tcBorders>
            <w:vAlign w:val="center"/>
          </w:tcPr>
          <w:p w14:paraId="62E148E6" w14:textId="77777777" w:rsidR="00762947" w:rsidRPr="00CB3471" w:rsidRDefault="00762947" w:rsidP="00AD5DB0">
            <w:pPr>
              <w:rPr>
                <w:sz w:val="20"/>
                <w:szCs w:val="20"/>
              </w:rPr>
            </w:pPr>
            <w:r w:rsidRPr="00CB3471">
              <w:rPr>
                <w:b/>
                <w:bCs/>
                <w:sz w:val="20"/>
                <w:szCs w:val="20"/>
              </w:rPr>
              <w:t>Non-likelihood-based data fit (holdout sample)</w:t>
            </w:r>
          </w:p>
        </w:tc>
        <w:tc>
          <w:tcPr>
            <w:tcW w:w="1595" w:type="dxa"/>
            <w:tcBorders>
              <w:top w:val="single" w:sz="12" w:space="0" w:color="auto"/>
              <w:bottom w:val="single" w:sz="12" w:space="0" w:color="auto"/>
            </w:tcBorders>
            <w:vAlign w:val="center"/>
          </w:tcPr>
          <w:p w14:paraId="77B69736" w14:textId="77777777" w:rsidR="00762947" w:rsidRPr="00CB3471" w:rsidRDefault="00762947" w:rsidP="00AD5DB0">
            <w:pPr>
              <w:jc w:val="center"/>
              <w:rPr>
                <w:b/>
                <w:bCs/>
                <w:sz w:val="20"/>
                <w:szCs w:val="20"/>
              </w:rPr>
            </w:pPr>
            <w:r w:rsidRPr="00CB3471">
              <w:rPr>
                <w:b/>
                <w:bCs/>
                <w:sz w:val="20"/>
                <w:szCs w:val="20"/>
              </w:rPr>
              <w:t>Gasoline car</w:t>
            </w:r>
          </w:p>
        </w:tc>
        <w:tc>
          <w:tcPr>
            <w:tcW w:w="875" w:type="dxa"/>
            <w:tcBorders>
              <w:top w:val="single" w:sz="12" w:space="0" w:color="auto"/>
              <w:bottom w:val="single" w:sz="12" w:space="0" w:color="auto"/>
            </w:tcBorders>
            <w:vAlign w:val="center"/>
          </w:tcPr>
          <w:p w14:paraId="32D3F5E5" w14:textId="77777777" w:rsidR="00762947" w:rsidRPr="00CB3471" w:rsidRDefault="00762947" w:rsidP="00AD5DB0">
            <w:pPr>
              <w:jc w:val="center"/>
              <w:rPr>
                <w:b/>
                <w:bCs/>
                <w:sz w:val="20"/>
                <w:szCs w:val="20"/>
              </w:rPr>
            </w:pPr>
            <w:r w:rsidRPr="00CB3471">
              <w:rPr>
                <w:b/>
                <w:bCs/>
                <w:sz w:val="20"/>
                <w:szCs w:val="20"/>
              </w:rPr>
              <w:t>Hybrid car</w:t>
            </w:r>
          </w:p>
        </w:tc>
        <w:tc>
          <w:tcPr>
            <w:tcW w:w="1078" w:type="dxa"/>
            <w:gridSpan w:val="2"/>
            <w:tcBorders>
              <w:top w:val="single" w:sz="12" w:space="0" w:color="auto"/>
              <w:bottom w:val="single" w:sz="12" w:space="0" w:color="auto"/>
            </w:tcBorders>
            <w:vAlign w:val="center"/>
          </w:tcPr>
          <w:p w14:paraId="088D0EAA" w14:textId="77777777" w:rsidR="00762947" w:rsidRPr="00CB3471" w:rsidRDefault="00762947" w:rsidP="00AD5DB0">
            <w:pPr>
              <w:jc w:val="center"/>
              <w:rPr>
                <w:b/>
                <w:bCs/>
                <w:sz w:val="20"/>
                <w:szCs w:val="20"/>
              </w:rPr>
            </w:pPr>
            <w:r w:rsidRPr="00CB3471">
              <w:rPr>
                <w:b/>
                <w:bCs/>
                <w:sz w:val="20"/>
                <w:szCs w:val="20"/>
              </w:rPr>
              <w:t>Electric car</w:t>
            </w:r>
          </w:p>
        </w:tc>
        <w:tc>
          <w:tcPr>
            <w:tcW w:w="1102" w:type="dxa"/>
            <w:tcBorders>
              <w:top w:val="single" w:sz="12" w:space="0" w:color="auto"/>
              <w:bottom w:val="single" w:sz="12" w:space="0" w:color="auto"/>
            </w:tcBorders>
            <w:vAlign w:val="center"/>
          </w:tcPr>
          <w:p w14:paraId="26783347" w14:textId="77777777" w:rsidR="00762947" w:rsidRPr="00CB3471" w:rsidRDefault="00762947" w:rsidP="00AD5DB0">
            <w:pPr>
              <w:jc w:val="center"/>
              <w:rPr>
                <w:b/>
                <w:bCs/>
                <w:sz w:val="20"/>
                <w:szCs w:val="20"/>
              </w:rPr>
            </w:pPr>
            <w:r w:rsidRPr="00CB3471">
              <w:rPr>
                <w:b/>
                <w:bCs/>
                <w:sz w:val="20"/>
                <w:szCs w:val="20"/>
              </w:rPr>
              <w:t>Gasoline SUV</w:t>
            </w:r>
          </w:p>
        </w:tc>
        <w:tc>
          <w:tcPr>
            <w:tcW w:w="1571" w:type="dxa"/>
            <w:gridSpan w:val="3"/>
            <w:tcBorders>
              <w:top w:val="single" w:sz="12" w:space="0" w:color="auto"/>
              <w:bottom w:val="single" w:sz="12" w:space="0" w:color="auto"/>
            </w:tcBorders>
            <w:vAlign w:val="center"/>
          </w:tcPr>
          <w:p w14:paraId="6C53E203" w14:textId="77777777" w:rsidR="00762947" w:rsidRPr="00CB3471" w:rsidRDefault="00762947" w:rsidP="00AD5DB0">
            <w:pPr>
              <w:jc w:val="center"/>
              <w:rPr>
                <w:b/>
                <w:bCs/>
                <w:sz w:val="20"/>
                <w:szCs w:val="20"/>
              </w:rPr>
            </w:pPr>
            <w:r w:rsidRPr="00CB3471">
              <w:rPr>
                <w:b/>
                <w:bCs/>
                <w:sz w:val="20"/>
                <w:szCs w:val="20"/>
              </w:rPr>
              <w:t>“Hybrid+” SUV</w:t>
            </w:r>
          </w:p>
        </w:tc>
        <w:tc>
          <w:tcPr>
            <w:tcW w:w="696" w:type="dxa"/>
            <w:tcBorders>
              <w:top w:val="single" w:sz="12" w:space="0" w:color="auto"/>
              <w:bottom w:val="single" w:sz="12" w:space="0" w:color="auto"/>
            </w:tcBorders>
            <w:vAlign w:val="center"/>
          </w:tcPr>
          <w:p w14:paraId="69128845" w14:textId="77777777" w:rsidR="00762947" w:rsidRPr="00CB3471" w:rsidRDefault="00762947" w:rsidP="00AD5DB0">
            <w:pPr>
              <w:jc w:val="center"/>
              <w:rPr>
                <w:b/>
                <w:bCs/>
                <w:sz w:val="20"/>
                <w:szCs w:val="20"/>
              </w:rPr>
            </w:pPr>
            <w:r w:rsidRPr="00CB3471">
              <w:rPr>
                <w:b/>
                <w:bCs/>
                <w:sz w:val="20"/>
                <w:szCs w:val="20"/>
              </w:rPr>
              <w:t>Van</w:t>
            </w:r>
          </w:p>
        </w:tc>
        <w:tc>
          <w:tcPr>
            <w:tcW w:w="975" w:type="dxa"/>
            <w:gridSpan w:val="3"/>
            <w:tcBorders>
              <w:top w:val="single" w:sz="12" w:space="0" w:color="auto"/>
              <w:bottom w:val="single" w:sz="12" w:space="0" w:color="auto"/>
            </w:tcBorders>
            <w:vAlign w:val="center"/>
          </w:tcPr>
          <w:p w14:paraId="0702B096" w14:textId="4FAAE7F5" w:rsidR="00762947" w:rsidRPr="00CB3471" w:rsidRDefault="00762947" w:rsidP="00AD5DB0">
            <w:pPr>
              <w:jc w:val="center"/>
              <w:rPr>
                <w:b/>
                <w:bCs/>
                <w:sz w:val="20"/>
                <w:szCs w:val="20"/>
              </w:rPr>
            </w:pPr>
            <w:r w:rsidRPr="00CB3471">
              <w:rPr>
                <w:b/>
                <w:bCs/>
                <w:sz w:val="20"/>
                <w:szCs w:val="20"/>
              </w:rPr>
              <w:t>Pickup</w:t>
            </w:r>
          </w:p>
          <w:p w14:paraId="0D3D2517" w14:textId="77777777" w:rsidR="00762947" w:rsidRPr="00CB3471" w:rsidRDefault="00762947" w:rsidP="00AD5DB0">
            <w:pPr>
              <w:jc w:val="center"/>
              <w:rPr>
                <w:b/>
                <w:bCs/>
                <w:sz w:val="20"/>
                <w:szCs w:val="20"/>
              </w:rPr>
            </w:pPr>
            <w:r w:rsidRPr="00CB3471">
              <w:rPr>
                <w:b/>
                <w:bCs/>
                <w:sz w:val="20"/>
                <w:szCs w:val="20"/>
              </w:rPr>
              <w:t>truck</w:t>
            </w:r>
          </w:p>
        </w:tc>
      </w:tr>
      <w:tr w:rsidR="00762947" w:rsidRPr="00CB3471" w14:paraId="648254B4" w14:textId="77777777" w:rsidTr="00CB3471">
        <w:trPr>
          <w:gridAfter w:val="1"/>
          <w:wAfter w:w="51" w:type="dxa"/>
          <w:trHeight w:val="258"/>
        </w:trPr>
        <w:tc>
          <w:tcPr>
            <w:tcW w:w="13117" w:type="dxa"/>
            <w:gridSpan w:val="13"/>
            <w:tcBorders>
              <w:bottom w:val="single" w:sz="12" w:space="0" w:color="auto"/>
            </w:tcBorders>
          </w:tcPr>
          <w:p w14:paraId="7A1A7834" w14:textId="77777777" w:rsidR="00762947" w:rsidRPr="00CB3471" w:rsidRDefault="00762947" w:rsidP="00AD5DB0">
            <w:pPr>
              <w:rPr>
                <w:b/>
                <w:bCs/>
                <w:i/>
                <w:iCs/>
                <w:sz w:val="20"/>
                <w:szCs w:val="20"/>
              </w:rPr>
            </w:pPr>
            <w:r w:rsidRPr="00CB3471">
              <w:rPr>
                <w:b/>
                <w:bCs/>
                <w:i/>
                <w:iCs/>
                <w:sz w:val="20"/>
                <w:szCs w:val="20"/>
              </w:rPr>
              <w:t>Observed in the holdout sample</w:t>
            </w:r>
          </w:p>
        </w:tc>
      </w:tr>
      <w:tr w:rsidR="00762947" w:rsidRPr="00CB3471" w14:paraId="6BF62E2D" w14:textId="77777777" w:rsidTr="00CB3471">
        <w:trPr>
          <w:gridAfter w:val="1"/>
          <w:wAfter w:w="56" w:type="dxa"/>
          <w:trHeight w:val="273"/>
        </w:trPr>
        <w:tc>
          <w:tcPr>
            <w:tcW w:w="5220" w:type="dxa"/>
            <w:tcBorders>
              <w:top w:val="single" w:sz="12" w:space="0" w:color="auto"/>
            </w:tcBorders>
          </w:tcPr>
          <w:p w14:paraId="76F87A4B" w14:textId="77777777" w:rsidR="00762947" w:rsidRPr="00CB3471" w:rsidRDefault="00762947" w:rsidP="00AD5DB0">
            <w:pPr>
              <w:rPr>
                <w:sz w:val="20"/>
                <w:szCs w:val="20"/>
              </w:rPr>
            </w:pPr>
            <w:r w:rsidRPr="00CB3471">
              <w:rPr>
                <w:sz w:val="20"/>
                <w:szCs w:val="20"/>
              </w:rPr>
              <w:t>Percentage of zero-car households</w:t>
            </w:r>
          </w:p>
        </w:tc>
        <w:tc>
          <w:tcPr>
            <w:tcW w:w="7892" w:type="dxa"/>
            <w:gridSpan w:val="12"/>
            <w:tcBorders>
              <w:top w:val="single" w:sz="12" w:space="0" w:color="auto"/>
            </w:tcBorders>
            <w:vAlign w:val="center"/>
          </w:tcPr>
          <w:p w14:paraId="35788795" w14:textId="77777777" w:rsidR="00762947" w:rsidRPr="00CB3471" w:rsidRDefault="00762947" w:rsidP="00AD5DB0">
            <w:pPr>
              <w:jc w:val="center"/>
              <w:rPr>
                <w:sz w:val="20"/>
                <w:szCs w:val="20"/>
              </w:rPr>
            </w:pPr>
            <w:r w:rsidRPr="00CB3471">
              <w:rPr>
                <w:sz w:val="20"/>
                <w:szCs w:val="20"/>
              </w:rPr>
              <w:t>2.55</w:t>
            </w:r>
          </w:p>
        </w:tc>
      </w:tr>
      <w:tr w:rsidR="00762947" w:rsidRPr="00CB3471" w14:paraId="664FBB28" w14:textId="77777777" w:rsidTr="00CB3471">
        <w:trPr>
          <w:gridAfter w:val="1"/>
          <w:wAfter w:w="56" w:type="dxa"/>
          <w:trHeight w:val="258"/>
        </w:trPr>
        <w:tc>
          <w:tcPr>
            <w:tcW w:w="5220" w:type="dxa"/>
            <w:vAlign w:val="center"/>
          </w:tcPr>
          <w:p w14:paraId="5E566663" w14:textId="77777777" w:rsidR="00762947" w:rsidRPr="00CB3471" w:rsidRDefault="00762947" w:rsidP="00AD5DB0">
            <w:pPr>
              <w:rPr>
                <w:sz w:val="20"/>
                <w:szCs w:val="20"/>
              </w:rPr>
            </w:pPr>
            <w:r w:rsidRPr="00CB3471">
              <w:rPr>
                <w:sz w:val="20"/>
                <w:szCs w:val="20"/>
              </w:rPr>
              <w:t>Percentage of households owning the vehicle type</w:t>
            </w:r>
          </w:p>
        </w:tc>
        <w:tc>
          <w:tcPr>
            <w:tcW w:w="1595" w:type="dxa"/>
            <w:vAlign w:val="center"/>
          </w:tcPr>
          <w:p w14:paraId="33A2CF7D" w14:textId="77777777" w:rsidR="00762947" w:rsidRPr="00CB3471" w:rsidRDefault="00762947" w:rsidP="00AD5DB0">
            <w:pPr>
              <w:jc w:val="center"/>
              <w:rPr>
                <w:sz w:val="20"/>
                <w:szCs w:val="20"/>
              </w:rPr>
            </w:pPr>
            <w:r w:rsidRPr="00CB3471">
              <w:rPr>
                <w:sz w:val="20"/>
                <w:szCs w:val="20"/>
              </w:rPr>
              <w:t>56.72</w:t>
            </w:r>
          </w:p>
        </w:tc>
        <w:tc>
          <w:tcPr>
            <w:tcW w:w="875" w:type="dxa"/>
            <w:vAlign w:val="center"/>
          </w:tcPr>
          <w:p w14:paraId="07FEBAFE" w14:textId="77777777" w:rsidR="00762947" w:rsidRPr="00CB3471" w:rsidRDefault="00762947" w:rsidP="00AD5DB0">
            <w:pPr>
              <w:jc w:val="center"/>
              <w:rPr>
                <w:sz w:val="20"/>
                <w:szCs w:val="20"/>
              </w:rPr>
            </w:pPr>
            <w:r w:rsidRPr="00CB3471">
              <w:rPr>
                <w:sz w:val="20"/>
                <w:szCs w:val="20"/>
              </w:rPr>
              <w:t>14.50</w:t>
            </w:r>
          </w:p>
        </w:tc>
        <w:tc>
          <w:tcPr>
            <w:tcW w:w="1078" w:type="dxa"/>
            <w:gridSpan w:val="2"/>
            <w:vAlign w:val="center"/>
          </w:tcPr>
          <w:p w14:paraId="525847D0" w14:textId="77777777" w:rsidR="00762947" w:rsidRPr="00CB3471" w:rsidRDefault="00762947" w:rsidP="00AD5DB0">
            <w:pPr>
              <w:jc w:val="center"/>
              <w:rPr>
                <w:sz w:val="20"/>
                <w:szCs w:val="20"/>
              </w:rPr>
            </w:pPr>
            <w:r w:rsidRPr="00CB3471">
              <w:rPr>
                <w:sz w:val="20"/>
                <w:szCs w:val="20"/>
              </w:rPr>
              <w:t>13.10</w:t>
            </w:r>
          </w:p>
        </w:tc>
        <w:tc>
          <w:tcPr>
            <w:tcW w:w="1102" w:type="dxa"/>
            <w:vAlign w:val="center"/>
          </w:tcPr>
          <w:p w14:paraId="1FC7D07B" w14:textId="77777777" w:rsidR="00762947" w:rsidRPr="00CB3471" w:rsidRDefault="00762947" w:rsidP="00AD5DB0">
            <w:pPr>
              <w:jc w:val="center"/>
              <w:rPr>
                <w:sz w:val="20"/>
                <w:szCs w:val="20"/>
              </w:rPr>
            </w:pPr>
            <w:r w:rsidRPr="00CB3471">
              <w:rPr>
                <w:sz w:val="20"/>
                <w:szCs w:val="20"/>
              </w:rPr>
              <w:t>41.29</w:t>
            </w:r>
          </w:p>
        </w:tc>
        <w:tc>
          <w:tcPr>
            <w:tcW w:w="1571" w:type="dxa"/>
            <w:gridSpan w:val="3"/>
            <w:vAlign w:val="center"/>
          </w:tcPr>
          <w:p w14:paraId="4F95B0F6" w14:textId="77777777" w:rsidR="00762947" w:rsidRPr="00CB3471" w:rsidRDefault="00762947" w:rsidP="00AD5DB0">
            <w:pPr>
              <w:jc w:val="center"/>
              <w:rPr>
                <w:sz w:val="20"/>
                <w:szCs w:val="20"/>
              </w:rPr>
            </w:pPr>
            <w:r w:rsidRPr="00CB3471">
              <w:rPr>
                <w:sz w:val="20"/>
                <w:szCs w:val="20"/>
              </w:rPr>
              <w:t>3.71</w:t>
            </w:r>
          </w:p>
        </w:tc>
        <w:tc>
          <w:tcPr>
            <w:tcW w:w="696" w:type="dxa"/>
            <w:vAlign w:val="center"/>
          </w:tcPr>
          <w:p w14:paraId="3CB2A2A3" w14:textId="77777777" w:rsidR="00762947" w:rsidRPr="00CB3471" w:rsidRDefault="00762947" w:rsidP="00AD5DB0">
            <w:pPr>
              <w:jc w:val="center"/>
              <w:rPr>
                <w:sz w:val="20"/>
                <w:szCs w:val="20"/>
              </w:rPr>
            </w:pPr>
            <w:r w:rsidRPr="00CB3471">
              <w:rPr>
                <w:sz w:val="20"/>
                <w:szCs w:val="20"/>
              </w:rPr>
              <w:t>7.07</w:t>
            </w:r>
          </w:p>
        </w:tc>
        <w:tc>
          <w:tcPr>
            <w:tcW w:w="975" w:type="dxa"/>
            <w:gridSpan w:val="3"/>
            <w:vAlign w:val="center"/>
          </w:tcPr>
          <w:p w14:paraId="2C1615D1" w14:textId="77777777" w:rsidR="00762947" w:rsidRPr="00CB3471" w:rsidRDefault="00762947" w:rsidP="00AD5DB0">
            <w:pPr>
              <w:jc w:val="center"/>
              <w:rPr>
                <w:sz w:val="20"/>
                <w:szCs w:val="20"/>
              </w:rPr>
            </w:pPr>
            <w:r w:rsidRPr="00CB3471">
              <w:rPr>
                <w:sz w:val="20"/>
                <w:szCs w:val="20"/>
              </w:rPr>
              <w:t>16.24</w:t>
            </w:r>
          </w:p>
        </w:tc>
      </w:tr>
      <w:tr w:rsidR="00762947" w:rsidRPr="00CB3471" w14:paraId="65B73F90" w14:textId="77777777" w:rsidTr="00CB3471">
        <w:trPr>
          <w:gridAfter w:val="1"/>
          <w:wAfter w:w="56" w:type="dxa"/>
          <w:trHeight w:val="273"/>
        </w:trPr>
        <w:tc>
          <w:tcPr>
            <w:tcW w:w="5220" w:type="dxa"/>
            <w:vAlign w:val="center"/>
          </w:tcPr>
          <w:p w14:paraId="1BCBCB45" w14:textId="77777777" w:rsidR="00762947" w:rsidRPr="00CB3471" w:rsidRDefault="00762947" w:rsidP="00AD5DB0">
            <w:pPr>
              <w:rPr>
                <w:sz w:val="20"/>
                <w:szCs w:val="20"/>
              </w:rPr>
            </w:pPr>
            <w:r w:rsidRPr="00CB3471">
              <w:rPr>
                <w:sz w:val="20"/>
                <w:szCs w:val="20"/>
              </w:rPr>
              <w:t>Average mileage on the vehicle type (in 1000 miles)</w:t>
            </w:r>
          </w:p>
        </w:tc>
        <w:tc>
          <w:tcPr>
            <w:tcW w:w="1595" w:type="dxa"/>
            <w:vAlign w:val="center"/>
          </w:tcPr>
          <w:p w14:paraId="7441D275" w14:textId="77777777" w:rsidR="00762947" w:rsidRPr="00CB3471" w:rsidRDefault="00762947" w:rsidP="00AD5DB0">
            <w:pPr>
              <w:jc w:val="center"/>
              <w:rPr>
                <w:sz w:val="20"/>
                <w:szCs w:val="20"/>
              </w:rPr>
            </w:pPr>
            <w:r w:rsidRPr="00CB3471">
              <w:rPr>
                <w:sz w:val="20"/>
                <w:szCs w:val="20"/>
              </w:rPr>
              <w:t>9.84</w:t>
            </w:r>
          </w:p>
        </w:tc>
        <w:tc>
          <w:tcPr>
            <w:tcW w:w="875" w:type="dxa"/>
            <w:vAlign w:val="center"/>
          </w:tcPr>
          <w:p w14:paraId="1C33BBC8" w14:textId="77777777" w:rsidR="00762947" w:rsidRPr="00CB3471" w:rsidRDefault="00762947" w:rsidP="00AD5DB0">
            <w:pPr>
              <w:jc w:val="center"/>
              <w:rPr>
                <w:sz w:val="20"/>
                <w:szCs w:val="20"/>
              </w:rPr>
            </w:pPr>
            <w:r w:rsidRPr="00CB3471">
              <w:rPr>
                <w:sz w:val="20"/>
                <w:szCs w:val="20"/>
              </w:rPr>
              <w:t>10.83</w:t>
            </w:r>
          </w:p>
        </w:tc>
        <w:tc>
          <w:tcPr>
            <w:tcW w:w="1078" w:type="dxa"/>
            <w:gridSpan w:val="2"/>
            <w:vAlign w:val="center"/>
          </w:tcPr>
          <w:p w14:paraId="07B7A314" w14:textId="77777777" w:rsidR="00762947" w:rsidRPr="00CB3471" w:rsidRDefault="00762947" w:rsidP="00AD5DB0">
            <w:pPr>
              <w:jc w:val="center"/>
              <w:rPr>
                <w:sz w:val="20"/>
                <w:szCs w:val="20"/>
              </w:rPr>
            </w:pPr>
            <w:r w:rsidRPr="00CB3471">
              <w:rPr>
                <w:sz w:val="20"/>
                <w:szCs w:val="20"/>
              </w:rPr>
              <w:t>10.87</w:t>
            </w:r>
          </w:p>
        </w:tc>
        <w:tc>
          <w:tcPr>
            <w:tcW w:w="1102" w:type="dxa"/>
            <w:vAlign w:val="center"/>
          </w:tcPr>
          <w:p w14:paraId="2AF7EB51" w14:textId="77777777" w:rsidR="00762947" w:rsidRPr="00CB3471" w:rsidRDefault="00762947" w:rsidP="00AD5DB0">
            <w:pPr>
              <w:jc w:val="center"/>
              <w:rPr>
                <w:sz w:val="20"/>
                <w:szCs w:val="20"/>
              </w:rPr>
            </w:pPr>
            <w:r w:rsidRPr="00CB3471">
              <w:rPr>
                <w:sz w:val="20"/>
                <w:szCs w:val="20"/>
              </w:rPr>
              <w:t>10.97</w:t>
            </w:r>
          </w:p>
        </w:tc>
        <w:tc>
          <w:tcPr>
            <w:tcW w:w="1571" w:type="dxa"/>
            <w:gridSpan w:val="3"/>
            <w:vAlign w:val="center"/>
          </w:tcPr>
          <w:p w14:paraId="040B4CFC" w14:textId="77777777" w:rsidR="00762947" w:rsidRPr="00CB3471" w:rsidRDefault="00762947" w:rsidP="00AD5DB0">
            <w:pPr>
              <w:jc w:val="center"/>
              <w:rPr>
                <w:sz w:val="20"/>
                <w:szCs w:val="20"/>
              </w:rPr>
            </w:pPr>
            <w:r w:rsidRPr="00CB3471">
              <w:rPr>
                <w:sz w:val="20"/>
                <w:szCs w:val="20"/>
              </w:rPr>
              <w:t>10.74</w:t>
            </w:r>
          </w:p>
        </w:tc>
        <w:tc>
          <w:tcPr>
            <w:tcW w:w="696" w:type="dxa"/>
            <w:vAlign w:val="center"/>
          </w:tcPr>
          <w:p w14:paraId="409508C2" w14:textId="77777777" w:rsidR="00762947" w:rsidRPr="00CB3471" w:rsidRDefault="00762947" w:rsidP="00AD5DB0">
            <w:pPr>
              <w:jc w:val="center"/>
              <w:rPr>
                <w:sz w:val="20"/>
                <w:szCs w:val="20"/>
              </w:rPr>
            </w:pPr>
            <w:r w:rsidRPr="00CB3471">
              <w:rPr>
                <w:sz w:val="20"/>
                <w:szCs w:val="20"/>
              </w:rPr>
              <w:t>9.07</w:t>
            </w:r>
          </w:p>
        </w:tc>
        <w:tc>
          <w:tcPr>
            <w:tcW w:w="975" w:type="dxa"/>
            <w:gridSpan w:val="3"/>
            <w:vAlign w:val="center"/>
          </w:tcPr>
          <w:p w14:paraId="307DD092" w14:textId="77777777" w:rsidR="00762947" w:rsidRPr="00CB3471" w:rsidRDefault="00762947" w:rsidP="00AD5DB0">
            <w:pPr>
              <w:jc w:val="center"/>
              <w:rPr>
                <w:sz w:val="20"/>
                <w:szCs w:val="20"/>
              </w:rPr>
            </w:pPr>
            <w:r w:rsidRPr="00CB3471">
              <w:rPr>
                <w:sz w:val="20"/>
                <w:szCs w:val="20"/>
              </w:rPr>
              <w:t>8.49</w:t>
            </w:r>
          </w:p>
        </w:tc>
      </w:tr>
      <w:tr w:rsidR="00762947" w:rsidRPr="00CB3471" w14:paraId="56B12B60" w14:textId="77777777" w:rsidTr="00CB3471">
        <w:trPr>
          <w:gridAfter w:val="1"/>
          <w:wAfter w:w="56" w:type="dxa"/>
          <w:trHeight w:val="258"/>
        </w:trPr>
        <w:tc>
          <w:tcPr>
            <w:tcW w:w="5220" w:type="dxa"/>
            <w:tcBorders>
              <w:bottom w:val="single" w:sz="12" w:space="0" w:color="auto"/>
            </w:tcBorders>
          </w:tcPr>
          <w:p w14:paraId="420E5EF0" w14:textId="77777777" w:rsidR="00762947" w:rsidRPr="00CB3471" w:rsidRDefault="00762947" w:rsidP="00AD5DB0">
            <w:pPr>
              <w:rPr>
                <w:sz w:val="20"/>
                <w:szCs w:val="20"/>
              </w:rPr>
            </w:pPr>
            <w:r w:rsidRPr="00CB3471">
              <w:rPr>
                <w:sz w:val="20"/>
                <w:szCs w:val="20"/>
              </w:rPr>
              <w:t>Total average mileage driven (in 1000 miles)</w:t>
            </w:r>
          </w:p>
        </w:tc>
        <w:tc>
          <w:tcPr>
            <w:tcW w:w="7892" w:type="dxa"/>
            <w:gridSpan w:val="12"/>
            <w:tcBorders>
              <w:bottom w:val="single" w:sz="12" w:space="0" w:color="auto"/>
            </w:tcBorders>
            <w:vAlign w:val="center"/>
          </w:tcPr>
          <w:p w14:paraId="3C5CFF0B" w14:textId="77777777" w:rsidR="00762947" w:rsidRPr="00CB3471" w:rsidRDefault="00762947" w:rsidP="00AD5DB0">
            <w:pPr>
              <w:jc w:val="center"/>
              <w:rPr>
                <w:sz w:val="20"/>
                <w:szCs w:val="20"/>
              </w:rPr>
            </w:pPr>
            <w:r w:rsidRPr="00CB3471">
              <w:rPr>
                <w:sz w:val="20"/>
                <w:szCs w:val="20"/>
              </w:rPr>
              <w:t>15.53</w:t>
            </w:r>
          </w:p>
        </w:tc>
      </w:tr>
      <w:tr w:rsidR="00762947" w:rsidRPr="00CB3471" w14:paraId="74A60C6E" w14:textId="77777777" w:rsidTr="00CB3471">
        <w:trPr>
          <w:gridAfter w:val="1"/>
          <w:wAfter w:w="51" w:type="dxa"/>
          <w:trHeight w:val="273"/>
        </w:trPr>
        <w:tc>
          <w:tcPr>
            <w:tcW w:w="13117" w:type="dxa"/>
            <w:gridSpan w:val="13"/>
          </w:tcPr>
          <w:p w14:paraId="65D9EEAB" w14:textId="1335EE8E" w:rsidR="00762947" w:rsidRPr="00CB3471" w:rsidRDefault="00762947" w:rsidP="00AD5DB0">
            <w:pPr>
              <w:rPr>
                <w:b/>
                <w:bCs/>
                <w:sz w:val="20"/>
                <w:szCs w:val="20"/>
              </w:rPr>
            </w:pPr>
            <w:r w:rsidRPr="00CB3471">
              <w:rPr>
                <w:b/>
                <w:bCs/>
                <w:sz w:val="20"/>
                <w:szCs w:val="20"/>
              </w:rPr>
              <w:t xml:space="preserve"> Predictions from the </w:t>
            </w:r>
            <w:r w:rsidR="000A4751" w:rsidRPr="00CB3471">
              <w:rPr>
                <w:b/>
                <w:bCs/>
                <w:sz w:val="20"/>
                <w:szCs w:val="20"/>
              </w:rPr>
              <w:t>two-</w:t>
            </w:r>
            <w:r w:rsidRPr="00CB3471">
              <w:rPr>
                <w:b/>
                <w:bCs/>
                <w:sz w:val="20"/>
                <w:szCs w:val="20"/>
              </w:rPr>
              <w:t>stage MDCEV model with free scale parameter</w:t>
            </w:r>
          </w:p>
        </w:tc>
      </w:tr>
      <w:tr w:rsidR="00762947" w:rsidRPr="00CB3471" w14:paraId="75F1E832" w14:textId="77777777" w:rsidTr="00CB3471">
        <w:trPr>
          <w:gridAfter w:val="1"/>
          <w:wAfter w:w="56" w:type="dxa"/>
          <w:trHeight w:val="273"/>
        </w:trPr>
        <w:tc>
          <w:tcPr>
            <w:tcW w:w="5220" w:type="dxa"/>
            <w:tcBorders>
              <w:top w:val="single" w:sz="12" w:space="0" w:color="auto"/>
            </w:tcBorders>
          </w:tcPr>
          <w:p w14:paraId="2137D0E6" w14:textId="77777777" w:rsidR="00762947" w:rsidRPr="00CB3471" w:rsidRDefault="00762947" w:rsidP="00AD5DB0">
            <w:pPr>
              <w:rPr>
                <w:sz w:val="20"/>
                <w:szCs w:val="20"/>
              </w:rPr>
            </w:pPr>
            <w:r w:rsidRPr="00CB3471">
              <w:rPr>
                <w:sz w:val="20"/>
                <w:szCs w:val="20"/>
              </w:rPr>
              <w:t>Percentage of zero-car households</w:t>
            </w:r>
          </w:p>
        </w:tc>
        <w:tc>
          <w:tcPr>
            <w:tcW w:w="7892" w:type="dxa"/>
            <w:gridSpan w:val="12"/>
            <w:tcBorders>
              <w:top w:val="single" w:sz="12" w:space="0" w:color="auto"/>
            </w:tcBorders>
            <w:vAlign w:val="center"/>
          </w:tcPr>
          <w:p w14:paraId="7555C19F" w14:textId="77777777" w:rsidR="00762947" w:rsidRPr="00CB3471" w:rsidRDefault="00762947" w:rsidP="00AD5DB0">
            <w:pPr>
              <w:jc w:val="center"/>
              <w:rPr>
                <w:sz w:val="20"/>
                <w:szCs w:val="20"/>
              </w:rPr>
            </w:pPr>
            <w:r w:rsidRPr="00CB3471">
              <w:rPr>
                <w:sz w:val="20"/>
                <w:szCs w:val="20"/>
              </w:rPr>
              <w:t>7.95</w:t>
            </w:r>
          </w:p>
        </w:tc>
      </w:tr>
      <w:tr w:rsidR="00762947" w:rsidRPr="00CB3471" w14:paraId="1785AA2E" w14:textId="77777777" w:rsidTr="00CB3471">
        <w:trPr>
          <w:gridAfter w:val="1"/>
          <w:wAfter w:w="56" w:type="dxa"/>
          <w:trHeight w:val="273"/>
        </w:trPr>
        <w:tc>
          <w:tcPr>
            <w:tcW w:w="5220" w:type="dxa"/>
            <w:vAlign w:val="center"/>
          </w:tcPr>
          <w:p w14:paraId="5C65B4AF" w14:textId="77777777" w:rsidR="00762947" w:rsidRPr="00CB3471" w:rsidRDefault="00762947" w:rsidP="00AD5DB0">
            <w:pPr>
              <w:rPr>
                <w:sz w:val="20"/>
                <w:szCs w:val="20"/>
              </w:rPr>
            </w:pPr>
            <w:r w:rsidRPr="00CB3471">
              <w:rPr>
                <w:sz w:val="20"/>
                <w:szCs w:val="20"/>
              </w:rPr>
              <w:t>Percentage of households owning the vehicle type</w:t>
            </w:r>
          </w:p>
        </w:tc>
        <w:tc>
          <w:tcPr>
            <w:tcW w:w="1595" w:type="dxa"/>
            <w:vAlign w:val="center"/>
          </w:tcPr>
          <w:p w14:paraId="44D1746B" w14:textId="77777777" w:rsidR="00762947" w:rsidRPr="00CB3471" w:rsidRDefault="00762947" w:rsidP="00AD5DB0">
            <w:pPr>
              <w:jc w:val="center"/>
              <w:rPr>
                <w:sz w:val="20"/>
                <w:szCs w:val="20"/>
              </w:rPr>
            </w:pPr>
            <w:r w:rsidRPr="00CB3471">
              <w:rPr>
                <w:color w:val="000000"/>
                <w:sz w:val="20"/>
                <w:szCs w:val="20"/>
              </w:rPr>
              <w:t>56.02</w:t>
            </w:r>
          </w:p>
        </w:tc>
        <w:tc>
          <w:tcPr>
            <w:tcW w:w="875" w:type="dxa"/>
            <w:vAlign w:val="center"/>
          </w:tcPr>
          <w:p w14:paraId="326BF45B" w14:textId="77777777" w:rsidR="00762947" w:rsidRPr="00CB3471" w:rsidRDefault="00762947" w:rsidP="00AD5DB0">
            <w:pPr>
              <w:jc w:val="center"/>
              <w:rPr>
                <w:sz w:val="20"/>
                <w:szCs w:val="20"/>
              </w:rPr>
            </w:pPr>
            <w:r w:rsidRPr="00CB3471">
              <w:rPr>
                <w:color w:val="000000"/>
                <w:sz w:val="20"/>
                <w:szCs w:val="20"/>
              </w:rPr>
              <w:t>14.86</w:t>
            </w:r>
          </w:p>
        </w:tc>
        <w:tc>
          <w:tcPr>
            <w:tcW w:w="1078" w:type="dxa"/>
            <w:gridSpan w:val="2"/>
            <w:vAlign w:val="center"/>
          </w:tcPr>
          <w:p w14:paraId="728A0579" w14:textId="77777777" w:rsidR="00762947" w:rsidRPr="00CB3471" w:rsidRDefault="00762947" w:rsidP="00AD5DB0">
            <w:pPr>
              <w:jc w:val="center"/>
              <w:rPr>
                <w:sz w:val="20"/>
                <w:szCs w:val="20"/>
              </w:rPr>
            </w:pPr>
            <w:r w:rsidRPr="00CB3471">
              <w:rPr>
                <w:color w:val="000000"/>
                <w:sz w:val="20"/>
                <w:szCs w:val="20"/>
              </w:rPr>
              <w:t>13.48</w:t>
            </w:r>
          </w:p>
        </w:tc>
        <w:tc>
          <w:tcPr>
            <w:tcW w:w="1102" w:type="dxa"/>
            <w:vAlign w:val="center"/>
          </w:tcPr>
          <w:p w14:paraId="3400D890" w14:textId="77777777" w:rsidR="00762947" w:rsidRPr="00CB3471" w:rsidRDefault="00762947" w:rsidP="00AD5DB0">
            <w:pPr>
              <w:jc w:val="center"/>
              <w:rPr>
                <w:sz w:val="20"/>
                <w:szCs w:val="20"/>
              </w:rPr>
            </w:pPr>
            <w:r w:rsidRPr="00CB3471">
              <w:rPr>
                <w:color w:val="000000"/>
                <w:sz w:val="20"/>
                <w:szCs w:val="20"/>
              </w:rPr>
              <w:t>38.41</w:t>
            </w:r>
          </w:p>
        </w:tc>
        <w:tc>
          <w:tcPr>
            <w:tcW w:w="1571" w:type="dxa"/>
            <w:gridSpan w:val="3"/>
            <w:vAlign w:val="center"/>
          </w:tcPr>
          <w:p w14:paraId="1F80CB7B" w14:textId="77777777" w:rsidR="00762947" w:rsidRPr="00CB3471" w:rsidRDefault="00762947" w:rsidP="00AD5DB0">
            <w:pPr>
              <w:jc w:val="center"/>
              <w:rPr>
                <w:sz w:val="20"/>
                <w:szCs w:val="20"/>
              </w:rPr>
            </w:pPr>
            <w:r w:rsidRPr="00CB3471">
              <w:rPr>
                <w:color w:val="000000"/>
                <w:sz w:val="20"/>
                <w:szCs w:val="20"/>
              </w:rPr>
              <w:t>3.96</w:t>
            </w:r>
          </w:p>
        </w:tc>
        <w:tc>
          <w:tcPr>
            <w:tcW w:w="696" w:type="dxa"/>
            <w:vAlign w:val="center"/>
          </w:tcPr>
          <w:p w14:paraId="2B0AE5E2" w14:textId="77777777" w:rsidR="00762947" w:rsidRPr="00CB3471" w:rsidRDefault="00762947" w:rsidP="00AD5DB0">
            <w:pPr>
              <w:jc w:val="center"/>
              <w:rPr>
                <w:sz w:val="20"/>
                <w:szCs w:val="20"/>
              </w:rPr>
            </w:pPr>
            <w:r w:rsidRPr="00CB3471">
              <w:rPr>
                <w:color w:val="000000"/>
                <w:sz w:val="20"/>
                <w:szCs w:val="20"/>
              </w:rPr>
              <w:t>6.68</w:t>
            </w:r>
          </w:p>
        </w:tc>
        <w:tc>
          <w:tcPr>
            <w:tcW w:w="975" w:type="dxa"/>
            <w:gridSpan w:val="3"/>
            <w:vAlign w:val="center"/>
          </w:tcPr>
          <w:p w14:paraId="5C21CB6B" w14:textId="77777777" w:rsidR="00762947" w:rsidRPr="00CB3471" w:rsidRDefault="00762947" w:rsidP="00AD5DB0">
            <w:pPr>
              <w:jc w:val="center"/>
              <w:rPr>
                <w:sz w:val="20"/>
                <w:szCs w:val="20"/>
              </w:rPr>
            </w:pPr>
            <w:r w:rsidRPr="00CB3471">
              <w:rPr>
                <w:color w:val="000000"/>
                <w:sz w:val="20"/>
                <w:szCs w:val="20"/>
              </w:rPr>
              <w:t>13.3</w:t>
            </w:r>
          </w:p>
        </w:tc>
      </w:tr>
      <w:tr w:rsidR="00762947" w:rsidRPr="00CB3471" w14:paraId="1B27AB2F" w14:textId="77777777" w:rsidTr="00CB3471">
        <w:trPr>
          <w:gridAfter w:val="1"/>
          <w:wAfter w:w="56" w:type="dxa"/>
          <w:trHeight w:val="273"/>
        </w:trPr>
        <w:tc>
          <w:tcPr>
            <w:tcW w:w="5220" w:type="dxa"/>
            <w:vAlign w:val="center"/>
          </w:tcPr>
          <w:p w14:paraId="7DDE662C" w14:textId="77777777" w:rsidR="00762947" w:rsidRPr="00CB3471" w:rsidRDefault="00762947" w:rsidP="00AD5DB0">
            <w:pPr>
              <w:rPr>
                <w:sz w:val="20"/>
                <w:szCs w:val="20"/>
              </w:rPr>
            </w:pPr>
            <w:r w:rsidRPr="00CB3471">
              <w:rPr>
                <w:sz w:val="20"/>
                <w:szCs w:val="20"/>
              </w:rPr>
              <w:t>Average mileage on the vehicle type (in 1000 miles)</w:t>
            </w:r>
          </w:p>
        </w:tc>
        <w:tc>
          <w:tcPr>
            <w:tcW w:w="1595" w:type="dxa"/>
            <w:vAlign w:val="center"/>
          </w:tcPr>
          <w:p w14:paraId="5802A06B" w14:textId="77777777" w:rsidR="00762947" w:rsidRPr="00CB3471" w:rsidRDefault="00762947" w:rsidP="00AD5DB0">
            <w:pPr>
              <w:jc w:val="center"/>
              <w:rPr>
                <w:sz w:val="20"/>
                <w:szCs w:val="20"/>
              </w:rPr>
            </w:pPr>
            <w:r w:rsidRPr="00CB3471">
              <w:rPr>
                <w:sz w:val="20"/>
                <w:szCs w:val="20"/>
              </w:rPr>
              <w:t>11.43</w:t>
            </w:r>
          </w:p>
        </w:tc>
        <w:tc>
          <w:tcPr>
            <w:tcW w:w="875" w:type="dxa"/>
            <w:vAlign w:val="center"/>
          </w:tcPr>
          <w:p w14:paraId="77D0FB37" w14:textId="77777777" w:rsidR="00762947" w:rsidRPr="00CB3471" w:rsidRDefault="00762947" w:rsidP="00AD5DB0">
            <w:pPr>
              <w:jc w:val="center"/>
              <w:rPr>
                <w:sz w:val="20"/>
                <w:szCs w:val="20"/>
              </w:rPr>
            </w:pPr>
            <w:r w:rsidRPr="00CB3471">
              <w:rPr>
                <w:sz w:val="20"/>
                <w:szCs w:val="20"/>
              </w:rPr>
              <w:t>10.05</w:t>
            </w:r>
          </w:p>
        </w:tc>
        <w:tc>
          <w:tcPr>
            <w:tcW w:w="1078" w:type="dxa"/>
            <w:gridSpan w:val="2"/>
            <w:vAlign w:val="center"/>
          </w:tcPr>
          <w:p w14:paraId="27425EB9" w14:textId="77777777" w:rsidR="00762947" w:rsidRPr="00CB3471" w:rsidRDefault="00762947" w:rsidP="00AD5DB0">
            <w:pPr>
              <w:jc w:val="center"/>
              <w:rPr>
                <w:sz w:val="20"/>
                <w:szCs w:val="20"/>
              </w:rPr>
            </w:pPr>
            <w:r w:rsidRPr="00CB3471">
              <w:rPr>
                <w:sz w:val="20"/>
                <w:szCs w:val="20"/>
              </w:rPr>
              <w:t>10.13</w:t>
            </w:r>
          </w:p>
        </w:tc>
        <w:tc>
          <w:tcPr>
            <w:tcW w:w="1102" w:type="dxa"/>
            <w:vAlign w:val="center"/>
          </w:tcPr>
          <w:p w14:paraId="3838AEDB" w14:textId="77777777" w:rsidR="00762947" w:rsidRPr="00CB3471" w:rsidRDefault="00762947" w:rsidP="00AD5DB0">
            <w:pPr>
              <w:jc w:val="center"/>
              <w:rPr>
                <w:sz w:val="20"/>
                <w:szCs w:val="20"/>
              </w:rPr>
            </w:pPr>
            <w:r w:rsidRPr="00CB3471">
              <w:rPr>
                <w:sz w:val="20"/>
                <w:szCs w:val="20"/>
              </w:rPr>
              <w:t>10.43</w:t>
            </w:r>
          </w:p>
        </w:tc>
        <w:tc>
          <w:tcPr>
            <w:tcW w:w="1571" w:type="dxa"/>
            <w:gridSpan w:val="3"/>
            <w:vAlign w:val="center"/>
          </w:tcPr>
          <w:p w14:paraId="7198E49E" w14:textId="77777777" w:rsidR="00762947" w:rsidRPr="00CB3471" w:rsidRDefault="00762947" w:rsidP="00AD5DB0">
            <w:pPr>
              <w:jc w:val="center"/>
              <w:rPr>
                <w:sz w:val="20"/>
                <w:szCs w:val="20"/>
              </w:rPr>
            </w:pPr>
            <w:r w:rsidRPr="00CB3471">
              <w:rPr>
                <w:sz w:val="20"/>
                <w:szCs w:val="20"/>
              </w:rPr>
              <w:t>9.42</w:t>
            </w:r>
          </w:p>
        </w:tc>
        <w:tc>
          <w:tcPr>
            <w:tcW w:w="696" w:type="dxa"/>
            <w:vAlign w:val="center"/>
          </w:tcPr>
          <w:p w14:paraId="1187722B" w14:textId="77777777" w:rsidR="00762947" w:rsidRPr="00CB3471" w:rsidRDefault="00762947" w:rsidP="00AD5DB0">
            <w:pPr>
              <w:jc w:val="center"/>
              <w:rPr>
                <w:sz w:val="20"/>
                <w:szCs w:val="20"/>
              </w:rPr>
            </w:pPr>
            <w:r w:rsidRPr="00CB3471">
              <w:rPr>
                <w:sz w:val="20"/>
                <w:szCs w:val="20"/>
              </w:rPr>
              <w:t>8.17</w:t>
            </w:r>
          </w:p>
        </w:tc>
        <w:tc>
          <w:tcPr>
            <w:tcW w:w="975" w:type="dxa"/>
            <w:gridSpan w:val="3"/>
            <w:vAlign w:val="center"/>
          </w:tcPr>
          <w:p w14:paraId="14339D56" w14:textId="77777777" w:rsidR="00762947" w:rsidRPr="00CB3471" w:rsidRDefault="00762947" w:rsidP="00AD5DB0">
            <w:pPr>
              <w:jc w:val="center"/>
              <w:rPr>
                <w:sz w:val="20"/>
                <w:szCs w:val="20"/>
              </w:rPr>
            </w:pPr>
            <w:r w:rsidRPr="00CB3471">
              <w:rPr>
                <w:sz w:val="20"/>
                <w:szCs w:val="20"/>
              </w:rPr>
              <w:t>8.22</w:t>
            </w:r>
          </w:p>
        </w:tc>
      </w:tr>
      <w:tr w:rsidR="00762947" w:rsidRPr="00CB3471" w14:paraId="0FFF0938" w14:textId="77777777" w:rsidTr="00CB3471">
        <w:trPr>
          <w:gridAfter w:val="1"/>
          <w:wAfter w:w="56" w:type="dxa"/>
          <w:trHeight w:val="273"/>
        </w:trPr>
        <w:tc>
          <w:tcPr>
            <w:tcW w:w="5220" w:type="dxa"/>
          </w:tcPr>
          <w:p w14:paraId="5BDEF3BA" w14:textId="77777777" w:rsidR="00762947" w:rsidRPr="00CB3471" w:rsidRDefault="00762947" w:rsidP="00AD5DB0">
            <w:pPr>
              <w:rPr>
                <w:sz w:val="20"/>
                <w:szCs w:val="20"/>
              </w:rPr>
            </w:pPr>
            <w:r w:rsidRPr="00CB3471">
              <w:rPr>
                <w:sz w:val="20"/>
                <w:szCs w:val="20"/>
              </w:rPr>
              <w:t>Weighted MAPE</w:t>
            </w:r>
          </w:p>
        </w:tc>
        <w:tc>
          <w:tcPr>
            <w:tcW w:w="7892" w:type="dxa"/>
            <w:gridSpan w:val="12"/>
            <w:vAlign w:val="center"/>
          </w:tcPr>
          <w:p w14:paraId="1339159E" w14:textId="77777777" w:rsidR="00762947" w:rsidRPr="00CB3471" w:rsidRDefault="00762947" w:rsidP="00AD5DB0">
            <w:pPr>
              <w:jc w:val="center"/>
              <w:rPr>
                <w:sz w:val="20"/>
                <w:szCs w:val="20"/>
              </w:rPr>
            </w:pPr>
            <w:r w:rsidRPr="00CB3471">
              <w:rPr>
                <w:sz w:val="20"/>
                <w:szCs w:val="20"/>
              </w:rPr>
              <w:t>Discrete WMAPE: 5.19%; Continuous WMAPE: 8.67%; Overall WMAPE: 6.28%</w:t>
            </w:r>
          </w:p>
        </w:tc>
      </w:tr>
      <w:tr w:rsidR="00762947" w:rsidRPr="00CB3471" w14:paraId="2E75F8D9" w14:textId="77777777" w:rsidTr="00CB3471">
        <w:trPr>
          <w:gridAfter w:val="1"/>
          <w:wAfter w:w="56" w:type="dxa"/>
          <w:trHeight w:val="273"/>
        </w:trPr>
        <w:tc>
          <w:tcPr>
            <w:tcW w:w="5220" w:type="dxa"/>
            <w:tcBorders>
              <w:bottom w:val="single" w:sz="12" w:space="0" w:color="auto"/>
            </w:tcBorders>
          </w:tcPr>
          <w:p w14:paraId="4611735F" w14:textId="77777777" w:rsidR="00762947" w:rsidRPr="00CB3471" w:rsidRDefault="00762947" w:rsidP="00AD5DB0">
            <w:pPr>
              <w:rPr>
                <w:sz w:val="20"/>
                <w:szCs w:val="20"/>
              </w:rPr>
            </w:pPr>
            <w:r w:rsidRPr="00CB3471">
              <w:rPr>
                <w:sz w:val="20"/>
                <w:szCs w:val="20"/>
              </w:rPr>
              <w:t>Average total miles driven by a household (in 1000 miles)</w:t>
            </w:r>
          </w:p>
        </w:tc>
        <w:tc>
          <w:tcPr>
            <w:tcW w:w="7892" w:type="dxa"/>
            <w:gridSpan w:val="12"/>
            <w:tcBorders>
              <w:bottom w:val="single" w:sz="12" w:space="0" w:color="auto"/>
            </w:tcBorders>
            <w:vAlign w:val="center"/>
          </w:tcPr>
          <w:p w14:paraId="2683EF09" w14:textId="77777777" w:rsidR="00762947" w:rsidRPr="00CB3471" w:rsidRDefault="00762947" w:rsidP="00AD5DB0">
            <w:pPr>
              <w:jc w:val="center"/>
              <w:rPr>
                <w:sz w:val="20"/>
                <w:szCs w:val="20"/>
              </w:rPr>
            </w:pPr>
            <w:r w:rsidRPr="00CB3471">
              <w:rPr>
                <w:sz w:val="20"/>
                <w:szCs w:val="20"/>
              </w:rPr>
              <w:t xml:space="preserve">15.29 </w:t>
            </w:r>
          </w:p>
        </w:tc>
      </w:tr>
      <w:tr w:rsidR="00762947" w:rsidRPr="00CB3471" w14:paraId="4F36CE36" w14:textId="77777777" w:rsidTr="00CB3471">
        <w:trPr>
          <w:gridAfter w:val="1"/>
          <w:wAfter w:w="51" w:type="dxa"/>
          <w:trHeight w:val="273"/>
        </w:trPr>
        <w:tc>
          <w:tcPr>
            <w:tcW w:w="13117" w:type="dxa"/>
            <w:gridSpan w:val="13"/>
            <w:tcBorders>
              <w:bottom w:val="single" w:sz="12" w:space="0" w:color="auto"/>
            </w:tcBorders>
          </w:tcPr>
          <w:p w14:paraId="7ED868BB" w14:textId="77777777" w:rsidR="00762947" w:rsidRPr="00CB3471" w:rsidRDefault="00762947" w:rsidP="00AD5DB0">
            <w:pPr>
              <w:rPr>
                <w:b/>
                <w:bCs/>
                <w:sz w:val="20"/>
                <w:szCs w:val="20"/>
              </w:rPr>
            </w:pPr>
            <w:r w:rsidRPr="00CB3471">
              <w:rPr>
                <w:b/>
                <w:bCs/>
                <w:sz w:val="20"/>
                <w:szCs w:val="20"/>
              </w:rPr>
              <w:t>Policy evaluations</w:t>
            </w:r>
          </w:p>
        </w:tc>
      </w:tr>
      <w:tr w:rsidR="00762947" w:rsidRPr="00CB3471" w14:paraId="676FA73E" w14:textId="77777777" w:rsidTr="00CB3471">
        <w:trPr>
          <w:gridAfter w:val="1"/>
          <w:wAfter w:w="51" w:type="dxa"/>
          <w:trHeight w:val="273"/>
        </w:trPr>
        <w:tc>
          <w:tcPr>
            <w:tcW w:w="13117" w:type="dxa"/>
            <w:gridSpan w:val="13"/>
            <w:tcBorders>
              <w:top w:val="single" w:sz="12" w:space="0" w:color="auto"/>
            </w:tcBorders>
          </w:tcPr>
          <w:p w14:paraId="0491C643" w14:textId="77777777" w:rsidR="00762947" w:rsidRPr="00CB3471" w:rsidRDefault="00762947" w:rsidP="00AD5DB0">
            <w:pPr>
              <w:rPr>
                <w:b/>
                <w:bCs/>
                <w:sz w:val="20"/>
                <w:szCs w:val="20"/>
              </w:rPr>
            </w:pPr>
            <w:r w:rsidRPr="00CB3471">
              <w:rPr>
                <w:b/>
                <w:bCs/>
                <w:sz w:val="20"/>
                <w:szCs w:val="20"/>
                <w:u w:val="single"/>
              </w:rPr>
              <w:t>Policy I</w:t>
            </w:r>
            <w:r w:rsidRPr="00CB3471">
              <w:rPr>
                <w:b/>
                <w:bCs/>
                <w:sz w:val="20"/>
                <w:szCs w:val="20"/>
              </w:rPr>
              <w:t xml:space="preserve">: </w:t>
            </w:r>
            <w:r w:rsidRPr="00CB3471">
              <w:rPr>
                <w:sz w:val="20"/>
                <w:szCs w:val="20"/>
              </w:rPr>
              <w:t>Employment densification of regions (Base case: Employment density &lt;500 persons/sq. mile; Policy case: Employment density &gt;500 persons/sq. mile</w:t>
            </w:r>
          </w:p>
        </w:tc>
      </w:tr>
      <w:tr w:rsidR="00762947" w:rsidRPr="00CB3471" w14:paraId="39AAC250" w14:textId="77777777" w:rsidTr="00CB3471">
        <w:trPr>
          <w:gridAfter w:val="1"/>
          <w:wAfter w:w="56" w:type="dxa"/>
          <w:trHeight w:val="273"/>
        </w:trPr>
        <w:tc>
          <w:tcPr>
            <w:tcW w:w="5220" w:type="dxa"/>
            <w:tcBorders>
              <w:top w:val="single" w:sz="12" w:space="0" w:color="auto"/>
            </w:tcBorders>
          </w:tcPr>
          <w:p w14:paraId="416FEA7D" w14:textId="22545B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H</w:t>
            </w:r>
            <w:r w:rsidR="000A4751" w:rsidRPr="00CB3471">
              <w:rPr>
                <w:sz w:val="20"/>
                <w:szCs w:val="20"/>
              </w:rPr>
              <w:t>.H.</w:t>
            </w:r>
            <w:r w:rsidRPr="00CB3471">
              <w:rPr>
                <w:sz w:val="20"/>
                <w:szCs w:val="20"/>
              </w:rPr>
              <w:t>s with zero vehicle ownership</w:t>
            </w:r>
          </w:p>
        </w:tc>
        <w:tc>
          <w:tcPr>
            <w:tcW w:w="7892" w:type="dxa"/>
            <w:gridSpan w:val="12"/>
            <w:tcBorders>
              <w:top w:val="single" w:sz="12" w:space="0" w:color="auto"/>
            </w:tcBorders>
            <w:vAlign w:val="center"/>
          </w:tcPr>
          <w:p w14:paraId="7D8385A3" w14:textId="77777777" w:rsidR="00762947" w:rsidRPr="00CB3471" w:rsidRDefault="00762947" w:rsidP="00AD5DB0">
            <w:pPr>
              <w:jc w:val="center"/>
              <w:rPr>
                <w:sz w:val="20"/>
                <w:szCs w:val="20"/>
              </w:rPr>
            </w:pPr>
            <w:r w:rsidRPr="00CB3471">
              <w:rPr>
                <w:sz w:val="20"/>
                <w:szCs w:val="20"/>
              </w:rPr>
              <w:t>6.34</w:t>
            </w:r>
          </w:p>
        </w:tc>
      </w:tr>
      <w:tr w:rsidR="00762947" w:rsidRPr="00CB3471" w14:paraId="46F5303A" w14:textId="77777777" w:rsidTr="00CB3471">
        <w:trPr>
          <w:gridAfter w:val="1"/>
          <w:wAfter w:w="56" w:type="dxa"/>
          <w:trHeight w:val="273"/>
        </w:trPr>
        <w:tc>
          <w:tcPr>
            <w:tcW w:w="5220" w:type="dxa"/>
            <w:vAlign w:val="center"/>
          </w:tcPr>
          <w:p w14:paraId="66ED59E4" w14:textId="777777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vehicle ownership</w:t>
            </w:r>
          </w:p>
        </w:tc>
        <w:tc>
          <w:tcPr>
            <w:tcW w:w="1595" w:type="dxa"/>
            <w:vAlign w:val="center"/>
          </w:tcPr>
          <w:p w14:paraId="3A9E7012" w14:textId="77777777" w:rsidR="00762947" w:rsidRPr="00CB3471" w:rsidRDefault="00762947" w:rsidP="00AD5DB0">
            <w:pPr>
              <w:jc w:val="center"/>
              <w:rPr>
                <w:sz w:val="20"/>
                <w:szCs w:val="18"/>
              </w:rPr>
            </w:pPr>
            <w:r w:rsidRPr="00CB3471">
              <w:rPr>
                <w:color w:val="000000"/>
                <w:sz w:val="20"/>
                <w:szCs w:val="20"/>
              </w:rPr>
              <w:t>4.01</w:t>
            </w:r>
          </w:p>
        </w:tc>
        <w:tc>
          <w:tcPr>
            <w:tcW w:w="875" w:type="dxa"/>
            <w:vAlign w:val="center"/>
          </w:tcPr>
          <w:p w14:paraId="6B3E401F" w14:textId="77777777" w:rsidR="00762947" w:rsidRPr="00CB3471" w:rsidRDefault="00762947" w:rsidP="00AD5DB0">
            <w:pPr>
              <w:jc w:val="center"/>
              <w:rPr>
                <w:sz w:val="20"/>
                <w:szCs w:val="18"/>
              </w:rPr>
            </w:pPr>
            <w:r w:rsidRPr="00CB3471">
              <w:rPr>
                <w:color w:val="000000"/>
                <w:sz w:val="20"/>
                <w:szCs w:val="20"/>
              </w:rPr>
              <w:t>10.62</w:t>
            </w:r>
          </w:p>
        </w:tc>
        <w:tc>
          <w:tcPr>
            <w:tcW w:w="1078" w:type="dxa"/>
            <w:gridSpan w:val="2"/>
            <w:vAlign w:val="center"/>
          </w:tcPr>
          <w:p w14:paraId="4E2EE071" w14:textId="77777777" w:rsidR="00762947" w:rsidRPr="00CB3471" w:rsidRDefault="00762947" w:rsidP="00AD5DB0">
            <w:pPr>
              <w:jc w:val="center"/>
              <w:rPr>
                <w:sz w:val="20"/>
                <w:szCs w:val="18"/>
              </w:rPr>
            </w:pPr>
            <w:r w:rsidRPr="00CB3471">
              <w:rPr>
                <w:color w:val="000000"/>
                <w:sz w:val="20"/>
                <w:szCs w:val="20"/>
              </w:rPr>
              <w:t>10.45</w:t>
            </w:r>
          </w:p>
        </w:tc>
        <w:tc>
          <w:tcPr>
            <w:tcW w:w="1102" w:type="dxa"/>
            <w:vAlign w:val="center"/>
          </w:tcPr>
          <w:p w14:paraId="77654090" w14:textId="77777777" w:rsidR="00762947" w:rsidRPr="00CB3471" w:rsidRDefault="00762947" w:rsidP="00AD5DB0">
            <w:pPr>
              <w:jc w:val="center"/>
              <w:rPr>
                <w:sz w:val="20"/>
                <w:szCs w:val="18"/>
              </w:rPr>
            </w:pPr>
            <w:r w:rsidRPr="00CB3471">
              <w:rPr>
                <w:color w:val="000000"/>
                <w:sz w:val="20"/>
                <w:szCs w:val="20"/>
              </w:rPr>
              <w:t>-3.79</w:t>
            </w:r>
          </w:p>
        </w:tc>
        <w:tc>
          <w:tcPr>
            <w:tcW w:w="1386" w:type="dxa"/>
            <w:vAlign w:val="center"/>
          </w:tcPr>
          <w:p w14:paraId="026ADBA3" w14:textId="77777777" w:rsidR="00762947" w:rsidRPr="00CB3471" w:rsidRDefault="00762947" w:rsidP="00AD5DB0">
            <w:pPr>
              <w:jc w:val="center"/>
              <w:rPr>
                <w:sz w:val="20"/>
                <w:szCs w:val="18"/>
              </w:rPr>
            </w:pPr>
            <w:r w:rsidRPr="00CB3471">
              <w:rPr>
                <w:color w:val="000000"/>
                <w:sz w:val="20"/>
                <w:szCs w:val="20"/>
              </w:rPr>
              <w:t>-5.44</w:t>
            </w:r>
          </w:p>
        </w:tc>
        <w:tc>
          <w:tcPr>
            <w:tcW w:w="881" w:type="dxa"/>
            <w:gridSpan w:val="3"/>
            <w:vAlign w:val="center"/>
          </w:tcPr>
          <w:p w14:paraId="5878B17D" w14:textId="77777777" w:rsidR="00762947" w:rsidRPr="00CB3471" w:rsidRDefault="00762947" w:rsidP="00AD5DB0">
            <w:pPr>
              <w:jc w:val="center"/>
              <w:rPr>
                <w:sz w:val="20"/>
                <w:szCs w:val="18"/>
              </w:rPr>
            </w:pPr>
            <w:r w:rsidRPr="00CB3471">
              <w:rPr>
                <w:color w:val="000000"/>
                <w:sz w:val="20"/>
                <w:szCs w:val="20"/>
              </w:rPr>
              <w:t>-0.12</w:t>
            </w:r>
          </w:p>
        </w:tc>
        <w:tc>
          <w:tcPr>
            <w:tcW w:w="975" w:type="dxa"/>
            <w:gridSpan w:val="3"/>
            <w:vAlign w:val="center"/>
          </w:tcPr>
          <w:p w14:paraId="293DE7DF" w14:textId="77777777" w:rsidR="00762947" w:rsidRPr="00CB3471" w:rsidRDefault="00762947" w:rsidP="00AD5DB0">
            <w:pPr>
              <w:jc w:val="center"/>
              <w:rPr>
                <w:sz w:val="20"/>
                <w:szCs w:val="18"/>
              </w:rPr>
            </w:pPr>
            <w:r w:rsidRPr="00CB3471">
              <w:rPr>
                <w:color w:val="000000"/>
                <w:sz w:val="20"/>
                <w:szCs w:val="20"/>
              </w:rPr>
              <w:t>-52.46</w:t>
            </w:r>
          </w:p>
        </w:tc>
      </w:tr>
      <w:tr w:rsidR="00762947" w:rsidRPr="00CB3471" w14:paraId="17692080" w14:textId="77777777" w:rsidTr="00CB3471">
        <w:trPr>
          <w:gridAfter w:val="1"/>
          <w:wAfter w:w="56" w:type="dxa"/>
          <w:trHeight w:val="273"/>
        </w:trPr>
        <w:tc>
          <w:tcPr>
            <w:tcW w:w="5220" w:type="dxa"/>
            <w:vAlign w:val="center"/>
          </w:tcPr>
          <w:p w14:paraId="4747EF38" w14:textId="777777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vehicle mileage accrued on each vehicle type</w:t>
            </w:r>
            <w:r w:rsidRPr="00CB3471">
              <w:rPr>
                <w:sz w:val="20"/>
                <w:szCs w:val="20"/>
                <w:vertAlign w:val="superscript"/>
              </w:rPr>
              <w:t>#</w:t>
            </w:r>
          </w:p>
        </w:tc>
        <w:tc>
          <w:tcPr>
            <w:tcW w:w="1595" w:type="dxa"/>
            <w:vAlign w:val="center"/>
          </w:tcPr>
          <w:p w14:paraId="2DB1227E" w14:textId="77777777" w:rsidR="00762947" w:rsidRPr="00CB3471" w:rsidRDefault="00762947" w:rsidP="00AD5DB0">
            <w:pPr>
              <w:jc w:val="center"/>
              <w:rPr>
                <w:sz w:val="20"/>
                <w:szCs w:val="18"/>
              </w:rPr>
            </w:pPr>
            <w:r w:rsidRPr="00CB3471">
              <w:rPr>
                <w:color w:val="000000"/>
                <w:sz w:val="20"/>
                <w:szCs w:val="20"/>
              </w:rPr>
              <w:t>6.51</w:t>
            </w:r>
          </w:p>
        </w:tc>
        <w:tc>
          <w:tcPr>
            <w:tcW w:w="875" w:type="dxa"/>
            <w:vAlign w:val="center"/>
          </w:tcPr>
          <w:p w14:paraId="7F850BDE" w14:textId="77777777" w:rsidR="00762947" w:rsidRPr="00CB3471" w:rsidRDefault="00762947" w:rsidP="00AD5DB0">
            <w:pPr>
              <w:jc w:val="center"/>
              <w:rPr>
                <w:sz w:val="20"/>
                <w:szCs w:val="18"/>
              </w:rPr>
            </w:pPr>
            <w:r w:rsidRPr="00CB3471">
              <w:rPr>
                <w:color w:val="000000"/>
                <w:sz w:val="20"/>
                <w:szCs w:val="20"/>
              </w:rPr>
              <w:t>21.15</w:t>
            </w:r>
          </w:p>
        </w:tc>
        <w:tc>
          <w:tcPr>
            <w:tcW w:w="1078" w:type="dxa"/>
            <w:gridSpan w:val="2"/>
            <w:vAlign w:val="center"/>
          </w:tcPr>
          <w:p w14:paraId="2E254A85" w14:textId="77777777" w:rsidR="00762947" w:rsidRPr="00CB3471" w:rsidRDefault="00762947" w:rsidP="00AD5DB0">
            <w:pPr>
              <w:jc w:val="center"/>
              <w:rPr>
                <w:sz w:val="20"/>
                <w:szCs w:val="18"/>
              </w:rPr>
            </w:pPr>
            <w:r w:rsidRPr="00CB3471">
              <w:rPr>
                <w:color w:val="000000"/>
                <w:sz w:val="20"/>
                <w:szCs w:val="20"/>
              </w:rPr>
              <w:t>11.91</w:t>
            </w:r>
          </w:p>
        </w:tc>
        <w:tc>
          <w:tcPr>
            <w:tcW w:w="1102" w:type="dxa"/>
            <w:vAlign w:val="center"/>
          </w:tcPr>
          <w:p w14:paraId="67A8A85B" w14:textId="77777777" w:rsidR="00762947" w:rsidRPr="00CB3471" w:rsidRDefault="00762947" w:rsidP="00AD5DB0">
            <w:pPr>
              <w:jc w:val="center"/>
              <w:rPr>
                <w:sz w:val="20"/>
                <w:szCs w:val="18"/>
              </w:rPr>
            </w:pPr>
            <w:r w:rsidRPr="00CB3471">
              <w:rPr>
                <w:color w:val="000000"/>
                <w:sz w:val="20"/>
                <w:szCs w:val="20"/>
              </w:rPr>
              <w:t>-6.11</w:t>
            </w:r>
          </w:p>
        </w:tc>
        <w:tc>
          <w:tcPr>
            <w:tcW w:w="1386" w:type="dxa"/>
            <w:vAlign w:val="center"/>
          </w:tcPr>
          <w:p w14:paraId="4C4F954E" w14:textId="77777777" w:rsidR="00762947" w:rsidRPr="00CB3471" w:rsidRDefault="00762947" w:rsidP="00AD5DB0">
            <w:pPr>
              <w:jc w:val="center"/>
              <w:rPr>
                <w:sz w:val="20"/>
                <w:szCs w:val="18"/>
              </w:rPr>
            </w:pPr>
            <w:r w:rsidRPr="00CB3471">
              <w:rPr>
                <w:color w:val="000000"/>
                <w:sz w:val="20"/>
                <w:szCs w:val="20"/>
              </w:rPr>
              <w:t>-8.63</w:t>
            </w:r>
          </w:p>
        </w:tc>
        <w:tc>
          <w:tcPr>
            <w:tcW w:w="881" w:type="dxa"/>
            <w:gridSpan w:val="3"/>
            <w:vAlign w:val="center"/>
          </w:tcPr>
          <w:p w14:paraId="241FC0E8" w14:textId="77777777" w:rsidR="00762947" w:rsidRPr="00CB3471" w:rsidRDefault="00762947" w:rsidP="00AD5DB0">
            <w:pPr>
              <w:jc w:val="center"/>
              <w:rPr>
                <w:sz w:val="20"/>
                <w:szCs w:val="18"/>
              </w:rPr>
            </w:pPr>
            <w:r w:rsidRPr="00CB3471">
              <w:rPr>
                <w:color w:val="000000"/>
                <w:sz w:val="20"/>
                <w:szCs w:val="20"/>
              </w:rPr>
              <w:t>1.51</w:t>
            </w:r>
          </w:p>
        </w:tc>
        <w:tc>
          <w:tcPr>
            <w:tcW w:w="975" w:type="dxa"/>
            <w:gridSpan w:val="3"/>
            <w:vAlign w:val="center"/>
          </w:tcPr>
          <w:p w14:paraId="71384983" w14:textId="77777777" w:rsidR="00762947" w:rsidRPr="00CB3471" w:rsidRDefault="00762947" w:rsidP="00AD5DB0">
            <w:pPr>
              <w:jc w:val="center"/>
              <w:rPr>
                <w:sz w:val="20"/>
                <w:szCs w:val="18"/>
              </w:rPr>
            </w:pPr>
            <w:r w:rsidRPr="00CB3471">
              <w:rPr>
                <w:color w:val="000000"/>
                <w:sz w:val="20"/>
                <w:szCs w:val="20"/>
              </w:rPr>
              <w:t>-55.78</w:t>
            </w:r>
          </w:p>
        </w:tc>
      </w:tr>
      <w:tr w:rsidR="00762947" w:rsidRPr="00CB3471" w14:paraId="4816AE6C" w14:textId="77777777" w:rsidTr="00CB3471">
        <w:trPr>
          <w:gridAfter w:val="1"/>
          <w:wAfter w:w="56" w:type="dxa"/>
          <w:trHeight w:val="273"/>
        </w:trPr>
        <w:tc>
          <w:tcPr>
            <w:tcW w:w="5220" w:type="dxa"/>
            <w:tcBorders>
              <w:bottom w:val="single" w:sz="12" w:space="0" w:color="auto"/>
            </w:tcBorders>
          </w:tcPr>
          <w:p w14:paraId="3710965B" w14:textId="777777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total average miles driven</w:t>
            </w:r>
          </w:p>
        </w:tc>
        <w:tc>
          <w:tcPr>
            <w:tcW w:w="7892" w:type="dxa"/>
            <w:gridSpan w:val="12"/>
            <w:tcBorders>
              <w:bottom w:val="single" w:sz="12" w:space="0" w:color="auto"/>
            </w:tcBorders>
            <w:vAlign w:val="center"/>
          </w:tcPr>
          <w:p w14:paraId="12650252" w14:textId="77777777" w:rsidR="00762947" w:rsidRPr="00CB3471" w:rsidRDefault="00762947" w:rsidP="00AD5DB0">
            <w:pPr>
              <w:jc w:val="center"/>
              <w:rPr>
                <w:sz w:val="20"/>
                <w:szCs w:val="20"/>
              </w:rPr>
            </w:pPr>
            <w:r w:rsidRPr="00CB3471">
              <w:rPr>
                <w:sz w:val="20"/>
                <w:szCs w:val="20"/>
              </w:rPr>
              <w:t>-1.60</w:t>
            </w:r>
          </w:p>
        </w:tc>
      </w:tr>
      <w:tr w:rsidR="00762947" w:rsidRPr="00CB3471" w14:paraId="703ED62A" w14:textId="77777777" w:rsidTr="00CB3471">
        <w:trPr>
          <w:gridAfter w:val="1"/>
          <w:wAfter w:w="51" w:type="dxa"/>
          <w:trHeight w:val="273"/>
        </w:trPr>
        <w:tc>
          <w:tcPr>
            <w:tcW w:w="13117" w:type="dxa"/>
            <w:gridSpan w:val="13"/>
            <w:tcBorders>
              <w:bottom w:val="single" w:sz="12" w:space="0" w:color="auto"/>
            </w:tcBorders>
            <w:vAlign w:val="center"/>
          </w:tcPr>
          <w:p w14:paraId="292E4CA3" w14:textId="77777777" w:rsidR="00762947" w:rsidRPr="00CB3471" w:rsidRDefault="00762947" w:rsidP="00AD5DB0">
            <w:pPr>
              <w:rPr>
                <w:sz w:val="20"/>
                <w:szCs w:val="20"/>
              </w:rPr>
            </w:pPr>
            <w:r w:rsidRPr="00CB3471">
              <w:rPr>
                <w:b/>
                <w:bCs/>
                <w:sz w:val="20"/>
                <w:szCs w:val="20"/>
                <w:u w:val="single"/>
              </w:rPr>
              <w:t>Policy II</w:t>
            </w:r>
            <w:r w:rsidRPr="00CB3471">
              <w:rPr>
                <w:b/>
                <w:bCs/>
                <w:sz w:val="20"/>
                <w:szCs w:val="20"/>
              </w:rPr>
              <w:t xml:space="preserve">: </w:t>
            </w:r>
            <w:r w:rsidRPr="00CB3471">
              <w:rPr>
                <w:sz w:val="20"/>
                <w:szCs w:val="20"/>
              </w:rPr>
              <w:t>Provision of non-private commute services (Base case: No household using work shuttle services; Policy case: All households with employed individuals using work shuttle</w:t>
            </w:r>
          </w:p>
        </w:tc>
      </w:tr>
      <w:tr w:rsidR="00762947" w:rsidRPr="00CB3471" w14:paraId="3E1477BD" w14:textId="77777777" w:rsidTr="00CB3471">
        <w:trPr>
          <w:gridAfter w:val="1"/>
          <w:wAfter w:w="56" w:type="dxa"/>
          <w:trHeight w:val="273"/>
        </w:trPr>
        <w:tc>
          <w:tcPr>
            <w:tcW w:w="5220" w:type="dxa"/>
            <w:tcBorders>
              <w:top w:val="single" w:sz="12" w:space="0" w:color="auto"/>
            </w:tcBorders>
          </w:tcPr>
          <w:p w14:paraId="35AAF801" w14:textId="2118870E"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H</w:t>
            </w:r>
            <w:r w:rsidR="000A4751" w:rsidRPr="00CB3471">
              <w:rPr>
                <w:sz w:val="20"/>
                <w:szCs w:val="20"/>
              </w:rPr>
              <w:t>.H.</w:t>
            </w:r>
            <w:r w:rsidRPr="00CB3471">
              <w:rPr>
                <w:sz w:val="20"/>
                <w:szCs w:val="20"/>
              </w:rPr>
              <w:t>s with zero vehicle ownership</w:t>
            </w:r>
          </w:p>
        </w:tc>
        <w:tc>
          <w:tcPr>
            <w:tcW w:w="7892" w:type="dxa"/>
            <w:gridSpan w:val="12"/>
            <w:tcBorders>
              <w:top w:val="single" w:sz="12" w:space="0" w:color="auto"/>
            </w:tcBorders>
            <w:vAlign w:val="center"/>
          </w:tcPr>
          <w:p w14:paraId="7AF903D2" w14:textId="77777777" w:rsidR="00762947" w:rsidRPr="00CB3471" w:rsidRDefault="00762947" w:rsidP="00AD5DB0">
            <w:pPr>
              <w:jc w:val="center"/>
              <w:rPr>
                <w:sz w:val="20"/>
                <w:szCs w:val="20"/>
              </w:rPr>
            </w:pPr>
            <w:r w:rsidRPr="00CB3471">
              <w:rPr>
                <w:sz w:val="20"/>
                <w:szCs w:val="20"/>
              </w:rPr>
              <w:t>25.15</w:t>
            </w:r>
          </w:p>
        </w:tc>
      </w:tr>
      <w:tr w:rsidR="00762947" w:rsidRPr="00CB3471" w14:paraId="53D2CE17" w14:textId="77777777" w:rsidTr="00CB3471">
        <w:trPr>
          <w:trHeight w:val="273"/>
        </w:trPr>
        <w:tc>
          <w:tcPr>
            <w:tcW w:w="5220" w:type="dxa"/>
            <w:vAlign w:val="center"/>
          </w:tcPr>
          <w:p w14:paraId="32426F98" w14:textId="777777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vehicle ownership</w:t>
            </w:r>
          </w:p>
        </w:tc>
        <w:tc>
          <w:tcPr>
            <w:tcW w:w="1595" w:type="dxa"/>
            <w:vAlign w:val="center"/>
          </w:tcPr>
          <w:p w14:paraId="39BFDD35" w14:textId="77777777" w:rsidR="00762947" w:rsidRPr="00CB3471" w:rsidRDefault="00762947" w:rsidP="00AD5DB0">
            <w:pPr>
              <w:jc w:val="center"/>
              <w:rPr>
                <w:color w:val="000000"/>
                <w:sz w:val="20"/>
                <w:szCs w:val="18"/>
              </w:rPr>
            </w:pPr>
            <w:r w:rsidRPr="00CB3471">
              <w:rPr>
                <w:color w:val="000000"/>
                <w:sz w:val="20"/>
                <w:szCs w:val="20"/>
              </w:rPr>
              <w:t>-2.81</w:t>
            </w:r>
          </w:p>
        </w:tc>
        <w:tc>
          <w:tcPr>
            <w:tcW w:w="875" w:type="dxa"/>
            <w:vAlign w:val="center"/>
          </w:tcPr>
          <w:p w14:paraId="1095FC92" w14:textId="77777777" w:rsidR="00762947" w:rsidRPr="00CB3471" w:rsidRDefault="00762947" w:rsidP="00AD5DB0">
            <w:pPr>
              <w:jc w:val="center"/>
              <w:rPr>
                <w:color w:val="000000"/>
                <w:sz w:val="20"/>
                <w:szCs w:val="18"/>
              </w:rPr>
            </w:pPr>
            <w:r w:rsidRPr="00CB3471">
              <w:rPr>
                <w:color w:val="000000"/>
                <w:sz w:val="20"/>
                <w:szCs w:val="20"/>
              </w:rPr>
              <w:t>-5.23</w:t>
            </w:r>
          </w:p>
        </w:tc>
        <w:tc>
          <w:tcPr>
            <w:tcW w:w="1078" w:type="dxa"/>
            <w:gridSpan w:val="2"/>
            <w:vAlign w:val="center"/>
          </w:tcPr>
          <w:p w14:paraId="650716FF" w14:textId="77777777" w:rsidR="00762947" w:rsidRPr="00CB3471" w:rsidRDefault="00762947" w:rsidP="00AD5DB0">
            <w:pPr>
              <w:jc w:val="center"/>
              <w:rPr>
                <w:color w:val="000000"/>
                <w:sz w:val="20"/>
                <w:szCs w:val="18"/>
              </w:rPr>
            </w:pPr>
            <w:r w:rsidRPr="00CB3471">
              <w:rPr>
                <w:color w:val="000000"/>
                <w:sz w:val="20"/>
                <w:szCs w:val="20"/>
              </w:rPr>
              <w:t>-3.17</w:t>
            </w:r>
          </w:p>
        </w:tc>
        <w:tc>
          <w:tcPr>
            <w:tcW w:w="1102" w:type="dxa"/>
            <w:vAlign w:val="center"/>
          </w:tcPr>
          <w:p w14:paraId="5C0A2A0C" w14:textId="77777777" w:rsidR="00762947" w:rsidRPr="00CB3471" w:rsidRDefault="00762947" w:rsidP="00AD5DB0">
            <w:pPr>
              <w:jc w:val="center"/>
              <w:rPr>
                <w:color w:val="000000"/>
                <w:sz w:val="20"/>
                <w:szCs w:val="18"/>
              </w:rPr>
            </w:pPr>
            <w:r w:rsidRPr="00CB3471">
              <w:rPr>
                <w:color w:val="000000"/>
                <w:sz w:val="20"/>
                <w:szCs w:val="20"/>
              </w:rPr>
              <w:t>-1.71</w:t>
            </w:r>
          </w:p>
        </w:tc>
        <w:tc>
          <w:tcPr>
            <w:tcW w:w="1571" w:type="dxa"/>
            <w:gridSpan w:val="3"/>
            <w:vAlign w:val="center"/>
          </w:tcPr>
          <w:p w14:paraId="0CFC0067" w14:textId="77777777" w:rsidR="00762947" w:rsidRPr="00CB3471" w:rsidRDefault="00762947" w:rsidP="00AD5DB0">
            <w:pPr>
              <w:jc w:val="center"/>
              <w:rPr>
                <w:color w:val="000000"/>
                <w:sz w:val="20"/>
                <w:szCs w:val="18"/>
              </w:rPr>
            </w:pPr>
            <w:r w:rsidRPr="00CB3471">
              <w:rPr>
                <w:color w:val="000000"/>
                <w:sz w:val="20"/>
                <w:szCs w:val="20"/>
              </w:rPr>
              <w:t>-1.20</w:t>
            </w:r>
          </w:p>
        </w:tc>
        <w:tc>
          <w:tcPr>
            <w:tcW w:w="832" w:type="dxa"/>
            <w:gridSpan w:val="2"/>
            <w:vAlign w:val="center"/>
          </w:tcPr>
          <w:p w14:paraId="3AA8346D" w14:textId="77777777" w:rsidR="00762947" w:rsidRPr="00CB3471" w:rsidRDefault="00762947" w:rsidP="00AD5DB0">
            <w:pPr>
              <w:jc w:val="center"/>
              <w:rPr>
                <w:color w:val="000000"/>
                <w:sz w:val="20"/>
                <w:szCs w:val="18"/>
              </w:rPr>
            </w:pPr>
            <w:r w:rsidRPr="00CB3471">
              <w:rPr>
                <w:color w:val="000000"/>
                <w:sz w:val="20"/>
                <w:szCs w:val="20"/>
              </w:rPr>
              <w:t>0.58</w:t>
            </w:r>
          </w:p>
        </w:tc>
        <w:tc>
          <w:tcPr>
            <w:tcW w:w="895" w:type="dxa"/>
            <w:gridSpan w:val="3"/>
            <w:vAlign w:val="center"/>
          </w:tcPr>
          <w:p w14:paraId="61F01E99" w14:textId="77777777" w:rsidR="00762947" w:rsidRPr="00CB3471" w:rsidRDefault="00762947" w:rsidP="00AD5DB0">
            <w:pPr>
              <w:jc w:val="center"/>
              <w:rPr>
                <w:color w:val="000000"/>
                <w:sz w:val="20"/>
                <w:szCs w:val="18"/>
              </w:rPr>
            </w:pPr>
            <w:r w:rsidRPr="00CB3471">
              <w:rPr>
                <w:color w:val="000000"/>
                <w:sz w:val="20"/>
                <w:szCs w:val="20"/>
              </w:rPr>
              <w:t>-1.06</w:t>
            </w:r>
          </w:p>
        </w:tc>
      </w:tr>
      <w:tr w:rsidR="00762947" w:rsidRPr="00CB3471" w14:paraId="55F161B0" w14:textId="77777777" w:rsidTr="00CB3471">
        <w:trPr>
          <w:trHeight w:val="273"/>
        </w:trPr>
        <w:tc>
          <w:tcPr>
            <w:tcW w:w="5220" w:type="dxa"/>
            <w:vAlign w:val="center"/>
          </w:tcPr>
          <w:p w14:paraId="59392185" w14:textId="777777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vehicle mileage accrued on each vehicle type</w:t>
            </w:r>
            <w:r w:rsidRPr="00CB3471">
              <w:rPr>
                <w:sz w:val="20"/>
                <w:szCs w:val="20"/>
                <w:vertAlign w:val="superscript"/>
              </w:rPr>
              <w:t>#</w:t>
            </w:r>
          </w:p>
        </w:tc>
        <w:tc>
          <w:tcPr>
            <w:tcW w:w="1595" w:type="dxa"/>
            <w:vAlign w:val="center"/>
          </w:tcPr>
          <w:p w14:paraId="7FC7CAFF" w14:textId="77777777" w:rsidR="00762947" w:rsidRPr="00CB3471" w:rsidRDefault="00762947" w:rsidP="00AD5DB0">
            <w:pPr>
              <w:jc w:val="center"/>
              <w:rPr>
                <w:sz w:val="20"/>
                <w:szCs w:val="20"/>
              </w:rPr>
            </w:pPr>
            <w:r w:rsidRPr="00CB3471">
              <w:rPr>
                <w:color w:val="000000"/>
                <w:sz w:val="20"/>
                <w:szCs w:val="20"/>
              </w:rPr>
              <w:t>-12.34</w:t>
            </w:r>
          </w:p>
        </w:tc>
        <w:tc>
          <w:tcPr>
            <w:tcW w:w="945" w:type="dxa"/>
            <w:gridSpan w:val="2"/>
            <w:vAlign w:val="center"/>
          </w:tcPr>
          <w:p w14:paraId="2EC3971E" w14:textId="77777777" w:rsidR="00762947" w:rsidRPr="00CB3471" w:rsidRDefault="00762947" w:rsidP="00AD5DB0">
            <w:pPr>
              <w:jc w:val="center"/>
              <w:rPr>
                <w:sz w:val="20"/>
                <w:szCs w:val="20"/>
              </w:rPr>
            </w:pPr>
            <w:r w:rsidRPr="00CB3471">
              <w:rPr>
                <w:color w:val="000000"/>
                <w:sz w:val="20"/>
                <w:szCs w:val="20"/>
              </w:rPr>
              <w:t>-14.74</w:t>
            </w:r>
          </w:p>
        </w:tc>
        <w:tc>
          <w:tcPr>
            <w:tcW w:w="1008" w:type="dxa"/>
            <w:vAlign w:val="center"/>
          </w:tcPr>
          <w:p w14:paraId="208924C1" w14:textId="77777777" w:rsidR="00762947" w:rsidRPr="00CB3471" w:rsidRDefault="00762947" w:rsidP="00AD5DB0">
            <w:pPr>
              <w:jc w:val="center"/>
              <w:rPr>
                <w:sz w:val="20"/>
                <w:szCs w:val="20"/>
              </w:rPr>
            </w:pPr>
            <w:r w:rsidRPr="00CB3471">
              <w:rPr>
                <w:color w:val="000000"/>
                <w:sz w:val="20"/>
                <w:szCs w:val="20"/>
              </w:rPr>
              <w:t>-14.59</w:t>
            </w:r>
          </w:p>
        </w:tc>
        <w:tc>
          <w:tcPr>
            <w:tcW w:w="1102" w:type="dxa"/>
            <w:vAlign w:val="center"/>
          </w:tcPr>
          <w:p w14:paraId="4853C532" w14:textId="77777777" w:rsidR="00762947" w:rsidRPr="00CB3471" w:rsidRDefault="00762947" w:rsidP="00AD5DB0">
            <w:pPr>
              <w:jc w:val="center"/>
              <w:rPr>
                <w:sz w:val="20"/>
                <w:szCs w:val="20"/>
              </w:rPr>
            </w:pPr>
            <w:r w:rsidRPr="00CB3471">
              <w:rPr>
                <w:color w:val="000000"/>
                <w:sz w:val="20"/>
                <w:szCs w:val="20"/>
              </w:rPr>
              <w:t>-10.87</w:t>
            </w:r>
          </w:p>
        </w:tc>
        <w:tc>
          <w:tcPr>
            <w:tcW w:w="1504" w:type="dxa"/>
            <w:gridSpan w:val="2"/>
            <w:vAlign w:val="center"/>
          </w:tcPr>
          <w:p w14:paraId="50C0FB23" w14:textId="77777777" w:rsidR="00762947" w:rsidRPr="00CB3471" w:rsidRDefault="00762947" w:rsidP="00AD5DB0">
            <w:pPr>
              <w:jc w:val="center"/>
              <w:rPr>
                <w:sz w:val="20"/>
                <w:szCs w:val="20"/>
              </w:rPr>
            </w:pPr>
            <w:r w:rsidRPr="00CB3471">
              <w:rPr>
                <w:color w:val="000000"/>
                <w:sz w:val="20"/>
                <w:szCs w:val="20"/>
              </w:rPr>
              <w:t>-14.46</w:t>
            </w:r>
          </w:p>
        </w:tc>
        <w:tc>
          <w:tcPr>
            <w:tcW w:w="972" w:type="dxa"/>
            <w:gridSpan w:val="4"/>
            <w:vAlign w:val="center"/>
          </w:tcPr>
          <w:p w14:paraId="166F3DBE" w14:textId="77777777" w:rsidR="00762947" w:rsidRPr="00CB3471" w:rsidRDefault="00762947" w:rsidP="00AD5DB0">
            <w:pPr>
              <w:jc w:val="center"/>
              <w:rPr>
                <w:sz w:val="20"/>
                <w:szCs w:val="20"/>
              </w:rPr>
            </w:pPr>
            <w:r w:rsidRPr="00CB3471">
              <w:rPr>
                <w:color w:val="000000"/>
                <w:sz w:val="20"/>
                <w:szCs w:val="20"/>
              </w:rPr>
              <w:t>-7.61</w:t>
            </w:r>
          </w:p>
        </w:tc>
        <w:tc>
          <w:tcPr>
            <w:tcW w:w="822" w:type="dxa"/>
            <w:gridSpan w:val="2"/>
            <w:vAlign w:val="center"/>
          </w:tcPr>
          <w:p w14:paraId="44A05533" w14:textId="77777777" w:rsidR="00762947" w:rsidRPr="00CB3471" w:rsidRDefault="00762947" w:rsidP="00AD5DB0">
            <w:pPr>
              <w:jc w:val="center"/>
              <w:rPr>
                <w:sz w:val="20"/>
                <w:szCs w:val="20"/>
              </w:rPr>
            </w:pPr>
            <w:r w:rsidRPr="00CB3471">
              <w:rPr>
                <w:color w:val="000000"/>
                <w:sz w:val="20"/>
                <w:szCs w:val="20"/>
              </w:rPr>
              <w:t>-9.67</w:t>
            </w:r>
          </w:p>
        </w:tc>
      </w:tr>
      <w:tr w:rsidR="00762947" w:rsidRPr="00CB3471" w14:paraId="7F1D3EB8" w14:textId="77777777" w:rsidTr="00CB3471">
        <w:trPr>
          <w:gridAfter w:val="1"/>
          <w:wAfter w:w="56" w:type="dxa"/>
          <w:trHeight w:val="273"/>
        </w:trPr>
        <w:tc>
          <w:tcPr>
            <w:tcW w:w="5220" w:type="dxa"/>
            <w:tcBorders>
              <w:bottom w:val="single" w:sz="12" w:space="0" w:color="auto"/>
            </w:tcBorders>
          </w:tcPr>
          <w:p w14:paraId="283D86D0" w14:textId="77777777" w:rsidR="00762947" w:rsidRPr="00CB3471" w:rsidRDefault="00762947" w:rsidP="00AD5DB0">
            <w:pPr>
              <w:rPr>
                <w:sz w:val="20"/>
                <w:szCs w:val="20"/>
              </w:rPr>
            </w:pPr>
            <w:r w:rsidRPr="00CB3471">
              <w:rPr>
                <w:sz w:val="20"/>
                <w:szCs w:val="20"/>
              </w:rPr>
              <w:t xml:space="preserve">% </w:t>
            </w:r>
            <w:proofErr w:type="gramStart"/>
            <w:r w:rsidRPr="00CB3471">
              <w:rPr>
                <w:sz w:val="20"/>
                <w:szCs w:val="20"/>
              </w:rPr>
              <w:t>change</w:t>
            </w:r>
            <w:proofErr w:type="gramEnd"/>
            <w:r w:rsidRPr="00CB3471">
              <w:rPr>
                <w:sz w:val="20"/>
                <w:szCs w:val="20"/>
              </w:rPr>
              <w:t xml:space="preserve"> in total average miles driven</w:t>
            </w:r>
          </w:p>
        </w:tc>
        <w:tc>
          <w:tcPr>
            <w:tcW w:w="7892" w:type="dxa"/>
            <w:gridSpan w:val="12"/>
            <w:tcBorders>
              <w:bottom w:val="single" w:sz="12" w:space="0" w:color="auto"/>
            </w:tcBorders>
            <w:vAlign w:val="center"/>
          </w:tcPr>
          <w:p w14:paraId="5B69A64A" w14:textId="77777777" w:rsidR="00762947" w:rsidRPr="00CB3471" w:rsidRDefault="00762947" w:rsidP="00AD5DB0">
            <w:pPr>
              <w:jc w:val="center"/>
              <w:rPr>
                <w:sz w:val="20"/>
                <w:szCs w:val="20"/>
              </w:rPr>
            </w:pPr>
            <w:r w:rsidRPr="00CB3471">
              <w:rPr>
                <w:sz w:val="20"/>
                <w:szCs w:val="20"/>
              </w:rPr>
              <w:t>-12.11</w:t>
            </w:r>
          </w:p>
        </w:tc>
      </w:tr>
    </w:tbl>
    <w:p w14:paraId="1E3998F0" w14:textId="1FFC10E2" w:rsidR="00762947" w:rsidRPr="00CB3471" w:rsidRDefault="00762947" w:rsidP="00A523AA">
      <w:pPr>
        <w:jc w:val="both"/>
        <w:rPr>
          <w:rFonts w:ascii="Times New Roman" w:hAnsi="Times New Roman" w:cs="Times New Roman"/>
          <w:sz w:val="20"/>
          <w:szCs w:val="20"/>
        </w:rPr>
        <w:sectPr w:rsidR="00762947" w:rsidRPr="00CB3471" w:rsidSect="000F372D">
          <w:pgSz w:w="15840" w:h="12240" w:orient="landscape"/>
          <w:pgMar w:top="1440" w:right="1440" w:bottom="1440" w:left="1440" w:header="720" w:footer="720" w:gutter="0"/>
          <w:cols w:space="720"/>
          <w:titlePg/>
          <w:docGrid w:linePitch="360"/>
        </w:sectPr>
      </w:pPr>
      <w:r w:rsidRPr="00CB3471">
        <w:rPr>
          <w:rFonts w:ascii="Times New Roman" w:hAnsi="Times New Roman" w:cs="Times New Roman"/>
          <w:sz w:val="20"/>
          <w:szCs w:val="20"/>
          <w:vertAlign w:val="superscript"/>
        </w:rPr>
        <w:t>#</w:t>
      </w:r>
      <w:r w:rsidRPr="00CB3471">
        <w:rPr>
          <w:rFonts w:ascii="Times New Roman" w:hAnsi="Times New Roman" w:cs="Times New Roman"/>
          <w:sz w:val="20"/>
          <w:szCs w:val="20"/>
        </w:rPr>
        <w:t>Averaged across all households</w:t>
      </w:r>
    </w:p>
    <w:p w14:paraId="4E3E0B3D" w14:textId="04061689" w:rsidR="001F22F4" w:rsidRDefault="001F22F4" w:rsidP="00CB3471">
      <w:pPr>
        <w:spacing w:after="0" w:line="240" w:lineRule="auto"/>
        <w:jc w:val="both"/>
        <w:rPr>
          <w:rFonts w:ascii="Times New Roman" w:hAnsi="Times New Roman" w:cs="Times New Roman"/>
          <w:sz w:val="24"/>
          <w:szCs w:val="24"/>
        </w:rPr>
      </w:pPr>
      <w:r w:rsidRPr="001F22F4">
        <w:rPr>
          <w:rFonts w:ascii="Times New Roman" w:hAnsi="Times New Roman" w:cs="Times New Roman"/>
          <w:sz w:val="24"/>
          <w:szCs w:val="24"/>
        </w:rPr>
        <w:lastRenderedPageBreak/>
        <w:t>with employed individuals (full-time or part-time) using work shuttle, and ii) all households with employed individuals (full-time or part-time) using work-shuttle services. Considering the benefits of freely estimating the scale parameter, the policy evaluation is undertaken using the model that freely estimates the scale parameter. The results for the above two polic</w:t>
      </w:r>
      <w:r w:rsidR="000A4751">
        <w:rPr>
          <w:rFonts w:ascii="Times New Roman" w:hAnsi="Times New Roman" w:cs="Times New Roman"/>
          <w:sz w:val="24"/>
          <w:szCs w:val="24"/>
        </w:rPr>
        <w:t>y</w:t>
      </w:r>
      <w:r w:rsidRPr="001F22F4">
        <w:rPr>
          <w:rFonts w:ascii="Times New Roman" w:hAnsi="Times New Roman" w:cs="Times New Roman"/>
          <w:sz w:val="24"/>
          <w:szCs w:val="24"/>
        </w:rPr>
        <w:t xml:space="preserve"> evaluations are provided in the second set of rows in Table 3 (under the heading Policy evaluations).</w:t>
      </w:r>
    </w:p>
    <w:p w14:paraId="1EFF2D32" w14:textId="77777777" w:rsidR="00CB3471" w:rsidRDefault="00CB3471" w:rsidP="00CB3471">
      <w:pPr>
        <w:spacing w:after="0" w:line="240" w:lineRule="auto"/>
        <w:rPr>
          <w:rFonts w:ascii="Times New Roman" w:hAnsi="Times New Roman" w:cs="Times New Roman"/>
          <w:i/>
          <w:sz w:val="24"/>
          <w:szCs w:val="24"/>
        </w:rPr>
      </w:pPr>
    </w:p>
    <w:p w14:paraId="1AA51532" w14:textId="7A446497" w:rsidR="001F22F4" w:rsidRPr="001F22F4" w:rsidRDefault="001F22F4" w:rsidP="00CB3471">
      <w:pPr>
        <w:spacing w:after="0" w:line="240" w:lineRule="auto"/>
        <w:rPr>
          <w:rFonts w:ascii="Times New Roman" w:hAnsi="Times New Roman" w:cs="Times New Roman"/>
          <w:i/>
          <w:sz w:val="24"/>
          <w:szCs w:val="24"/>
        </w:rPr>
      </w:pPr>
      <w:r w:rsidRPr="001F22F4">
        <w:rPr>
          <w:rFonts w:ascii="Times New Roman" w:hAnsi="Times New Roman" w:cs="Times New Roman"/>
          <w:i/>
          <w:sz w:val="24"/>
          <w:szCs w:val="24"/>
        </w:rPr>
        <w:t xml:space="preserve">Policy I: Effect of </w:t>
      </w:r>
      <w:r w:rsidR="00CB3471">
        <w:rPr>
          <w:rFonts w:ascii="Times New Roman" w:hAnsi="Times New Roman" w:cs="Times New Roman"/>
          <w:i/>
          <w:sz w:val="24"/>
          <w:szCs w:val="24"/>
        </w:rPr>
        <w:t>E</w:t>
      </w:r>
      <w:r w:rsidRPr="001F22F4">
        <w:rPr>
          <w:rFonts w:ascii="Times New Roman" w:hAnsi="Times New Roman" w:cs="Times New Roman"/>
          <w:i/>
          <w:sz w:val="24"/>
          <w:szCs w:val="24"/>
        </w:rPr>
        <w:t xml:space="preserve">mployment </w:t>
      </w:r>
      <w:r w:rsidR="00CB3471">
        <w:rPr>
          <w:rFonts w:ascii="Times New Roman" w:hAnsi="Times New Roman" w:cs="Times New Roman"/>
          <w:i/>
          <w:sz w:val="24"/>
          <w:szCs w:val="24"/>
        </w:rPr>
        <w:t>D</w:t>
      </w:r>
      <w:r w:rsidRPr="001F22F4">
        <w:rPr>
          <w:rFonts w:ascii="Times New Roman" w:hAnsi="Times New Roman" w:cs="Times New Roman"/>
          <w:i/>
          <w:sz w:val="24"/>
          <w:szCs w:val="24"/>
        </w:rPr>
        <w:t>ensification</w:t>
      </w:r>
    </w:p>
    <w:p w14:paraId="3151D6A7" w14:textId="55A1AB57" w:rsidR="001F22F4" w:rsidRPr="001F22F4" w:rsidRDefault="001F22F4" w:rsidP="00CB3471">
      <w:pPr>
        <w:spacing w:after="0" w:line="240" w:lineRule="auto"/>
        <w:jc w:val="both"/>
        <w:rPr>
          <w:rFonts w:ascii="Times New Roman" w:hAnsi="Times New Roman" w:cs="Times New Roman"/>
          <w:b/>
          <w:color w:val="000000" w:themeColor="text1"/>
          <w:sz w:val="24"/>
          <w:szCs w:val="24"/>
        </w:rPr>
      </w:pPr>
      <w:r w:rsidRPr="001F22F4">
        <w:rPr>
          <w:rFonts w:ascii="Times New Roman" w:hAnsi="Times New Roman" w:cs="Times New Roman"/>
          <w:sz w:val="24"/>
          <w:szCs w:val="24"/>
        </w:rPr>
        <w:t xml:space="preserve">The effects of employment densification manifest as </w:t>
      </w:r>
      <w:r w:rsidR="000A4751">
        <w:rPr>
          <w:rFonts w:ascii="Times New Roman" w:hAnsi="Times New Roman" w:cs="Times New Roman"/>
          <w:sz w:val="24"/>
          <w:szCs w:val="24"/>
        </w:rPr>
        <w:t xml:space="preserve">a </w:t>
      </w:r>
      <w:r w:rsidRPr="001F22F4">
        <w:rPr>
          <w:rFonts w:ascii="Times New Roman" w:hAnsi="Times New Roman" w:cs="Times New Roman"/>
          <w:sz w:val="24"/>
          <w:szCs w:val="24"/>
        </w:rPr>
        <w:t>reduction in ownership of gas</w:t>
      </w:r>
      <w:r w:rsidR="00524615">
        <w:rPr>
          <w:rFonts w:ascii="Times New Roman" w:hAnsi="Times New Roman" w:cs="Times New Roman"/>
          <w:sz w:val="24"/>
          <w:szCs w:val="24"/>
        </w:rPr>
        <w:t>oline</w:t>
      </w:r>
      <w:r w:rsidRPr="001F22F4">
        <w:rPr>
          <w:rFonts w:ascii="Times New Roman" w:hAnsi="Times New Roman" w:cs="Times New Roman"/>
          <w:sz w:val="24"/>
          <w:szCs w:val="24"/>
        </w:rPr>
        <w:t xml:space="preserve"> SUVs and pickup trucks (see the set of rows in Table 3 under the heading Policy I). Interestingly, densification of employment opportunities also results in </w:t>
      </w:r>
      <w:r w:rsidR="000A4751">
        <w:rPr>
          <w:rFonts w:ascii="Times New Roman" w:hAnsi="Times New Roman" w:cs="Times New Roman"/>
          <w:sz w:val="24"/>
          <w:szCs w:val="24"/>
        </w:rPr>
        <w:t xml:space="preserve">a </w:t>
      </w:r>
      <w:r w:rsidRPr="001F22F4">
        <w:rPr>
          <w:rFonts w:ascii="Times New Roman" w:hAnsi="Times New Roman" w:cs="Times New Roman"/>
          <w:sz w:val="24"/>
          <w:szCs w:val="24"/>
        </w:rPr>
        <w:t>reduction in ownership of hybrid SUVs, and vans as well (akin to a complementarity effect). At the same time, ownership of cars (across all three fuel categories) increases (akin to</w:t>
      </w:r>
      <w:r w:rsidR="00A523AA">
        <w:rPr>
          <w:rFonts w:ascii="Times New Roman" w:hAnsi="Times New Roman" w:cs="Times New Roman"/>
          <w:sz w:val="24"/>
          <w:szCs w:val="24"/>
        </w:rPr>
        <w:t xml:space="preserve"> a</w:t>
      </w:r>
      <w:r w:rsidRPr="001F22F4">
        <w:rPr>
          <w:rFonts w:ascii="Times New Roman" w:hAnsi="Times New Roman" w:cs="Times New Roman"/>
          <w:sz w:val="24"/>
          <w:szCs w:val="24"/>
        </w:rPr>
        <w:t xml:space="preserve"> substitution effect). Despite this increase in car ownership, the total vehicle ownership (indicated by an increase in </w:t>
      </w:r>
      <w:r w:rsidR="000A4751">
        <w:rPr>
          <w:rFonts w:ascii="Times New Roman" w:hAnsi="Times New Roman" w:cs="Times New Roman"/>
          <w:sz w:val="24"/>
          <w:szCs w:val="24"/>
        </w:rPr>
        <w:t xml:space="preserve">the </w:t>
      </w:r>
      <w:r w:rsidRPr="001F22F4">
        <w:rPr>
          <w:rFonts w:ascii="Times New Roman" w:hAnsi="Times New Roman" w:cs="Times New Roman"/>
          <w:sz w:val="24"/>
          <w:szCs w:val="24"/>
        </w:rPr>
        <w:t>percentage of households with zero-car ownership) as well as the total average miles driven</w:t>
      </w:r>
      <w:r w:rsidR="000A4751">
        <w:rPr>
          <w:rFonts w:ascii="Times New Roman" w:hAnsi="Times New Roman" w:cs="Times New Roman"/>
          <w:sz w:val="24"/>
          <w:szCs w:val="24"/>
        </w:rPr>
        <w:t>,</w:t>
      </w:r>
      <w:r w:rsidRPr="001F22F4">
        <w:rPr>
          <w:rFonts w:ascii="Times New Roman" w:hAnsi="Times New Roman" w:cs="Times New Roman"/>
          <w:sz w:val="24"/>
          <w:szCs w:val="24"/>
        </w:rPr>
        <w:t xml:space="preserve"> reduces. This reduction in total vehicle ownership levels and miles driven is an indirect effect of employment densification (through the linking effect). F</w:t>
      </w:r>
      <w:r w:rsidR="000A4751">
        <w:rPr>
          <w:rFonts w:ascii="Times New Roman" w:hAnsi="Times New Roman" w:cs="Times New Roman"/>
          <w:sz w:val="24"/>
          <w:szCs w:val="24"/>
        </w:rPr>
        <w:t>ro</w:t>
      </w:r>
      <w:r w:rsidRPr="001F22F4">
        <w:rPr>
          <w:rFonts w:ascii="Times New Roman" w:hAnsi="Times New Roman" w:cs="Times New Roman"/>
          <w:sz w:val="24"/>
          <w:szCs w:val="24"/>
        </w:rPr>
        <w:t>m a policy standpoint, these findings are indicative that employment densification can be an important lever to control total miles driven and reduce total vehicle ownership. However, it can still result in an increase in ownership of small cars (both gasoline</w:t>
      </w:r>
      <w:r w:rsidR="000A4751">
        <w:rPr>
          <w:rFonts w:ascii="Times New Roman" w:hAnsi="Times New Roman" w:cs="Times New Roman"/>
          <w:sz w:val="24"/>
          <w:szCs w:val="24"/>
        </w:rPr>
        <w:t>-</w:t>
      </w:r>
      <w:r w:rsidRPr="001F22F4">
        <w:rPr>
          <w:rFonts w:ascii="Times New Roman" w:hAnsi="Times New Roman" w:cs="Times New Roman"/>
          <w:sz w:val="24"/>
          <w:szCs w:val="24"/>
        </w:rPr>
        <w:t>powered and electric)</w:t>
      </w:r>
      <w:r w:rsidR="00B07663">
        <w:rPr>
          <w:rFonts w:ascii="Times New Roman" w:hAnsi="Times New Roman" w:cs="Times New Roman"/>
          <w:sz w:val="24"/>
          <w:szCs w:val="24"/>
        </w:rPr>
        <w:t xml:space="preserve">. Overall, with </w:t>
      </w:r>
      <w:r w:rsidR="000A4751">
        <w:rPr>
          <w:rFonts w:ascii="Times New Roman" w:hAnsi="Times New Roman" w:cs="Times New Roman"/>
          <w:sz w:val="24"/>
          <w:szCs w:val="24"/>
        </w:rPr>
        <w:t xml:space="preserve">a </w:t>
      </w:r>
      <w:r w:rsidR="00B07663">
        <w:rPr>
          <w:rFonts w:ascii="Times New Roman" w:hAnsi="Times New Roman" w:cs="Times New Roman"/>
          <w:sz w:val="24"/>
          <w:szCs w:val="24"/>
        </w:rPr>
        <w:t>decrease in ownership of SUVs, vans and trucks, the total</w:t>
      </w:r>
      <w:r w:rsidR="00A30BFC">
        <w:rPr>
          <w:rFonts w:ascii="Times New Roman" w:hAnsi="Times New Roman" w:cs="Times New Roman"/>
          <w:sz w:val="24"/>
          <w:szCs w:val="24"/>
        </w:rPr>
        <w:t xml:space="preserve"> on-road</w:t>
      </w:r>
      <w:r w:rsidR="00B07663">
        <w:rPr>
          <w:rFonts w:ascii="Times New Roman" w:hAnsi="Times New Roman" w:cs="Times New Roman"/>
          <w:sz w:val="24"/>
          <w:szCs w:val="24"/>
        </w:rPr>
        <w:t xml:space="preserve"> emissions in this scenario can potentially decrease since light</w:t>
      </w:r>
      <w:r w:rsidR="000A4751">
        <w:rPr>
          <w:rFonts w:ascii="Times New Roman" w:hAnsi="Times New Roman" w:cs="Times New Roman"/>
          <w:sz w:val="24"/>
          <w:szCs w:val="24"/>
        </w:rPr>
        <w:t>-</w:t>
      </w:r>
      <w:r w:rsidR="00B07663">
        <w:rPr>
          <w:rFonts w:ascii="Times New Roman" w:hAnsi="Times New Roman" w:cs="Times New Roman"/>
          <w:sz w:val="24"/>
          <w:szCs w:val="24"/>
        </w:rPr>
        <w:t xml:space="preserve">duty trucks are </w:t>
      </w:r>
      <w:r w:rsidR="000A4751">
        <w:rPr>
          <w:rFonts w:ascii="Times New Roman" w:hAnsi="Times New Roman" w:cs="Times New Roman"/>
          <w:sz w:val="24"/>
          <w:szCs w:val="24"/>
        </w:rPr>
        <w:t xml:space="preserve">the </w:t>
      </w:r>
      <w:r w:rsidR="00B07663">
        <w:rPr>
          <w:rFonts w:ascii="Times New Roman" w:hAnsi="Times New Roman" w:cs="Times New Roman"/>
          <w:sz w:val="24"/>
          <w:szCs w:val="24"/>
        </w:rPr>
        <w:t>biggest source of GHG emissions</w:t>
      </w:r>
      <w:r w:rsidR="000A4751">
        <w:rPr>
          <w:rFonts w:ascii="Times New Roman" w:hAnsi="Times New Roman" w:cs="Times New Roman"/>
          <w:sz w:val="24"/>
          <w:szCs w:val="24"/>
        </w:rPr>
        <w:t xml:space="preserve"> among all vehicle classes in the U.S.</w:t>
      </w:r>
      <w:r w:rsidR="00B07663">
        <w:rPr>
          <w:rFonts w:ascii="Times New Roman" w:hAnsi="Times New Roman" w:cs="Times New Roman"/>
          <w:sz w:val="24"/>
          <w:szCs w:val="24"/>
        </w:rPr>
        <w:t xml:space="preserve"> </w:t>
      </w:r>
      <w:r w:rsidR="00B07663" w:rsidRPr="00B07663">
        <w:rPr>
          <w:rFonts w:ascii="Times New Roman" w:hAnsi="Times New Roman" w:cs="Times New Roman"/>
          <w:i/>
          <w:iCs/>
          <w:sz w:val="24"/>
          <w:szCs w:val="24"/>
        </w:rPr>
        <w:t>(30)</w:t>
      </w:r>
      <w:r w:rsidR="00B07663">
        <w:rPr>
          <w:rFonts w:ascii="Times New Roman" w:hAnsi="Times New Roman" w:cs="Times New Roman"/>
          <w:sz w:val="24"/>
          <w:szCs w:val="24"/>
        </w:rPr>
        <w:t>.</w:t>
      </w:r>
    </w:p>
    <w:p w14:paraId="5FBF5D2B" w14:textId="77777777" w:rsidR="00CB3471" w:rsidRDefault="00CB3471" w:rsidP="00CB3471">
      <w:pPr>
        <w:spacing w:after="0" w:line="240" w:lineRule="auto"/>
        <w:rPr>
          <w:rFonts w:ascii="Times New Roman" w:hAnsi="Times New Roman" w:cs="Times New Roman"/>
          <w:i/>
          <w:sz w:val="24"/>
          <w:szCs w:val="24"/>
        </w:rPr>
      </w:pPr>
    </w:p>
    <w:p w14:paraId="05870E1F" w14:textId="176FDFCE" w:rsidR="001F22F4" w:rsidRDefault="001F22F4" w:rsidP="00CB3471">
      <w:pPr>
        <w:spacing w:after="0" w:line="240" w:lineRule="auto"/>
        <w:rPr>
          <w:rFonts w:ascii="Times New Roman" w:hAnsi="Times New Roman" w:cs="Times New Roman"/>
          <w:i/>
          <w:sz w:val="24"/>
          <w:szCs w:val="24"/>
        </w:rPr>
      </w:pPr>
      <w:r w:rsidRPr="001F22F4">
        <w:rPr>
          <w:rFonts w:ascii="Times New Roman" w:hAnsi="Times New Roman" w:cs="Times New Roman"/>
          <w:i/>
          <w:sz w:val="24"/>
          <w:szCs w:val="24"/>
        </w:rPr>
        <w:t xml:space="preserve">Policy II: Effect of </w:t>
      </w:r>
      <w:r w:rsidR="00CB3471">
        <w:rPr>
          <w:rFonts w:ascii="Times New Roman" w:hAnsi="Times New Roman" w:cs="Times New Roman"/>
          <w:i/>
          <w:sz w:val="24"/>
          <w:szCs w:val="24"/>
        </w:rPr>
        <w:t>P</w:t>
      </w:r>
      <w:r w:rsidRPr="001F22F4">
        <w:rPr>
          <w:rFonts w:ascii="Times New Roman" w:hAnsi="Times New Roman" w:cs="Times New Roman"/>
          <w:i/>
          <w:sz w:val="24"/>
          <w:szCs w:val="24"/>
        </w:rPr>
        <w:t xml:space="preserve">rovision of </w:t>
      </w:r>
      <w:r w:rsidR="00CB3471">
        <w:rPr>
          <w:rFonts w:ascii="Times New Roman" w:hAnsi="Times New Roman" w:cs="Times New Roman"/>
          <w:i/>
          <w:sz w:val="24"/>
          <w:szCs w:val="24"/>
        </w:rPr>
        <w:t>N</w:t>
      </w:r>
      <w:r w:rsidRPr="001F22F4">
        <w:rPr>
          <w:rFonts w:ascii="Times New Roman" w:hAnsi="Times New Roman" w:cs="Times New Roman"/>
          <w:i/>
          <w:sz w:val="24"/>
          <w:szCs w:val="24"/>
        </w:rPr>
        <w:t>on-</w:t>
      </w:r>
      <w:r w:rsidR="00CB3471">
        <w:rPr>
          <w:rFonts w:ascii="Times New Roman" w:hAnsi="Times New Roman" w:cs="Times New Roman"/>
          <w:i/>
          <w:sz w:val="24"/>
          <w:szCs w:val="24"/>
        </w:rPr>
        <w:t>P</w:t>
      </w:r>
      <w:r w:rsidRPr="001F22F4">
        <w:rPr>
          <w:rFonts w:ascii="Times New Roman" w:hAnsi="Times New Roman" w:cs="Times New Roman"/>
          <w:i/>
          <w:sz w:val="24"/>
          <w:szCs w:val="24"/>
        </w:rPr>
        <w:t xml:space="preserve">rivate </w:t>
      </w:r>
      <w:r w:rsidR="00CB3471">
        <w:rPr>
          <w:rFonts w:ascii="Times New Roman" w:hAnsi="Times New Roman" w:cs="Times New Roman"/>
          <w:i/>
          <w:sz w:val="24"/>
          <w:szCs w:val="24"/>
        </w:rPr>
        <w:t>C</w:t>
      </w:r>
      <w:r w:rsidRPr="001F22F4">
        <w:rPr>
          <w:rFonts w:ascii="Times New Roman" w:hAnsi="Times New Roman" w:cs="Times New Roman"/>
          <w:i/>
          <w:sz w:val="24"/>
          <w:szCs w:val="24"/>
        </w:rPr>
        <w:t xml:space="preserve">ommute </w:t>
      </w:r>
      <w:r w:rsidR="00CB3471">
        <w:rPr>
          <w:rFonts w:ascii="Times New Roman" w:hAnsi="Times New Roman" w:cs="Times New Roman"/>
          <w:i/>
          <w:sz w:val="24"/>
          <w:szCs w:val="24"/>
        </w:rPr>
        <w:t>O</w:t>
      </w:r>
      <w:r w:rsidRPr="001F22F4">
        <w:rPr>
          <w:rFonts w:ascii="Times New Roman" w:hAnsi="Times New Roman" w:cs="Times New Roman"/>
          <w:i/>
          <w:sz w:val="24"/>
          <w:szCs w:val="24"/>
        </w:rPr>
        <w:t>ptions</w:t>
      </w:r>
    </w:p>
    <w:p w14:paraId="4278653C" w14:textId="3EB11E48" w:rsidR="001F22F4" w:rsidRDefault="001F22F4" w:rsidP="00CB3471">
      <w:pPr>
        <w:spacing w:after="0" w:line="240" w:lineRule="auto"/>
        <w:jc w:val="both"/>
        <w:rPr>
          <w:rFonts w:ascii="Times New Roman" w:hAnsi="Times New Roman" w:cs="Times New Roman"/>
          <w:sz w:val="24"/>
        </w:rPr>
      </w:pPr>
      <w:r w:rsidRPr="001F22F4">
        <w:rPr>
          <w:rFonts w:ascii="Times New Roman" w:hAnsi="Times New Roman" w:cs="Times New Roman"/>
          <w:sz w:val="24"/>
        </w:rPr>
        <w:t xml:space="preserve">The effects of </w:t>
      </w:r>
      <w:r w:rsidR="000A4751">
        <w:rPr>
          <w:rFonts w:ascii="Times New Roman" w:hAnsi="Times New Roman" w:cs="Times New Roman"/>
          <w:sz w:val="24"/>
        </w:rPr>
        <w:t xml:space="preserve">the </w:t>
      </w:r>
      <w:r w:rsidRPr="001F22F4">
        <w:rPr>
          <w:rFonts w:ascii="Times New Roman" w:hAnsi="Times New Roman" w:cs="Times New Roman"/>
          <w:sz w:val="24"/>
        </w:rPr>
        <w:t xml:space="preserve">provision of non-private commute options were evaluated through the usage of work shuttle services by households. The results </w:t>
      </w:r>
      <w:r w:rsidR="000A4751">
        <w:rPr>
          <w:rFonts w:ascii="Times New Roman" w:hAnsi="Times New Roman" w:cs="Times New Roman"/>
          <w:sz w:val="24"/>
        </w:rPr>
        <w:t>of</w:t>
      </w:r>
      <w:r w:rsidRPr="001F22F4">
        <w:rPr>
          <w:rFonts w:ascii="Times New Roman" w:hAnsi="Times New Roman" w:cs="Times New Roman"/>
          <w:sz w:val="24"/>
        </w:rPr>
        <w:t xml:space="preserve"> this policy evaluation are provided in the second set of rows under the heading Policy II in Table 3. The total average miles driven by households show a significant 12.1% decrease as households start using work shuttle</w:t>
      </w:r>
      <w:r w:rsidR="000A4751">
        <w:rPr>
          <w:rFonts w:ascii="Times New Roman" w:hAnsi="Times New Roman" w:cs="Times New Roman"/>
          <w:sz w:val="24"/>
        </w:rPr>
        <w:t>s</w:t>
      </w:r>
      <w:r w:rsidRPr="001F22F4">
        <w:rPr>
          <w:rFonts w:ascii="Times New Roman" w:hAnsi="Times New Roman" w:cs="Times New Roman"/>
          <w:sz w:val="24"/>
        </w:rPr>
        <w:t xml:space="preserve"> (see the last row of Table 3). Interestingly, the use of work shuttle</w:t>
      </w:r>
      <w:r w:rsidR="000A4751">
        <w:rPr>
          <w:rFonts w:ascii="Times New Roman" w:hAnsi="Times New Roman" w:cs="Times New Roman"/>
          <w:sz w:val="24"/>
        </w:rPr>
        <w:t>s</w:t>
      </w:r>
      <w:r w:rsidRPr="001F22F4">
        <w:rPr>
          <w:rFonts w:ascii="Times New Roman" w:hAnsi="Times New Roman" w:cs="Times New Roman"/>
          <w:sz w:val="24"/>
        </w:rPr>
        <w:t xml:space="preserve"> by workers also leads to a reduction in vehicle ownership, with </w:t>
      </w:r>
      <w:r w:rsidR="000A4751">
        <w:rPr>
          <w:rFonts w:ascii="Times New Roman" w:hAnsi="Times New Roman" w:cs="Times New Roman"/>
          <w:sz w:val="24"/>
        </w:rPr>
        <w:t xml:space="preserve">the </w:t>
      </w:r>
      <w:r w:rsidRPr="001F22F4">
        <w:rPr>
          <w:rFonts w:ascii="Times New Roman" w:hAnsi="Times New Roman" w:cs="Times New Roman"/>
          <w:sz w:val="24"/>
        </w:rPr>
        <w:t>number of households with zero vehicles showing a significant 25% increase. This reduction in vehicle ownership also translates in</w:t>
      </w:r>
      <w:r w:rsidR="000A4751">
        <w:rPr>
          <w:rFonts w:ascii="Times New Roman" w:hAnsi="Times New Roman" w:cs="Times New Roman"/>
          <w:sz w:val="24"/>
        </w:rPr>
        <w:t>to</w:t>
      </w:r>
      <w:r w:rsidRPr="001F22F4">
        <w:rPr>
          <w:rFonts w:ascii="Times New Roman" w:hAnsi="Times New Roman" w:cs="Times New Roman"/>
          <w:sz w:val="24"/>
        </w:rPr>
        <w:t xml:space="preserve"> a small reduction in vehicle ownership of each vehicle type. Therefore, from a policy standpoint, providing work shuttle services can potentially result </w:t>
      </w:r>
      <w:r w:rsidR="000A4751">
        <w:rPr>
          <w:rFonts w:ascii="Times New Roman" w:hAnsi="Times New Roman" w:cs="Times New Roman"/>
          <w:sz w:val="24"/>
        </w:rPr>
        <w:t>in reduced total miles driven and</w:t>
      </w:r>
      <w:r w:rsidRPr="001F22F4">
        <w:rPr>
          <w:rFonts w:ascii="Times New Roman" w:hAnsi="Times New Roman" w:cs="Times New Roman"/>
          <w:sz w:val="24"/>
        </w:rPr>
        <w:t xml:space="preserve"> vehicle ownership level</w:t>
      </w:r>
      <w:r w:rsidR="000A4751">
        <w:rPr>
          <w:rFonts w:ascii="Times New Roman" w:hAnsi="Times New Roman" w:cs="Times New Roman"/>
          <w:sz w:val="24"/>
        </w:rPr>
        <w:t>s</w:t>
      </w:r>
      <w:r w:rsidR="00A30BFC">
        <w:rPr>
          <w:rFonts w:ascii="Times New Roman" w:hAnsi="Times New Roman" w:cs="Times New Roman"/>
          <w:sz w:val="24"/>
        </w:rPr>
        <w:t>, thereby potentially reducing overall on-r</w:t>
      </w:r>
      <w:r w:rsidR="000A4751">
        <w:rPr>
          <w:rFonts w:ascii="Times New Roman" w:hAnsi="Times New Roman" w:cs="Times New Roman"/>
          <w:sz w:val="24"/>
        </w:rPr>
        <w:t>oa</w:t>
      </w:r>
      <w:r w:rsidR="00A30BFC">
        <w:rPr>
          <w:rFonts w:ascii="Times New Roman" w:hAnsi="Times New Roman" w:cs="Times New Roman"/>
          <w:sz w:val="24"/>
        </w:rPr>
        <w:t>d GHG emissions</w:t>
      </w:r>
      <w:r w:rsidRPr="001F22F4">
        <w:rPr>
          <w:rFonts w:ascii="Times New Roman" w:hAnsi="Times New Roman" w:cs="Times New Roman"/>
          <w:sz w:val="24"/>
        </w:rPr>
        <w:t>. This result again highlights the importance of endogenous modelling of budget within the MDC model framework since the optimal allocations derived through the traditional MDC models are not sensitive to income effects.</w:t>
      </w:r>
    </w:p>
    <w:p w14:paraId="27769E6B" w14:textId="77777777" w:rsidR="001821F1" w:rsidRPr="001F22F4" w:rsidRDefault="001821F1" w:rsidP="00CB3471">
      <w:pPr>
        <w:spacing w:after="0" w:line="240" w:lineRule="auto"/>
        <w:jc w:val="both"/>
        <w:rPr>
          <w:rFonts w:ascii="Times New Roman" w:hAnsi="Times New Roman" w:cs="Times New Roman"/>
          <w:sz w:val="24"/>
        </w:rPr>
      </w:pPr>
    </w:p>
    <w:p w14:paraId="400F646E" w14:textId="3FD69349" w:rsidR="001F22F4" w:rsidRPr="001F22F4" w:rsidRDefault="001F22F4" w:rsidP="00CB3471">
      <w:pPr>
        <w:spacing w:after="0" w:line="240" w:lineRule="auto"/>
        <w:rPr>
          <w:rFonts w:ascii="Times New Roman" w:hAnsi="Times New Roman" w:cs="Times New Roman"/>
          <w:b/>
          <w:color w:val="000000" w:themeColor="text1"/>
          <w:sz w:val="24"/>
          <w:szCs w:val="24"/>
        </w:rPr>
      </w:pPr>
      <w:r w:rsidRPr="001F22F4">
        <w:rPr>
          <w:rFonts w:ascii="Times New Roman" w:hAnsi="Times New Roman" w:cs="Times New Roman"/>
          <w:b/>
          <w:color w:val="000000" w:themeColor="text1"/>
          <w:sz w:val="24"/>
          <w:szCs w:val="24"/>
        </w:rPr>
        <w:t>CONCLUSIONS</w:t>
      </w:r>
    </w:p>
    <w:p w14:paraId="56D8E44A" w14:textId="061391B8" w:rsidR="00A523AA" w:rsidRPr="007F691D" w:rsidRDefault="00A523AA" w:rsidP="007F691D">
      <w:pPr>
        <w:spacing w:after="0" w:line="240" w:lineRule="auto"/>
        <w:jc w:val="both"/>
        <w:rPr>
          <w:rFonts w:ascii="Times New Roman" w:hAnsi="Times New Roman" w:cs="Times New Roman"/>
          <w:sz w:val="24"/>
          <w:szCs w:val="24"/>
        </w:rPr>
      </w:pPr>
      <w:r w:rsidRPr="00A523AA">
        <w:rPr>
          <w:rFonts w:ascii="Times New Roman" w:hAnsi="Times New Roman" w:cs="Times New Roman"/>
          <w:sz w:val="24"/>
        </w:rPr>
        <w:t>This paper analyses households’ vehicle holdings and usage decisions in California using a two-stage MDC choice model framework that allows endogenous estimation of the budget as well as the allocation of the budget to the elementary alternatives, all within a utility theoretic framework. In doing so, we revisit the prior formulation of the two-stage MDC model and relax the unit scale requirement in the model.</w:t>
      </w:r>
      <w:r w:rsidRPr="00A523AA">
        <w:rPr>
          <w:rFonts w:ascii="Times New Roman" w:hAnsi="Times New Roman" w:cs="Times New Roman"/>
          <w:b/>
          <w:bCs/>
          <w:sz w:val="20"/>
          <w:szCs w:val="20"/>
        </w:rPr>
        <w:t xml:space="preserve"> </w:t>
      </w:r>
      <w:r w:rsidRPr="00A523AA">
        <w:rPr>
          <w:rFonts w:ascii="Times New Roman" w:hAnsi="Times New Roman" w:cs="Times New Roman"/>
          <w:sz w:val="24"/>
        </w:rPr>
        <w:t>With this extended formulation, the empirical assessment of households’ vehicle holding and usage in California is undertaken using the</w:t>
      </w:r>
      <w:r w:rsidR="001821F1">
        <w:rPr>
          <w:rFonts w:ascii="Times New Roman" w:hAnsi="Times New Roman" w:cs="Times New Roman"/>
          <w:sz w:val="24"/>
        </w:rPr>
        <w:t xml:space="preserve"> 2019</w:t>
      </w:r>
      <w:r w:rsidRPr="00A523AA">
        <w:rPr>
          <w:rFonts w:ascii="Times New Roman" w:hAnsi="Times New Roman" w:cs="Times New Roman"/>
          <w:sz w:val="24"/>
        </w:rPr>
        <w:t xml:space="preserve"> California Vehicle Survey data. The empirical results indicate that freely estimating the scale parameter improves model fit. Policy simulations using the empirical model indicated that regional densification measures, such as increasing employment density reduces ownership of SUVs, vans, and pickup trucks</w:t>
      </w:r>
      <w:r w:rsidR="00D20B53">
        <w:rPr>
          <w:rFonts w:ascii="Times New Roman" w:hAnsi="Times New Roman" w:cs="Times New Roman"/>
          <w:sz w:val="24"/>
        </w:rPr>
        <w:t>,</w:t>
      </w:r>
      <w:r w:rsidRPr="00A523AA">
        <w:rPr>
          <w:rFonts w:ascii="Times New Roman" w:hAnsi="Times New Roman" w:cs="Times New Roman"/>
          <w:sz w:val="24"/>
        </w:rPr>
        <w:t xml:space="preserve"> while </w:t>
      </w:r>
      <w:r w:rsidRPr="00A523AA">
        <w:rPr>
          <w:rFonts w:ascii="Times New Roman" w:hAnsi="Times New Roman" w:cs="Times New Roman"/>
          <w:sz w:val="24"/>
        </w:rPr>
        <w:lastRenderedPageBreak/>
        <w:t>increasing the ownership of passenger cars (both gasoline and electric). Despite this increase</w:t>
      </w:r>
      <w:r w:rsidR="00D20B53">
        <w:rPr>
          <w:rFonts w:ascii="Times New Roman" w:hAnsi="Times New Roman" w:cs="Times New Roman"/>
          <w:sz w:val="24"/>
        </w:rPr>
        <w:t xml:space="preserve"> in </w:t>
      </w:r>
      <w:r w:rsidR="00D20B53" w:rsidRPr="007F691D">
        <w:rPr>
          <w:rFonts w:ascii="Times New Roman" w:hAnsi="Times New Roman" w:cs="Times New Roman"/>
          <w:sz w:val="24"/>
          <w:szCs w:val="24"/>
        </w:rPr>
        <w:t>passenger cars</w:t>
      </w:r>
      <w:r w:rsidRPr="007F691D">
        <w:rPr>
          <w:rFonts w:ascii="Times New Roman" w:hAnsi="Times New Roman" w:cs="Times New Roman"/>
          <w:sz w:val="24"/>
          <w:szCs w:val="24"/>
        </w:rPr>
        <w:t>, the total vehicle ownership reduces as a result of employment densification. Further, provision of alternative, non-personal commute options (such as work shuttles) can significantly reduce personal vehicle ownership and miles travelled.</w:t>
      </w:r>
      <w:r w:rsidR="00A30BFC" w:rsidRPr="007F691D">
        <w:rPr>
          <w:rFonts w:ascii="Times New Roman" w:hAnsi="Times New Roman" w:cs="Times New Roman"/>
          <w:sz w:val="24"/>
          <w:szCs w:val="24"/>
        </w:rPr>
        <w:t xml:space="preserve"> Overall, both policies can potentially lead to reduction in</w:t>
      </w:r>
      <w:r w:rsidR="00F77939" w:rsidRPr="007F691D">
        <w:rPr>
          <w:rFonts w:ascii="Times New Roman" w:hAnsi="Times New Roman" w:cs="Times New Roman"/>
          <w:sz w:val="24"/>
          <w:szCs w:val="24"/>
        </w:rPr>
        <w:t xml:space="preserve"> total</w:t>
      </w:r>
      <w:r w:rsidR="00A30BFC" w:rsidRPr="007F691D">
        <w:rPr>
          <w:rFonts w:ascii="Times New Roman" w:hAnsi="Times New Roman" w:cs="Times New Roman"/>
          <w:sz w:val="24"/>
          <w:szCs w:val="24"/>
        </w:rPr>
        <w:t xml:space="preserve"> on-road emissions.</w:t>
      </w:r>
    </w:p>
    <w:p w14:paraId="5C85CB57" w14:textId="77777777" w:rsidR="0071475B" w:rsidRPr="007F691D" w:rsidRDefault="0071475B" w:rsidP="007F691D">
      <w:pPr>
        <w:spacing w:after="0" w:line="240" w:lineRule="auto"/>
        <w:jc w:val="both"/>
        <w:rPr>
          <w:rFonts w:ascii="Times New Roman" w:hAnsi="Times New Roman" w:cs="Times New Roman"/>
          <w:color w:val="000000" w:themeColor="text1"/>
          <w:sz w:val="24"/>
          <w:szCs w:val="24"/>
        </w:rPr>
      </w:pPr>
    </w:p>
    <w:p w14:paraId="3AA2BD13" w14:textId="60B873AF" w:rsidR="00AC74C0" w:rsidRPr="007F691D" w:rsidRDefault="0099587D" w:rsidP="007F691D">
      <w:pPr>
        <w:spacing w:after="0" w:line="240" w:lineRule="auto"/>
        <w:jc w:val="both"/>
        <w:rPr>
          <w:rFonts w:ascii="Times New Roman" w:hAnsi="Times New Roman" w:cs="Times New Roman"/>
          <w:b/>
          <w:color w:val="000000" w:themeColor="text1"/>
          <w:sz w:val="24"/>
          <w:szCs w:val="24"/>
        </w:rPr>
      </w:pPr>
      <w:r w:rsidRPr="007F691D">
        <w:rPr>
          <w:rFonts w:ascii="Times New Roman" w:hAnsi="Times New Roman" w:cs="Times New Roman"/>
          <w:b/>
          <w:color w:val="000000" w:themeColor="text1"/>
          <w:sz w:val="24"/>
          <w:szCs w:val="24"/>
        </w:rPr>
        <w:t>ACKNOWLEDGMENTS</w:t>
      </w:r>
    </w:p>
    <w:p w14:paraId="6D0ED2A1" w14:textId="62F33C71" w:rsidR="00BE21DE" w:rsidRPr="007F691D" w:rsidRDefault="007F691D" w:rsidP="007F691D">
      <w:pPr>
        <w:spacing w:after="0" w:line="240" w:lineRule="auto"/>
        <w:jc w:val="both"/>
        <w:rPr>
          <w:rFonts w:ascii="Times New Roman" w:hAnsi="Times New Roman" w:cs="Times New Roman"/>
          <w:sz w:val="24"/>
          <w:szCs w:val="24"/>
        </w:rPr>
      </w:pPr>
      <w:r w:rsidRPr="007F691D">
        <w:rPr>
          <w:rFonts w:ascii="Times New Roman" w:hAnsi="Times New Roman" w:cs="Times New Roman"/>
          <w:sz w:val="24"/>
          <w:szCs w:val="24"/>
        </w:rPr>
        <w:t xml:space="preserve">This research was partially supported by the U.S. Department of Transportation through the Center for Understanding Future Travel </w:t>
      </w:r>
      <w:proofErr w:type="spellStart"/>
      <w:r w:rsidRPr="007F691D">
        <w:rPr>
          <w:rFonts w:ascii="Times New Roman" w:hAnsi="Times New Roman" w:cs="Times New Roman"/>
          <w:sz w:val="24"/>
          <w:szCs w:val="24"/>
        </w:rPr>
        <w:t>Behavior</w:t>
      </w:r>
      <w:proofErr w:type="spellEnd"/>
      <w:r w:rsidRPr="007F691D">
        <w:rPr>
          <w:rFonts w:ascii="Times New Roman" w:hAnsi="Times New Roman" w:cs="Times New Roman"/>
          <w:sz w:val="24"/>
          <w:szCs w:val="24"/>
        </w:rPr>
        <w:t xml:space="preserve"> and Demand (TBD) (Grant No. 69A3552344815 and No. 69A3552348320)</w:t>
      </w:r>
      <w:r w:rsidR="00A523AA" w:rsidRPr="007F691D">
        <w:rPr>
          <w:rFonts w:ascii="Times New Roman" w:hAnsi="Times New Roman" w:cs="Times New Roman"/>
          <w:sz w:val="24"/>
          <w:szCs w:val="24"/>
        </w:rPr>
        <w:t>.</w:t>
      </w:r>
      <w:r w:rsidR="001821F1" w:rsidRPr="007F691D">
        <w:rPr>
          <w:rFonts w:ascii="Times New Roman" w:hAnsi="Times New Roman" w:cs="Times New Roman"/>
          <w:sz w:val="24"/>
          <w:szCs w:val="24"/>
        </w:rPr>
        <w:t xml:space="preserve"> All authors acknowledge</w:t>
      </w:r>
      <w:r w:rsidR="006A7BB3" w:rsidRPr="007F691D">
        <w:rPr>
          <w:rFonts w:ascii="Times New Roman" w:hAnsi="Times New Roman" w:cs="Times New Roman"/>
          <w:sz w:val="24"/>
          <w:szCs w:val="24"/>
        </w:rPr>
        <w:t xml:space="preserve"> the</w:t>
      </w:r>
      <w:r w:rsidR="001821F1" w:rsidRPr="007F691D">
        <w:rPr>
          <w:rFonts w:ascii="Times New Roman" w:hAnsi="Times New Roman" w:cs="Times New Roman"/>
          <w:sz w:val="24"/>
          <w:szCs w:val="24"/>
        </w:rPr>
        <w:t xml:space="preserve"> support </w:t>
      </w:r>
      <w:r w:rsidR="006A7BB3" w:rsidRPr="007F691D">
        <w:rPr>
          <w:rFonts w:ascii="Times New Roman" w:hAnsi="Times New Roman" w:cs="Times New Roman"/>
          <w:sz w:val="24"/>
          <w:szCs w:val="24"/>
        </w:rPr>
        <w:t>from the Indian Ministry of Education through SPARC for encouraging international collaborations.</w:t>
      </w:r>
      <w:r w:rsidRPr="007F691D">
        <w:rPr>
          <w:rFonts w:ascii="Times New Roman" w:hAnsi="Times New Roman" w:cs="Times New Roman"/>
          <w:sz w:val="24"/>
          <w:szCs w:val="24"/>
        </w:rPr>
        <w:t xml:space="preserve"> The authors are grateful to Lisa Macias for her help in formatting this document.</w:t>
      </w:r>
    </w:p>
    <w:p w14:paraId="650EBEF9" w14:textId="11D93990" w:rsidR="00C959CE" w:rsidRPr="007F691D" w:rsidRDefault="00C959CE" w:rsidP="007F691D">
      <w:pPr>
        <w:spacing w:after="0" w:line="240" w:lineRule="auto"/>
        <w:jc w:val="both"/>
        <w:rPr>
          <w:rFonts w:ascii="Times New Roman" w:hAnsi="Times New Roman" w:cs="Times New Roman"/>
          <w:b/>
          <w:color w:val="000000" w:themeColor="text1"/>
          <w:sz w:val="24"/>
          <w:szCs w:val="24"/>
        </w:rPr>
      </w:pPr>
    </w:p>
    <w:p w14:paraId="5FBCBAD4" w14:textId="46DD47FF" w:rsidR="00BE21DE" w:rsidRPr="007F691D" w:rsidRDefault="0099587D" w:rsidP="007F691D">
      <w:pPr>
        <w:spacing w:after="0" w:line="240" w:lineRule="auto"/>
        <w:jc w:val="both"/>
        <w:rPr>
          <w:rFonts w:ascii="Times New Roman" w:hAnsi="Times New Roman" w:cs="Times New Roman"/>
          <w:b/>
          <w:color w:val="000000" w:themeColor="text1"/>
          <w:sz w:val="24"/>
          <w:szCs w:val="24"/>
        </w:rPr>
      </w:pPr>
      <w:r w:rsidRPr="007F691D">
        <w:rPr>
          <w:rFonts w:ascii="Times New Roman" w:hAnsi="Times New Roman" w:cs="Times New Roman"/>
          <w:b/>
          <w:color w:val="000000" w:themeColor="text1"/>
          <w:sz w:val="24"/>
          <w:szCs w:val="24"/>
        </w:rPr>
        <w:t>AUTHOR CONTRIBUTIONS</w:t>
      </w:r>
    </w:p>
    <w:p w14:paraId="080F6AD2" w14:textId="2C3B572C" w:rsidR="00D94AF5" w:rsidRPr="007F691D" w:rsidRDefault="0099587D" w:rsidP="007F691D">
      <w:pPr>
        <w:spacing w:after="0" w:line="240" w:lineRule="auto"/>
        <w:jc w:val="both"/>
        <w:rPr>
          <w:rFonts w:ascii="Times New Roman" w:hAnsi="Times New Roman" w:cs="Times New Roman"/>
          <w:color w:val="000000" w:themeColor="text1"/>
          <w:sz w:val="24"/>
          <w:szCs w:val="24"/>
        </w:rPr>
      </w:pPr>
      <w:r w:rsidRPr="007F691D">
        <w:rPr>
          <w:rFonts w:ascii="Times New Roman" w:hAnsi="Times New Roman" w:cs="Times New Roman"/>
          <w:color w:val="000000" w:themeColor="text1"/>
          <w:sz w:val="24"/>
          <w:szCs w:val="24"/>
        </w:rPr>
        <w:t>The authors confirm contribution to the paper as follows: study conception and design:</w:t>
      </w:r>
      <w:r w:rsidR="00DE7BE7" w:rsidRPr="007F691D">
        <w:rPr>
          <w:rFonts w:ascii="Times New Roman" w:hAnsi="Times New Roman" w:cs="Times New Roman"/>
          <w:color w:val="000000" w:themeColor="text1"/>
          <w:sz w:val="24"/>
          <w:szCs w:val="24"/>
        </w:rPr>
        <w:t xml:space="preserve"> </w:t>
      </w:r>
      <w:r w:rsidR="00A523AA" w:rsidRPr="007F691D">
        <w:rPr>
          <w:rFonts w:ascii="Times New Roman" w:hAnsi="Times New Roman" w:cs="Times New Roman"/>
          <w:color w:val="000000" w:themeColor="text1"/>
          <w:sz w:val="24"/>
          <w:szCs w:val="24"/>
        </w:rPr>
        <w:t>S</w:t>
      </w:r>
      <w:r w:rsidR="000A4751" w:rsidRPr="007F691D">
        <w:rPr>
          <w:rFonts w:ascii="Times New Roman" w:hAnsi="Times New Roman" w:cs="Times New Roman"/>
          <w:color w:val="000000" w:themeColor="text1"/>
          <w:sz w:val="24"/>
          <w:szCs w:val="24"/>
        </w:rPr>
        <w:t>.</w:t>
      </w:r>
      <w:r w:rsidR="00CB3471" w:rsidRPr="007F691D">
        <w:rPr>
          <w:rFonts w:ascii="Times New Roman" w:hAnsi="Times New Roman" w:cs="Times New Roman"/>
          <w:color w:val="000000" w:themeColor="text1"/>
          <w:sz w:val="24"/>
          <w:szCs w:val="24"/>
        </w:rPr>
        <w:t xml:space="preserve"> </w:t>
      </w:r>
      <w:r w:rsidR="000A4751" w:rsidRPr="007F691D">
        <w:rPr>
          <w:rFonts w:ascii="Times New Roman" w:hAnsi="Times New Roman" w:cs="Times New Roman"/>
          <w:color w:val="000000" w:themeColor="text1"/>
          <w:sz w:val="24"/>
          <w:szCs w:val="24"/>
        </w:rPr>
        <w:t>S</w:t>
      </w:r>
      <w:r w:rsidR="00CB3471" w:rsidRPr="007F691D">
        <w:rPr>
          <w:rFonts w:ascii="Times New Roman" w:hAnsi="Times New Roman" w:cs="Times New Roman"/>
          <w:color w:val="000000" w:themeColor="text1"/>
          <w:sz w:val="24"/>
          <w:szCs w:val="24"/>
        </w:rPr>
        <w:t>axena</w:t>
      </w:r>
      <w:r w:rsidRPr="007F691D">
        <w:rPr>
          <w:rFonts w:ascii="Times New Roman" w:hAnsi="Times New Roman" w:cs="Times New Roman"/>
          <w:color w:val="000000" w:themeColor="text1"/>
          <w:sz w:val="24"/>
          <w:szCs w:val="24"/>
        </w:rPr>
        <w:t xml:space="preserve">, </w:t>
      </w:r>
      <w:r w:rsidR="00A523AA" w:rsidRPr="007F691D">
        <w:rPr>
          <w:rFonts w:ascii="Times New Roman" w:hAnsi="Times New Roman" w:cs="Times New Roman"/>
          <w:color w:val="000000" w:themeColor="text1"/>
          <w:sz w:val="24"/>
          <w:szCs w:val="24"/>
        </w:rPr>
        <w:t>C</w:t>
      </w:r>
      <w:r w:rsidR="000A4751" w:rsidRPr="007F691D">
        <w:rPr>
          <w:rFonts w:ascii="Times New Roman" w:hAnsi="Times New Roman" w:cs="Times New Roman"/>
          <w:color w:val="000000" w:themeColor="text1"/>
          <w:sz w:val="24"/>
          <w:szCs w:val="24"/>
        </w:rPr>
        <w:t>.</w:t>
      </w:r>
      <w:r w:rsidR="00CB3471" w:rsidRPr="007F691D">
        <w:rPr>
          <w:rFonts w:ascii="Times New Roman" w:hAnsi="Times New Roman" w:cs="Times New Roman"/>
          <w:color w:val="000000" w:themeColor="text1"/>
          <w:sz w:val="24"/>
          <w:szCs w:val="24"/>
        </w:rPr>
        <w:t xml:space="preserve">R. </w:t>
      </w:r>
      <w:r w:rsidR="000A4751" w:rsidRPr="007F691D">
        <w:rPr>
          <w:rFonts w:ascii="Times New Roman" w:hAnsi="Times New Roman" w:cs="Times New Roman"/>
          <w:color w:val="000000" w:themeColor="text1"/>
          <w:sz w:val="24"/>
          <w:szCs w:val="24"/>
        </w:rPr>
        <w:t>B</w:t>
      </w:r>
      <w:r w:rsidR="00CB3471" w:rsidRPr="007F691D">
        <w:rPr>
          <w:rFonts w:ascii="Times New Roman" w:hAnsi="Times New Roman" w:cs="Times New Roman"/>
          <w:color w:val="000000" w:themeColor="text1"/>
          <w:sz w:val="24"/>
          <w:szCs w:val="24"/>
        </w:rPr>
        <w:t>hat</w:t>
      </w:r>
      <w:r w:rsidR="00A523AA" w:rsidRPr="007F691D">
        <w:rPr>
          <w:rFonts w:ascii="Times New Roman" w:hAnsi="Times New Roman" w:cs="Times New Roman"/>
          <w:color w:val="000000" w:themeColor="text1"/>
          <w:sz w:val="24"/>
          <w:szCs w:val="24"/>
        </w:rPr>
        <w:t>, A</w:t>
      </w:r>
      <w:r w:rsidR="00CB3471" w:rsidRPr="007F691D">
        <w:rPr>
          <w:rFonts w:ascii="Times New Roman" w:hAnsi="Times New Roman" w:cs="Times New Roman"/>
          <w:color w:val="000000" w:themeColor="text1"/>
          <w:sz w:val="24"/>
          <w:szCs w:val="24"/>
        </w:rPr>
        <w:t>.</w:t>
      </w:r>
      <w:r w:rsidR="00A523AA" w:rsidRPr="007F691D">
        <w:rPr>
          <w:rFonts w:ascii="Times New Roman" w:hAnsi="Times New Roman" w:cs="Times New Roman"/>
          <w:color w:val="000000" w:themeColor="text1"/>
          <w:sz w:val="24"/>
          <w:szCs w:val="24"/>
        </w:rPr>
        <w:t>R</w:t>
      </w:r>
      <w:r w:rsidR="00CB3471" w:rsidRPr="007F691D">
        <w:rPr>
          <w:rFonts w:ascii="Times New Roman" w:hAnsi="Times New Roman" w:cs="Times New Roman"/>
          <w:color w:val="000000" w:themeColor="text1"/>
          <w:sz w:val="24"/>
          <w:szCs w:val="24"/>
        </w:rPr>
        <w:t xml:space="preserve">. </w:t>
      </w:r>
      <w:r w:rsidR="00A523AA" w:rsidRPr="007F691D">
        <w:rPr>
          <w:rFonts w:ascii="Times New Roman" w:hAnsi="Times New Roman" w:cs="Times New Roman"/>
          <w:color w:val="000000" w:themeColor="text1"/>
          <w:sz w:val="24"/>
          <w:szCs w:val="24"/>
        </w:rPr>
        <w:t>P</w:t>
      </w:r>
      <w:r w:rsidR="00CB3471" w:rsidRPr="007F691D">
        <w:rPr>
          <w:rFonts w:ascii="Times New Roman" w:hAnsi="Times New Roman" w:cs="Times New Roman"/>
          <w:color w:val="000000" w:themeColor="text1"/>
          <w:sz w:val="24"/>
          <w:szCs w:val="24"/>
        </w:rPr>
        <w:t>injari</w:t>
      </w:r>
      <w:r w:rsidRPr="007F691D">
        <w:rPr>
          <w:rFonts w:ascii="Times New Roman" w:hAnsi="Times New Roman" w:cs="Times New Roman"/>
          <w:color w:val="000000" w:themeColor="text1"/>
          <w:sz w:val="24"/>
          <w:szCs w:val="24"/>
        </w:rPr>
        <w:t xml:space="preserve">; analysis and interpretation of results: </w:t>
      </w:r>
      <w:r w:rsidR="00CB3471" w:rsidRPr="007F691D">
        <w:rPr>
          <w:rFonts w:ascii="Times New Roman" w:hAnsi="Times New Roman" w:cs="Times New Roman"/>
          <w:color w:val="000000" w:themeColor="text1"/>
          <w:sz w:val="24"/>
          <w:szCs w:val="24"/>
        </w:rPr>
        <w:t>S. Saxena, C.R. Bhat, A.R. Pinjari</w:t>
      </w:r>
      <w:r w:rsidRPr="007F691D">
        <w:rPr>
          <w:rFonts w:ascii="Times New Roman" w:hAnsi="Times New Roman" w:cs="Times New Roman"/>
          <w:color w:val="000000" w:themeColor="text1"/>
          <w:sz w:val="24"/>
          <w:szCs w:val="24"/>
        </w:rPr>
        <w:t xml:space="preserve">; draft manuscript preparation: </w:t>
      </w:r>
      <w:r w:rsidR="00CB3471" w:rsidRPr="007F691D">
        <w:rPr>
          <w:rFonts w:ascii="Times New Roman" w:hAnsi="Times New Roman" w:cs="Times New Roman"/>
          <w:color w:val="000000" w:themeColor="text1"/>
          <w:sz w:val="24"/>
          <w:szCs w:val="24"/>
        </w:rPr>
        <w:t>S. Saxena, C.R. Bhat, A.R. Pinjari</w:t>
      </w:r>
      <w:r w:rsidRPr="007F691D">
        <w:rPr>
          <w:rFonts w:ascii="Times New Roman" w:hAnsi="Times New Roman" w:cs="Times New Roman"/>
          <w:color w:val="000000" w:themeColor="text1"/>
          <w:sz w:val="24"/>
          <w:szCs w:val="24"/>
        </w:rPr>
        <w:t>. All</w:t>
      </w:r>
      <w:r w:rsidR="00DE7BE7" w:rsidRPr="007F691D">
        <w:rPr>
          <w:rFonts w:ascii="Times New Roman" w:hAnsi="Times New Roman" w:cs="Times New Roman"/>
          <w:color w:val="000000" w:themeColor="text1"/>
          <w:sz w:val="24"/>
          <w:szCs w:val="24"/>
        </w:rPr>
        <w:t xml:space="preserve"> </w:t>
      </w:r>
      <w:r w:rsidRPr="007F691D">
        <w:rPr>
          <w:rFonts w:ascii="Times New Roman" w:hAnsi="Times New Roman" w:cs="Times New Roman"/>
          <w:color w:val="000000" w:themeColor="text1"/>
          <w:sz w:val="24"/>
          <w:szCs w:val="24"/>
        </w:rPr>
        <w:t>authors reviewed the results and approved the final version of the manuscript.</w:t>
      </w:r>
      <w:r w:rsidR="00D94AF5" w:rsidRPr="007F691D">
        <w:rPr>
          <w:rFonts w:ascii="Times New Roman" w:hAnsi="Times New Roman" w:cs="Times New Roman"/>
          <w:color w:val="000000" w:themeColor="text1"/>
          <w:sz w:val="24"/>
          <w:szCs w:val="24"/>
        </w:rPr>
        <w:br w:type="page"/>
      </w:r>
    </w:p>
    <w:p w14:paraId="252F9246" w14:textId="77777777" w:rsidR="009C0681" w:rsidRPr="005617FF" w:rsidRDefault="009C0681" w:rsidP="00DE7BE7">
      <w:pPr>
        <w:spacing w:after="0" w:line="240" w:lineRule="auto"/>
        <w:rPr>
          <w:rFonts w:ascii="Times New Roman" w:hAnsi="Times New Roman" w:cs="Times New Roman"/>
          <w:b/>
          <w:noProof/>
          <w:color w:val="000000" w:themeColor="text1"/>
        </w:rPr>
        <w:sectPr w:rsidR="009C0681" w:rsidRPr="005617FF" w:rsidSect="000F372D">
          <w:pgSz w:w="12240" w:h="15840"/>
          <w:pgMar w:top="1440" w:right="1440" w:bottom="1440" w:left="1440" w:header="720" w:footer="720" w:gutter="0"/>
          <w:cols w:space="720"/>
          <w:titlePg/>
          <w:docGrid w:linePitch="360"/>
        </w:sectPr>
      </w:pPr>
    </w:p>
    <w:p w14:paraId="2B5440A1" w14:textId="7F9228AE" w:rsidR="00D94AF5" w:rsidRPr="00CB3471" w:rsidRDefault="0099587D" w:rsidP="00CB3471">
      <w:pPr>
        <w:spacing w:after="60" w:line="240" w:lineRule="auto"/>
        <w:rPr>
          <w:rFonts w:ascii="Times New Roman" w:hAnsi="Times New Roman" w:cs="Times New Roman"/>
          <w:b/>
          <w:noProof/>
          <w:color w:val="000000" w:themeColor="text1"/>
          <w:sz w:val="24"/>
          <w:szCs w:val="24"/>
        </w:rPr>
      </w:pPr>
      <w:r w:rsidRPr="00CB3471">
        <w:rPr>
          <w:rFonts w:ascii="Times New Roman" w:hAnsi="Times New Roman" w:cs="Times New Roman"/>
          <w:b/>
          <w:noProof/>
          <w:color w:val="000000" w:themeColor="text1"/>
          <w:sz w:val="24"/>
          <w:szCs w:val="24"/>
        </w:rPr>
        <w:lastRenderedPageBreak/>
        <w:t>REFERENCES</w:t>
      </w:r>
    </w:p>
    <w:p w14:paraId="0AA8C771" w14:textId="41110422"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Mallett, W. J. (2018). Trends in public transportation ridership: Implications for federal policy. </w:t>
      </w:r>
      <w:r w:rsidRPr="00CB3471">
        <w:rPr>
          <w:rFonts w:ascii="Times New Roman" w:hAnsi="Times New Roman" w:cs="Times New Roman"/>
          <w:i/>
          <w:iCs/>
          <w:color w:val="222222"/>
          <w:sz w:val="24"/>
          <w:szCs w:val="24"/>
          <w:shd w:val="clear" w:color="auto" w:fill="FFFFFF"/>
        </w:rPr>
        <w:t>Washington, DC: Congressional Research Service</w:t>
      </w:r>
      <w:r w:rsidRPr="00CB3471">
        <w:rPr>
          <w:rFonts w:ascii="Times New Roman" w:hAnsi="Times New Roman" w:cs="Times New Roman"/>
          <w:color w:val="222222"/>
          <w:sz w:val="24"/>
          <w:szCs w:val="24"/>
          <w:shd w:val="clear" w:color="auto" w:fill="FFFFFF"/>
        </w:rPr>
        <w:t>.</w:t>
      </w:r>
    </w:p>
    <w:p w14:paraId="5017C66B" w14:textId="704D6AC6"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Morris, E. A., </w:t>
      </w:r>
      <w:proofErr w:type="spellStart"/>
      <w:r w:rsidRPr="00CB3471">
        <w:rPr>
          <w:rFonts w:ascii="Times New Roman" w:hAnsi="Times New Roman" w:cs="Times New Roman"/>
          <w:color w:val="222222"/>
          <w:sz w:val="24"/>
          <w:szCs w:val="24"/>
          <w:shd w:val="clear" w:color="auto" w:fill="FFFFFF"/>
        </w:rPr>
        <w:t>Blumenberg</w:t>
      </w:r>
      <w:proofErr w:type="spellEnd"/>
      <w:r w:rsidRPr="00CB3471">
        <w:rPr>
          <w:rFonts w:ascii="Times New Roman" w:hAnsi="Times New Roman" w:cs="Times New Roman"/>
          <w:color w:val="222222"/>
          <w:sz w:val="24"/>
          <w:szCs w:val="24"/>
          <w:shd w:val="clear" w:color="auto" w:fill="FFFFFF"/>
        </w:rPr>
        <w:t xml:space="preserve">, E.,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Guerra, E. (2020). Does lacking a car put the brakes on activity participation? Private vehicle access and access to opportunities among low-income adults. </w:t>
      </w:r>
      <w:r w:rsidRPr="00CB3471">
        <w:rPr>
          <w:rFonts w:ascii="Times New Roman" w:hAnsi="Times New Roman" w:cs="Times New Roman"/>
          <w:i/>
          <w:iCs/>
          <w:color w:val="222222"/>
          <w:sz w:val="24"/>
          <w:szCs w:val="24"/>
          <w:shd w:val="clear" w:color="auto" w:fill="FFFFFF"/>
        </w:rPr>
        <w:t>Transportation Research Part A</w:t>
      </w:r>
      <w:r w:rsidRPr="00CB3471">
        <w:rPr>
          <w:rFonts w:ascii="Times New Roman" w:hAnsi="Times New Roman" w:cs="Times New Roman"/>
          <w:color w:val="222222"/>
          <w:sz w:val="24"/>
          <w:szCs w:val="24"/>
          <w:shd w:val="clear" w:color="auto" w:fill="FFFFFF"/>
        </w:rPr>
        <w:t>, 136, 375-397.</w:t>
      </w:r>
    </w:p>
    <w:p w14:paraId="34BDE1D3" w14:textId="3CFF95A1"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sz w:val="24"/>
          <w:szCs w:val="24"/>
          <w:lang w:val="en-US"/>
        </w:rPr>
        <w:fldChar w:fldCharType="begin" w:fldLock="1"/>
      </w:r>
      <w:r w:rsidRPr="00CB3471">
        <w:rPr>
          <w:rFonts w:ascii="Times New Roman" w:hAnsi="Times New Roman" w:cs="Times New Roman"/>
          <w:sz w:val="24"/>
          <w:szCs w:val="24"/>
        </w:rPr>
        <w:instrText xml:space="preserve">ADDIN Mendeley Bibliography CSL_BIBLIOGRAPHY </w:instrText>
      </w:r>
      <w:r w:rsidRPr="00CB3471">
        <w:rPr>
          <w:rFonts w:ascii="Times New Roman" w:hAnsi="Times New Roman" w:cs="Times New Roman"/>
          <w:sz w:val="24"/>
          <w:szCs w:val="24"/>
        </w:rPr>
        <w:fldChar w:fldCharType="end"/>
      </w:r>
      <w:proofErr w:type="spellStart"/>
      <w:r w:rsidRPr="00CB3471">
        <w:rPr>
          <w:rFonts w:ascii="Times New Roman" w:hAnsi="Times New Roman" w:cs="Times New Roman"/>
          <w:sz w:val="24"/>
          <w:szCs w:val="24"/>
        </w:rPr>
        <w:t>Andor</w:t>
      </w:r>
      <w:proofErr w:type="spellEnd"/>
      <w:r w:rsidRPr="00CB3471">
        <w:rPr>
          <w:rFonts w:ascii="Times New Roman" w:hAnsi="Times New Roman" w:cs="Times New Roman"/>
          <w:sz w:val="24"/>
          <w:szCs w:val="24"/>
        </w:rPr>
        <w:t xml:space="preserve">, M. A., </w:t>
      </w:r>
      <w:proofErr w:type="spellStart"/>
      <w:r w:rsidRPr="00CB3471">
        <w:rPr>
          <w:rFonts w:ascii="Times New Roman" w:hAnsi="Times New Roman" w:cs="Times New Roman"/>
          <w:sz w:val="24"/>
          <w:szCs w:val="24"/>
        </w:rPr>
        <w:t>Gerster</w:t>
      </w:r>
      <w:proofErr w:type="spellEnd"/>
      <w:r w:rsidRPr="00CB3471">
        <w:rPr>
          <w:rFonts w:ascii="Times New Roman" w:hAnsi="Times New Roman" w:cs="Times New Roman"/>
          <w:sz w:val="24"/>
          <w:szCs w:val="24"/>
        </w:rPr>
        <w:t xml:space="preserve">, A., Gillingham, K. T.,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sz w:val="24"/>
          <w:szCs w:val="24"/>
        </w:rPr>
        <w:t xml:space="preserve"> Horvath, M. (2020). Running a </w:t>
      </w:r>
      <w:proofErr w:type="gramStart"/>
      <w:r w:rsidRPr="00CB3471">
        <w:rPr>
          <w:rFonts w:ascii="Times New Roman" w:hAnsi="Times New Roman" w:cs="Times New Roman"/>
          <w:sz w:val="24"/>
          <w:szCs w:val="24"/>
        </w:rPr>
        <w:t>car costs</w:t>
      </w:r>
      <w:proofErr w:type="gramEnd"/>
      <w:r w:rsidRPr="00CB3471">
        <w:rPr>
          <w:rFonts w:ascii="Times New Roman" w:hAnsi="Times New Roman" w:cs="Times New Roman"/>
          <w:sz w:val="24"/>
          <w:szCs w:val="24"/>
        </w:rPr>
        <w:t xml:space="preserve"> much more than people think—stalling the uptake of green travel. </w:t>
      </w:r>
      <w:r w:rsidRPr="00CB3471">
        <w:rPr>
          <w:rFonts w:ascii="Times New Roman" w:hAnsi="Times New Roman" w:cs="Times New Roman"/>
          <w:i/>
          <w:iCs/>
          <w:sz w:val="24"/>
          <w:szCs w:val="24"/>
        </w:rPr>
        <w:t>Nature</w:t>
      </w:r>
      <w:r w:rsidRPr="00CB3471">
        <w:rPr>
          <w:rFonts w:ascii="Times New Roman" w:hAnsi="Times New Roman" w:cs="Times New Roman"/>
          <w:sz w:val="24"/>
          <w:szCs w:val="24"/>
        </w:rPr>
        <w:t>, 580(7804), 453-455.</w:t>
      </w:r>
    </w:p>
    <w:p w14:paraId="13A35DA9" w14:textId="35CFB180"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Moody, J.,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Zhao, J. (2020). Travel </w:t>
      </w:r>
      <w:proofErr w:type="spellStart"/>
      <w:r w:rsidRPr="00CB3471">
        <w:rPr>
          <w:rFonts w:ascii="Times New Roman" w:hAnsi="Times New Roman" w:cs="Times New Roman"/>
          <w:color w:val="222222"/>
          <w:sz w:val="24"/>
          <w:szCs w:val="24"/>
          <w:shd w:val="clear" w:color="auto" w:fill="FFFFFF"/>
        </w:rPr>
        <w:t>behavior</w:t>
      </w:r>
      <w:proofErr w:type="spellEnd"/>
      <w:r w:rsidRPr="00CB3471">
        <w:rPr>
          <w:rFonts w:ascii="Times New Roman" w:hAnsi="Times New Roman" w:cs="Times New Roman"/>
          <w:color w:val="222222"/>
          <w:sz w:val="24"/>
          <w:szCs w:val="24"/>
          <w:shd w:val="clear" w:color="auto" w:fill="FFFFFF"/>
        </w:rPr>
        <w:t xml:space="preserve"> as a driver of attitude: Car use and car pride in U</w:t>
      </w:r>
      <w:r w:rsidR="000A4751" w:rsidRPr="00CB3471">
        <w:rPr>
          <w:rFonts w:ascii="Times New Roman" w:hAnsi="Times New Roman" w:cs="Times New Roman"/>
          <w:color w:val="222222"/>
          <w:sz w:val="24"/>
          <w:szCs w:val="24"/>
          <w:shd w:val="clear" w:color="auto" w:fill="FFFFFF"/>
        </w:rPr>
        <w:t>.S.</w:t>
      </w:r>
      <w:r w:rsidRPr="00CB3471">
        <w:rPr>
          <w:rFonts w:ascii="Times New Roman" w:hAnsi="Times New Roman" w:cs="Times New Roman"/>
          <w:color w:val="222222"/>
          <w:sz w:val="24"/>
          <w:szCs w:val="24"/>
          <w:shd w:val="clear" w:color="auto" w:fill="FFFFFF"/>
        </w:rPr>
        <w:t xml:space="preserve"> cities. </w:t>
      </w:r>
      <w:r w:rsidRPr="00CB3471">
        <w:rPr>
          <w:rFonts w:ascii="Times New Roman" w:hAnsi="Times New Roman" w:cs="Times New Roman"/>
          <w:i/>
          <w:iCs/>
          <w:color w:val="222222"/>
          <w:sz w:val="24"/>
          <w:szCs w:val="24"/>
          <w:shd w:val="clear" w:color="auto" w:fill="FFFFFF"/>
        </w:rPr>
        <w:t>Transportation Research Part F</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74</w:t>
      </w:r>
      <w:r w:rsidRPr="00CB3471">
        <w:rPr>
          <w:rFonts w:ascii="Times New Roman" w:hAnsi="Times New Roman" w:cs="Times New Roman"/>
          <w:color w:val="222222"/>
          <w:sz w:val="24"/>
          <w:szCs w:val="24"/>
          <w:shd w:val="clear" w:color="auto" w:fill="FFFFFF"/>
        </w:rPr>
        <w:t>, 225-236.</w:t>
      </w:r>
    </w:p>
    <w:p w14:paraId="4603EB00" w14:textId="576D2D29"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Hula, A., Maguire, A., Bunker, A., </w:t>
      </w:r>
      <w:proofErr w:type="spellStart"/>
      <w:r w:rsidRPr="00CB3471">
        <w:rPr>
          <w:rFonts w:ascii="Times New Roman" w:hAnsi="Times New Roman" w:cs="Times New Roman"/>
          <w:color w:val="222222"/>
          <w:sz w:val="24"/>
          <w:szCs w:val="24"/>
          <w:shd w:val="clear" w:color="auto" w:fill="FFFFFF"/>
        </w:rPr>
        <w:t>Rojeck</w:t>
      </w:r>
      <w:proofErr w:type="spellEnd"/>
      <w:r w:rsidRPr="00CB3471">
        <w:rPr>
          <w:rFonts w:ascii="Times New Roman" w:hAnsi="Times New Roman" w:cs="Times New Roman"/>
          <w:color w:val="222222"/>
          <w:sz w:val="24"/>
          <w:szCs w:val="24"/>
          <w:shd w:val="clear" w:color="auto" w:fill="FFFFFF"/>
        </w:rPr>
        <w:t xml:space="preserve">, T.,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Harrison, S. (2022). </w:t>
      </w:r>
      <w:r w:rsidRPr="00CB3471">
        <w:rPr>
          <w:rFonts w:ascii="Times New Roman" w:hAnsi="Times New Roman" w:cs="Times New Roman"/>
          <w:i/>
          <w:iCs/>
          <w:color w:val="222222"/>
          <w:sz w:val="24"/>
          <w:szCs w:val="24"/>
          <w:shd w:val="clear" w:color="auto" w:fill="FFFFFF"/>
        </w:rPr>
        <w:t>The 2022 EPA Automotive Trends Report: Greenhouse Gas Emissions, Fuel Economy, and Technology Since 1975</w:t>
      </w:r>
      <w:r w:rsidRPr="00CB3471">
        <w:rPr>
          <w:rFonts w:ascii="Times New Roman" w:hAnsi="Times New Roman" w:cs="Times New Roman"/>
          <w:color w:val="222222"/>
          <w:sz w:val="24"/>
          <w:szCs w:val="24"/>
          <w:shd w:val="clear" w:color="auto" w:fill="FFFFFF"/>
        </w:rPr>
        <w:t> (No. EPA-420-R-22-029).</w:t>
      </w:r>
    </w:p>
    <w:p w14:paraId="189E9CCF"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proofErr w:type="spellStart"/>
      <w:r w:rsidRPr="00CB3471">
        <w:rPr>
          <w:rFonts w:ascii="Times New Roman" w:hAnsi="Times New Roman" w:cs="Times New Roman"/>
          <w:color w:val="222222"/>
          <w:sz w:val="24"/>
          <w:szCs w:val="24"/>
          <w:shd w:val="clear" w:color="auto" w:fill="FFFFFF"/>
        </w:rPr>
        <w:t>Bleviss</w:t>
      </w:r>
      <w:proofErr w:type="spellEnd"/>
      <w:r w:rsidRPr="00CB3471">
        <w:rPr>
          <w:rFonts w:ascii="Times New Roman" w:hAnsi="Times New Roman" w:cs="Times New Roman"/>
          <w:color w:val="222222"/>
          <w:sz w:val="24"/>
          <w:szCs w:val="24"/>
          <w:shd w:val="clear" w:color="auto" w:fill="FFFFFF"/>
        </w:rPr>
        <w:t>, D. L. (2021). Transportation is critical to reducing greenhouse gas emissions in the United States. </w:t>
      </w:r>
      <w:r w:rsidRPr="00CB3471">
        <w:rPr>
          <w:rFonts w:ascii="Times New Roman" w:hAnsi="Times New Roman" w:cs="Times New Roman"/>
          <w:i/>
          <w:iCs/>
          <w:color w:val="222222"/>
          <w:sz w:val="24"/>
          <w:szCs w:val="24"/>
          <w:shd w:val="clear" w:color="auto" w:fill="FFFFFF"/>
        </w:rPr>
        <w:t>Wiley Interdisciplinary Reviews: Energy and Environment</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10</w:t>
      </w:r>
      <w:r w:rsidRPr="00CB3471">
        <w:rPr>
          <w:rFonts w:ascii="Times New Roman" w:hAnsi="Times New Roman" w:cs="Times New Roman"/>
          <w:color w:val="222222"/>
          <w:sz w:val="24"/>
          <w:szCs w:val="24"/>
          <w:shd w:val="clear" w:color="auto" w:fill="FFFFFF"/>
        </w:rPr>
        <w:t>(2), e390.</w:t>
      </w:r>
    </w:p>
    <w:p w14:paraId="17F26966" w14:textId="181E71A8"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Zhang, W., </w:t>
      </w:r>
      <w:proofErr w:type="spellStart"/>
      <w:r w:rsidRPr="00CB3471">
        <w:rPr>
          <w:rFonts w:ascii="Times New Roman" w:hAnsi="Times New Roman" w:cs="Times New Roman"/>
          <w:color w:val="222222"/>
          <w:sz w:val="24"/>
          <w:szCs w:val="24"/>
          <w:shd w:val="clear" w:color="auto" w:fill="FFFFFF"/>
        </w:rPr>
        <w:t>Guhathakurta</w:t>
      </w:r>
      <w:proofErr w:type="spellEnd"/>
      <w:r w:rsidRPr="00CB3471">
        <w:rPr>
          <w:rFonts w:ascii="Times New Roman" w:hAnsi="Times New Roman" w:cs="Times New Roman"/>
          <w:color w:val="222222"/>
          <w:sz w:val="24"/>
          <w:szCs w:val="24"/>
          <w:shd w:val="clear" w:color="auto" w:fill="FFFFFF"/>
        </w:rPr>
        <w:t xml:space="preserve">, S.,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Khalil, E. B. (2018). The impact of private autonomous vehicles on vehicle ownership and unoccupied VMT generation. </w:t>
      </w:r>
      <w:r w:rsidRPr="00CB3471">
        <w:rPr>
          <w:rFonts w:ascii="Times New Roman" w:hAnsi="Times New Roman" w:cs="Times New Roman"/>
          <w:i/>
          <w:iCs/>
          <w:color w:val="222222"/>
          <w:sz w:val="24"/>
          <w:szCs w:val="24"/>
          <w:shd w:val="clear" w:color="auto" w:fill="FFFFFF"/>
        </w:rPr>
        <w:t>Transportation Research Part C</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90</w:t>
      </w:r>
      <w:r w:rsidRPr="00CB3471">
        <w:rPr>
          <w:rFonts w:ascii="Times New Roman" w:hAnsi="Times New Roman" w:cs="Times New Roman"/>
          <w:color w:val="222222"/>
          <w:sz w:val="24"/>
          <w:szCs w:val="24"/>
          <w:shd w:val="clear" w:color="auto" w:fill="FFFFFF"/>
        </w:rPr>
        <w:t>, 156-165.</w:t>
      </w:r>
    </w:p>
    <w:p w14:paraId="49C22A5F" w14:textId="515F0FEA"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Kim, S. H., Mokhtarian, P. L.,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Circella, G. (2020). Will autonomous vehicles change residential location and vehicle ownership? Glimpses from Georgia. </w:t>
      </w:r>
      <w:r w:rsidRPr="00CB3471">
        <w:rPr>
          <w:rFonts w:ascii="Times New Roman" w:hAnsi="Times New Roman" w:cs="Times New Roman"/>
          <w:i/>
          <w:iCs/>
          <w:color w:val="222222"/>
          <w:sz w:val="24"/>
          <w:szCs w:val="24"/>
          <w:shd w:val="clear" w:color="auto" w:fill="FFFFFF"/>
        </w:rPr>
        <w:t>Transportation Research Part D</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82</w:t>
      </w:r>
      <w:r w:rsidRPr="00CB3471">
        <w:rPr>
          <w:rFonts w:ascii="Times New Roman" w:hAnsi="Times New Roman" w:cs="Times New Roman"/>
          <w:color w:val="222222"/>
          <w:sz w:val="24"/>
          <w:szCs w:val="24"/>
          <w:shd w:val="clear" w:color="auto" w:fill="FFFFFF"/>
        </w:rPr>
        <w:t>, 102291.</w:t>
      </w:r>
    </w:p>
    <w:p w14:paraId="38E060D2" w14:textId="2B8E4B58"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Fang, H. A. (2008). A discrete–continuous model of households’ vehicle choice and usage, with an application to the effects of residential density. </w:t>
      </w:r>
      <w:r w:rsidRPr="00CB3471">
        <w:rPr>
          <w:rFonts w:ascii="Times New Roman" w:hAnsi="Times New Roman" w:cs="Times New Roman"/>
          <w:i/>
          <w:iCs/>
          <w:color w:val="222222"/>
          <w:sz w:val="24"/>
          <w:szCs w:val="24"/>
          <w:shd w:val="clear" w:color="auto" w:fill="FFFFFF"/>
        </w:rPr>
        <w:t>Transportation Research Part B</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42</w:t>
      </w:r>
      <w:r w:rsidRPr="00CB3471">
        <w:rPr>
          <w:rFonts w:ascii="Times New Roman" w:hAnsi="Times New Roman" w:cs="Times New Roman"/>
          <w:color w:val="222222"/>
          <w:sz w:val="24"/>
          <w:szCs w:val="24"/>
          <w:shd w:val="clear" w:color="auto" w:fill="FFFFFF"/>
        </w:rPr>
        <w:t>(9), 736-758.</w:t>
      </w:r>
    </w:p>
    <w:p w14:paraId="12EF17C2" w14:textId="5974B19C"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Nguyen, N. T., Miwa, T.,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Morikawa, T. (2017). Vehicle type choice, usage, and CO2 emissions in Ho Chi Minh city: analysis and simulation using a discrete-continuous model. </w:t>
      </w:r>
      <w:r w:rsidRPr="00CB3471">
        <w:rPr>
          <w:rFonts w:ascii="Times New Roman" w:hAnsi="Times New Roman" w:cs="Times New Roman"/>
          <w:i/>
          <w:iCs/>
          <w:color w:val="222222"/>
          <w:sz w:val="24"/>
          <w:szCs w:val="24"/>
          <w:shd w:val="clear" w:color="auto" w:fill="FFFFFF"/>
        </w:rPr>
        <w:t>Asian Transport Studies</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4</w:t>
      </w:r>
      <w:r w:rsidRPr="00CB3471">
        <w:rPr>
          <w:rFonts w:ascii="Times New Roman" w:hAnsi="Times New Roman" w:cs="Times New Roman"/>
          <w:color w:val="222222"/>
          <w:sz w:val="24"/>
          <w:szCs w:val="24"/>
          <w:shd w:val="clear" w:color="auto" w:fill="FFFFFF"/>
        </w:rPr>
        <w:t>(3), 499-517.</w:t>
      </w:r>
    </w:p>
    <w:p w14:paraId="796F1B2E" w14:textId="4A59BC73"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Bhat, C. R.,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Sen, S. (2006). Household vehicle type holdings and usage: an application of the multiple discrete-continuous extreme value (MDCEV) model. </w:t>
      </w:r>
      <w:r w:rsidRPr="00CB3471">
        <w:rPr>
          <w:rFonts w:ascii="Times New Roman" w:hAnsi="Times New Roman" w:cs="Times New Roman"/>
          <w:i/>
          <w:iCs/>
          <w:color w:val="222222"/>
          <w:sz w:val="24"/>
          <w:szCs w:val="24"/>
          <w:shd w:val="clear" w:color="auto" w:fill="FFFFFF"/>
        </w:rPr>
        <w:t>Transportation Research Part B</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40</w:t>
      </w:r>
      <w:r w:rsidRPr="00CB3471">
        <w:rPr>
          <w:rFonts w:ascii="Times New Roman" w:hAnsi="Times New Roman" w:cs="Times New Roman"/>
          <w:color w:val="222222"/>
          <w:sz w:val="24"/>
          <w:szCs w:val="24"/>
          <w:shd w:val="clear" w:color="auto" w:fill="FFFFFF"/>
        </w:rPr>
        <w:t>(1), 35-53</w:t>
      </w:r>
    </w:p>
    <w:p w14:paraId="3672AC45" w14:textId="53399BFF"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You, D., Garikapati, V. M., Pendyala, R. M., Bhat, C. R., Dubey, S., Jeon, K.,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Livshits, V. (2014). Development of vehicle fleet composition model system for implementation in activity-based travel model. </w:t>
      </w:r>
      <w:r w:rsidRPr="00CB3471">
        <w:rPr>
          <w:rFonts w:ascii="Times New Roman" w:hAnsi="Times New Roman" w:cs="Times New Roman"/>
          <w:i/>
          <w:iCs/>
          <w:color w:val="222222"/>
          <w:sz w:val="24"/>
          <w:szCs w:val="24"/>
          <w:shd w:val="clear" w:color="auto" w:fill="FFFFFF"/>
        </w:rPr>
        <w:t>Transportation Research Record</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2430</w:t>
      </w:r>
      <w:r w:rsidRPr="00CB3471">
        <w:rPr>
          <w:rFonts w:ascii="Times New Roman" w:hAnsi="Times New Roman" w:cs="Times New Roman"/>
          <w:color w:val="222222"/>
          <w:sz w:val="24"/>
          <w:szCs w:val="24"/>
          <w:shd w:val="clear" w:color="auto" w:fill="FFFFFF"/>
        </w:rPr>
        <w:t>(1), 145-154.</w:t>
      </w:r>
    </w:p>
    <w:p w14:paraId="6847B6F2" w14:textId="040EEB0D"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Vyas, G., Paleti, R., Bhat, C. R., Goulias, K. G., Pendyala, R. M., Hu, H. H., and </w:t>
      </w:r>
      <w:proofErr w:type="spellStart"/>
      <w:r w:rsidRPr="00CB3471">
        <w:rPr>
          <w:rFonts w:ascii="Times New Roman" w:hAnsi="Times New Roman" w:cs="Times New Roman"/>
          <w:color w:val="222222"/>
          <w:sz w:val="24"/>
          <w:szCs w:val="24"/>
          <w:shd w:val="clear" w:color="auto" w:fill="FFFFFF"/>
        </w:rPr>
        <w:t>Bahreinian</w:t>
      </w:r>
      <w:proofErr w:type="spellEnd"/>
      <w:r w:rsidRPr="00CB3471">
        <w:rPr>
          <w:rFonts w:ascii="Times New Roman" w:hAnsi="Times New Roman" w:cs="Times New Roman"/>
          <w:color w:val="222222"/>
          <w:sz w:val="24"/>
          <w:szCs w:val="24"/>
          <w:shd w:val="clear" w:color="auto" w:fill="FFFFFF"/>
        </w:rPr>
        <w:t>, A. (2012). Joint vehicle holdings, by type and vintage, and primary driver assignment model with application for California. </w:t>
      </w:r>
      <w:r w:rsidRPr="00CB3471">
        <w:rPr>
          <w:rFonts w:ascii="Times New Roman" w:hAnsi="Times New Roman" w:cs="Times New Roman"/>
          <w:i/>
          <w:iCs/>
          <w:color w:val="222222"/>
          <w:sz w:val="24"/>
          <w:szCs w:val="24"/>
          <w:shd w:val="clear" w:color="auto" w:fill="FFFFFF"/>
        </w:rPr>
        <w:t xml:space="preserve">Transportation </w:t>
      </w:r>
      <w:r w:rsidR="005F211D">
        <w:rPr>
          <w:rFonts w:ascii="Times New Roman" w:hAnsi="Times New Roman" w:cs="Times New Roman"/>
          <w:i/>
          <w:iCs/>
          <w:color w:val="222222"/>
          <w:sz w:val="24"/>
          <w:szCs w:val="24"/>
          <w:shd w:val="clear" w:color="auto" w:fill="FFFFFF"/>
        </w:rPr>
        <w:t>R</w:t>
      </w:r>
      <w:r w:rsidRPr="00CB3471">
        <w:rPr>
          <w:rFonts w:ascii="Times New Roman" w:hAnsi="Times New Roman" w:cs="Times New Roman"/>
          <w:i/>
          <w:iCs/>
          <w:color w:val="222222"/>
          <w:sz w:val="24"/>
          <w:szCs w:val="24"/>
          <w:shd w:val="clear" w:color="auto" w:fill="FFFFFF"/>
        </w:rPr>
        <w:t xml:space="preserve">esearch </w:t>
      </w:r>
      <w:r w:rsidR="005F211D">
        <w:rPr>
          <w:rFonts w:ascii="Times New Roman" w:hAnsi="Times New Roman" w:cs="Times New Roman"/>
          <w:i/>
          <w:iCs/>
          <w:color w:val="222222"/>
          <w:sz w:val="24"/>
          <w:szCs w:val="24"/>
          <w:shd w:val="clear" w:color="auto" w:fill="FFFFFF"/>
        </w:rPr>
        <w:t>R</w:t>
      </w:r>
      <w:r w:rsidRPr="00CB3471">
        <w:rPr>
          <w:rFonts w:ascii="Times New Roman" w:hAnsi="Times New Roman" w:cs="Times New Roman"/>
          <w:i/>
          <w:iCs/>
          <w:color w:val="222222"/>
          <w:sz w:val="24"/>
          <w:szCs w:val="24"/>
          <w:shd w:val="clear" w:color="auto" w:fill="FFFFFF"/>
        </w:rPr>
        <w:t>ecord</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2302</w:t>
      </w:r>
      <w:r w:rsidRPr="00CB3471">
        <w:rPr>
          <w:rFonts w:ascii="Times New Roman" w:hAnsi="Times New Roman" w:cs="Times New Roman"/>
          <w:color w:val="222222"/>
          <w:sz w:val="24"/>
          <w:szCs w:val="24"/>
          <w:shd w:val="clear" w:color="auto" w:fill="FFFFFF"/>
        </w:rPr>
        <w:t>(1), 74-83.</w:t>
      </w:r>
    </w:p>
    <w:p w14:paraId="224240A0" w14:textId="17BB05B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Augustin, B., Pinjari, A. R., Eluru, N.,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Pendyala, R. M. (2015). Estimation of annual mileage budgets for a multiple discrete-continuous choice model of household vehicle ownership and utilization. </w:t>
      </w:r>
      <w:r w:rsidRPr="00CB3471">
        <w:rPr>
          <w:rFonts w:ascii="Times New Roman" w:hAnsi="Times New Roman" w:cs="Times New Roman"/>
          <w:i/>
          <w:iCs/>
          <w:color w:val="222222"/>
          <w:sz w:val="24"/>
          <w:szCs w:val="24"/>
          <w:shd w:val="clear" w:color="auto" w:fill="FFFFFF"/>
        </w:rPr>
        <w:t>Transportation Research Record</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2493</w:t>
      </w:r>
      <w:r w:rsidRPr="00CB3471">
        <w:rPr>
          <w:rFonts w:ascii="Times New Roman" w:hAnsi="Times New Roman" w:cs="Times New Roman"/>
          <w:color w:val="222222"/>
          <w:sz w:val="24"/>
          <w:szCs w:val="24"/>
          <w:shd w:val="clear" w:color="auto" w:fill="FFFFFF"/>
        </w:rPr>
        <w:t>(1), 126-135.</w:t>
      </w:r>
    </w:p>
    <w:p w14:paraId="62B60461" w14:textId="0F963BFC"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noProof/>
          <w:sz w:val="24"/>
          <w:szCs w:val="24"/>
        </w:rPr>
        <w:t xml:space="preserve">Bhat, C.R., (2022). A </w:t>
      </w:r>
      <w:r w:rsidR="005F211D">
        <w:rPr>
          <w:rFonts w:ascii="Times New Roman" w:hAnsi="Times New Roman" w:cs="Times New Roman"/>
          <w:noProof/>
          <w:sz w:val="24"/>
          <w:szCs w:val="24"/>
        </w:rPr>
        <w:t>n</w:t>
      </w:r>
      <w:r w:rsidRPr="00CB3471">
        <w:rPr>
          <w:rFonts w:ascii="Times New Roman" w:hAnsi="Times New Roman" w:cs="Times New Roman"/>
          <w:noProof/>
          <w:sz w:val="24"/>
          <w:szCs w:val="24"/>
        </w:rPr>
        <w:t xml:space="preserve">ew </w:t>
      </w:r>
      <w:r w:rsidR="005F211D">
        <w:rPr>
          <w:rFonts w:ascii="Times New Roman" w:hAnsi="Times New Roman" w:cs="Times New Roman"/>
          <w:noProof/>
          <w:sz w:val="24"/>
          <w:szCs w:val="24"/>
        </w:rPr>
        <w:t>c</w:t>
      </w:r>
      <w:r w:rsidRPr="00CB3471">
        <w:rPr>
          <w:rFonts w:ascii="Times New Roman" w:hAnsi="Times New Roman" w:cs="Times New Roman"/>
          <w:noProof/>
          <w:sz w:val="24"/>
          <w:szCs w:val="24"/>
        </w:rPr>
        <w:t>losed-</w:t>
      </w:r>
      <w:r w:rsidR="005F211D">
        <w:rPr>
          <w:rFonts w:ascii="Times New Roman" w:hAnsi="Times New Roman" w:cs="Times New Roman"/>
          <w:noProof/>
          <w:sz w:val="24"/>
          <w:szCs w:val="24"/>
        </w:rPr>
        <w:t>f</w:t>
      </w:r>
      <w:r w:rsidRPr="00CB3471">
        <w:rPr>
          <w:rFonts w:ascii="Times New Roman" w:hAnsi="Times New Roman" w:cs="Times New Roman"/>
          <w:noProof/>
          <w:sz w:val="24"/>
          <w:szCs w:val="24"/>
        </w:rPr>
        <w:t xml:space="preserve">orm </w:t>
      </w:r>
      <w:r w:rsidR="005F211D">
        <w:rPr>
          <w:rFonts w:ascii="Times New Roman" w:hAnsi="Times New Roman" w:cs="Times New Roman"/>
          <w:noProof/>
          <w:sz w:val="24"/>
          <w:szCs w:val="24"/>
        </w:rPr>
        <w:t>t</w:t>
      </w:r>
      <w:r w:rsidRPr="00CB3471">
        <w:rPr>
          <w:rFonts w:ascii="Times New Roman" w:hAnsi="Times New Roman" w:cs="Times New Roman"/>
          <w:noProof/>
          <w:sz w:val="24"/>
          <w:szCs w:val="24"/>
        </w:rPr>
        <w:t>wo-</w:t>
      </w:r>
      <w:r w:rsidR="005F211D">
        <w:rPr>
          <w:rFonts w:ascii="Times New Roman" w:hAnsi="Times New Roman" w:cs="Times New Roman"/>
          <w:noProof/>
          <w:sz w:val="24"/>
          <w:szCs w:val="24"/>
        </w:rPr>
        <w:t>s</w:t>
      </w:r>
      <w:r w:rsidRPr="00CB3471">
        <w:rPr>
          <w:rFonts w:ascii="Times New Roman" w:hAnsi="Times New Roman" w:cs="Times New Roman"/>
          <w:noProof/>
          <w:sz w:val="24"/>
          <w:szCs w:val="24"/>
        </w:rPr>
        <w:t xml:space="preserve">tage </w:t>
      </w:r>
      <w:r w:rsidR="005F211D">
        <w:rPr>
          <w:rFonts w:ascii="Times New Roman" w:hAnsi="Times New Roman" w:cs="Times New Roman"/>
          <w:noProof/>
          <w:sz w:val="24"/>
          <w:szCs w:val="24"/>
        </w:rPr>
        <w:t>b</w:t>
      </w:r>
      <w:r w:rsidRPr="00CB3471">
        <w:rPr>
          <w:rFonts w:ascii="Times New Roman" w:hAnsi="Times New Roman" w:cs="Times New Roman"/>
          <w:noProof/>
          <w:sz w:val="24"/>
          <w:szCs w:val="24"/>
        </w:rPr>
        <w:t>udgeting-</w:t>
      </w:r>
      <w:r w:rsidR="005F211D">
        <w:rPr>
          <w:rFonts w:ascii="Times New Roman" w:hAnsi="Times New Roman" w:cs="Times New Roman"/>
          <w:noProof/>
          <w:sz w:val="24"/>
          <w:szCs w:val="24"/>
        </w:rPr>
        <w:t>b</w:t>
      </w:r>
      <w:r w:rsidRPr="00CB3471">
        <w:rPr>
          <w:rFonts w:ascii="Times New Roman" w:hAnsi="Times New Roman" w:cs="Times New Roman"/>
          <w:noProof/>
          <w:sz w:val="24"/>
          <w:szCs w:val="24"/>
        </w:rPr>
        <w:t xml:space="preserve">ased </w:t>
      </w:r>
      <w:r w:rsidR="005F211D">
        <w:rPr>
          <w:rFonts w:ascii="Times New Roman" w:hAnsi="Times New Roman" w:cs="Times New Roman"/>
          <w:noProof/>
          <w:sz w:val="24"/>
          <w:szCs w:val="24"/>
        </w:rPr>
        <w:t>m</w:t>
      </w:r>
      <w:r w:rsidRPr="00CB3471">
        <w:rPr>
          <w:rFonts w:ascii="Times New Roman" w:hAnsi="Times New Roman" w:cs="Times New Roman"/>
          <w:noProof/>
          <w:sz w:val="24"/>
          <w:szCs w:val="24"/>
        </w:rPr>
        <w:t xml:space="preserve">ultiple </w:t>
      </w:r>
      <w:r w:rsidR="005F211D">
        <w:rPr>
          <w:rFonts w:ascii="Times New Roman" w:hAnsi="Times New Roman" w:cs="Times New Roman"/>
          <w:noProof/>
          <w:sz w:val="24"/>
          <w:szCs w:val="24"/>
        </w:rPr>
        <w:t>d</w:t>
      </w:r>
      <w:r w:rsidRPr="00CB3471">
        <w:rPr>
          <w:rFonts w:ascii="Times New Roman" w:hAnsi="Times New Roman" w:cs="Times New Roman"/>
          <w:noProof/>
          <w:sz w:val="24"/>
          <w:szCs w:val="24"/>
        </w:rPr>
        <w:t>iscrete-</w:t>
      </w:r>
      <w:r w:rsidR="005F211D">
        <w:rPr>
          <w:rFonts w:ascii="Times New Roman" w:hAnsi="Times New Roman" w:cs="Times New Roman"/>
          <w:noProof/>
          <w:sz w:val="24"/>
          <w:szCs w:val="24"/>
        </w:rPr>
        <w:t>c</w:t>
      </w:r>
      <w:r w:rsidRPr="00CB3471">
        <w:rPr>
          <w:rFonts w:ascii="Times New Roman" w:hAnsi="Times New Roman" w:cs="Times New Roman"/>
          <w:noProof/>
          <w:sz w:val="24"/>
          <w:szCs w:val="24"/>
        </w:rPr>
        <w:t xml:space="preserve">ontinuous </w:t>
      </w:r>
      <w:r w:rsidR="005F211D">
        <w:rPr>
          <w:rFonts w:ascii="Times New Roman" w:hAnsi="Times New Roman" w:cs="Times New Roman"/>
          <w:noProof/>
          <w:sz w:val="24"/>
          <w:szCs w:val="24"/>
        </w:rPr>
        <w:t>m</w:t>
      </w:r>
      <w:r w:rsidRPr="00CB3471">
        <w:rPr>
          <w:rFonts w:ascii="Times New Roman" w:hAnsi="Times New Roman" w:cs="Times New Roman"/>
          <w:noProof/>
          <w:sz w:val="24"/>
          <w:szCs w:val="24"/>
        </w:rPr>
        <w:t xml:space="preserve">odel. </w:t>
      </w:r>
      <w:r w:rsidRPr="00CB3471">
        <w:rPr>
          <w:rFonts w:ascii="Times New Roman" w:hAnsi="Times New Roman" w:cs="Times New Roman"/>
          <w:i/>
          <w:iCs/>
          <w:color w:val="222222"/>
          <w:sz w:val="24"/>
          <w:szCs w:val="24"/>
          <w:shd w:val="clear" w:color="auto" w:fill="FFFFFF"/>
        </w:rPr>
        <w:t>Transportation Research Part B</w:t>
      </w:r>
      <w:r w:rsidRPr="005F211D">
        <w:rPr>
          <w:rFonts w:ascii="Times New Roman" w:hAnsi="Times New Roman" w:cs="Times New Roman"/>
          <w:iCs/>
          <w:color w:val="222222"/>
          <w:sz w:val="24"/>
          <w:szCs w:val="24"/>
          <w:shd w:val="clear" w:color="auto" w:fill="FFFFFF"/>
        </w:rPr>
        <w:t>,</w:t>
      </w:r>
      <w:r w:rsidRPr="005F211D">
        <w:rPr>
          <w:rFonts w:ascii="Times New Roman" w:hAnsi="Times New Roman" w:cs="Times New Roman"/>
          <w:noProof/>
          <w:sz w:val="24"/>
          <w:szCs w:val="24"/>
        </w:rPr>
        <w:t xml:space="preserve"> </w:t>
      </w:r>
      <w:r w:rsidRPr="005F211D">
        <w:rPr>
          <w:rFonts w:ascii="Times New Roman" w:hAnsi="Times New Roman" w:cs="Times New Roman"/>
          <w:i/>
          <w:noProof/>
          <w:sz w:val="24"/>
          <w:szCs w:val="24"/>
        </w:rPr>
        <w:t>164</w:t>
      </w:r>
      <w:r w:rsidRPr="00CB3471">
        <w:rPr>
          <w:rFonts w:ascii="Times New Roman" w:hAnsi="Times New Roman" w:cs="Times New Roman"/>
          <w:noProof/>
          <w:sz w:val="24"/>
          <w:szCs w:val="24"/>
        </w:rPr>
        <w:t>, 162–92.</w:t>
      </w:r>
    </w:p>
    <w:p w14:paraId="7BD2D74C" w14:textId="60A6CD7B"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proofErr w:type="spellStart"/>
      <w:r w:rsidRPr="00CB3471">
        <w:rPr>
          <w:rFonts w:ascii="Times New Roman" w:hAnsi="Times New Roman" w:cs="Times New Roman"/>
          <w:color w:val="222222"/>
          <w:sz w:val="24"/>
          <w:szCs w:val="24"/>
          <w:shd w:val="clear" w:color="auto" w:fill="FFFFFF"/>
        </w:rPr>
        <w:lastRenderedPageBreak/>
        <w:t>Rouwendal</w:t>
      </w:r>
      <w:proofErr w:type="spellEnd"/>
      <w:r w:rsidRPr="00CB3471">
        <w:rPr>
          <w:rFonts w:ascii="Times New Roman" w:hAnsi="Times New Roman" w:cs="Times New Roman"/>
          <w:color w:val="222222"/>
          <w:sz w:val="24"/>
          <w:szCs w:val="24"/>
          <w:shd w:val="clear" w:color="auto" w:fill="FFFFFF"/>
        </w:rPr>
        <w:t xml:space="preserve">, J.,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w:t>
      </w:r>
      <w:proofErr w:type="spellStart"/>
      <w:r w:rsidRPr="00CB3471">
        <w:rPr>
          <w:rFonts w:ascii="Times New Roman" w:hAnsi="Times New Roman" w:cs="Times New Roman"/>
          <w:color w:val="222222"/>
          <w:sz w:val="24"/>
          <w:szCs w:val="24"/>
          <w:shd w:val="clear" w:color="auto" w:fill="FFFFFF"/>
        </w:rPr>
        <w:t>Boter</w:t>
      </w:r>
      <w:proofErr w:type="spellEnd"/>
      <w:r w:rsidRPr="00CB3471">
        <w:rPr>
          <w:rFonts w:ascii="Times New Roman" w:hAnsi="Times New Roman" w:cs="Times New Roman"/>
          <w:color w:val="222222"/>
          <w:sz w:val="24"/>
          <w:szCs w:val="24"/>
          <w:shd w:val="clear" w:color="auto" w:fill="FFFFFF"/>
        </w:rPr>
        <w:t>, J. (2009). Assessing the value of museums with a combined discrete choice/count data model. </w:t>
      </w:r>
      <w:r w:rsidRPr="00CB3471">
        <w:rPr>
          <w:rFonts w:ascii="Times New Roman" w:hAnsi="Times New Roman" w:cs="Times New Roman"/>
          <w:i/>
          <w:iCs/>
          <w:color w:val="222222"/>
          <w:sz w:val="24"/>
          <w:szCs w:val="24"/>
          <w:shd w:val="clear" w:color="auto" w:fill="FFFFFF"/>
        </w:rPr>
        <w:t>Applied Economics</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41</w:t>
      </w:r>
      <w:r w:rsidRPr="00CB3471">
        <w:rPr>
          <w:rFonts w:ascii="Times New Roman" w:hAnsi="Times New Roman" w:cs="Times New Roman"/>
          <w:color w:val="222222"/>
          <w:sz w:val="24"/>
          <w:szCs w:val="24"/>
          <w:shd w:val="clear" w:color="auto" w:fill="FFFFFF"/>
        </w:rPr>
        <w:t>(11), 1417-1436.</w:t>
      </w:r>
    </w:p>
    <w:p w14:paraId="629A8B8C" w14:textId="238FC083"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Hausman, J. A., Leonard, G. K.,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McFadden, D. (1995). A utility-consistent, combined discrete choice and count data model assessing recreational use losses due to natural resource damage. </w:t>
      </w:r>
      <w:r w:rsidRPr="00CB3471">
        <w:rPr>
          <w:rFonts w:ascii="Times New Roman" w:hAnsi="Times New Roman" w:cs="Times New Roman"/>
          <w:i/>
          <w:iCs/>
          <w:color w:val="222222"/>
          <w:sz w:val="24"/>
          <w:szCs w:val="24"/>
          <w:shd w:val="clear" w:color="auto" w:fill="FFFFFF"/>
        </w:rPr>
        <w:t xml:space="preserve">Journal of </w:t>
      </w:r>
      <w:r w:rsidR="005F211D">
        <w:rPr>
          <w:rFonts w:ascii="Times New Roman" w:hAnsi="Times New Roman" w:cs="Times New Roman"/>
          <w:i/>
          <w:iCs/>
          <w:color w:val="222222"/>
          <w:sz w:val="24"/>
          <w:szCs w:val="24"/>
          <w:shd w:val="clear" w:color="auto" w:fill="FFFFFF"/>
        </w:rPr>
        <w:t>P</w:t>
      </w:r>
      <w:r w:rsidRPr="00CB3471">
        <w:rPr>
          <w:rFonts w:ascii="Times New Roman" w:hAnsi="Times New Roman" w:cs="Times New Roman"/>
          <w:i/>
          <w:iCs/>
          <w:color w:val="222222"/>
          <w:sz w:val="24"/>
          <w:szCs w:val="24"/>
          <w:shd w:val="clear" w:color="auto" w:fill="FFFFFF"/>
        </w:rPr>
        <w:t xml:space="preserve">ublic </w:t>
      </w:r>
      <w:r w:rsidR="005F211D">
        <w:rPr>
          <w:rFonts w:ascii="Times New Roman" w:hAnsi="Times New Roman" w:cs="Times New Roman"/>
          <w:i/>
          <w:iCs/>
          <w:color w:val="222222"/>
          <w:sz w:val="24"/>
          <w:szCs w:val="24"/>
          <w:shd w:val="clear" w:color="auto" w:fill="FFFFFF"/>
        </w:rPr>
        <w:t>E</w:t>
      </w:r>
      <w:r w:rsidRPr="00CB3471">
        <w:rPr>
          <w:rFonts w:ascii="Times New Roman" w:hAnsi="Times New Roman" w:cs="Times New Roman"/>
          <w:i/>
          <w:iCs/>
          <w:color w:val="222222"/>
          <w:sz w:val="24"/>
          <w:szCs w:val="24"/>
          <w:shd w:val="clear" w:color="auto" w:fill="FFFFFF"/>
        </w:rPr>
        <w:t>conomics</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56</w:t>
      </w:r>
      <w:r w:rsidRPr="00CB3471">
        <w:rPr>
          <w:rFonts w:ascii="Times New Roman" w:hAnsi="Times New Roman" w:cs="Times New Roman"/>
          <w:color w:val="222222"/>
          <w:sz w:val="24"/>
          <w:szCs w:val="24"/>
          <w:shd w:val="clear" w:color="auto" w:fill="FFFFFF"/>
        </w:rPr>
        <w:t>(1), 1-30.</w:t>
      </w:r>
    </w:p>
    <w:p w14:paraId="5DE86D53" w14:textId="413F1ED6"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Tobin, J. (1958). Estimation of relationships for limited dependent variables. </w:t>
      </w:r>
      <w:proofErr w:type="spellStart"/>
      <w:r w:rsidRPr="00CB3471">
        <w:rPr>
          <w:rFonts w:ascii="Times New Roman" w:hAnsi="Times New Roman" w:cs="Times New Roman"/>
          <w:i/>
          <w:iCs/>
          <w:color w:val="222222"/>
          <w:sz w:val="24"/>
          <w:szCs w:val="24"/>
          <w:shd w:val="clear" w:color="auto" w:fill="FFFFFF"/>
        </w:rPr>
        <w:t>Econometrica</w:t>
      </w:r>
      <w:proofErr w:type="spellEnd"/>
      <w:r w:rsidRPr="00CB3471">
        <w:rPr>
          <w:rFonts w:ascii="Times New Roman" w:hAnsi="Times New Roman" w:cs="Times New Roman"/>
          <w:i/>
          <w:iCs/>
          <w:color w:val="222222"/>
          <w:sz w:val="24"/>
          <w:szCs w:val="24"/>
          <w:shd w:val="clear" w:color="auto" w:fill="FFFFFF"/>
        </w:rPr>
        <w:t xml:space="preserve">: </w:t>
      </w:r>
      <w:r w:rsidR="00EA4A12">
        <w:rPr>
          <w:rFonts w:ascii="Times New Roman" w:hAnsi="Times New Roman" w:cs="Times New Roman"/>
          <w:i/>
          <w:iCs/>
          <w:color w:val="222222"/>
          <w:sz w:val="24"/>
          <w:szCs w:val="24"/>
          <w:shd w:val="clear" w:color="auto" w:fill="FFFFFF"/>
        </w:rPr>
        <w:t>J</w:t>
      </w:r>
      <w:r w:rsidRPr="00CB3471">
        <w:rPr>
          <w:rFonts w:ascii="Times New Roman" w:hAnsi="Times New Roman" w:cs="Times New Roman"/>
          <w:i/>
          <w:iCs/>
          <w:color w:val="222222"/>
          <w:sz w:val="24"/>
          <w:szCs w:val="24"/>
          <w:shd w:val="clear" w:color="auto" w:fill="FFFFFF"/>
        </w:rPr>
        <w:t>ournal of the Econometric Society</w:t>
      </w:r>
      <w:r w:rsidRPr="00CB3471">
        <w:rPr>
          <w:rFonts w:ascii="Times New Roman" w:hAnsi="Times New Roman" w:cs="Times New Roman"/>
          <w:color w:val="222222"/>
          <w:sz w:val="24"/>
          <w:szCs w:val="24"/>
          <w:shd w:val="clear" w:color="auto" w:fill="FFFFFF"/>
        </w:rPr>
        <w:t>, 24-36.</w:t>
      </w:r>
    </w:p>
    <w:p w14:paraId="68FDD0A5" w14:textId="19809FC4" w:rsidR="00534723" w:rsidRPr="00CB3471" w:rsidRDefault="00534723" w:rsidP="00CB3471">
      <w:pPr>
        <w:pStyle w:val="ListParagraph"/>
        <w:numPr>
          <w:ilvl w:val="0"/>
          <w:numId w:val="2"/>
        </w:numPr>
        <w:spacing w:after="60" w:line="240" w:lineRule="auto"/>
        <w:ind w:left="450" w:hanging="450"/>
        <w:contextualSpacing w:val="0"/>
        <w:jc w:val="both"/>
        <w:rPr>
          <w:rFonts w:ascii="Times New Roman" w:hAnsi="Times New Roman" w:cs="Times New Roman"/>
          <w:color w:val="222222"/>
          <w:sz w:val="24"/>
          <w:szCs w:val="24"/>
          <w:shd w:val="clear" w:color="auto" w:fill="FFFFFF"/>
        </w:rPr>
      </w:pPr>
      <w:r w:rsidRPr="00CB3471">
        <w:rPr>
          <w:rFonts w:ascii="Times New Roman" w:hAnsi="Times New Roman" w:cs="Times New Roman"/>
          <w:color w:val="222222"/>
          <w:sz w:val="24"/>
          <w:szCs w:val="24"/>
          <w:shd w:val="clear" w:color="auto" w:fill="FFFFFF"/>
        </w:rPr>
        <w:t>Transportation Secure Data Center. (2019). National Renewable Energy Laboratory. Accessed May 2023, </w:t>
      </w:r>
      <w:hyperlink r:id="rId170" w:history="1">
        <w:r w:rsidRPr="00CB3471">
          <w:rPr>
            <w:rStyle w:val="Hyperlink"/>
            <w:rFonts w:ascii="Times New Roman" w:hAnsi="Times New Roman" w:cs="Times New Roman"/>
            <w:i/>
            <w:iCs/>
            <w:sz w:val="24"/>
            <w:szCs w:val="24"/>
            <w:shd w:val="clear" w:color="auto" w:fill="FFFFFF"/>
          </w:rPr>
          <w:t>https://nrel.gov/tsdc</w:t>
        </w:r>
      </w:hyperlink>
    </w:p>
    <w:p w14:paraId="5AA7E206"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U.S. Department of Energy (2021). Vehicle Registration Counts by State. </w:t>
      </w:r>
      <w:hyperlink r:id="rId171" w:history="1">
        <w:r w:rsidRPr="00CB3471">
          <w:rPr>
            <w:rStyle w:val="Hyperlink"/>
            <w:rFonts w:ascii="Times New Roman" w:hAnsi="Times New Roman" w:cs="Times New Roman"/>
            <w:sz w:val="24"/>
            <w:szCs w:val="24"/>
            <w:shd w:val="clear" w:color="auto" w:fill="FFFFFF"/>
          </w:rPr>
          <w:t>https://afdc.energy.gov/vehicle-registration</w:t>
        </w:r>
      </w:hyperlink>
      <w:r w:rsidRPr="00CB3471">
        <w:rPr>
          <w:rFonts w:ascii="Times New Roman" w:hAnsi="Times New Roman" w:cs="Times New Roman"/>
          <w:color w:val="222222"/>
          <w:sz w:val="24"/>
          <w:szCs w:val="24"/>
          <w:shd w:val="clear" w:color="auto" w:fill="FFFFFF"/>
        </w:rPr>
        <w:t xml:space="preserve"> Accessed July 2023.</w:t>
      </w:r>
    </w:p>
    <w:p w14:paraId="7596DB70"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Blackley, J (2023). Which states drive the most pickup trucks? </w:t>
      </w:r>
      <w:proofErr w:type="spellStart"/>
      <w:r w:rsidRPr="00CB3471">
        <w:rPr>
          <w:rFonts w:ascii="Times New Roman" w:hAnsi="Times New Roman" w:cs="Times New Roman"/>
          <w:color w:val="222222"/>
          <w:sz w:val="24"/>
          <w:szCs w:val="24"/>
          <w:shd w:val="clear" w:color="auto" w:fill="FFFFFF"/>
        </w:rPr>
        <w:t>iSeeCars</w:t>
      </w:r>
      <w:proofErr w:type="spellEnd"/>
      <w:r w:rsidRPr="00CB3471">
        <w:rPr>
          <w:rFonts w:ascii="Times New Roman" w:hAnsi="Times New Roman" w:cs="Times New Roman"/>
          <w:color w:val="222222"/>
          <w:sz w:val="24"/>
          <w:szCs w:val="24"/>
          <w:shd w:val="clear" w:color="auto" w:fill="FFFFFF"/>
        </w:rPr>
        <w:t>.</w:t>
      </w:r>
      <w:r w:rsidRPr="00CB3471">
        <w:rPr>
          <w:rFonts w:ascii="Times New Roman" w:hAnsi="Times New Roman" w:cs="Times New Roman"/>
          <w:sz w:val="24"/>
          <w:szCs w:val="24"/>
        </w:rPr>
        <w:t xml:space="preserve"> </w:t>
      </w:r>
      <w:hyperlink r:id="rId172" w:history="1">
        <w:r w:rsidRPr="00CB3471">
          <w:rPr>
            <w:rFonts w:ascii="Times New Roman" w:hAnsi="Times New Roman" w:cs="Times New Roman"/>
            <w:color w:val="0563C1" w:themeColor="hyperlink"/>
            <w:sz w:val="24"/>
            <w:szCs w:val="24"/>
            <w:u w:val="single"/>
            <w:shd w:val="clear" w:color="auto" w:fill="FFFFFF"/>
          </w:rPr>
          <w:t>https://www.iseecars.com/which-states-drive-the-most-pickup-trucks-studycks</w:t>
        </w:r>
      </w:hyperlink>
      <w:r w:rsidRPr="00CB3471">
        <w:rPr>
          <w:rFonts w:ascii="Times New Roman" w:hAnsi="Times New Roman" w:cs="Times New Roman"/>
          <w:color w:val="0563C1" w:themeColor="hyperlink"/>
          <w:sz w:val="24"/>
          <w:szCs w:val="24"/>
          <w:u w:val="single"/>
          <w:shd w:val="clear" w:color="auto" w:fill="FFFFFF"/>
        </w:rPr>
        <w:t xml:space="preserve"> </w:t>
      </w:r>
      <w:r w:rsidRPr="00CB3471">
        <w:rPr>
          <w:rFonts w:ascii="Times New Roman" w:hAnsi="Times New Roman" w:cs="Times New Roman"/>
          <w:color w:val="222222"/>
          <w:sz w:val="24"/>
          <w:szCs w:val="24"/>
          <w:shd w:val="clear" w:color="auto" w:fill="FFFFFF"/>
        </w:rPr>
        <w:t>Accessed July 2023.</w:t>
      </w:r>
    </w:p>
    <w:p w14:paraId="376D6108"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bookmarkStart w:id="3" w:name="_Hlk141263714"/>
      <w:r w:rsidRPr="00CB3471">
        <w:rPr>
          <w:rFonts w:ascii="Times New Roman" w:hAnsi="Times New Roman" w:cs="Times New Roman"/>
          <w:color w:val="222222"/>
          <w:sz w:val="24"/>
          <w:szCs w:val="24"/>
          <w:shd w:val="clear" w:color="auto" w:fill="FFFFFF"/>
        </w:rPr>
        <w:t xml:space="preserve">California Energy Commission (2018). 2015-2017 California Vehicle Survey. RSG. </w:t>
      </w:r>
      <w:hyperlink r:id="rId173" w:history="1">
        <w:r w:rsidRPr="00CB3471">
          <w:rPr>
            <w:rStyle w:val="Hyperlink"/>
            <w:rFonts w:ascii="Times New Roman" w:hAnsi="Times New Roman" w:cs="Times New Roman"/>
            <w:sz w:val="24"/>
            <w:szCs w:val="24"/>
            <w:shd w:val="clear" w:color="auto" w:fill="FFFFFF"/>
          </w:rPr>
          <w:t>https://www.nrel.gov/transportation/secure-transportation-data/assets/pdfs/cec_2015-2017_california_vehicle_survey_report.pdf</w:t>
        </w:r>
      </w:hyperlink>
      <w:r w:rsidRPr="00CB3471">
        <w:rPr>
          <w:rFonts w:ascii="Times New Roman" w:hAnsi="Times New Roman" w:cs="Times New Roman"/>
          <w:color w:val="222222"/>
          <w:sz w:val="24"/>
          <w:szCs w:val="24"/>
          <w:shd w:val="clear" w:color="auto" w:fill="FFFFFF"/>
        </w:rPr>
        <w:t xml:space="preserve"> Accessed July 2023.</w:t>
      </w:r>
      <w:bookmarkEnd w:id="3"/>
    </w:p>
    <w:p w14:paraId="7A3047CB"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U.S. Census Bureau (2017-21). </w:t>
      </w:r>
      <w:hyperlink r:id="rId174" w:history="1">
        <w:r w:rsidRPr="00CB3471">
          <w:rPr>
            <w:rStyle w:val="Hyperlink"/>
            <w:rFonts w:ascii="Times New Roman" w:hAnsi="Times New Roman" w:cs="Times New Roman"/>
            <w:sz w:val="24"/>
            <w:szCs w:val="24"/>
            <w:shd w:val="clear" w:color="auto" w:fill="FFFFFF"/>
          </w:rPr>
          <w:t>https://www.census.gov/quickfacts/fact/table/CA/INC110221. Accessed July 2023</w:t>
        </w:r>
      </w:hyperlink>
      <w:r w:rsidRPr="00CB3471">
        <w:rPr>
          <w:rFonts w:ascii="Times New Roman" w:hAnsi="Times New Roman" w:cs="Times New Roman"/>
          <w:color w:val="222222"/>
          <w:sz w:val="24"/>
          <w:szCs w:val="24"/>
          <w:shd w:val="clear" w:color="auto" w:fill="FFFFFF"/>
        </w:rPr>
        <w:t>.</w:t>
      </w:r>
    </w:p>
    <w:p w14:paraId="293F396C"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Population and Census Data (2020). Employment Development Department. State of California. </w:t>
      </w:r>
      <w:hyperlink r:id="rId175" w:anchor="POP" w:history="1">
        <w:r w:rsidRPr="00CB3471">
          <w:rPr>
            <w:rFonts w:ascii="Times New Roman" w:hAnsi="Times New Roman" w:cs="Times New Roman"/>
            <w:color w:val="0563C1" w:themeColor="hyperlink"/>
            <w:sz w:val="24"/>
            <w:szCs w:val="24"/>
            <w:u w:val="single"/>
            <w:shd w:val="clear" w:color="auto" w:fill="FFFFFF"/>
          </w:rPr>
          <w:t>https://labormarketinfo.edd.ca.gov/Population_and_Census.html#POP</w:t>
        </w:r>
      </w:hyperlink>
      <w:r w:rsidRPr="00CB3471">
        <w:rPr>
          <w:rFonts w:ascii="Times New Roman" w:hAnsi="Times New Roman" w:cs="Times New Roman"/>
          <w:color w:val="222222"/>
          <w:sz w:val="24"/>
          <w:szCs w:val="24"/>
          <w:shd w:val="clear" w:color="auto" w:fill="FFFFFF"/>
        </w:rPr>
        <w:t>. Accessed July 2023.</w:t>
      </w:r>
    </w:p>
    <w:p w14:paraId="798AB5AE" w14:textId="5C920136"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Mondal, A.,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Bhat, C. R. (2021). A new closed form multiple discrete-continuous extreme value (MDCEV) choice model with multiple linear constraints. </w:t>
      </w:r>
      <w:r w:rsidRPr="00CB3471">
        <w:rPr>
          <w:rFonts w:ascii="Times New Roman" w:hAnsi="Times New Roman" w:cs="Times New Roman"/>
          <w:i/>
          <w:iCs/>
          <w:color w:val="222222"/>
          <w:sz w:val="24"/>
          <w:szCs w:val="24"/>
          <w:shd w:val="clear" w:color="auto" w:fill="FFFFFF"/>
        </w:rPr>
        <w:t>Transportation Research Part B</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147</w:t>
      </w:r>
      <w:r w:rsidRPr="00CB3471">
        <w:rPr>
          <w:rFonts w:ascii="Times New Roman" w:hAnsi="Times New Roman" w:cs="Times New Roman"/>
          <w:color w:val="222222"/>
          <w:sz w:val="24"/>
          <w:szCs w:val="24"/>
          <w:shd w:val="clear" w:color="auto" w:fill="FFFFFF"/>
        </w:rPr>
        <w:t>, 42-66.</w:t>
      </w:r>
    </w:p>
    <w:p w14:paraId="5968BF0F"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Brecht, P. (2020). 2020-2023 Investment Plan Update for the Clean Transportation Program: Lead Commissioner Report. California Energy Commission.</w:t>
      </w:r>
    </w:p>
    <w:p w14:paraId="22767D31" w14:textId="1879C93A"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Brownstone, D.,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color w:val="222222"/>
          <w:sz w:val="24"/>
          <w:szCs w:val="24"/>
          <w:shd w:val="clear" w:color="auto" w:fill="FFFFFF"/>
        </w:rPr>
        <w:t xml:space="preserve"> Fang, H. (2014). A vehicle ownership and utilization choice model with endogenous residential density. </w:t>
      </w:r>
      <w:r w:rsidRPr="00CB3471">
        <w:rPr>
          <w:rFonts w:ascii="Times New Roman" w:hAnsi="Times New Roman" w:cs="Times New Roman"/>
          <w:i/>
          <w:iCs/>
          <w:color w:val="222222"/>
          <w:sz w:val="24"/>
          <w:szCs w:val="24"/>
          <w:shd w:val="clear" w:color="auto" w:fill="FFFFFF"/>
        </w:rPr>
        <w:t>Journal of Transport and Land Use</w:t>
      </w:r>
      <w:r w:rsidRPr="00CB3471">
        <w:rPr>
          <w:rFonts w:ascii="Times New Roman" w:hAnsi="Times New Roman" w:cs="Times New Roman"/>
          <w:color w:val="222222"/>
          <w:sz w:val="24"/>
          <w:szCs w:val="24"/>
          <w:shd w:val="clear" w:color="auto" w:fill="FFFFFF"/>
        </w:rPr>
        <w:t>, </w:t>
      </w:r>
      <w:r w:rsidRPr="00CB3471">
        <w:rPr>
          <w:rFonts w:ascii="Times New Roman" w:hAnsi="Times New Roman" w:cs="Times New Roman"/>
          <w:i/>
          <w:iCs/>
          <w:color w:val="222222"/>
          <w:sz w:val="24"/>
          <w:szCs w:val="24"/>
          <w:shd w:val="clear" w:color="auto" w:fill="FFFFFF"/>
        </w:rPr>
        <w:t>7</w:t>
      </w:r>
      <w:r w:rsidRPr="00CB3471">
        <w:rPr>
          <w:rFonts w:ascii="Times New Roman" w:hAnsi="Times New Roman" w:cs="Times New Roman"/>
          <w:color w:val="222222"/>
          <w:sz w:val="24"/>
          <w:szCs w:val="24"/>
          <w:shd w:val="clear" w:color="auto" w:fill="FFFFFF"/>
        </w:rPr>
        <w:t>(2), 135-151.</w:t>
      </w:r>
    </w:p>
    <w:p w14:paraId="70C95787" w14:textId="480D5716" w:rsidR="00695E7E" w:rsidRPr="00CB3471" w:rsidRDefault="00695E7E"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proofErr w:type="spellStart"/>
      <w:r w:rsidRPr="00CB3471">
        <w:rPr>
          <w:rFonts w:ascii="Times New Roman" w:hAnsi="Times New Roman" w:cs="Times New Roman"/>
          <w:sz w:val="24"/>
          <w:szCs w:val="24"/>
        </w:rPr>
        <w:t>Plötz</w:t>
      </w:r>
      <w:proofErr w:type="spellEnd"/>
      <w:r w:rsidRPr="00CB3471">
        <w:rPr>
          <w:rFonts w:ascii="Times New Roman" w:hAnsi="Times New Roman" w:cs="Times New Roman"/>
          <w:sz w:val="24"/>
          <w:szCs w:val="24"/>
        </w:rPr>
        <w:t xml:space="preserve">, P., Schneider, U., </w:t>
      </w:r>
      <w:proofErr w:type="spellStart"/>
      <w:r w:rsidRPr="00CB3471">
        <w:rPr>
          <w:rFonts w:ascii="Times New Roman" w:hAnsi="Times New Roman" w:cs="Times New Roman"/>
          <w:sz w:val="24"/>
          <w:szCs w:val="24"/>
        </w:rPr>
        <w:t>Globisch</w:t>
      </w:r>
      <w:proofErr w:type="spellEnd"/>
      <w:r w:rsidRPr="00CB3471">
        <w:rPr>
          <w:rFonts w:ascii="Times New Roman" w:hAnsi="Times New Roman" w:cs="Times New Roman"/>
          <w:sz w:val="24"/>
          <w:szCs w:val="24"/>
        </w:rPr>
        <w:t xml:space="preserve">, J., </w:t>
      </w:r>
      <w:r w:rsidR="005F211D">
        <w:rPr>
          <w:rFonts w:ascii="Times New Roman" w:hAnsi="Times New Roman" w:cs="Times New Roman"/>
          <w:color w:val="222222"/>
          <w:sz w:val="24"/>
          <w:szCs w:val="24"/>
          <w:shd w:val="clear" w:color="auto" w:fill="FFFFFF"/>
        </w:rPr>
        <w:t>and</w:t>
      </w:r>
      <w:r w:rsidRPr="00CB3471">
        <w:rPr>
          <w:rFonts w:ascii="Times New Roman" w:hAnsi="Times New Roman" w:cs="Times New Roman"/>
          <w:sz w:val="24"/>
          <w:szCs w:val="24"/>
        </w:rPr>
        <w:t xml:space="preserve"> </w:t>
      </w:r>
      <w:proofErr w:type="spellStart"/>
      <w:r w:rsidRPr="00CB3471">
        <w:rPr>
          <w:rFonts w:ascii="Times New Roman" w:hAnsi="Times New Roman" w:cs="Times New Roman"/>
          <w:sz w:val="24"/>
          <w:szCs w:val="24"/>
        </w:rPr>
        <w:t>Dütschke</w:t>
      </w:r>
      <w:proofErr w:type="spellEnd"/>
      <w:r w:rsidRPr="00CB3471">
        <w:rPr>
          <w:rFonts w:ascii="Times New Roman" w:hAnsi="Times New Roman" w:cs="Times New Roman"/>
          <w:sz w:val="24"/>
          <w:szCs w:val="24"/>
        </w:rPr>
        <w:t>, E. (2014). Who will buy electric vehicles? Identifying early adopters in Germany. </w:t>
      </w:r>
      <w:r w:rsidRPr="00CB3471">
        <w:rPr>
          <w:rFonts w:ascii="Times New Roman" w:hAnsi="Times New Roman" w:cs="Times New Roman"/>
          <w:i/>
          <w:iCs/>
          <w:sz w:val="24"/>
          <w:szCs w:val="24"/>
        </w:rPr>
        <w:t>Transportation Research Part A</w:t>
      </w:r>
      <w:r w:rsidRPr="00CB3471">
        <w:rPr>
          <w:rFonts w:ascii="Times New Roman" w:hAnsi="Times New Roman" w:cs="Times New Roman"/>
          <w:sz w:val="24"/>
          <w:szCs w:val="24"/>
        </w:rPr>
        <w:t>, </w:t>
      </w:r>
      <w:r w:rsidRPr="00CB3471">
        <w:rPr>
          <w:rFonts w:ascii="Times New Roman" w:hAnsi="Times New Roman" w:cs="Times New Roman"/>
          <w:i/>
          <w:iCs/>
          <w:sz w:val="24"/>
          <w:szCs w:val="24"/>
        </w:rPr>
        <w:t>67</w:t>
      </w:r>
      <w:r w:rsidRPr="00CB3471">
        <w:rPr>
          <w:rFonts w:ascii="Times New Roman" w:hAnsi="Times New Roman" w:cs="Times New Roman"/>
          <w:sz w:val="24"/>
          <w:szCs w:val="24"/>
        </w:rPr>
        <w:t>, 96-109.</w:t>
      </w:r>
    </w:p>
    <w:p w14:paraId="36AD7301" w14:textId="77777777" w:rsidR="00C1269B" w:rsidRPr="00CB3471" w:rsidRDefault="00C1269B"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color w:val="222222"/>
          <w:sz w:val="24"/>
          <w:szCs w:val="24"/>
          <w:shd w:val="clear" w:color="auto" w:fill="FFFFFF"/>
        </w:rPr>
        <w:t xml:space="preserve">Woofter, P. (2021). Van life on the rise – a camper van California road trip turned permanent. </w:t>
      </w:r>
      <w:hyperlink r:id="rId176" w:history="1">
        <w:r w:rsidRPr="00CB3471">
          <w:rPr>
            <w:rStyle w:val="Hyperlink"/>
            <w:rFonts w:ascii="Times New Roman" w:hAnsi="Times New Roman" w:cs="Times New Roman"/>
            <w:sz w:val="24"/>
            <w:szCs w:val="24"/>
            <w:shd w:val="clear" w:color="auto" w:fill="FFFFFF"/>
          </w:rPr>
          <w:t>https://themilsource.com/2021/03/03/van-life-on-the-rise-a-camper-van-california-road-trip-turned-permanent/</w:t>
        </w:r>
      </w:hyperlink>
      <w:r w:rsidRPr="00CB3471">
        <w:rPr>
          <w:rFonts w:ascii="Times New Roman" w:hAnsi="Times New Roman" w:cs="Times New Roman"/>
          <w:color w:val="222222"/>
          <w:sz w:val="24"/>
          <w:szCs w:val="24"/>
          <w:shd w:val="clear" w:color="auto" w:fill="FFFFFF"/>
        </w:rPr>
        <w:t xml:space="preserve"> Accessed July 2023.</w:t>
      </w:r>
    </w:p>
    <w:p w14:paraId="09D10E56" w14:textId="3F751D9B" w:rsidR="00B07663" w:rsidRPr="00CB3471" w:rsidRDefault="00B07663" w:rsidP="00CB3471">
      <w:pPr>
        <w:pStyle w:val="ListParagraph"/>
        <w:numPr>
          <w:ilvl w:val="0"/>
          <w:numId w:val="2"/>
        </w:numPr>
        <w:spacing w:after="60" w:line="240" w:lineRule="auto"/>
        <w:ind w:left="450" w:hanging="450"/>
        <w:contextualSpacing w:val="0"/>
        <w:jc w:val="both"/>
        <w:rPr>
          <w:rFonts w:ascii="Times New Roman" w:hAnsi="Times New Roman" w:cs="Times New Roman"/>
          <w:sz w:val="24"/>
          <w:szCs w:val="24"/>
        </w:rPr>
      </w:pPr>
      <w:r w:rsidRPr="00CB3471">
        <w:rPr>
          <w:rFonts w:ascii="Times New Roman" w:hAnsi="Times New Roman" w:cs="Times New Roman"/>
          <w:sz w:val="24"/>
          <w:szCs w:val="24"/>
        </w:rPr>
        <w:t xml:space="preserve">Statista (2021). Greenhouse gas emissions from on-road vehicles in the United States. </w:t>
      </w:r>
      <w:hyperlink r:id="rId177" w:anchor=":~:text=Light%2Dduty%20trucks%20in%20the,some%20374.2%20MtCO%E2%82%82e%20that%20year" w:history="1">
        <w:r w:rsidRPr="00CB3471">
          <w:rPr>
            <w:rStyle w:val="Hyperlink"/>
            <w:rFonts w:ascii="Times New Roman" w:hAnsi="Times New Roman" w:cs="Times New Roman"/>
            <w:sz w:val="24"/>
            <w:szCs w:val="24"/>
          </w:rPr>
          <w:t>https://www.statista.com/statistics/1120499/us-road-vehicle-ghg-emissions-by-vehicle-type/#:~:text=Light%2Dduty%20trucks%20in%20the,some%20374.2%20MtCO%E2%82%82e%20that%20year</w:t>
        </w:r>
      </w:hyperlink>
      <w:r w:rsidRPr="00CB3471">
        <w:rPr>
          <w:rFonts w:ascii="Times New Roman" w:hAnsi="Times New Roman" w:cs="Times New Roman"/>
          <w:sz w:val="24"/>
          <w:szCs w:val="24"/>
        </w:rPr>
        <w:t>. Accessed July 2023.</w:t>
      </w:r>
    </w:p>
    <w:p w14:paraId="345CE659" w14:textId="3721BBAA" w:rsidR="004148A6" w:rsidRPr="00CB3471" w:rsidRDefault="004148A6" w:rsidP="00CB3471">
      <w:pPr>
        <w:spacing w:after="60" w:line="240" w:lineRule="auto"/>
        <w:rPr>
          <w:rFonts w:ascii="Times New Roman" w:eastAsia="Calibri" w:hAnsi="Times New Roman" w:cs="Times New Roman"/>
          <w:color w:val="000000"/>
          <w:kern w:val="1"/>
          <w:sz w:val="24"/>
          <w:szCs w:val="24"/>
        </w:rPr>
      </w:pPr>
    </w:p>
    <w:sectPr w:rsidR="004148A6" w:rsidRPr="00CB3471" w:rsidSect="009D6BDB">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F573" w14:textId="77777777" w:rsidR="00A626AE" w:rsidRDefault="00A626AE" w:rsidP="00D913C8">
      <w:pPr>
        <w:spacing w:after="0" w:line="240" w:lineRule="auto"/>
      </w:pPr>
      <w:r>
        <w:separator/>
      </w:r>
    </w:p>
  </w:endnote>
  <w:endnote w:type="continuationSeparator" w:id="0">
    <w:p w14:paraId="18D353B0" w14:textId="77777777" w:rsidR="00A626AE" w:rsidRDefault="00A626AE"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F179" w14:textId="76AB987D" w:rsidR="005B36A0" w:rsidRPr="005B36A0" w:rsidRDefault="005B36A0" w:rsidP="005B36A0">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35908"/>
      <w:docPartObj>
        <w:docPartGallery w:val="Page Numbers (Bottom of Page)"/>
        <w:docPartUnique/>
      </w:docPartObj>
    </w:sdtPr>
    <w:sdtEndPr>
      <w:rPr>
        <w:rFonts w:ascii="Times New Roman" w:hAnsi="Times New Roman" w:cs="Times New Roman"/>
        <w:noProof/>
      </w:rPr>
    </w:sdtEndPr>
    <w:sdtContent>
      <w:p w14:paraId="35B821B7" w14:textId="5B76DF8D" w:rsidR="000F372D" w:rsidRPr="000F372D" w:rsidRDefault="000F372D" w:rsidP="000F372D">
        <w:pPr>
          <w:pStyle w:val="Footer"/>
          <w:jc w:val="center"/>
          <w:rPr>
            <w:rFonts w:ascii="Times New Roman" w:hAnsi="Times New Roman" w:cs="Times New Roman"/>
          </w:rPr>
        </w:pPr>
        <w:r w:rsidRPr="000F372D">
          <w:rPr>
            <w:rFonts w:ascii="Times New Roman" w:hAnsi="Times New Roman" w:cs="Times New Roman"/>
          </w:rPr>
          <w:fldChar w:fldCharType="begin"/>
        </w:r>
        <w:r w:rsidRPr="000F372D">
          <w:rPr>
            <w:rFonts w:ascii="Times New Roman" w:hAnsi="Times New Roman" w:cs="Times New Roman"/>
          </w:rPr>
          <w:instrText xml:space="preserve"> PAGE   \* MERGEFORMAT </w:instrText>
        </w:r>
        <w:r w:rsidRPr="000F372D">
          <w:rPr>
            <w:rFonts w:ascii="Times New Roman" w:hAnsi="Times New Roman" w:cs="Times New Roman"/>
          </w:rPr>
          <w:fldChar w:fldCharType="separate"/>
        </w:r>
        <w:r w:rsidRPr="000F372D">
          <w:rPr>
            <w:rFonts w:ascii="Times New Roman" w:hAnsi="Times New Roman" w:cs="Times New Roman"/>
            <w:noProof/>
          </w:rPr>
          <w:t>2</w:t>
        </w:r>
        <w:r w:rsidRPr="000F372D">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51645"/>
      <w:docPartObj>
        <w:docPartGallery w:val="Page Numbers (Bottom of Page)"/>
        <w:docPartUnique/>
      </w:docPartObj>
    </w:sdtPr>
    <w:sdtEndPr>
      <w:rPr>
        <w:rFonts w:ascii="Times New Roman" w:hAnsi="Times New Roman" w:cs="Times New Roman"/>
        <w:noProof/>
      </w:rPr>
    </w:sdtEndPr>
    <w:sdtContent>
      <w:p w14:paraId="7EF61529" w14:textId="4C00581D" w:rsidR="00AD5DB0" w:rsidRPr="00AD5DB0" w:rsidRDefault="00AD5DB0" w:rsidP="00AD5DB0">
        <w:pPr>
          <w:pStyle w:val="Footer"/>
          <w:jc w:val="center"/>
          <w:rPr>
            <w:rFonts w:ascii="Times New Roman" w:hAnsi="Times New Roman" w:cs="Times New Roman"/>
          </w:rPr>
        </w:pPr>
        <w:r w:rsidRPr="00AD5DB0">
          <w:rPr>
            <w:rFonts w:ascii="Times New Roman" w:hAnsi="Times New Roman" w:cs="Times New Roman"/>
          </w:rPr>
          <w:fldChar w:fldCharType="begin"/>
        </w:r>
        <w:r w:rsidRPr="00AD5DB0">
          <w:rPr>
            <w:rFonts w:ascii="Times New Roman" w:hAnsi="Times New Roman" w:cs="Times New Roman"/>
          </w:rPr>
          <w:instrText xml:space="preserve"> PAGE   \* MERGEFORMAT </w:instrText>
        </w:r>
        <w:r w:rsidRPr="00AD5DB0">
          <w:rPr>
            <w:rFonts w:ascii="Times New Roman" w:hAnsi="Times New Roman" w:cs="Times New Roman"/>
          </w:rPr>
          <w:fldChar w:fldCharType="separate"/>
        </w:r>
        <w:r w:rsidRPr="00AD5DB0">
          <w:rPr>
            <w:rFonts w:ascii="Times New Roman" w:hAnsi="Times New Roman" w:cs="Times New Roman"/>
            <w:noProof/>
          </w:rPr>
          <w:t>2</w:t>
        </w:r>
        <w:r w:rsidRPr="00AD5D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7055" w14:textId="77777777" w:rsidR="00A626AE" w:rsidRDefault="00A626AE" w:rsidP="00D913C8">
      <w:pPr>
        <w:spacing w:after="0" w:line="240" w:lineRule="auto"/>
      </w:pPr>
      <w:r>
        <w:separator/>
      </w:r>
    </w:p>
  </w:footnote>
  <w:footnote w:type="continuationSeparator" w:id="0">
    <w:p w14:paraId="4A546BDD" w14:textId="77777777" w:rsidR="00A626AE" w:rsidRDefault="00A626AE" w:rsidP="00D9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4B57" w14:textId="34986CAE" w:rsidR="00AD5DB0" w:rsidRDefault="00AD5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633C"/>
    <w:multiLevelType w:val="hybridMultilevel"/>
    <w:tmpl w:val="B10475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NqkFADlHjcUtAAAA"/>
  </w:docVars>
  <w:rsids>
    <w:rsidRoot w:val="00EA10CC"/>
    <w:rsid w:val="00000307"/>
    <w:rsid w:val="000019C3"/>
    <w:rsid w:val="00002A4D"/>
    <w:rsid w:val="000161A6"/>
    <w:rsid w:val="00017C4C"/>
    <w:rsid w:val="00017E8F"/>
    <w:rsid w:val="000226F3"/>
    <w:rsid w:val="00025214"/>
    <w:rsid w:val="00026A66"/>
    <w:rsid w:val="000312D4"/>
    <w:rsid w:val="000356DD"/>
    <w:rsid w:val="00035C82"/>
    <w:rsid w:val="00036871"/>
    <w:rsid w:val="000376C0"/>
    <w:rsid w:val="0004075F"/>
    <w:rsid w:val="00041722"/>
    <w:rsid w:val="000418B9"/>
    <w:rsid w:val="00044324"/>
    <w:rsid w:val="000449B4"/>
    <w:rsid w:val="00045821"/>
    <w:rsid w:val="000519E9"/>
    <w:rsid w:val="00055C60"/>
    <w:rsid w:val="00055E6C"/>
    <w:rsid w:val="0005706D"/>
    <w:rsid w:val="00057652"/>
    <w:rsid w:val="00062A09"/>
    <w:rsid w:val="0006347C"/>
    <w:rsid w:val="0006531D"/>
    <w:rsid w:val="000660FA"/>
    <w:rsid w:val="0006773E"/>
    <w:rsid w:val="00067BB0"/>
    <w:rsid w:val="000712BF"/>
    <w:rsid w:val="00071FEE"/>
    <w:rsid w:val="000723CB"/>
    <w:rsid w:val="00074437"/>
    <w:rsid w:val="00074820"/>
    <w:rsid w:val="000759AE"/>
    <w:rsid w:val="00076C47"/>
    <w:rsid w:val="00077AF8"/>
    <w:rsid w:val="00077D54"/>
    <w:rsid w:val="00080715"/>
    <w:rsid w:val="00080F98"/>
    <w:rsid w:val="0008109D"/>
    <w:rsid w:val="00083907"/>
    <w:rsid w:val="00084330"/>
    <w:rsid w:val="000845DE"/>
    <w:rsid w:val="0008479B"/>
    <w:rsid w:val="00085489"/>
    <w:rsid w:val="00085D20"/>
    <w:rsid w:val="0008743C"/>
    <w:rsid w:val="000906E8"/>
    <w:rsid w:val="0009295D"/>
    <w:rsid w:val="000936E8"/>
    <w:rsid w:val="000936FF"/>
    <w:rsid w:val="000937BB"/>
    <w:rsid w:val="00094FE0"/>
    <w:rsid w:val="000967A5"/>
    <w:rsid w:val="000969CF"/>
    <w:rsid w:val="000A4751"/>
    <w:rsid w:val="000A5901"/>
    <w:rsid w:val="000A5F9C"/>
    <w:rsid w:val="000A79E7"/>
    <w:rsid w:val="000B23F5"/>
    <w:rsid w:val="000B4182"/>
    <w:rsid w:val="000B5701"/>
    <w:rsid w:val="000C12ED"/>
    <w:rsid w:val="000C1529"/>
    <w:rsid w:val="000C43DE"/>
    <w:rsid w:val="000C5DA1"/>
    <w:rsid w:val="000D0542"/>
    <w:rsid w:val="000D1A81"/>
    <w:rsid w:val="000D32AB"/>
    <w:rsid w:val="000D43F0"/>
    <w:rsid w:val="000E08B3"/>
    <w:rsid w:val="000E2E43"/>
    <w:rsid w:val="000E36E0"/>
    <w:rsid w:val="000E38FD"/>
    <w:rsid w:val="000E4331"/>
    <w:rsid w:val="000E5B1F"/>
    <w:rsid w:val="000F218C"/>
    <w:rsid w:val="000F35B0"/>
    <w:rsid w:val="000F372D"/>
    <w:rsid w:val="000F4203"/>
    <w:rsid w:val="000F5B97"/>
    <w:rsid w:val="000F5D9A"/>
    <w:rsid w:val="000F720E"/>
    <w:rsid w:val="000F72A3"/>
    <w:rsid w:val="000F772E"/>
    <w:rsid w:val="0010021E"/>
    <w:rsid w:val="00100E90"/>
    <w:rsid w:val="001027B3"/>
    <w:rsid w:val="00102FC2"/>
    <w:rsid w:val="00103CFA"/>
    <w:rsid w:val="00103FE5"/>
    <w:rsid w:val="00106323"/>
    <w:rsid w:val="00106364"/>
    <w:rsid w:val="001114CF"/>
    <w:rsid w:val="0011162E"/>
    <w:rsid w:val="00112F2F"/>
    <w:rsid w:val="00113F57"/>
    <w:rsid w:val="001158AD"/>
    <w:rsid w:val="00120C02"/>
    <w:rsid w:val="0012168B"/>
    <w:rsid w:val="00121780"/>
    <w:rsid w:val="0012263B"/>
    <w:rsid w:val="001228C8"/>
    <w:rsid w:val="00122F10"/>
    <w:rsid w:val="0013095F"/>
    <w:rsid w:val="00131574"/>
    <w:rsid w:val="001352B7"/>
    <w:rsid w:val="00135633"/>
    <w:rsid w:val="00136B26"/>
    <w:rsid w:val="00137832"/>
    <w:rsid w:val="00137E6C"/>
    <w:rsid w:val="001405BC"/>
    <w:rsid w:val="00140A9A"/>
    <w:rsid w:val="00140EA2"/>
    <w:rsid w:val="00142BEA"/>
    <w:rsid w:val="001442F8"/>
    <w:rsid w:val="00151205"/>
    <w:rsid w:val="001539F6"/>
    <w:rsid w:val="00154330"/>
    <w:rsid w:val="001555ED"/>
    <w:rsid w:val="00156A08"/>
    <w:rsid w:val="00157315"/>
    <w:rsid w:val="00162C50"/>
    <w:rsid w:val="00163C35"/>
    <w:rsid w:val="00167E1A"/>
    <w:rsid w:val="001715FF"/>
    <w:rsid w:val="0017184D"/>
    <w:rsid w:val="00172A15"/>
    <w:rsid w:val="00172B8D"/>
    <w:rsid w:val="00174BC1"/>
    <w:rsid w:val="00176143"/>
    <w:rsid w:val="00176B94"/>
    <w:rsid w:val="00176E20"/>
    <w:rsid w:val="00177F5A"/>
    <w:rsid w:val="00181DF8"/>
    <w:rsid w:val="001821F1"/>
    <w:rsid w:val="00184020"/>
    <w:rsid w:val="0018651B"/>
    <w:rsid w:val="001873D4"/>
    <w:rsid w:val="001917DD"/>
    <w:rsid w:val="00194191"/>
    <w:rsid w:val="00194693"/>
    <w:rsid w:val="001A044E"/>
    <w:rsid w:val="001A08FA"/>
    <w:rsid w:val="001A1ED9"/>
    <w:rsid w:val="001A51FB"/>
    <w:rsid w:val="001A6D1C"/>
    <w:rsid w:val="001A76DD"/>
    <w:rsid w:val="001B010A"/>
    <w:rsid w:val="001B0EDB"/>
    <w:rsid w:val="001B1D4A"/>
    <w:rsid w:val="001B27E7"/>
    <w:rsid w:val="001B6127"/>
    <w:rsid w:val="001C1CA9"/>
    <w:rsid w:val="001C50F8"/>
    <w:rsid w:val="001C54C3"/>
    <w:rsid w:val="001C7D5B"/>
    <w:rsid w:val="001D2D58"/>
    <w:rsid w:val="001D2F9D"/>
    <w:rsid w:val="001D43C3"/>
    <w:rsid w:val="001D5A0D"/>
    <w:rsid w:val="001D7BFA"/>
    <w:rsid w:val="001E15AC"/>
    <w:rsid w:val="001E191E"/>
    <w:rsid w:val="001E49D9"/>
    <w:rsid w:val="001E72BC"/>
    <w:rsid w:val="001E7A47"/>
    <w:rsid w:val="001F08B3"/>
    <w:rsid w:val="001F1F85"/>
    <w:rsid w:val="001F22AC"/>
    <w:rsid w:val="001F22F4"/>
    <w:rsid w:val="001F3264"/>
    <w:rsid w:val="001F32CB"/>
    <w:rsid w:val="001F4731"/>
    <w:rsid w:val="001F7F26"/>
    <w:rsid w:val="00200634"/>
    <w:rsid w:val="00202764"/>
    <w:rsid w:val="00204020"/>
    <w:rsid w:val="002041BE"/>
    <w:rsid w:val="00205D8B"/>
    <w:rsid w:val="00206D6F"/>
    <w:rsid w:val="00210CBB"/>
    <w:rsid w:val="0021202D"/>
    <w:rsid w:val="0021277A"/>
    <w:rsid w:val="00213C92"/>
    <w:rsid w:val="002172E0"/>
    <w:rsid w:val="00220D28"/>
    <w:rsid w:val="00221951"/>
    <w:rsid w:val="00221C90"/>
    <w:rsid w:val="00222BF1"/>
    <w:rsid w:val="002232B6"/>
    <w:rsid w:val="002234E2"/>
    <w:rsid w:val="00223FFF"/>
    <w:rsid w:val="00226E48"/>
    <w:rsid w:val="00227BB3"/>
    <w:rsid w:val="0023363C"/>
    <w:rsid w:val="0023402D"/>
    <w:rsid w:val="00234354"/>
    <w:rsid w:val="00236673"/>
    <w:rsid w:val="002419C8"/>
    <w:rsid w:val="002464B3"/>
    <w:rsid w:val="00246890"/>
    <w:rsid w:val="002506AE"/>
    <w:rsid w:val="00250F5C"/>
    <w:rsid w:val="00254C6B"/>
    <w:rsid w:val="00261B70"/>
    <w:rsid w:val="0026686E"/>
    <w:rsid w:val="0027115E"/>
    <w:rsid w:val="00271218"/>
    <w:rsid w:val="002718D3"/>
    <w:rsid w:val="00272353"/>
    <w:rsid w:val="002729F2"/>
    <w:rsid w:val="00275499"/>
    <w:rsid w:val="002778F0"/>
    <w:rsid w:val="00277C90"/>
    <w:rsid w:val="00281AD6"/>
    <w:rsid w:val="00282D58"/>
    <w:rsid w:val="0028317E"/>
    <w:rsid w:val="0029041A"/>
    <w:rsid w:val="00291D34"/>
    <w:rsid w:val="00293D75"/>
    <w:rsid w:val="0029533E"/>
    <w:rsid w:val="00295A46"/>
    <w:rsid w:val="00296959"/>
    <w:rsid w:val="002A0824"/>
    <w:rsid w:val="002A0CD9"/>
    <w:rsid w:val="002A1DC8"/>
    <w:rsid w:val="002A493E"/>
    <w:rsid w:val="002A6645"/>
    <w:rsid w:val="002B06C0"/>
    <w:rsid w:val="002B20AA"/>
    <w:rsid w:val="002B2C04"/>
    <w:rsid w:val="002B5AB4"/>
    <w:rsid w:val="002B67B7"/>
    <w:rsid w:val="002B6838"/>
    <w:rsid w:val="002C00AB"/>
    <w:rsid w:val="002C15B4"/>
    <w:rsid w:val="002C1652"/>
    <w:rsid w:val="002C2AAF"/>
    <w:rsid w:val="002C3085"/>
    <w:rsid w:val="002C34F1"/>
    <w:rsid w:val="002C35BB"/>
    <w:rsid w:val="002D2ED6"/>
    <w:rsid w:val="002D33FD"/>
    <w:rsid w:val="002D5B7F"/>
    <w:rsid w:val="002D6E67"/>
    <w:rsid w:val="002E4136"/>
    <w:rsid w:val="002E5622"/>
    <w:rsid w:val="002E5B28"/>
    <w:rsid w:val="002E6209"/>
    <w:rsid w:val="002F00A2"/>
    <w:rsid w:val="002F1802"/>
    <w:rsid w:val="002F1DF4"/>
    <w:rsid w:val="002F45A0"/>
    <w:rsid w:val="002F61D5"/>
    <w:rsid w:val="002F6F89"/>
    <w:rsid w:val="003011D6"/>
    <w:rsid w:val="003026B9"/>
    <w:rsid w:val="0030285C"/>
    <w:rsid w:val="00303886"/>
    <w:rsid w:val="00306E5A"/>
    <w:rsid w:val="00307495"/>
    <w:rsid w:val="00310705"/>
    <w:rsid w:val="00311051"/>
    <w:rsid w:val="003114D2"/>
    <w:rsid w:val="00315CB6"/>
    <w:rsid w:val="0031633B"/>
    <w:rsid w:val="00316379"/>
    <w:rsid w:val="0031648B"/>
    <w:rsid w:val="0032139C"/>
    <w:rsid w:val="003225C5"/>
    <w:rsid w:val="00324EB8"/>
    <w:rsid w:val="003268A5"/>
    <w:rsid w:val="00326E18"/>
    <w:rsid w:val="003302F4"/>
    <w:rsid w:val="00331234"/>
    <w:rsid w:val="00332362"/>
    <w:rsid w:val="00333698"/>
    <w:rsid w:val="00334ACF"/>
    <w:rsid w:val="00336683"/>
    <w:rsid w:val="00340CA3"/>
    <w:rsid w:val="00342933"/>
    <w:rsid w:val="00342BA5"/>
    <w:rsid w:val="00344DDC"/>
    <w:rsid w:val="0034599C"/>
    <w:rsid w:val="00345A6D"/>
    <w:rsid w:val="0034603A"/>
    <w:rsid w:val="00351233"/>
    <w:rsid w:val="00353E69"/>
    <w:rsid w:val="00355DB7"/>
    <w:rsid w:val="003567B2"/>
    <w:rsid w:val="00360A08"/>
    <w:rsid w:val="003643DE"/>
    <w:rsid w:val="003663C2"/>
    <w:rsid w:val="0036650E"/>
    <w:rsid w:val="00366814"/>
    <w:rsid w:val="00373FAE"/>
    <w:rsid w:val="0037472D"/>
    <w:rsid w:val="0037481C"/>
    <w:rsid w:val="00377543"/>
    <w:rsid w:val="00380FD5"/>
    <w:rsid w:val="00381EA6"/>
    <w:rsid w:val="00381F9D"/>
    <w:rsid w:val="00383763"/>
    <w:rsid w:val="003849CE"/>
    <w:rsid w:val="00385AB1"/>
    <w:rsid w:val="00386400"/>
    <w:rsid w:val="0039170B"/>
    <w:rsid w:val="003953EF"/>
    <w:rsid w:val="00395473"/>
    <w:rsid w:val="003979A0"/>
    <w:rsid w:val="003A0155"/>
    <w:rsid w:val="003A27F7"/>
    <w:rsid w:val="003A303E"/>
    <w:rsid w:val="003A398E"/>
    <w:rsid w:val="003A45E2"/>
    <w:rsid w:val="003A54E6"/>
    <w:rsid w:val="003A552C"/>
    <w:rsid w:val="003A7A9C"/>
    <w:rsid w:val="003B329D"/>
    <w:rsid w:val="003B6E20"/>
    <w:rsid w:val="003C07F3"/>
    <w:rsid w:val="003C1172"/>
    <w:rsid w:val="003C2554"/>
    <w:rsid w:val="003C3D3C"/>
    <w:rsid w:val="003C5A2E"/>
    <w:rsid w:val="003C6019"/>
    <w:rsid w:val="003C61D5"/>
    <w:rsid w:val="003D0C73"/>
    <w:rsid w:val="003D2CE9"/>
    <w:rsid w:val="003D3E25"/>
    <w:rsid w:val="003D506A"/>
    <w:rsid w:val="003D63AD"/>
    <w:rsid w:val="003D6965"/>
    <w:rsid w:val="003E1CFC"/>
    <w:rsid w:val="003E2854"/>
    <w:rsid w:val="003E6828"/>
    <w:rsid w:val="003E74B6"/>
    <w:rsid w:val="003F140F"/>
    <w:rsid w:val="003F2425"/>
    <w:rsid w:val="003F3E22"/>
    <w:rsid w:val="003F7D46"/>
    <w:rsid w:val="00400F56"/>
    <w:rsid w:val="0040122F"/>
    <w:rsid w:val="00402425"/>
    <w:rsid w:val="00403CD9"/>
    <w:rsid w:val="004148A6"/>
    <w:rsid w:val="00416271"/>
    <w:rsid w:val="0041751C"/>
    <w:rsid w:val="00417E60"/>
    <w:rsid w:val="00420318"/>
    <w:rsid w:val="004228B1"/>
    <w:rsid w:val="00422D39"/>
    <w:rsid w:val="004241CB"/>
    <w:rsid w:val="00425D14"/>
    <w:rsid w:val="0042644B"/>
    <w:rsid w:val="00426BD7"/>
    <w:rsid w:val="00430362"/>
    <w:rsid w:val="00433F4E"/>
    <w:rsid w:val="00435129"/>
    <w:rsid w:val="004379CC"/>
    <w:rsid w:val="00437ABC"/>
    <w:rsid w:val="00440AFC"/>
    <w:rsid w:val="00444977"/>
    <w:rsid w:val="00444ADE"/>
    <w:rsid w:val="00444CBA"/>
    <w:rsid w:val="00446B6C"/>
    <w:rsid w:val="004523AA"/>
    <w:rsid w:val="00454D4D"/>
    <w:rsid w:val="00455803"/>
    <w:rsid w:val="004568FC"/>
    <w:rsid w:val="00464129"/>
    <w:rsid w:val="004660A2"/>
    <w:rsid w:val="00466277"/>
    <w:rsid w:val="004668DF"/>
    <w:rsid w:val="00473082"/>
    <w:rsid w:val="00473224"/>
    <w:rsid w:val="00475B43"/>
    <w:rsid w:val="00475E1C"/>
    <w:rsid w:val="00475F99"/>
    <w:rsid w:val="00481EF3"/>
    <w:rsid w:val="00483FC9"/>
    <w:rsid w:val="00484E09"/>
    <w:rsid w:val="00487390"/>
    <w:rsid w:val="0049004C"/>
    <w:rsid w:val="0049172A"/>
    <w:rsid w:val="00494730"/>
    <w:rsid w:val="00495D83"/>
    <w:rsid w:val="00497C91"/>
    <w:rsid w:val="004A31CE"/>
    <w:rsid w:val="004A6641"/>
    <w:rsid w:val="004A77D0"/>
    <w:rsid w:val="004B3A44"/>
    <w:rsid w:val="004B4210"/>
    <w:rsid w:val="004B78D3"/>
    <w:rsid w:val="004C1635"/>
    <w:rsid w:val="004C3732"/>
    <w:rsid w:val="004C70FA"/>
    <w:rsid w:val="004C7305"/>
    <w:rsid w:val="004D093C"/>
    <w:rsid w:val="004D2592"/>
    <w:rsid w:val="004D2868"/>
    <w:rsid w:val="004D2CC5"/>
    <w:rsid w:val="004D5B8A"/>
    <w:rsid w:val="004D5F26"/>
    <w:rsid w:val="004D71BC"/>
    <w:rsid w:val="004D795D"/>
    <w:rsid w:val="004E0705"/>
    <w:rsid w:val="004E0A4D"/>
    <w:rsid w:val="004E1917"/>
    <w:rsid w:val="004E1E5E"/>
    <w:rsid w:val="004E5A64"/>
    <w:rsid w:val="004E6706"/>
    <w:rsid w:val="00501221"/>
    <w:rsid w:val="00502D17"/>
    <w:rsid w:val="00504BAF"/>
    <w:rsid w:val="00505CE7"/>
    <w:rsid w:val="00507CAD"/>
    <w:rsid w:val="00507F95"/>
    <w:rsid w:val="005100D0"/>
    <w:rsid w:val="00511271"/>
    <w:rsid w:val="00515608"/>
    <w:rsid w:val="00515909"/>
    <w:rsid w:val="0051744B"/>
    <w:rsid w:val="00517D02"/>
    <w:rsid w:val="00522731"/>
    <w:rsid w:val="005237FD"/>
    <w:rsid w:val="00524615"/>
    <w:rsid w:val="00524953"/>
    <w:rsid w:val="00524BB3"/>
    <w:rsid w:val="00526391"/>
    <w:rsid w:val="005275AC"/>
    <w:rsid w:val="00530B03"/>
    <w:rsid w:val="00532829"/>
    <w:rsid w:val="0053287E"/>
    <w:rsid w:val="00534723"/>
    <w:rsid w:val="00536BBC"/>
    <w:rsid w:val="00537A45"/>
    <w:rsid w:val="005416F4"/>
    <w:rsid w:val="00541A75"/>
    <w:rsid w:val="005425E1"/>
    <w:rsid w:val="00543005"/>
    <w:rsid w:val="0054627E"/>
    <w:rsid w:val="00547472"/>
    <w:rsid w:val="00547CA8"/>
    <w:rsid w:val="0055156C"/>
    <w:rsid w:val="00551DCA"/>
    <w:rsid w:val="005553BC"/>
    <w:rsid w:val="005559BA"/>
    <w:rsid w:val="00555B15"/>
    <w:rsid w:val="005617A0"/>
    <w:rsid w:val="005617FF"/>
    <w:rsid w:val="00563752"/>
    <w:rsid w:val="00565985"/>
    <w:rsid w:val="00566158"/>
    <w:rsid w:val="00570A1F"/>
    <w:rsid w:val="00577AE9"/>
    <w:rsid w:val="00582254"/>
    <w:rsid w:val="0058304E"/>
    <w:rsid w:val="005837CD"/>
    <w:rsid w:val="005849DB"/>
    <w:rsid w:val="0058564D"/>
    <w:rsid w:val="0058591E"/>
    <w:rsid w:val="00586163"/>
    <w:rsid w:val="00590188"/>
    <w:rsid w:val="005946CC"/>
    <w:rsid w:val="00595462"/>
    <w:rsid w:val="00595E1C"/>
    <w:rsid w:val="0059682C"/>
    <w:rsid w:val="005973BE"/>
    <w:rsid w:val="005A0B58"/>
    <w:rsid w:val="005A21E3"/>
    <w:rsid w:val="005A558C"/>
    <w:rsid w:val="005A79BF"/>
    <w:rsid w:val="005B0930"/>
    <w:rsid w:val="005B3058"/>
    <w:rsid w:val="005B36A0"/>
    <w:rsid w:val="005B5E49"/>
    <w:rsid w:val="005B6E34"/>
    <w:rsid w:val="005B7248"/>
    <w:rsid w:val="005C0077"/>
    <w:rsid w:val="005C185C"/>
    <w:rsid w:val="005C4B46"/>
    <w:rsid w:val="005C5EBA"/>
    <w:rsid w:val="005D0E91"/>
    <w:rsid w:val="005D1312"/>
    <w:rsid w:val="005D190D"/>
    <w:rsid w:val="005D1AED"/>
    <w:rsid w:val="005D20BC"/>
    <w:rsid w:val="005D2375"/>
    <w:rsid w:val="005D2BE1"/>
    <w:rsid w:val="005D6FB3"/>
    <w:rsid w:val="005E2316"/>
    <w:rsid w:val="005E33C9"/>
    <w:rsid w:val="005E3B8B"/>
    <w:rsid w:val="005E4264"/>
    <w:rsid w:val="005E4ABA"/>
    <w:rsid w:val="005E5388"/>
    <w:rsid w:val="005E75CF"/>
    <w:rsid w:val="005F011D"/>
    <w:rsid w:val="005F211D"/>
    <w:rsid w:val="005F35E2"/>
    <w:rsid w:val="00604D0D"/>
    <w:rsid w:val="0060561C"/>
    <w:rsid w:val="00605ECC"/>
    <w:rsid w:val="0060734D"/>
    <w:rsid w:val="00607C87"/>
    <w:rsid w:val="006108EC"/>
    <w:rsid w:val="0061146B"/>
    <w:rsid w:val="006121F5"/>
    <w:rsid w:val="00612493"/>
    <w:rsid w:val="00613466"/>
    <w:rsid w:val="00616375"/>
    <w:rsid w:val="0061653D"/>
    <w:rsid w:val="0062033F"/>
    <w:rsid w:val="00620943"/>
    <w:rsid w:val="00620E11"/>
    <w:rsid w:val="006218B8"/>
    <w:rsid w:val="00622590"/>
    <w:rsid w:val="006231A5"/>
    <w:rsid w:val="00625E55"/>
    <w:rsid w:val="00627F23"/>
    <w:rsid w:val="006305AD"/>
    <w:rsid w:val="0063084A"/>
    <w:rsid w:val="00631E57"/>
    <w:rsid w:val="0063416B"/>
    <w:rsid w:val="00641596"/>
    <w:rsid w:val="0064280A"/>
    <w:rsid w:val="006430C5"/>
    <w:rsid w:val="006442B5"/>
    <w:rsid w:val="00646E9F"/>
    <w:rsid w:val="00647864"/>
    <w:rsid w:val="00650575"/>
    <w:rsid w:val="00652D77"/>
    <w:rsid w:val="006531F7"/>
    <w:rsid w:val="00654420"/>
    <w:rsid w:val="006565E2"/>
    <w:rsid w:val="00656600"/>
    <w:rsid w:val="006573B6"/>
    <w:rsid w:val="0066111D"/>
    <w:rsid w:val="00663381"/>
    <w:rsid w:val="0066338D"/>
    <w:rsid w:val="006644CB"/>
    <w:rsid w:val="00665F1A"/>
    <w:rsid w:val="00667B83"/>
    <w:rsid w:val="00670256"/>
    <w:rsid w:val="00670600"/>
    <w:rsid w:val="00671869"/>
    <w:rsid w:val="0067772D"/>
    <w:rsid w:val="006817A6"/>
    <w:rsid w:val="00681B26"/>
    <w:rsid w:val="00682C97"/>
    <w:rsid w:val="00683966"/>
    <w:rsid w:val="00683AF3"/>
    <w:rsid w:val="00685D1A"/>
    <w:rsid w:val="006865DC"/>
    <w:rsid w:val="0069060D"/>
    <w:rsid w:val="00694380"/>
    <w:rsid w:val="00694AD6"/>
    <w:rsid w:val="00695E7E"/>
    <w:rsid w:val="006967AF"/>
    <w:rsid w:val="0069737E"/>
    <w:rsid w:val="00697A8E"/>
    <w:rsid w:val="006A459F"/>
    <w:rsid w:val="006A4915"/>
    <w:rsid w:val="006A7BB3"/>
    <w:rsid w:val="006B1225"/>
    <w:rsid w:val="006B1EE7"/>
    <w:rsid w:val="006B216F"/>
    <w:rsid w:val="006B24AA"/>
    <w:rsid w:val="006B2660"/>
    <w:rsid w:val="006B2C9E"/>
    <w:rsid w:val="006B2D92"/>
    <w:rsid w:val="006B36B2"/>
    <w:rsid w:val="006B37B7"/>
    <w:rsid w:val="006B7152"/>
    <w:rsid w:val="006C05DA"/>
    <w:rsid w:val="006C0CFA"/>
    <w:rsid w:val="006C1277"/>
    <w:rsid w:val="006C2446"/>
    <w:rsid w:val="006C2DA1"/>
    <w:rsid w:val="006C31B7"/>
    <w:rsid w:val="006C6839"/>
    <w:rsid w:val="006D0168"/>
    <w:rsid w:val="006D127A"/>
    <w:rsid w:val="006D3AC1"/>
    <w:rsid w:val="006D66E6"/>
    <w:rsid w:val="006E0420"/>
    <w:rsid w:val="006E12F7"/>
    <w:rsid w:val="006E4921"/>
    <w:rsid w:val="006E49CB"/>
    <w:rsid w:val="006E4A73"/>
    <w:rsid w:val="006E4DEE"/>
    <w:rsid w:val="006E59CE"/>
    <w:rsid w:val="006E769C"/>
    <w:rsid w:val="006F1061"/>
    <w:rsid w:val="006F1A1D"/>
    <w:rsid w:val="006F3047"/>
    <w:rsid w:val="006F3B00"/>
    <w:rsid w:val="006F6064"/>
    <w:rsid w:val="00700A15"/>
    <w:rsid w:val="007017AE"/>
    <w:rsid w:val="00701C09"/>
    <w:rsid w:val="00704EFD"/>
    <w:rsid w:val="007067E8"/>
    <w:rsid w:val="007068FD"/>
    <w:rsid w:val="007113BC"/>
    <w:rsid w:val="00712AB0"/>
    <w:rsid w:val="0071475B"/>
    <w:rsid w:val="00715C16"/>
    <w:rsid w:val="007236CE"/>
    <w:rsid w:val="007239C7"/>
    <w:rsid w:val="00725451"/>
    <w:rsid w:val="007268A8"/>
    <w:rsid w:val="00730157"/>
    <w:rsid w:val="00730192"/>
    <w:rsid w:val="007302EC"/>
    <w:rsid w:val="00730DCF"/>
    <w:rsid w:val="007318C5"/>
    <w:rsid w:val="00733C51"/>
    <w:rsid w:val="0073590C"/>
    <w:rsid w:val="007374DF"/>
    <w:rsid w:val="007422FE"/>
    <w:rsid w:val="00744048"/>
    <w:rsid w:val="007448C8"/>
    <w:rsid w:val="00744C47"/>
    <w:rsid w:val="0074672A"/>
    <w:rsid w:val="00752C8D"/>
    <w:rsid w:val="00754937"/>
    <w:rsid w:val="0075535D"/>
    <w:rsid w:val="007574D8"/>
    <w:rsid w:val="00762947"/>
    <w:rsid w:val="00762DEC"/>
    <w:rsid w:val="00764DAD"/>
    <w:rsid w:val="00765815"/>
    <w:rsid w:val="00770310"/>
    <w:rsid w:val="0077083C"/>
    <w:rsid w:val="007715FB"/>
    <w:rsid w:val="0077178C"/>
    <w:rsid w:val="00773F88"/>
    <w:rsid w:val="00774588"/>
    <w:rsid w:val="00776135"/>
    <w:rsid w:val="007811BD"/>
    <w:rsid w:val="00781764"/>
    <w:rsid w:val="007817A2"/>
    <w:rsid w:val="007926C5"/>
    <w:rsid w:val="00792E6C"/>
    <w:rsid w:val="007A05E6"/>
    <w:rsid w:val="007A135D"/>
    <w:rsid w:val="007A2A95"/>
    <w:rsid w:val="007A41D0"/>
    <w:rsid w:val="007A5EDA"/>
    <w:rsid w:val="007A6B15"/>
    <w:rsid w:val="007B0736"/>
    <w:rsid w:val="007B3B86"/>
    <w:rsid w:val="007B4761"/>
    <w:rsid w:val="007C4675"/>
    <w:rsid w:val="007C4EFB"/>
    <w:rsid w:val="007C5F21"/>
    <w:rsid w:val="007C623B"/>
    <w:rsid w:val="007D0903"/>
    <w:rsid w:val="007D0C59"/>
    <w:rsid w:val="007D15DC"/>
    <w:rsid w:val="007D49E9"/>
    <w:rsid w:val="007D69F0"/>
    <w:rsid w:val="007E1B82"/>
    <w:rsid w:val="007E22FA"/>
    <w:rsid w:val="007E3317"/>
    <w:rsid w:val="007E6471"/>
    <w:rsid w:val="007E6FE5"/>
    <w:rsid w:val="007F175B"/>
    <w:rsid w:val="007F35B5"/>
    <w:rsid w:val="007F3CEA"/>
    <w:rsid w:val="007F40C7"/>
    <w:rsid w:val="007F691D"/>
    <w:rsid w:val="007F7004"/>
    <w:rsid w:val="00804474"/>
    <w:rsid w:val="00805CA1"/>
    <w:rsid w:val="00805CA6"/>
    <w:rsid w:val="00813CC0"/>
    <w:rsid w:val="00814479"/>
    <w:rsid w:val="0081584A"/>
    <w:rsid w:val="00817CAF"/>
    <w:rsid w:val="008202D8"/>
    <w:rsid w:val="00821476"/>
    <w:rsid w:val="008238F9"/>
    <w:rsid w:val="0082430E"/>
    <w:rsid w:val="00825A80"/>
    <w:rsid w:val="008334C8"/>
    <w:rsid w:val="008348B7"/>
    <w:rsid w:val="00840278"/>
    <w:rsid w:val="00840375"/>
    <w:rsid w:val="0084239A"/>
    <w:rsid w:val="00842A64"/>
    <w:rsid w:val="0084718C"/>
    <w:rsid w:val="00852E86"/>
    <w:rsid w:val="00854B34"/>
    <w:rsid w:val="008578CC"/>
    <w:rsid w:val="00863053"/>
    <w:rsid w:val="00864DC0"/>
    <w:rsid w:val="00864E7A"/>
    <w:rsid w:val="008654E8"/>
    <w:rsid w:val="00865BCD"/>
    <w:rsid w:val="008671E6"/>
    <w:rsid w:val="0087106E"/>
    <w:rsid w:val="00873679"/>
    <w:rsid w:val="00875F55"/>
    <w:rsid w:val="008800A2"/>
    <w:rsid w:val="0088059E"/>
    <w:rsid w:val="00880AAB"/>
    <w:rsid w:val="00881CB2"/>
    <w:rsid w:val="00885565"/>
    <w:rsid w:val="00885922"/>
    <w:rsid w:val="00895B3E"/>
    <w:rsid w:val="00896A75"/>
    <w:rsid w:val="008975BD"/>
    <w:rsid w:val="008976D2"/>
    <w:rsid w:val="008A1A8A"/>
    <w:rsid w:val="008A3401"/>
    <w:rsid w:val="008A455C"/>
    <w:rsid w:val="008A5D6C"/>
    <w:rsid w:val="008B22E6"/>
    <w:rsid w:val="008B2D3A"/>
    <w:rsid w:val="008B44C8"/>
    <w:rsid w:val="008B5F9F"/>
    <w:rsid w:val="008B68E7"/>
    <w:rsid w:val="008B6ADB"/>
    <w:rsid w:val="008C0740"/>
    <w:rsid w:val="008C1FE7"/>
    <w:rsid w:val="008C2D18"/>
    <w:rsid w:val="008C4335"/>
    <w:rsid w:val="008C5353"/>
    <w:rsid w:val="008C6689"/>
    <w:rsid w:val="008D2AF5"/>
    <w:rsid w:val="008D34D7"/>
    <w:rsid w:val="008D4263"/>
    <w:rsid w:val="008D55A7"/>
    <w:rsid w:val="008D6806"/>
    <w:rsid w:val="008E02A8"/>
    <w:rsid w:val="008E08EE"/>
    <w:rsid w:val="008E12AF"/>
    <w:rsid w:val="008E1433"/>
    <w:rsid w:val="008E31F2"/>
    <w:rsid w:val="008E35EC"/>
    <w:rsid w:val="008E4A46"/>
    <w:rsid w:val="008E6FB3"/>
    <w:rsid w:val="008F139D"/>
    <w:rsid w:val="008F1E11"/>
    <w:rsid w:val="008F2036"/>
    <w:rsid w:val="008F3FB2"/>
    <w:rsid w:val="008F58D0"/>
    <w:rsid w:val="008F5F12"/>
    <w:rsid w:val="008F6E35"/>
    <w:rsid w:val="008F72D1"/>
    <w:rsid w:val="008F7CA8"/>
    <w:rsid w:val="009024FB"/>
    <w:rsid w:val="00905C88"/>
    <w:rsid w:val="00906A55"/>
    <w:rsid w:val="00906F93"/>
    <w:rsid w:val="00913FAF"/>
    <w:rsid w:val="00914261"/>
    <w:rsid w:val="00915079"/>
    <w:rsid w:val="00915795"/>
    <w:rsid w:val="00915AAD"/>
    <w:rsid w:val="009166EB"/>
    <w:rsid w:val="00921A61"/>
    <w:rsid w:val="009233A3"/>
    <w:rsid w:val="009267B2"/>
    <w:rsid w:val="00926D3D"/>
    <w:rsid w:val="00931BAB"/>
    <w:rsid w:val="00931C49"/>
    <w:rsid w:val="00933942"/>
    <w:rsid w:val="00936AAC"/>
    <w:rsid w:val="00940377"/>
    <w:rsid w:val="0094165D"/>
    <w:rsid w:val="00942550"/>
    <w:rsid w:val="009429C8"/>
    <w:rsid w:val="00943233"/>
    <w:rsid w:val="009432FE"/>
    <w:rsid w:val="009435DE"/>
    <w:rsid w:val="0094391D"/>
    <w:rsid w:val="009446E5"/>
    <w:rsid w:val="00944E83"/>
    <w:rsid w:val="00944EAA"/>
    <w:rsid w:val="009478EF"/>
    <w:rsid w:val="00951045"/>
    <w:rsid w:val="00951EEF"/>
    <w:rsid w:val="00952C8A"/>
    <w:rsid w:val="009535A8"/>
    <w:rsid w:val="00956A58"/>
    <w:rsid w:val="00960E1A"/>
    <w:rsid w:val="00961084"/>
    <w:rsid w:val="00962278"/>
    <w:rsid w:val="00965684"/>
    <w:rsid w:val="009659CE"/>
    <w:rsid w:val="0096708E"/>
    <w:rsid w:val="00967128"/>
    <w:rsid w:val="009704C8"/>
    <w:rsid w:val="00970C4B"/>
    <w:rsid w:val="00974554"/>
    <w:rsid w:val="00974733"/>
    <w:rsid w:val="0097628C"/>
    <w:rsid w:val="00976E24"/>
    <w:rsid w:val="00976EBB"/>
    <w:rsid w:val="0097740F"/>
    <w:rsid w:val="00977836"/>
    <w:rsid w:val="00977DBE"/>
    <w:rsid w:val="00977F94"/>
    <w:rsid w:val="00982287"/>
    <w:rsid w:val="009828B3"/>
    <w:rsid w:val="0098432C"/>
    <w:rsid w:val="009846AF"/>
    <w:rsid w:val="009846B7"/>
    <w:rsid w:val="00985F33"/>
    <w:rsid w:val="00987FBB"/>
    <w:rsid w:val="0099223E"/>
    <w:rsid w:val="00993634"/>
    <w:rsid w:val="00993890"/>
    <w:rsid w:val="0099484F"/>
    <w:rsid w:val="0099587D"/>
    <w:rsid w:val="0099787B"/>
    <w:rsid w:val="009A174A"/>
    <w:rsid w:val="009A3FD5"/>
    <w:rsid w:val="009A5C64"/>
    <w:rsid w:val="009B1B7F"/>
    <w:rsid w:val="009B38D0"/>
    <w:rsid w:val="009B7762"/>
    <w:rsid w:val="009B7E5A"/>
    <w:rsid w:val="009C0681"/>
    <w:rsid w:val="009C22AF"/>
    <w:rsid w:val="009C22F5"/>
    <w:rsid w:val="009C575B"/>
    <w:rsid w:val="009C7DBD"/>
    <w:rsid w:val="009D2EB5"/>
    <w:rsid w:val="009D6BDB"/>
    <w:rsid w:val="009E1C42"/>
    <w:rsid w:val="009E4354"/>
    <w:rsid w:val="009E4B19"/>
    <w:rsid w:val="009E6360"/>
    <w:rsid w:val="009E7064"/>
    <w:rsid w:val="009E710D"/>
    <w:rsid w:val="009E7F07"/>
    <w:rsid w:val="009E7F39"/>
    <w:rsid w:val="009F0065"/>
    <w:rsid w:val="009F27E6"/>
    <w:rsid w:val="009F46E6"/>
    <w:rsid w:val="009F508B"/>
    <w:rsid w:val="009F5CEE"/>
    <w:rsid w:val="009F67A2"/>
    <w:rsid w:val="009F7252"/>
    <w:rsid w:val="00A0049E"/>
    <w:rsid w:val="00A0182A"/>
    <w:rsid w:val="00A02352"/>
    <w:rsid w:val="00A04D74"/>
    <w:rsid w:val="00A07060"/>
    <w:rsid w:val="00A0735A"/>
    <w:rsid w:val="00A07658"/>
    <w:rsid w:val="00A12397"/>
    <w:rsid w:val="00A125EA"/>
    <w:rsid w:val="00A1318B"/>
    <w:rsid w:val="00A1378A"/>
    <w:rsid w:val="00A13E58"/>
    <w:rsid w:val="00A1740D"/>
    <w:rsid w:val="00A212FD"/>
    <w:rsid w:val="00A223BB"/>
    <w:rsid w:val="00A2257A"/>
    <w:rsid w:val="00A30BFC"/>
    <w:rsid w:val="00A33C0D"/>
    <w:rsid w:val="00A35C71"/>
    <w:rsid w:val="00A36778"/>
    <w:rsid w:val="00A41C27"/>
    <w:rsid w:val="00A42D64"/>
    <w:rsid w:val="00A44643"/>
    <w:rsid w:val="00A44BC5"/>
    <w:rsid w:val="00A47C8B"/>
    <w:rsid w:val="00A47F2E"/>
    <w:rsid w:val="00A523AA"/>
    <w:rsid w:val="00A52C7A"/>
    <w:rsid w:val="00A52EB6"/>
    <w:rsid w:val="00A534E6"/>
    <w:rsid w:val="00A626AE"/>
    <w:rsid w:val="00A6760F"/>
    <w:rsid w:val="00A7101B"/>
    <w:rsid w:val="00A72416"/>
    <w:rsid w:val="00A72894"/>
    <w:rsid w:val="00A73C81"/>
    <w:rsid w:val="00A76305"/>
    <w:rsid w:val="00A768CD"/>
    <w:rsid w:val="00A77A1D"/>
    <w:rsid w:val="00A77B71"/>
    <w:rsid w:val="00A80200"/>
    <w:rsid w:val="00A80499"/>
    <w:rsid w:val="00A8111E"/>
    <w:rsid w:val="00A8547B"/>
    <w:rsid w:val="00A86D6C"/>
    <w:rsid w:val="00A90211"/>
    <w:rsid w:val="00A904FE"/>
    <w:rsid w:val="00A90BDF"/>
    <w:rsid w:val="00A93FFB"/>
    <w:rsid w:val="00A95BEA"/>
    <w:rsid w:val="00A9654F"/>
    <w:rsid w:val="00AA1A56"/>
    <w:rsid w:val="00AA1F9A"/>
    <w:rsid w:val="00AA26BF"/>
    <w:rsid w:val="00AA47EB"/>
    <w:rsid w:val="00AA6473"/>
    <w:rsid w:val="00AA73DF"/>
    <w:rsid w:val="00AA7D6B"/>
    <w:rsid w:val="00AB08BB"/>
    <w:rsid w:val="00AB0A73"/>
    <w:rsid w:val="00AB21DD"/>
    <w:rsid w:val="00AB4490"/>
    <w:rsid w:val="00AB4EC8"/>
    <w:rsid w:val="00AB74DD"/>
    <w:rsid w:val="00AC1BD0"/>
    <w:rsid w:val="00AC40AB"/>
    <w:rsid w:val="00AC4448"/>
    <w:rsid w:val="00AC5484"/>
    <w:rsid w:val="00AC71D6"/>
    <w:rsid w:val="00AC733F"/>
    <w:rsid w:val="00AC74C0"/>
    <w:rsid w:val="00AD072C"/>
    <w:rsid w:val="00AD0A3B"/>
    <w:rsid w:val="00AD1A8F"/>
    <w:rsid w:val="00AD1D7D"/>
    <w:rsid w:val="00AD2E8E"/>
    <w:rsid w:val="00AD5DB0"/>
    <w:rsid w:val="00AD5ED6"/>
    <w:rsid w:val="00AD79F6"/>
    <w:rsid w:val="00AE2922"/>
    <w:rsid w:val="00AE3BC9"/>
    <w:rsid w:val="00AE3D5E"/>
    <w:rsid w:val="00AE4D22"/>
    <w:rsid w:val="00AE7494"/>
    <w:rsid w:val="00AF0B45"/>
    <w:rsid w:val="00AF1A90"/>
    <w:rsid w:val="00AF22BD"/>
    <w:rsid w:val="00AF2920"/>
    <w:rsid w:val="00AF3C22"/>
    <w:rsid w:val="00AF4D22"/>
    <w:rsid w:val="00AF517C"/>
    <w:rsid w:val="00AF5FF7"/>
    <w:rsid w:val="00AF74F2"/>
    <w:rsid w:val="00B00994"/>
    <w:rsid w:val="00B00A5B"/>
    <w:rsid w:val="00B03C6B"/>
    <w:rsid w:val="00B03EBA"/>
    <w:rsid w:val="00B048F5"/>
    <w:rsid w:val="00B07663"/>
    <w:rsid w:val="00B13024"/>
    <w:rsid w:val="00B13A27"/>
    <w:rsid w:val="00B152B3"/>
    <w:rsid w:val="00B16507"/>
    <w:rsid w:val="00B16CBB"/>
    <w:rsid w:val="00B16E6F"/>
    <w:rsid w:val="00B17D26"/>
    <w:rsid w:val="00B222C7"/>
    <w:rsid w:val="00B23050"/>
    <w:rsid w:val="00B270C9"/>
    <w:rsid w:val="00B27219"/>
    <w:rsid w:val="00B31F48"/>
    <w:rsid w:val="00B33CD4"/>
    <w:rsid w:val="00B34B81"/>
    <w:rsid w:val="00B351CC"/>
    <w:rsid w:val="00B35AB9"/>
    <w:rsid w:val="00B3676A"/>
    <w:rsid w:val="00B36915"/>
    <w:rsid w:val="00B36C67"/>
    <w:rsid w:val="00B37048"/>
    <w:rsid w:val="00B427F4"/>
    <w:rsid w:val="00B461AD"/>
    <w:rsid w:val="00B47380"/>
    <w:rsid w:val="00B50FFF"/>
    <w:rsid w:val="00B5221B"/>
    <w:rsid w:val="00B533D7"/>
    <w:rsid w:val="00B57474"/>
    <w:rsid w:val="00B60ABC"/>
    <w:rsid w:val="00B610E9"/>
    <w:rsid w:val="00B656E5"/>
    <w:rsid w:val="00B70073"/>
    <w:rsid w:val="00B71013"/>
    <w:rsid w:val="00B72CD5"/>
    <w:rsid w:val="00B7320E"/>
    <w:rsid w:val="00B748B5"/>
    <w:rsid w:val="00B75C53"/>
    <w:rsid w:val="00B777C3"/>
    <w:rsid w:val="00B80C4E"/>
    <w:rsid w:val="00B82025"/>
    <w:rsid w:val="00B830EA"/>
    <w:rsid w:val="00B83A81"/>
    <w:rsid w:val="00B85E90"/>
    <w:rsid w:val="00B905E6"/>
    <w:rsid w:val="00B90986"/>
    <w:rsid w:val="00B90F72"/>
    <w:rsid w:val="00B92DD6"/>
    <w:rsid w:val="00B934A9"/>
    <w:rsid w:val="00B93680"/>
    <w:rsid w:val="00B96923"/>
    <w:rsid w:val="00B96B03"/>
    <w:rsid w:val="00BA17EF"/>
    <w:rsid w:val="00BA2063"/>
    <w:rsid w:val="00BA2737"/>
    <w:rsid w:val="00BA4EE2"/>
    <w:rsid w:val="00BA5427"/>
    <w:rsid w:val="00BA7557"/>
    <w:rsid w:val="00BA796F"/>
    <w:rsid w:val="00BB01A3"/>
    <w:rsid w:val="00BB2DD7"/>
    <w:rsid w:val="00BB3C8D"/>
    <w:rsid w:val="00BB4D18"/>
    <w:rsid w:val="00BB654F"/>
    <w:rsid w:val="00BB699A"/>
    <w:rsid w:val="00BB6DEE"/>
    <w:rsid w:val="00BB79A0"/>
    <w:rsid w:val="00BC19D8"/>
    <w:rsid w:val="00BC25D4"/>
    <w:rsid w:val="00BC4EA1"/>
    <w:rsid w:val="00BC5F96"/>
    <w:rsid w:val="00BC6523"/>
    <w:rsid w:val="00BD43E9"/>
    <w:rsid w:val="00BD4DCC"/>
    <w:rsid w:val="00BE21DE"/>
    <w:rsid w:val="00BE2991"/>
    <w:rsid w:val="00BE5814"/>
    <w:rsid w:val="00BE5BDE"/>
    <w:rsid w:val="00BE67F6"/>
    <w:rsid w:val="00BE713F"/>
    <w:rsid w:val="00BF02B8"/>
    <w:rsid w:val="00BF0370"/>
    <w:rsid w:val="00BF32CF"/>
    <w:rsid w:val="00BF3D8A"/>
    <w:rsid w:val="00BF408B"/>
    <w:rsid w:val="00BF67D3"/>
    <w:rsid w:val="00C03B4F"/>
    <w:rsid w:val="00C03E8A"/>
    <w:rsid w:val="00C04D62"/>
    <w:rsid w:val="00C05330"/>
    <w:rsid w:val="00C05827"/>
    <w:rsid w:val="00C073D3"/>
    <w:rsid w:val="00C10034"/>
    <w:rsid w:val="00C1269B"/>
    <w:rsid w:val="00C12C38"/>
    <w:rsid w:val="00C13EA0"/>
    <w:rsid w:val="00C15240"/>
    <w:rsid w:val="00C204DA"/>
    <w:rsid w:val="00C2078E"/>
    <w:rsid w:val="00C208A7"/>
    <w:rsid w:val="00C214E2"/>
    <w:rsid w:val="00C236A6"/>
    <w:rsid w:val="00C25A23"/>
    <w:rsid w:val="00C300EC"/>
    <w:rsid w:val="00C32B3D"/>
    <w:rsid w:val="00C34839"/>
    <w:rsid w:val="00C3605E"/>
    <w:rsid w:val="00C36997"/>
    <w:rsid w:val="00C41143"/>
    <w:rsid w:val="00C41B76"/>
    <w:rsid w:val="00C44B49"/>
    <w:rsid w:val="00C45D0F"/>
    <w:rsid w:val="00C47505"/>
    <w:rsid w:val="00C47F62"/>
    <w:rsid w:val="00C5018D"/>
    <w:rsid w:val="00C5043B"/>
    <w:rsid w:val="00C52D64"/>
    <w:rsid w:val="00C53E38"/>
    <w:rsid w:val="00C556F3"/>
    <w:rsid w:val="00C558EC"/>
    <w:rsid w:val="00C576AE"/>
    <w:rsid w:val="00C617B7"/>
    <w:rsid w:val="00C62665"/>
    <w:rsid w:val="00C62F92"/>
    <w:rsid w:val="00C648AD"/>
    <w:rsid w:val="00C74610"/>
    <w:rsid w:val="00C75E1B"/>
    <w:rsid w:val="00C7654A"/>
    <w:rsid w:val="00C81BB1"/>
    <w:rsid w:val="00C820C4"/>
    <w:rsid w:val="00C831AD"/>
    <w:rsid w:val="00C86856"/>
    <w:rsid w:val="00C919DF"/>
    <w:rsid w:val="00C9210B"/>
    <w:rsid w:val="00C92555"/>
    <w:rsid w:val="00C93971"/>
    <w:rsid w:val="00C959CE"/>
    <w:rsid w:val="00C97020"/>
    <w:rsid w:val="00CA18DB"/>
    <w:rsid w:val="00CA1DA5"/>
    <w:rsid w:val="00CA26DF"/>
    <w:rsid w:val="00CA3075"/>
    <w:rsid w:val="00CA3258"/>
    <w:rsid w:val="00CA390C"/>
    <w:rsid w:val="00CA3B48"/>
    <w:rsid w:val="00CA46EB"/>
    <w:rsid w:val="00CA5386"/>
    <w:rsid w:val="00CA72AA"/>
    <w:rsid w:val="00CA74DB"/>
    <w:rsid w:val="00CB02A1"/>
    <w:rsid w:val="00CB1D5F"/>
    <w:rsid w:val="00CB1DBE"/>
    <w:rsid w:val="00CB3471"/>
    <w:rsid w:val="00CB3AD2"/>
    <w:rsid w:val="00CC23E7"/>
    <w:rsid w:val="00CC3839"/>
    <w:rsid w:val="00CC6900"/>
    <w:rsid w:val="00CD1108"/>
    <w:rsid w:val="00CD5443"/>
    <w:rsid w:val="00CD55D6"/>
    <w:rsid w:val="00CD5C82"/>
    <w:rsid w:val="00CD62DD"/>
    <w:rsid w:val="00CE15B9"/>
    <w:rsid w:val="00CE2005"/>
    <w:rsid w:val="00CE20E6"/>
    <w:rsid w:val="00CE3C79"/>
    <w:rsid w:val="00CE419B"/>
    <w:rsid w:val="00CE5132"/>
    <w:rsid w:val="00CE6839"/>
    <w:rsid w:val="00CF02ED"/>
    <w:rsid w:val="00CF0AF6"/>
    <w:rsid w:val="00CF12AF"/>
    <w:rsid w:val="00CF22A1"/>
    <w:rsid w:val="00CF2393"/>
    <w:rsid w:val="00CF4D33"/>
    <w:rsid w:val="00CF61C4"/>
    <w:rsid w:val="00CF6487"/>
    <w:rsid w:val="00D00762"/>
    <w:rsid w:val="00D03808"/>
    <w:rsid w:val="00D04AD7"/>
    <w:rsid w:val="00D04F91"/>
    <w:rsid w:val="00D10567"/>
    <w:rsid w:val="00D124FE"/>
    <w:rsid w:val="00D12D27"/>
    <w:rsid w:val="00D12DC8"/>
    <w:rsid w:val="00D142FB"/>
    <w:rsid w:val="00D15CC8"/>
    <w:rsid w:val="00D20B53"/>
    <w:rsid w:val="00D2145B"/>
    <w:rsid w:val="00D222F0"/>
    <w:rsid w:val="00D242A1"/>
    <w:rsid w:val="00D264A0"/>
    <w:rsid w:val="00D26B3F"/>
    <w:rsid w:val="00D303AA"/>
    <w:rsid w:val="00D317F8"/>
    <w:rsid w:val="00D3210A"/>
    <w:rsid w:val="00D34D0F"/>
    <w:rsid w:val="00D37924"/>
    <w:rsid w:val="00D408A9"/>
    <w:rsid w:val="00D45C37"/>
    <w:rsid w:val="00D47054"/>
    <w:rsid w:val="00D52514"/>
    <w:rsid w:val="00D5293A"/>
    <w:rsid w:val="00D52DFE"/>
    <w:rsid w:val="00D55424"/>
    <w:rsid w:val="00D5593C"/>
    <w:rsid w:val="00D63859"/>
    <w:rsid w:val="00D659B3"/>
    <w:rsid w:val="00D666BA"/>
    <w:rsid w:val="00D66750"/>
    <w:rsid w:val="00D7293C"/>
    <w:rsid w:val="00D72D92"/>
    <w:rsid w:val="00D7505C"/>
    <w:rsid w:val="00D7568F"/>
    <w:rsid w:val="00D75DCD"/>
    <w:rsid w:val="00D761AF"/>
    <w:rsid w:val="00D77D43"/>
    <w:rsid w:val="00D81408"/>
    <w:rsid w:val="00D81A0A"/>
    <w:rsid w:val="00D81BC9"/>
    <w:rsid w:val="00D835F2"/>
    <w:rsid w:val="00D8404A"/>
    <w:rsid w:val="00D862BF"/>
    <w:rsid w:val="00D868B0"/>
    <w:rsid w:val="00D913C8"/>
    <w:rsid w:val="00D9228A"/>
    <w:rsid w:val="00D932CB"/>
    <w:rsid w:val="00D94AF5"/>
    <w:rsid w:val="00D96D2A"/>
    <w:rsid w:val="00DA2052"/>
    <w:rsid w:val="00DA7803"/>
    <w:rsid w:val="00DB2AD6"/>
    <w:rsid w:val="00DB375B"/>
    <w:rsid w:val="00DB638E"/>
    <w:rsid w:val="00DB73C4"/>
    <w:rsid w:val="00DC0741"/>
    <w:rsid w:val="00DC1B40"/>
    <w:rsid w:val="00DC33ED"/>
    <w:rsid w:val="00DC4A18"/>
    <w:rsid w:val="00DC4B89"/>
    <w:rsid w:val="00DC699E"/>
    <w:rsid w:val="00DC7B40"/>
    <w:rsid w:val="00DD161A"/>
    <w:rsid w:val="00DD23C4"/>
    <w:rsid w:val="00DD387A"/>
    <w:rsid w:val="00DD514C"/>
    <w:rsid w:val="00DD635F"/>
    <w:rsid w:val="00DD76BD"/>
    <w:rsid w:val="00DE1C8A"/>
    <w:rsid w:val="00DE2B14"/>
    <w:rsid w:val="00DE3512"/>
    <w:rsid w:val="00DE4A25"/>
    <w:rsid w:val="00DE7488"/>
    <w:rsid w:val="00DE78F1"/>
    <w:rsid w:val="00DE7BE7"/>
    <w:rsid w:val="00DF0534"/>
    <w:rsid w:val="00DF0B20"/>
    <w:rsid w:val="00DF0BF9"/>
    <w:rsid w:val="00DF23F8"/>
    <w:rsid w:val="00DF2639"/>
    <w:rsid w:val="00DF2D77"/>
    <w:rsid w:val="00DF5380"/>
    <w:rsid w:val="00DF5608"/>
    <w:rsid w:val="00DF5A96"/>
    <w:rsid w:val="00DF5D87"/>
    <w:rsid w:val="00E00C10"/>
    <w:rsid w:val="00E010C3"/>
    <w:rsid w:val="00E016CA"/>
    <w:rsid w:val="00E0395C"/>
    <w:rsid w:val="00E0399B"/>
    <w:rsid w:val="00E05086"/>
    <w:rsid w:val="00E05619"/>
    <w:rsid w:val="00E06D19"/>
    <w:rsid w:val="00E11784"/>
    <w:rsid w:val="00E13A4F"/>
    <w:rsid w:val="00E13E67"/>
    <w:rsid w:val="00E13FA8"/>
    <w:rsid w:val="00E16C4E"/>
    <w:rsid w:val="00E20609"/>
    <w:rsid w:val="00E20DB7"/>
    <w:rsid w:val="00E20FEC"/>
    <w:rsid w:val="00E22C1D"/>
    <w:rsid w:val="00E2435A"/>
    <w:rsid w:val="00E258FF"/>
    <w:rsid w:val="00E264E4"/>
    <w:rsid w:val="00E27E7F"/>
    <w:rsid w:val="00E3029E"/>
    <w:rsid w:val="00E31653"/>
    <w:rsid w:val="00E330EC"/>
    <w:rsid w:val="00E33AB6"/>
    <w:rsid w:val="00E366F8"/>
    <w:rsid w:val="00E40E4F"/>
    <w:rsid w:val="00E43746"/>
    <w:rsid w:val="00E4448B"/>
    <w:rsid w:val="00E50D05"/>
    <w:rsid w:val="00E52083"/>
    <w:rsid w:val="00E56986"/>
    <w:rsid w:val="00E56D27"/>
    <w:rsid w:val="00E60F3D"/>
    <w:rsid w:val="00E62CA8"/>
    <w:rsid w:val="00E63066"/>
    <w:rsid w:val="00E633D2"/>
    <w:rsid w:val="00E63957"/>
    <w:rsid w:val="00E66B04"/>
    <w:rsid w:val="00E67FDA"/>
    <w:rsid w:val="00E700C2"/>
    <w:rsid w:val="00E7085F"/>
    <w:rsid w:val="00E75542"/>
    <w:rsid w:val="00E75AD1"/>
    <w:rsid w:val="00E850B7"/>
    <w:rsid w:val="00E853E6"/>
    <w:rsid w:val="00E85744"/>
    <w:rsid w:val="00E85A97"/>
    <w:rsid w:val="00E86F2B"/>
    <w:rsid w:val="00E9078A"/>
    <w:rsid w:val="00E9124E"/>
    <w:rsid w:val="00E923F2"/>
    <w:rsid w:val="00E94DC6"/>
    <w:rsid w:val="00E95972"/>
    <w:rsid w:val="00EA10CC"/>
    <w:rsid w:val="00EA19E9"/>
    <w:rsid w:val="00EA211C"/>
    <w:rsid w:val="00EA285E"/>
    <w:rsid w:val="00EA3304"/>
    <w:rsid w:val="00EA390C"/>
    <w:rsid w:val="00EA4A12"/>
    <w:rsid w:val="00EA4B8A"/>
    <w:rsid w:val="00EA5BF3"/>
    <w:rsid w:val="00EA5C20"/>
    <w:rsid w:val="00EA600E"/>
    <w:rsid w:val="00EB2F48"/>
    <w:rsid w:val="00EB307A"/>
    <w:rsid w:val="00EB5B33"/>
    <w:rsid w:val="00EB623C"/>
    <w:rsid w:val="00EB6314"/>
    <w:rsid w:val="00EB6CFE"/>
    <w:rsid w:val="00EC3492"/>
    <w:rsid w:val="00EC3D04"/>
    <w:rsid w:val="00ED2000"/>
    <w:rsid w:val="00ED3ED8"/>
    <w:rsid w:val="00ED53F2"/>
    <w:rsid w:val="00ED70AF"/>
    <w:rsid w:val="00EE21C1"/>
    <w:rsid w:val="00EE3380"/>
    <w:rsid w:val="00EE34DE"/>
    <w:rsid w:val="00EE4B71"/>
    <w:rsid w:val="00EE6BE7"/>
    <w:rsid w:val="00EE7392"/>
    <w:rsid w:val="00EF0E5F"/>
    <w:rsid w:val="00EF28DE"/>
    <w:rsid w:val="00EF2A3D"/>
    <w:rsid w:val="00EF5B60"/>
    <w:rsid w:val="00EF6391"/>
    <w:rsid w:val="00F041CB"/>
    <w:rsid w:val="00F0433D"/>
    <w:rsid w:val="00F05586"/>
    <w:rsid w:val="00F05E66"/>
    <w:rsid w:val="00F10A5B"/>
    <w:rsid w:val="00F11687"/>
    <w:rsid w:val="00F11DF6"/>
    <w:rsid w:val="00F14732"/>
    <w:rsid w:val="00F169E0"/>
    <w:rsid w:val="00F21D0D"/>
    <w:rsid w:val="00F25544"/>
    <w:rsid w:val="00F30864"/>
    <w:rsid w:val="00F313D5"/>
    <w:rsid w:val="00F31B1E"/>
    <w:rsid w:val="00F326EF"/>
    <w:rsid w:val="00F33C0B"/>
    <w:rsid w:val="00F345A4"/>
    <w:rsid w:val="00F35BC3"/>
    <w:rsid w:val="00F36850"/>
    <w:rsid w:val="00F42141"/>
    <w:rsid w:val="00F42642"/>
    <w:rsid w:val="00F45CC5"/>
    <w:rsid w:val="00F46850"/>
    <w:rsid w:val="00F51298"/>
    <w:rsid w:val="00F5182A"/>
    <w:rsid w:val="00F51B9D"/>
    <w:rsid w:val="00F5375C"/>
    <w:rsid w:val="00F53F08"/>
    <w:rsid w:val="00F54ECF"/>
    <w:rsid w:val="00F564ED"/>
    <w:rsid w:val="00F5689F"/>
    <w:rsid w:val="00F60C6B"/>
    <w:rsid w:val="00F63C59"/>
    <w:rsid w:val="00F65226"/>
    <w:rsid w:val="00F71549"/>
    <w:rsid w:val="00F74034"/>
    <w:rsid w:val="00F74928"/>
    <w:rsid w:val="00F76C23"/>
    <w:rsid w:val="00F77539"/>
    <w:rsid w:val="00F77939"/>
    <w:rsid w:val="00F80A10"/>
    <w:rsid w:val="00F82061"/>
    <w:rsid w:val="00F825EE"/>
    <w:rsid w:val="00F85567"/>
    <w:rsid w:val="00F858C6"/>
    <w:rsid w:val="00F862BE"/>
    <w:rsid w:val="00F8709F"/>
    <w:rsid w:val="00F90822"/>
    <w:rsid w:val="00F913A7"/>
    <w:rsid w:val="00F91D8E"/>
    <w:rsid w:val="00F91DE5"/>
    <w:rsid w:val="00F9229A"/>
    <w:rsid w:val="00F950CA"/>
    <w:rsid w:val="00F95D88"/>
    <w:rsid w:val="00F979FD"/>
    <w:rsid w:val="00FA0D15"/>
    <w:rsid w:val="00FA1265"/>
    <w:rsid w:val="00FA43F8"/>
    <w:rsid w:val="00FA44A5"/>
    <w:rsid w:val="00FA6E3B"/>
    <w:rsid w:val="00FA73CD"/>
    <w:rsid w:val="00FB08D3"/>
    <w:rsid w:val="00FB1315"/>
    <w:rsid w:val="00FB1893"/>
    <w:rsid w:val="00FB2146"/>
    <w:rsid w:val="00FB25A8"/>
    <w:rsid w:val="00FB54FB"/>
    <w:rsid w:val="00FB799B"/>
    <w:rsid w:val="00FC07C0"/>
    <w:rsid w:val="00FC09ED"/>
    <w:rsid w:val="00FC22B2"/>
    <w:rsid w:val="00FC4C8A"/>
    <w:rsid w:val="00FC603A"/>
    <w:rsid w:val="00FC61F1"/>
    <w:rsid w:val="00FD16A6"/>
    <w:rsid w:val="00FD39A9"/>
    <w:rsid w:val="00FD3F45"/>
    <w:rsid w:val="00FD56FE"/>
    <w:rsid w:val="00FD783E"/>
    <w:rsid w:val="00FE0AF0"/>
    <w:rsid w:val="00FE1A10"/>
    <w:rsid w:val="00FE21E3"/>
    <w:rsid w:val="00FE3C65"/>
    <w:rsid w:val="00FE61B0"/>
    <w:rsid w:val="00FE7947"/>
    <w:rsid w:val="00FF2E4B"/>
    <w:rsid w:val="00FF4765"/>
    <w:rsid w:val="00FF57DE"/>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paragraph" w:styleId="Heading1">
    <w:name w:val="heading 1"/>
    <w:basedOn w:val="Normal"/>
    <w:next w:val="Normal"/>
    <w:link w:val="Heading1Char"/>
    <w:uiPriority w:val="9"/>
    <w:qFormat/>
    <w:rsid w:val="005F21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styleId="UnresolvedMention">
    <w:name w:val="Unresolved Mention"/>
    <w:basedOn w:val="DefaultParagraphFont"/>
    <w:uiPriority w:val="99"/>
    <w:semiHidden/>
    <w:unhideWhenUsed/>
    <w:rsid w:val="004C70FA"/>
    <w:rPr>
      <w:color w:val="605E5C"/>
      <w:shd w:val="clear" w:color="auto" w:fill="E1DFDD"/>
    </w:rPr>
  </w:style>
  <w:style w:type="paragraph" w:styleId="FootnoteText">
    <w:name w:val="footnote text"/>
    <w:basedOn w:val="Normal"/>
    <w:link w:val="FootnoteTextChar"/>
    <w:uiPriority w:val="99"/>
    <w:semiHidden/>
    <w:unhideWhenUsed/>
    <w:rsid w:val="004C70FA"/>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70FA"/>
    <w:rPr>
      <w:rFonts w:ascii="Times New Roman" w:hAnsi="Times New Roman" w:cs="Times New Roman"/>
      <w:sz w:val="20"/>
      <w:szCs w:val="20"/>
      <w:lang w:val="en-IN"/>
    </w:rPr>
  </w:style>
  <w:style w:type="character" w:styleId="FootnoteReference">
    <w:name w:val="footnote reference"/>
    <w:basedOn w:val="DefaultParagraphFont"/>
    <w:uiPriority w:val="99"/>
    <w:semiHidden/>
    <w:unhideWhenUsed/>
    <w:rsid w:val="004C70FA"/>
    <w:rPr>
      <w:vertAlign w:val="superscript"/>
    </w:rPr>
  </w:style>
  <w:style w:type="table" w:customStyle="1" w:styleId="TableGrid1">
    <w:name w:val="Table Grid1"/>
    <w:basedOn w:val="TableNormal"/>
    <w:next w:val="TableGrid"/>
    <w:uiPriority w:val="39"/>
    <w:rsid w:val="00762947"/>
    <w:pPr>
      <w:spacing w:after="0" w:line="240" w:lineRule="auto"/>
    </w:pPr>
    <w:rPr>
      <w:rFonts w:ascii="Times New Roman" w:hAnsi="Times New Roman" w:cs="Times New Roman"/>
      <w:sz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4723"/>
    <w:rPr>
      <w:i/>
      <w:iCs/>
    </w:rPr>
  </w:style>
  <w:style w:type="character" w:customStyle="1" w:styleId="Style1Char">
    <w:name w:val="Style1 Char"/>
    <w:basedOn w:val="DefaultParagraphFont"/>
    <w:link w:val="Style1"/>
    <w:locked/>
    <w:rsid w:val="005F211D"/>
    <w:rPr>
      <w:rFonts w:ascii="Times New Roman" w:eastAsiaTheme="majorEastAsia" w:hAnsi="Times New Roman" w:cs="Times New Roman"/>
      <w:b/>
      <w:bCs/>
      <w:sz w:val="24"/>
      <w:szCs w:val="24"/>
    </w:rPr>
  </w:style>
  <w:style w:type="paragraph" w:customStyle="1" w:styleId="Style1">
    <w:name w:val="Style1"/>
    <w:basedOn w:val="Heading1"/>
    <w:link w:val="Style1Char"/>
    <w:qFormat/>
    <w:rsid w:val="005F211D"/>
    <w:pPr>
      <w:tabs>
        <w:tab w:val="left" w:pos="540"/>
      </w:tabs>
      <w:spacing w:before="0" w:line="276" w:lineRule="auto"/>
      <w:jc w:val="both"/>
    </w:pPr>
    <w:rPr>
      <w:rFonts w:ascii="Times New Roman" w:hAnsi="Times New Roman" w:cs="Times New Roman"/>
      <w:b/>
      <w:bCs/>
      <w:color w:val="auto"/>
      <w:sz w:val="24"/>
      <w:szCs w:val="24"/>
      <w:lang w:val="en-US"/>
    </w:rPr>
  </w:style>
  <w:style w:type="character" w:customStyle="1" w:styleId="Heading1Char">
    <w:name w:val="Heading 1 Char"/>
    <w:basedOn w:val="DefaultParagraphFont"/>
    <w:link w:val="Heading1"/>
    <w:uiPriority w:val="9"/>
    <w:rsid w:val="005F211D"/>
    <w:rPr>
      <w:rFonts w:asciiTheme="majorHAnsi" w:eastAsiaTheme="majorEastAsia" w:hAnsiTheme="majorHAnsi" w:cstheme="majorBidi"/>
      <w:color w:val="2F5496" w:themeColor="accent1" w:themeShade="BF"/>
      <w:sz w:val="32"/>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3.bin"/><Relationship Id="rId42" Type="http://schemas.openxmlformats.org/officeDocument/2006/relationships/oleObject" Target="embeddings/oleObject14.bin"/><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image" Target="media/image56.wmf"/><Relationship Id="rId159" Type="http://schemas.openxmlformats.org/officeDocument/2006/relationships/oleObject" Target="embeddings/oleObject78.bin"/><Relationship Id="rId170" Type="http://schemas.openxmlformats.org/officeDocument/2006/relationships/hyperlink" Target="https://nrel.gov/tsdc" TargetMode="External"/><Relationship Id="rId107" Type="http://schemas.openxmlformats.org/officeDocument/2006/relationships/oleObject" Target="embeddings/oleObject50.bin"/><Relationship Id="rId11" Type="http://schemas.openxmlformats.org/officeDocument/2006/relationships/hyperlink" Target="mailto:abdul@iisc.ac.in" TargetMode="External"/><Relationship Id="rId32" Type="http://schemas.openxmlformats.org/officeDocument/2006/relationships/oleObject" Target="embeddings/oleObject9.bin"/><Relationship Id="rId53" Type="http://schemas.openxmlformats.org/officeDocument/2006/relationships/image" Target="media/image17.wmf"/><Relationship Id="rId74" Type="http://schemas.openxmlformats.org/officeDocument/2006/relationships/oleObject" Target="embeddings/oleObject32.bin"/><Relationship Id="rId128" Type="http://schemas.openxmlformats.org/officeDocument/2006/relationships/image" Target="media/image51.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67.wmf"/><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oleObject" Target="embeddings/oleObject27.bin"/><Relationship Id="rId118" Type="http://schemas.openxmlformats.org/officeDocument/2006/relationships/oleObject" Target="embeddings/oleObject56.bin"/><Relationship Id="rId139" Type="http://schemas.openxmlformats.org/officeDocument/2006/relationships/oleObject" Target="embeddings/oleObject68.bin"/><Relationship Id="rId85" Type="http://schemas.openxmlformats.org/officeDocument/2006/relationships/oleObject" Target="embeddings/oleObject38.bin"/><Relationship Id="rId150" Type="http://schemas.openxmlformats.org/officeDocument/2006/relationships/image" Target="media/image62.wmf"/><Relationship Id="rId171" Type="http://schemas.openxmlformats.org/officeDocument/2006/relationships/hyperlink" Target="https://afdc.energy.gov/vehicle-registration" TargetMode="External"/><Relationship Id="rId12" Type="http://schemas.openxmlformats.org/officeDocument/2006/relationships/footer" Target="footer1.xml"/><Relationship Id="rId33" Type="http://schemas.openxmlformats.org/officeDocument/2006/relationships/image" Target="media/image9.wmf"/><Relationship Id="rId108" Type="http://schemas.openxmlformats.org/officeDocument/2006/relationships/image" Target="media/image43.wmf"/><Relationship Id="rId129" Type="http://schemas.openxmlformats.org/officeDocument/2006/relationships/oleObject" Target="embeddings/oleObject63.bin"/><Relationship Id="rId54" Type="http://schemas.openxmlformats.org/officeDocument/2006/relationships/oleObject" Target="embeddings/oleObject22.bin"/><Relationship Id="rId75" Type="http://schemas.openxmlformats.org/officeDocument/2006/relationships/image" Target="media/image28.wmf"/><Relationship Id="rId96" Type="http://schemas.openxmlformats.org/officeDocument/2006/relationships/image" Target="media/image38.wmf"/><Relationship Id="rId140" Type="http://schemas.openxmlformats.org/officeDocument/2006/relationships/image" Target="media/image57.wmf"/><Relationship Id="rId161" Type="http://schemas.openxmlformats.org/officeDocument/2006/relationships/oleObject" Target="embeddings/oleObject79.bin"/><Relationship Id="rId6" Type="http://schemas.openxmlformats.org/officeDocument/2006/relationships/webSettings" Target="webSettings.xml"/><Relationship Id="rId23" Type="http://schemas.openxmlformats.org/officeDocument/2006/relationships/oleObject" Target="embeddings/oleObject4.bin"/><Relationship Id="rId28" Type="http://schemas.openxmlformats.org/officeDocument/2006/relationships/oleObject" Target="embeddings/oleObject7.bin"/><Relationship Id="rId49" Type="http://schemas.openxmlformats.org/officeDocument/2006/relationships/oleObject" Target="embeddings/oleObject19.bin"/><Relationship Id="rId114" Type="http://schemas.openxmlformats.org/officeDocument/2006/relationships/image" Target="media/image46.wmf"/><Relationship Id="rId119" Type="http://schemas.openxmlformats.org/officeDocument/2006/relationships/oleObject" Target="embeddings/oleObject57.bin"/><Relationship Id="rId44" Type="http://schemas.openxmlformats.org/officeDocument/2006/relationships/oleObject" Target="embeddings/oleObject15.bin"/><Relationship Id="rId60" Type="http://schemas.openxmlformats.org/officeDocument/2006/relationships/oleObject" Target="embeddings/oleObject25.bin"/><Relationship Id="rId65" Type="http://schemas.openxmlformats.org/officeDocument/2006/relationships/image" Target="media/image23.wmf"/><Relationship Id="rId81" Type="http://schemas.openxmlformats.org/officeDocument/2006/relationships/oleObject" Target="embeddings/oleObject36.bin"/><Relationship Id="rId86" Type="http://schemas.openxmlformats.org/officeDocument/2006/relationships/image" Target="media/image33.wmf"/><Relationship Id="rId130" Type="http://schemas.openxmlformats.org/officeDocument/2006/relationships/image" Target="media/image5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65.wmf"/><Relationship Id="rId177" Type="http://schemas.openxmlformats.org/officeDocument/2006/relationships/hyperlink" Target="https://www.statista.com/statistics/1120499/us-road-vehicle-ghg-emissions-by-vehicle-type/" TargetMode="External"/><Relationship Id="rId172" Type="http://schemas.openxmlformats.org/officeDocument/2006/relationships/hyperlink" Target="https://www.iseecars.com/which-states-drive-the-most-pickup-trucks-studycks" TargetMode="External"/><Relationship Id="rId13" Type="http://schemas.openxmlformats.org/officeDocument/2006/relationships/footer" Target="footer2.xml"/><Relationship Id="rId18" Type="http://schemas.openxmlformats.org/officeDocument/2006/relationships/image" Target="media/image2.wmf"/><Relationship Id="rId39" Type="http://schemas.openxmlformats.org/officeDocument/2006/relationships/image" Target="media/image12.wmf"/><Relationship Id="rId109" Type="http://schemas.openxmlformats.org/officeDocument/2006/relationships/oleObject" Target="embeddings/oleObject51.bin"/><Relationship Id="rId34" Type="http://schemas.openxmlformats.org/officeDocument/2006/relationships/oleObject" Target="embeddings/oleObject10.bin"/><Relationship Id="rId50" Type="http://schemas.openxmlformats.org/officeDocument/2006/relationships/image" Target="media/image16.wmf"/><Relationship Id="rId55" Type="http://schemas.openxmlformats.org/officeDocument/2006/relationships/image" Target="media/image18.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image" Target="media/image50.wmf"/><Relationship Id="rId141" Type="http://schemas.openxmlformats.org/officeDocument/2006/relationships/oleObject" Target="embeddings/oleObject69.bin"/><Relationship Id="rId146" Type="http://schemas.openxmlformats.org/officeDocument/2006/relationships/image" Target="media/image60.wmf"/><Relationship Id="rId167" Type="http://schemas.openxmlformats.org/officeDocument/2006/relationships/oleObject" Target="embeddings/oleObject82.bin"/><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image" Target="media/image36.wmf"/><Relationship Id="rId162" Type="http://schemas.openxmlformats.org/officeDocument/2006/relationships/image" Target="media/image68.wmf"/><Relationship Id="rId2" Type="http://schemas.openxmlformats.org/officeDocument/2006/relationships/customXml" Target="../customXml/item1.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44.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image" Target="media/image55.wmf"/><Relationship Id="rId157" Type="http://schemas.openxmlformats.org/officeDocument/2006/relationships/oleObject" Target="embeddings/oleObject77.bin"/><Relationship Id="rId178"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image" Target="media/image31.wmf"/><Relationship Id="rId152" Type="http://schemas.openxmlformats.org/officeDocument/2006/relationships/image" Target="media/image63.wmf"/><Relationship Id="rId173" Type="http://schemas.openxmlformats.org/officeDocument/2006/relationships/hyperlink" Target="https://www.nrel.gov/transportation/secure-transportation-data/assets/pdfs/cec_2015-2017_california_vehicle_survey_report.pdf" TargetMode="External"/><Relationship Id="rId19" Type="http://schemas.openxmlformats.org/officeDocument/2006/relationships/oleObject" Target="embeddings/oleObject2.bin"/><Relationship Id="rId14" Type="http://schemas.openxmlformats.org/officeDocument/2006/relationships/header" Target="header1.xml"/><Relationship Id="rId30" Type="http://schemas.openxmlformats.org/officeDocument/2006/relationships/oleObject" Target="embeddings/oleObject8.bin"/><Relationship Id="rId35" Type="http://schemas.openxmlformats.org/officeDocument/2006/relationships/image" Target="media/image10.wmf"/><Relationship Id="rId56" Type="http://schemas.openxmlformats.org/officeDocument/2006/relationships/oleObject" Target="embeddings/oleObject23.bin"/><Relationship Id="rId77" Type="http://schemas.openxmlformats.org/officeDocument/2006/relationships/image" Target="media/image29.wmf"/><Relationship Id="rId100" Type="http://schemas.openxmlformats.org/officeDocument/2006/relationships/oleObject" Target="embeddings/oleObject46.bin"/><Relationship Id="rId105" Type="http://schemas.openxmlformats.org/officeDocument/2006/relationships/image" Target="media/image42.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48.wmf"/><Relationship Id="rId142" Type="http://schemas.openxmlformats.org/officeDocument/2006/relationships/image" Target="media/image58.wmf"/><Relationship Id="rId163" Type="http://schemas.openxmlformats.org/officeDocument/2006/relationships/oleObject" Target="embeddings/oleObject80.bin"/><Relationship Id="rId3" Type="http://schemas.openxmlformats.org/officeDocument/2006/relationships/numbering" Target="numbering.xml"/><Relationship Id="rId25" Type="http://schemas.openxmlformats.org/officeDocument/2006/relationships/oleObject" Target="embeddings/oleObject5.bin"/><Relationship Id="rId46" Type="http://schemas.openxmlformats.org/officeDocument/2006/relationships/oleObject" Target="embeddings/oleObject17.bin"/><Relationship Id="rId67" Type="http://schemas.openxmlformats.org/officeDocument/2006/relationships/image" Target="media/image24.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66.wmf"/><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34.wmf"/><Relationship Id="rId111" Type="http://schemas.openxmlformats.org/officeDocument/2006/relationships/oleObject" Target="embeddings/oleObject52.bin"/><Relationship Id="rId132" Type="http://schemas.openxmlformats.org/officeDocument/2006/relationships/image" Target="media/image53.wmf"/><Relationship Id="rId153" Type="http://schemas.openxmlformats.org/officeDocument/2006/relationships/oleObject" Target="embeddings/oleObject75.bin"/><Relationship Id="rId174" Type="http://schemas.openxmlformats.org/officeDocument/2006/relationships/hyperlink" Target="https://www.census.gov/quickfacts/fact/table/CA/INC110221.%20Accessed%20July%202023" TargetMode="External"/><Relationship Id="rId179"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oleObject" Target="embeddings/oleObject11.bin"/><Relationship Id="rId57" Type="http://schemas.openxmlformats.org/officeDocument/2006/relationships/image" Target="media/image19.wmf"/><Relationship Id="rId106" Type="http://schemas.openxmlformats.org/officeDocument/2006/relationships/oleObject" Target="embeddings/oleObject49.bin"/><Relationship Id="rId127" Type="http://schemas.openxmlformats.org/officeDocument/2006/relationships/oleObject" Target="embeddings/oleObject62.bin"/><Relationship Id="rId10" Type="http://schemas.openxmlformats.org/officeDocument/2006/relationships/hyperlink" Target="mailto:bhat@mail.utexas.edu" TargetMode="External"/><Relationship Id="rId31" Type="http://schemas.openxmlformats.org/officeDocument/2006/relationships/image" Target="media/image8.wmf"/><Relationship Id="rId52" Type="http://schemas.openxmlformats.org/officeDocument/2006/relationships/oleObject" Target="embeddings/oleObject21.bin"/><Relationship Id="rId73" Type="http://schemas.openxmlformats.org/officeDocument/2006/relationships/image" Target="media/image27.wmf"/><Relationship Id="rId78" Type="http://schemas.openxmlformats.org/officeDocument/2006/relationships/oleObject" Target="embeddings/oleObject34.bin"/><Relationship Id="rId94" Type="http://schemas.openxmlformats.org/officeDocument/2006/relationships/image" Target="media/image37.wmf"/><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83.bin"/><Relationship Id="rId4" Type="http://schemas.openxmlformats.org/officeDocument/2006/relationships/styles" Target="styles.xml"/><Relationship Id="rId9" Type="http://schemas.openxmlformats.org/officeDocument/2006/relationships/hyperlink" Target="mailto:shobhit.saxena@austin.utexas.edu" TargetMode="External"/><Relationship Id="rId26" Type="http://schemas.openxmlformats.org/officeDocument/2006/relationships/oleObject" Target="embeddings/oleObject6.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45.wmf"/><Relationship Id="rId133" Type="http://schemas.openxmlformats.org/officeDocument/2006/relationships/oleObject" Target="embeddings/oleObject65.bin"/><Relationship Id="rId154" Type="http://schemas.openxmlformats.org/officeDocument/2006/relationships/image" Target="media/image64.wmf"/><Relationship Id="rId175" Type="http://schemas.openxmlformats.org/officeDocument/2006/relationships/hyperlink" Target="https://labormarketinfo.edd.ca.gov/Population_and_Census.html" TargetMode="External"/><Relationship Id="rId16" Type="http://schemas.openxmlformats.org/officeDocument/2006/relationships/image" Target="media/image1.wmf"/><Relationship Id="rId37" Type="http://schemas.openxmlformats.org/officeDocument/2006/relationships/image" Target="media/image11.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49.wmf"/><Relationship Id="rId144" Type="http://schemas.openxmlformats.org/officeDocument/2006/relationships/image" Target="media/image59.wmf"/><Relationship Id="rId90" Type="http://schemas.openxmlformats.org/officeDocument/2006/relationships/image" Target="media/image35.wmf"/><Relationship Id="rId165" Type="http://schemas.openxmlformats.org/officeDocument/2006/relationships/oleObject" Target="embeddings/oleObject81.bin"/><Relationship Id="rId27" Type="http://schemas.openxmlformats.org/officeDocument/2006/relationships/image" Target="media/image6.wmf"/><Relationship Id="rId48" Type="http://schemas.openxmlformats.org/officeDocument/2006/relationships/image" Target="media/image15.wmf"/><Relationship Id="rId69" Type="http://schemas.openxmlformats.org/officeDocument/2006/relationships/image" Target="media/image25.wmf"/><Relationship Id="rId113" Type="http://schemas.openxmlformats.org/officeDocument/2006/relationships/oleObject" Target="embeddings/oleObject53.bin"/><Relationship Id="rId134" Type="http://schemas.openxmlformats.org/officeDocument/2006/relationships/image" Target="media/image54.wmf"/><Relationship Id="rId80" Type="http://schemas.openxmlformats.org/officeDocument/2006/relationships/image" Target="media/image30.wmf"/><Relationship Id="rId155" Type="http://schemas.openxmlformats.org/officeDocument/2006/relationships/oleObject" Target="embeddings/oleObject76.bin"/><Relationship Id="rId176" Type="http://schemas.openxmlformats.org/officeDocument/2006/relationships/hyperlink" Target="https://themilsource.com/2021/03/03/van-life-on-the-rise-a-camper-van-california-road-trip-turned-permanent/" TargetMode="External"/><Relationship Id="rId17" Type="http://schemas.openxmlformats.org/officeDocument/2006/relationships/oleObject" Target="embeddings/oleObject1.bin"/><Relationship Id="rId38" Type="http://schemas.openxmlformats.org/officeDocument/2006/relationships/oleObject" Target="embeddings/oleObject12.bin"/><Relationship Id="rId59" Type="http://schemas.openxmlformats.org/officeDocument/2006/relationships/image" Target="media/image20.wmf"/><Relationship Id="rId103" Type="http://schemas.openxmlformats.org/officeDocument/2006/relationships/image" Target="media/image41.wmf"/><Relationship Id="rId124" Type="http://schemas.openxmlformats.org/officeDocument/2006/relationships/oleObject" Target="embeddings/oleObject60.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71.bin"/><Relationship Id="rId166" Type="http://schemas.openxmlformats.org/officeDocument/2006/relationships/image" Target="media/image70.wmf"/><Relationship Id="rId1" Type="http://schemas.microsoft.com/office/2006/relationships/keyMapCustomizations" Target="customization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EFE0-EC24-437C-9DB5-0D28CBDF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8113</Words>
  <Characters>46249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TRR Editorial Office</dc:creator>
  <cp:lastModifiedBy>Macias, Lisa J</cp:lastModifiedBy>
  <cp:revision>2</cp:revision>
  <cp:lastPrinted>2023-07-26T21:49:00Z</cp:lastPrinted>
  <dcterms:created xsi:type="dcterms:W3CDTF">2023-08-02T03:54:00Z</dcterms:created>
  <dcterms:modified xsi:type="dcterms:W3CDTF">2023-08-02T03:54:00Z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