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A9A" w:rsidRDefault="00CF5A9A" w:rsidP="00FE32B5">
      <w:pPr>
        <w:pStyle w:val="Title"/>
        <w:spacing w:line="240" w:lineRule="auto"/>
        <w:ind w:firstLine="0"/>
        <w:jc w:val="center"/>
        <w:rPr>
          <w:b/>
        </w:rPr>
      </w:pPr>
    </w:p>
    <w:p w:rsidR="00CF5A9A" w:rsidRDefault="00CF5A9A" w:rsidP="00FE32B5">
      <w:pPr>
        <w:pStyle w:val="Title"/>
        <w:spacing w:line="240" w:lineRule="auto"/>
        <w:ind w:firstLine="0"/>
        <w:jc w:val="center"/>
        <w:rPr>
          <w:b/>
        </w:rPr>
      </w:pPr>
    </w:p>
    <w:p w:rsidR="00CF5A9A" w:rsidRDefault="00CF5A9A" w:rsidP="00FE32B5">
      <w:pPr>
        <w:pStyle w:val="Title"/>
        <w:spacing w:line="240" w:lineRule="auto"/>
        <w:ind w:firstLine="0"/>
        <w:jc w:val="center"/>
        <w:rPr>
          <w:b/>
        </w:rPr>
      </w:pPr>
    </w:p>
    <w:p w:rsidR="00CF5A9A" w:rsidRDefault="00CF5A9A" w:rsidP="00FE32B5">
      <w:pPr>
        <w:pStyle w:val="Title"/>
        <w:spacing w:line="240" w:lineRule="auto"/>
        <w:ind w:firstLine="0"/>
        <w:jc w:val="center"/>
        <w:rPr>
          <w:b/>
        </w:rPr>
      </w:pPr>
    </w:p>
    <w:p w:rsidR="00CF5A9A" w:rsidRDefault="00CF5A9A" w:rsidP="00FE32B5">
      <w:pPr>
        <w:pStyle w:val="Title"/>
        <w:spacing w:line="240" w:lineRule="auto"/>
        <w:ind w:firstLine="0"/>
        <w:jc w:val="center"/>
        <w:rPr>
          <w:b/>
        </w:rPr>
      </w:pPr>
    </w:p>
    <w:p w:rsidR="0061071A" w:rsidRDefault="007F477D" w:rsidP="00FE32B5">
      <w:pPr>
        <w:pStyle w:val="Title"/>
        <w:spacing w:line="240" w:lineRule="auto"/>
        <w:ind w:firstLine="0"/>
        <w:jc w:val="center"/>
        <w:rPr>
          <w:b/>
          <w:caps w:val="0"/>
        </w:rPr>
      </w:pPr>
      <w:r w:rsidRPr="007B74C8">
        <w:rPr>
          <w:b/>
        </w:rPr>
        <w:t>a</w:t>
      </w:r>
      <w:r w:rsidR="00FE32A9">
        <w:rPr>
          <w:b/>
          <w:caps w:val="0"/>
        </w:rPr>
        <w:t xml:space="preserve"> New Spatial </w:t>
      </w:r>
      <w:r w:rsidR="002A241F">
        <w:rPr>
          <w:b/>
          <w:caps w:val="0"/>
        </w:rPr>
        <w:t xml:space="preserve">and </w:t>
      </w:r>
      <w:r w:rsidR="00FE32A9">
        <w:rPr>
          <w:b/>
          <w:caps w:val="0"/>
        </w:rPr>
        <w:t xml:space="preserve">Flexible Multivariate Random-Coefficients Model for </w:t>
      </w:r>
      <w:r w:rsidR="002A241F">
        <w:rPr>
          <w:b/>
          <w:caps w:val="0"/>
        </w:rPr>
        <w:t xml:space="preserve">the </w:t>
      </w:r>
      <w:r w:rsidR="00FE32A9">
        <w:rPr>
          <w:b/>
          <w:caps w:val="0"/>
        </w:rPr>
        <w:t xml:space="preserve">Analysis </w:t>
      </w:r>
      <w:r w:rsidR="002A241F">
        <w:rPr>
          <w:b/>
          <w:caps w:val="0"/>
        </w:rPr>
        <w:t xml:space="preserve">of </w:t>
      </w:r>
      <w:r w:rsidR="00FE32A9">
        <w:rPr>
          <w:b/>
          <w:caps w:val="0"/>
        </w:rPr>
        <w:t>Pedestrian Injury Counts by Severity Level</w:t>
      </w:r>
    </w:p>
    <w:p w:rsidR="005548A3" w:rsidRDefault="005548A3" w:rsidP="00FE32B5">
      <w:pPr>
        <w:spacing w:line="240" w:lineRule="auto"/>
        <w:ind w:firstLine="0"/>
        <w:jc w:val="center"/>
      </w:pPr>
    </w:p>
    <w:p w:rsidR="00CF5A9A" w:rsidRDefault="00CF5A9A" w:rsidP="00FE32B5">
      <w:pPr>
        <w:spacing w:line="240" w:lineRule="auto"/>
        <w:ind w:firstLine="0"/>
        <w:jc w:val="center"/>
        <w:rPr>
          <w:rFonts w:eastAsia="Times New Roman"/>
        </w:rPr>
      </w:pPr>
    </w:p>
    <w:p w:rsidR="00CF5A9A" w:rsidRDefault="00CF5A9A" w:rsidP="00FE32B5">
      <w:pPr>
        <w:spacing w:line="240" w:lineRule="auto"/>
        <w:ind w:firstLine="0"/>
        <w:jc w:val="center"/>
        <w:rPr>
          <w:rFonts w:eastAsia="Times New Roman"/>
        </w:rPr>
      </w:pPr>
    </w:p>
    <w:p w:rsidR="00CF5A9A" w:rsidRDefault="00CF5A9A" w:rsidP="00FE32B5">
      <w:pPr>
        <w:spacing w:line="240" w:lineRule="auto"/>
        <w:ind w:firstLine="0"/>
        <w:jc w:val="center"/>
        <w:rPr>
          <w:rFonts w:eastAsia="Times New Roman"/>
        </w:rPr>
      </w:pPr>
    </w:p>
    <w:p w:rsidR="00CF5A9A" w:rsidRPr="00CF5A9A" w:rsidRDefault="00CF5A9A" w:rsidP="00FE32B5">
      <w:pPr>
        <w:spacing w:line="240" w:lineRule="auto"/>
        <w:ind w:firstLine="0"/>
        <w:jc w:val="center"/>
        <w:rPr>
          <w:rFonts w:eastAsia="Times New Roman"/>
        </w:rPr>
      </w:pPr>
    </w:p>
    <w:p w:rsidR="00CF5A9A" w:rsidRPr="00CF5A9A" w:rsidRDefault="00CF5A9A" w:rsidP="00FE32B5">
      <w:pPr>
        <w:spacing w:line="240" w:lineRule="auto"/>
        <w:jc w:val="center"/>
        <w:rPr>
          <w:b/>
          <w:lang w:val="fr-FR"/>
        </w:rPr>
      </w:pPr>
      <w:r w:rsidRPr="00CF5A9A">
        <w:rPr>
          <w:b/>
          <w:lang w:val="fr-FR"/>
        </w:rPr>
        <w:t xml:space="preserve">Chandra R. Bhat </w:t>
      </w:r>
      <w:r w:rsidRPr="00CF5A9A">
        <w:rPr>
          <w:b/>
        </w:rPr>
        <w:t>(corresponding author)</w:t>
      </w:r>
    </w:p>
    <w:p w:rsidR="00CF5A9A" w:rsidRPr="00CF5A9A" w:rsidRDefault="00CF5A9A" w:rsidP="00FE32B5">
      <w:pPr>
        <w:spacing w:line="240" w:lineRule="auto"/>
        <w:jc w:val="center"/>
        <w:rPr>
          <w:rFonts w:cs="Arial"/>
          <w:bCs/>
          <w:kern w:val="32"/>
        </w:rPr>
      </w:pPr>
      <w:r w:rsidRPr="00CF5A9A">
        <w:rPr>
          <w:rFonts w:cs="Arial"/>
          <w:bCs/>
          <w:kern w:val="32"/>
        </w:rPr>
        <w:t>The University of Texas at Austin</w:t>
      </w:r>
    </w:p>
    <w:p w:rsidR="00CF5A9A" w:rsidRPr="00CF5A9A" w:rsidRDefault="00CF5A9A" w:rsidP="00FE32B5">
      <w:pPr>
        <w:spacing w:line="240" w:lineRule="auto"/>
        <w:jc w:val="center"/>
        <w:rPr>
          <w:rFonts w:cs="Arial"/>
          <w:bCs/>
          <w:kern w:val="32"/>
        </w:rPr>
      </w:pPr>
      <w:r w:rsidRPr="00CF5A9A">
        <w:rPr>
          <w:rFonts w:cs="Arial"/>
          <w:bCs/>
          <w:kern w:val="32"/>
        </w:rPr>
        <w:t>Department of Civil, Architectural and Environmental Engineering</w:t>
      </w:r>
    </w:p>
    <w:p w:rsidR="00CF5A9A" w:rsidRPr="00CF5A9A" w:rsidRDefault="00CF5A9A" w:rsidP="00FE32B5">
      <w:pPr>
        <w:spacing w:line="240" w:lineRule="auto"/>
        <w:jc w:val="center"/>
        <w:rPr>
          <w:rFonts w:cs="Arial"/>
          <w:bCs/>
          <w:kern w:val="32"/>
        </w:rPr>
      </w:pPr>
      <w:r w:rsidRPr="00CF5A9A">
        <w:rPr>
          <w:rFonts w:cs="Arial"/>
          <w:bCs/>
          <w:kern w:val="32"/>
        </w:rPr>
        <w:t>301 E. Dean Keeton St. Stop C1761, Austin TX 78712, USA</w:t>
      </w:r>
    </w:p>
    <w:p w:rsidR="00CF5A9A" w:rsidRPr="00CF5A9A" w:rsidRDefault="00CF5A9A" w:rsidP="00FE32B5">
      <w:pPr>
        <w:spacing w:line="240" w:lineRule="auto"/>
        <w:jc w:val="center"/>
        <w:rPr>
          <w:rFonts w:cs="Arial"/>
          <w:bCs/>
          <w:kern w:val="32"/>
          <w:lang w:val="fr-FR"/>
        </w:rPr>
      </w:pPr>
      <w:r w:rsidRPr="00CF5A9A">
        <w:rPr>
          <w:lang w:val="pt-BR"/>
        </w:rPr>
        <w:t>Tel:</w:t>
      </w:r>
      <w:r w:rsidRPr="00CF5A9A">
        <w:rPr>
          <w:rFonts w:cs="Arial"/>
          <w:bCs/>
          <w:kern w:val="32"/>
        </w:rPr>
        <w:t xml:space="preserve"> 1-512-471-4535; </w:t>
      </w:r>
      <w:r w:rsidRPr="00CF5A9A">
        <w:rPr>
          <w:rFonts w:cs="Arial"/>
          <w:bCs/>
          <w:kern w:val="32"/>
          <w:lang w:val="fr-FR"/>
        </w:rPr>
        <w:t xml:space="preserve">Email: </w:t>
      </w:r>
      <w:hyperlink r:id="rId8" w:history="1">
        <w:r w:rsidRPr="00CF5A9A">
          <w:rPr>
            <w:rStyle w:val="Hyperlink"/>
            <w:rFonts w:cs="Arial"/>
            <w:kern w:val="32"/>
            <w:lang w:val="fr-FR"/>
          </w:rPr>
          <w:t>bhat@mail.utexas.edu</w:t>
        </w:r>
      </w:hyperlink>
    </w:p>
    <w:p w:rsidR="00CF5A9A" w:rsidRPr="00CF5A9A" w:rsidRDefault="00CF5A9A" w:rsidP="00FE32B5">
      <w:pPr>
        <w:spacing w:line="240" w:lineRule="auto"/>
        <w:jc w:val="center"/>
        <w:rPr>
          <w:bCs/>
          <w:kern w:val="32"/>
        </w:rPr>
      </w:pPr>
      <w:r w:rsidRPr="00CF5A9A">
        <w:rPr>
          <w:bCs/>
          <w:kern w:val="32"/>
        </w:rPr>
        <w:t>and</w:t>
      </w:r>
    </w:p>
    <w:p w:rsidR="00CF5A9A" w:rsidRPr="00CF5A9A" w:rsidRDefault="007E5A45" w:rsidP="00FE32B5">
      <w:pPr>
        <w:spacing w:line="240" w:lineRule="auto"/>
        <w:jc w:val="center"/>
      </w:pPr>
      <w:r>
        <w:t>The Hong Kong Polytechnic University</w:t>
      </w:r>
      <w:r w:rsidR="00CF5A9A" w:rsidRPr="00CF5A9A">
        <w:rPr>
          <w:bCs/>
          <w:kern w:val="32"/>
        </w:rPr>
        <w:t xml:space="preserve">, </w:t>
      </w:r>
      <w:r>
        <w:t xml:space="preserve">Hung </w:t>
      </w:r>
      <w:proofErr w:type="spellStart"/>
      <w:r>
        <w:t>Hom</w:t>
      </w:r>
      <w:proofErr w:type="spellEnd"/>
      <w:r>
        <w:t>, Kowloon, Hong Kong</w:t>
      </w:r>
    </w:p>
    <w:p w:rsidR="00CF5A9A" w:rsidRPr="00CF5A9A" w:rsidRDefault="00CF5A9A" w:rsidP="00FE32B5">
      <w:pPr>
        <w:spacing w:line="240" w:lineRule="auto"/>
        <w:jc w:val="center"/>
        <w:rPr>
          <w:b/>
        </w:rPr>
      </w:pPr>
    </w:p>
    <w:p w:rsidR="00CF5A9A" w:rsidRPr="00CF5A9A" w:rsidRDefault="00CF5A9A" w:rsidP="00FE32B5">
      <w:pPr>
        <w:spacing w:line="240" w:lineRule="auto"/>
        <w:jc w:val="center"/>
        <w:rPr>
          <w:b/>
        </w:rPr>
      </w:pPr>
    </w:p>
    <w:p w:rsidR="00CF5A9A" w:rsidRPr="00CF5A9A" w:rsidRDefault="00CF5A9A" w:rsidP="00FE32B5">
      <w:pPr>
        <w:spacing w:line="240" w:lineRule="auto"/>
        <w:jc w:val="center"/>
        <w:rPr>
          <w:b/>
        </w:rPr>
      </w:pPr>
      <w:r w:rsidRPr="00CF5A9A">
        <w:rPr>
          <w:b/>
        </w:rPr>
        <w:t>Sebastian Astroza</w:t>
      </w:r>
    </w:p>
    <w:p w:rsidR="00CF5A9A" w:rsidRPr="00CF5A9A" w:rsidRDefault="00CF5A9A" w:rsidP="00FE32B5">
      <w:pPr>
        <w:spacing w:line="240" w:lineRule="auto"/>
        <w:jc w:val="center"/>
      </w:pPr>
      <w:r w:rsidRPr="00CF5A9A">
        <w:t>The University of Texas at Austin</w:t>
      </w:r>
    </w:p>
    <w:p w:rsidR="00CF5A9A" w:rsidRPr="00CF5A9A" w:rsidRDefault="00CF5A9A" w:rsidP="00FE32B5">
      <w:pPr>
        <w:spacing w:line="240" w:lineRule="auto"/>
        <w:jc w:val="center"/>
      </w:pPr>
      <w:r w:rsidRPr="00CF5A9A">
        <w:t>Department of Civil, Architectural and Environmental Engineering</w:t>
      </w:r>
    </w:p>
    <w:p w:rsidR="00CF5A9A" w:rsidRPr="00CF5A9A" w:rsidRDefault="00CF5A9A" w:rsidP="00FE32B5">
      <w:pPr>
        <w:spacing w:line="240" w:lineRule="auto"/>
        <w:jc w:val="center"/>
      </w:pPr>
      <w:r w:rsidRPr="00CF5A9A">
        <w:t>301 E. Dean Keeton St. Stop C1761, Austin TX 78712, USA</w:t>
      </w:r>
    </w:p>
    <w:p w:rsidR="00CF5A9A" w:rsidRPr="00CF5A9A" w:rsidRDefault="00CF5A9A" w:rsidP="00FE32B5">
      <w:pPr>
        <w:spacing w:line="240" w:lineRule="auto"/>
        <w:jc w:val="center"/>
        <w:rPr>
          <w:color w:val="000000"/>
          <w:lang w:val="de-DE"/>
        </w:rPr>
      </w:pPr>
      <w:r w:rsidRPr="00CF5A9A">
        <w:rPr>
          <w:lang w:val="pt-BR"/>
        </w:rPr>
        <w:t>Tel:</w:t>
      </w:r>
      <w:r w:rsidRPr="00CF5A9A">
        <w:t xml:space="preserve"> 1-512-471-4535, </w:t>
      </w:r>
      <w:r w:rsidRPr="00CF5A9A">
        <w:rPr>
          <w:lang w:val="fr-FR"/>
        </w:rPr>
        <w:t xml:space="preserve">Email: </w:t>
      </w:r>
      <w:hyperlink r:id="rId9" w:history="1">
        <w:r w:rsidRPr="00CF5A9A">
          <w:rPr>
            <w:rStyle w:val="Hyperlink"/>
            <w:lang w:val="fr-FR"/>
          </w:rPr>
          <w:t>sastroza@utexas.edu</w:t>
        </w:r>
      </w:hyperlink>
    </w:p>
    <w:p w:rsidR="00CF5A9A" w:rsidRDefault="00CF5A9A" w:rsidP="00FE32B5">
      <w:pPr>
        <w:spacing w:line="240" w:lineRule="auto"/>
        <w:jc w:val="center"/>
        <w:rPr>
          <w:lang w:val="fr-FR"/>
        </w:rPr>
      </w:pPr>
    </w:p>
    <w:p w:rsidR="00CF5A9A" w:rsidRPr="00CF5A9A" w:rsidRDefault="00CF5A9A" w:rsidP="00FE32B5">
      <w:pPr>
        <w:spacing w:line="240" w:lineRule="auto"/>
        <w:jc w:val="center"/>
        <w:rPr>
          <w:lang w:val="fr-FR"/>
        </w:rPr>
      </w:pPr>
    </w:p>
    <w:p w:rsidR="00CF5A9A" w:rsidRPr="00CF5A9A" w:rsidRDefault="00CF5A9A" w:rsidP="00FE32B5">
      <w:pPr>
        <w:spacing w:line="240" w:lineRule="auto"/>
        <w:jc w:val="center"/>
        <w:rPr>
          <w:b/>
        </w:rPr>
      </w:pPr>
      <w:r w:rsidRPr="00CF5A9A">
        <w:rPr>
          <w:b/>
        </w:rPr>
        <w:t>Patrícia S. Lavieri</w:t>
      </w:r>
    </w:p>
    <w:p w:rsidR="00CF5A9A" w:rsidRPr="00CF5A9A" w:rsidRDefault="00CF5A9A" w:rsidP="00FE32B5">
      <w:pPr>
        <w:spacing w:line="240" w:lineRule="auto"/>
        <w:jc w:val="center"/>
      </w:pPr>
      <w:r w:rsidRPr="00CF5A9A">
        <w:t>The University of Texas at Austin</w:t>
      </w:r>
    </w:p>
    <w:p w:rsidR="00CF5A9A" w:rsidRPr="00CF5A9A" w:rsidRDefault="00CF5A9A" w:rsidP="00FE32B5">
      <w:pPr>
        <w:spacing w:line="240" w:lineRule="auto"/>
        <w:jc w:val="center"/>
      </w:pPr>
      <w:r w:rsidRPr="00CF5A9A">
        <w:t>Department of Civil, Architectural and Environmental Engineering</w:t>
      </w:r>
    </w:p>
    <w:p w:rsidR="00CF5A9A" w:rsidRPr="00CF5A9A" w:rsidRDefault="00CF5A9A" w:rsidP="00FE32B5">
      <w:pPr>
        <w:spacing w:line="240" w:lineRule="auto"/>
        <w:jc w:val="center"/>
      </w:pPr>
      <w:r w:rsidRPr="00CF5A9A">
        <w:t>301 E. Dean Keeton St. Stop C1761, Austin TX 78712</w:t>
      </w:r>
      <w:r>
        <w:t>, USA</w:t>
      </w:r>
    </w:p>
    <w:p w:rsidR="00CF5A9A" w:rsidRPr="00CF5A9A" w:rsidRDefault="00CF5A9A" w:rsidP="00FE32B5">
      <w:pPr>
        <w:spacing w:line="240" w:lineRule="auto"/>
        <w:jc w:val="center"/>
      </w:pPr>
      <w:r w:rsidRPr="00CF5A9A">
        <w:rPr>
          <w:lang w:val="pt-BR"/>
        </w:rPr>
        <w:t xml:space="preserve">Tel: </w:t>
      </w:r>
      <w:r>
        <w:rPr>
          <w:lang w:val="pt-BR"/>
        </w:rPr>
        <w:t>1-</w:t>
      </w:r>
      <w:r w:rsidRPr="00CF5A9A">
        <w:rPr>
          <w:lang w:val="pt-BR"/>
        </w:rPr>
        <w:t xml:space="preserve">512-471-4535; </w:t>
      </w:r>
      <w:r>
        <w:rPr>
          <w:rFonts w:cs="Arial"/>
          <w:bCs/>
          <w:kern w:val="32"/>
          <w:szCs w:val="32"/>
          <w:lang w:val="fr-FR"/>
        </w:rPr>
        <w:t>E</w:t>
      </w:r>
      <w:r w:rsidRPr="00D62714">
        <w:rPr>
          <w:rFonts w:cs="Arial"/>
          <w:bCs/>
          <w:kern w:val="32"/>
          <w:szCs w:val="32"/>
          <w:lang w:val="fr-FR"/>
        </w:rPr>
        <w:t>mail:</w:t>
      </w:r>
      <w:r>
        <w:rPr>
          <w:rFonts w:cs="Arial"/>
          <w:bCs/>
          <w:kern w:val="32"/>
          <w:szCs w:val="32"/>
          <w:lang w:val="fr-FR"/>
        </w:rPr>
        <w:t xml:space="preserve"> </w:t>
      </w:r>
      <w:hyperlink r:id="rId10" w:history="1">
        <w:r w:rsidRPr="00971551">
          <w:rPr>
            <w:rStyle w:val="Hyperlink"/>
          </w:rPr>
          <w:t>laviepa@gmail.com</w:t>
        </w:r>
      </w:hyperlink>
    </w:p>
    <w:p w:rsidR="00CF5A9A" w:rsidRDefault="00CF5A9A" w:rsidP="00FE32B5">
      <w:pPr>
        <w:spacing w:line="240" w:lineRule="auto"/>
        <w:ind w:firstLine="0"/>
        <w:jc w:val="center"/>
      </w:pPr>
    </w:p>
    <w:p w:rsidR="00CF5A9A" w:rsidRDefault="00CF5A9A" w:rsidP="00FE32B5">
      <w:pPr>
        <w:spacing w:line="240" w:lineRule="auto"/>
        <w:ind w:firstLine="0"/>
        <w:jc w:val="center"/>
      </w:pPr>
    </w:p>
    <w:p w:rsidR="00CF5A9A" w:rsidRDefault="00CF5A9A" w:rsidP="00FE32B5">
      <w:pPr>
        <w:spacing w:line="240" w:lineRule="auto"/>
        <w:ind w:firstLine="0"/>
        <w:jc w:val="center"/>
      </w:pPr>
    </w:p>
    <w:p w:rsidR="00CF5A9A" w:rsidRDefault="00CF5A9A" w:rsidP="00FE32B5">
      <w:pPr>
        <w:spacing w:line="240" w:lineRule="auto"/>
        <w:ind w:firstLine="0"/>
        <w:jc w:val="center"/>
        <w:rPr>
          <w:b/>
        </w:rPr>
      </w:pPr>
    </w:p>
    <w:p w:rsidR="00CF5A9A" w:rsidRDefault="00CF5A9A" w:rsidP="00FE32B5">
      <w:pPr>
        <w:spacing w:line="240" w:lineRule="auto"/>
        <w:ind w:firstLine="0"/>
        <w:jc w:val="center"/>
        <w:rPr>
          <w:b/>
        </w:rPr>
      </w:pPr>
    </w:p>
    <w:p w:rsidR="00CF5A9A" w:rsidRDefault="00CF5A9A" w:rsidP="00FE32B5">
      <w:pPr>
        <w:spacing w:line="240" w:lineRule="auto"/>
        <w:ind w:firstLine="0"/>
        <w:jc w:val="center"/>
        <w:rPr>
          <w:b/>
        </w:rPr>
      </w:pPr>
    </w:p>
    <w:p w:rsidR="00CF5A9A" w:rsidRDefault="00CF5A9A" w:rsidP="00FE32B5">
      <w:pPr>
        <w:spacing w:line="240" w:lineRule="auto"/>
        <w:ind w:firstLine="0"/>
        <w:jc w:val="center"/>
        <w:rPr>
          <w:b/>
        </w:rPr>
      </w:pPr>
    </w:p>
    <w:p w:rsidR="00CF5A9A" w:rsidRDefault="00CF5A9A" w:rsidP="00FE32B5">
      <w:pPr>
        <w:spacing w:line="240" w:lineRule="auto"/>
        <w:ind w:firstLine="0"/>
        <w:jc w:val="center"/>
        <w:rPr>
          <w:b/>
        </w:rPr>
      </w:pPr>
    </w:p>
    <w:p w:rsidR="00CF5A9A" w:rsidRDefault="00CF5A9A" w:rsidP="00FE32B5">
      <w:pPr>
        <w:spacing w:line="240" w:lineRule="auto"/>
        <w:ind w:firstLine="0"/>
        <w:jc w:val="center"/>
        <w:rPr>
          <w:b/>
        </w:rPr>
      </w:pPr>
    </w:p>
    <w:p w:rsidR="00CF5A9A" w:rsidRDefault="00CF5A9A" w:rsidP="00FE32B5">
      <w:pPr>
        <w:spacing w:line="240" w:lineRule="auto"/>
        <w:ind w:firstLine="0"/>
        <w:jc w:val="center"/>
        <w:rPr>
          <w:b/>
        </w:rPr>
      </w:pPr>
    </w:p>
    <w:p w:rsidR="00CF5A9A" w:rsidRDefault="00CF5A9A" w:rsidP="00FE32B5">
      <w:pPr>
        <w:spacing w:line="240" w:lineRule="auto"/>
        <w:ind w:firstLine="0"/>
        <w:jc w:val="center"/>
        <w:rPr>
          <w:b/>
        </w:rPr>
      </w:pPr>
    </w:p>
    <w:p w:rsidR="00CF5A9A" w:rsidRDefault="00CF5A9A" w:rsidP="00FE32B5">
      <w:pPr>
        <w:spacing w:line="240" w:lineRule="auto"/>
        <w:ind w:firstLine="0"/>
        <w:jc w:val="center"/>
        <w:rPr>
          <w:b/>
        </w:rPr>
      </w:pPr>
    </w:p>
    <w:p w:rsidR="00CF5A9A" w:rsidRDefault="00CF5A9A" w:rsidP="00FE32B5">
      <w:pPr>
        <w:spacing w:line="240" w:lineRule="auto"/>
        <w:ind w:firstLine="0"/>
        <w:jc w:val="center"/>
        <w:rPr>
          <w:b/>
        </w:rPr>
      </w:pPr>
    </w:p>
    <w:p w:rsidR="00CF5A9A" w:rsidRDefault="00CF5A9A" w:rsidP="00FE32B5">
      <w:pPr>
        <w:spacing w:line="240" w:lineRule="auto"/>
        <w:ind w:firstLine="0"/>
        <w:jc w:val="center"/>
        <w:rPr>
          <w:b/>
        </w:rPr>
        <w:sectPr w:rsidR="00CF5A9A" w:rsidSect="00BA6025">
          <w:headerReference w:type="default" r:id="rId11"/>
          <w:footerReference w:type="default" r:id="rId12"/>
          <w:type w:val="continuous"/>
          <w:pgSz w:w="12240" w:h="15840"/>
          <w:pgMar w:top="1440" w:right="1440" w:bottom="1440" w:left="1440" w:header="720" w:footer="720" w:gutter="0"/>
          <w:cols w:space="720"/>
          <w:docGrid w:linePitch="360"/>
        </w:sectPr>
      </w:pPr>
    </w:p>
    <w:p w:rsidR="005548A3" w:rsidRPr="008D4976" w:rsidRDefault="005548A3" w:rsidP="00FE32B5">
      <w:pPr>
        <w:ind w:firstLine="0"/>
        <w:rPr>
          <w:b/>
        </w:rPr>
      </w:pPr>
      <w:r w:rsidRPr="00EC44D2">
        <w:rPr>
          <w:b/>
        </w:rPr>
        <w:lastRenderedPageBreak/>
        <w:t>ABSTRACT</w:t>
      </w:r>
    </w:p>
    <w:p w:rsidR="00084FB9" w:rsidRDefault="00A235BF" w:rsidP="004C4F47">
      <w:pPr>
        <w:ind w:firstLine="0"/>
      </w:pPr>
      <w:r>
        <w:t xml:space="preserve">We propose in this paper a </w:t>
      </w:r>
      <w:r w:rsidR="00084FB9">
        <w:t xml:space="preserve">spatial random coefficients flexible multivariate count model </w:t>
      </w:r>
      <w:r w:rsidR="00F80147">
        <w:t>to examine, at the spatial level of a census tract, the number of pedestrian injuries by injury severity level.</w:t>
      </w:r>
      <w:r w:rsidR="00342348">
        <w:t xml:space="preserve"> Our model</w:t>
      </w:r>
      <w:r w:rsidR="00342348" w:rsidRPr="00BF6017">
        <w:t>, unlike many other macro-level pedestrian injury studies in the literature</w:t>
      </w:r>
      <w:r w:rsidR="00342348">
        <w:t>,</w:t>
      </w:r>
      <w:r w:rsidR="00342348" w:rsidRPr="00BF6017">
        <w:t xml:space="preserve"> explicitly acknowledges </w:t>
      </w:r>
      <w:r w:rsidR="00342348">
        <w:t>that</w:t>
      </w:r>
      <w:r w:rsidR="00342348" w:rsidRPr="00BF6017">
        <w:t xml:space="preserve"> risk factors for different types of pedestrian injuries can be very</w:t>
      </w:r>
      <w:r w:rsidR="00342348">
        <w:t xml:space="preserve"> different</w:t>
      </w:r>
      <w:r w:rsidR="00A3100A">
        <w:t>, as well as accounts for unobserved heterogeneity in the risk factor effects</w:t>
      </w:r>
      <w:r w:rsidR="00342348">
        <w:t>. We also</w:t>
      </w:r>
      <w:r w:rsidR="00342348" w:rsidRPr="00342348">
        <w:t xml:space="preserve"> recognize the multivariate nature of the injury counts by injury severity level within each census tract (as opposed to independently modeling the count of pedestrian injuries by severity level</w:t>
      </w:r>
      <w:r w:rsidR="00342348">
        <w:t xml:space="preserve">). In concrete </w:t>
      </w:r>
      <w:r w:rsidR="00A3100A">
        <w:t xml:space="preserve">methodological </w:t>
      </w:r>
      <w:r w:rsidR="00342348">
        <w:t xml:space="preserve">terms, our model: </w:t>
      </w:r>
      <w:r w:rsidR="00B31A53">
        <w:t xml:space="preserve">(a) </w:t>
      </w:r>
      <w:r w:rsidR="00B31A53" w:rsidRPr="00BF6017">
        <w:t>allows a full covariance matrix for the random coefficients (</w:t>
      </w:r>
      <w:r w:rsidR="00C455EB" w:rsidRPr="00C455EB">
        <w:t>constant heterogeneity</w:t>
      </w:r>
      <w:r w:rsidR="00C455EB">
        <w:t xml:space="preserve">, or </w:t>
      </w:r>
      <w:r w:rsidR="00B31A53" w:rsidRPr="00BF6017">
        <w:t>CH</w:t>
      </w:r>
      <w:r w:rsidR="00C455EB">
        <w:t>,</w:t>
      </w:r>
      <w:r w:rsidR="00B31A53" w:rsidRPr="00BF6017">
        <w:t xml:space="preserve"> and </w:t>
      </w:r>
      <w:r w:rsidR="00C455EB">
        <w:t xml:space="preserve">slope heterogeneity, or </w:t>
      </w:r>
      <w:r w:rsidR="00B31A53" w:rsidRPr="00BF6017">
        <w:t>SH</w:t>
      </w:r>
      <w:r w:rsidR="00C455EB">
        <w:t>,</w:t>
      </w:r>
      <w:r w:rsidR="00B31A53" w:rsidRPr="00BF6017">
        <w:t xml:space="preserve"> effects) </w:t>
      </w:r>
      <w:r w:rsidR="00B31A53">
        <w:t xml:space="preserve">characterizing spatial heterogeneity </w:t>
      </w:r>
      <w:r w:rsidR="00B31A53" w:rsidRPr="00BF6017">
        <w:t>for each count category</w:t>
      </w:r>
      <w:r w:rsidR="00B31A53">
        <w:t>,</w:t>
      </w:r>
      <w:r w:rsidR="00B31A53" w:rsidRPr="00BF6017">
        <w:t xml:space="preserve"> (</w:t>
      </w:r>
      <w:r w:rsidR="00B31A53">
        <w:t>b</w:t>
      </w:r>
      <w:r w:rsidR="00B31A53" w:rsidRPr="00BF6017">
        <w:t>) addresses excess zeros (or any other excess count value for that matter) within a multivariate count setting</w:t>
      </w:r>
      <w:r w:rsidR="00B31A53">
        <w:t xml:space="preserve"> in a simple and elegant fashion</w:t>
      </w:r>
      <w:r w:rsidR="00B31A53" w:rsidRPr="00BF6017">
        <w:t xml:space="preserve">, </w:t>
      </w:r>
      <w:r w:rsidR="00B31A53">
        <w:t xml:space="preserve">while recognizing </w:t>
      </w:r>
      <w:proofErr w:type="spellStart"/>
      <w:r w:rsidR="00B31A53">
        <w:t>multivariateness</w:t>
      </w:r>
      <w:proofErr w:type="spellEnd"/>
      <w:r w:rsidR="00B31A53">
        <w:t xml:space="preserve"> engendered through </w:t>
      </w:r>
      <w:proofErr w:type="spellStart"/>
      <w:r w:rsidR="00B31A53">
        <w:t>covariances</w:t>
      </w:r>
      <w:proofErr w:type="spellEnd"/>
      <w:r w:rsidR="00B31A53">
        <w:t xml:space="preserve"> in both the CH and SH effects</w:t>
      </w:r>
      <w:r w:rsidR="00B31A53" w:rsidRPr="00BF6017">
        <w:t xml:space="preserve">, </w:t>
      </w:r>
      <w:r w:rsidR="00084FB9">
        <w:t xml:space="preserve">(c) accommodates spatial dependency through a spatial autoregressive lag structure, allowing for varying spatial autoregressive parameters across count categories, </w:t>
      </w:r>
      <w:r w:rsidR="00F8600E">
        <w:t xml:space="preserve">and </w:t>
      </w:r>
      <w:r w:rsidR="00084FB9">
        <w:t xml:space="preserve">(d) </w:t>
      </w:r>
      <w:r w:rsidRPr="00A235BF">
        <w:t xml:space="preserve">captures spatial drift effects through the spatial structure on </w:t>
      </w:r>
      <w:r w:rsidR="00696067">
        <w:t xml:space="preserve">the </w:t>
      </w:r>
      <w:r w:rsidRPr="00A235BF">
        <w:t>constant</w:t>
      </w:r>
      <w:r w:rsidR="00696067">
        <w:t>s</w:t>
      </w:r>
      <w:r w:rsidRPr="00A235BF">
        <w:t xml:space="preserve"> and </w:t>
      </w:r>
      <w:r w:rsidR="00696067">
        <w:t xml:space="preserve">the </w:t>
      </w:r>
      <w:r w:rsidRPr="00A235BF">
        <w:t>slope heterogeneity effects.</w:t>
      </w:r>
      <w:r w:rsidR="00084FB9">
        <w:t xml:space="preserve"> To our knowledge, this is the first time that such a general spatial multivariate model has been formulated. </w:t>
      </w:r>
      <w:r w:rsidR="00155A07">
        <w:t xml:space="preserve">For </w:t>
      </w:r>
      <w:r w:rsidR="00C76B2D">
        <w:t>estimation</w:t>
      </w:r>
      <w:r w:rsidR="00084FB9">
        <w:t xml:space="preserve">, we use a composite marginal likelihood (CML) inference approach that is simple to implement and is based on evaluating lower-dimensional marginal probability expressions. </w:t>
      </w:r>
    </w:p>
    <w:p w:rsidR="00AC066B" w:rsidRDefault="00084FB9" w:rsidP="00D72ECE">
      <w:r>
        <w:t xml:space="preserve">The data for our analysis is drawn from a 2009 pedestrian crash database from the Manhattan region of New York City. Several groups of </w:t>
      </w:r>
      <w:r w:rsidR="00CA0783">
        <w:t>c</w:t>
      </w:r>
      <w:r>
        <w:t xml:space="preserve">ensus tract-based risk factors are considered in the empirical analysis based on earlier research, including (1) socio-demographic characteristics, (2) land-use and road network characteristics, (3) activity intensity characteristics, and (4) commute mode shares and transit supply characteristics. </w:t>
      </w:r>
      <w:r w:rsidR="00A235BF" w:rsidRPr="00A235BF">
        <w:t>The empirical analysis sheds light on both engineering as well as behavioral countermeasures to reduce the number of pedestrian-vehicle crashes</w:t>
      </w:r>
      <w:r w:rsidR="00F8600E">
        <w:t xml:space="preserve"> by</w:t>
      </w:r>
      <w:r w:rsidR="00A235BF" w:rsidRPr="00A235BF">
        <w:t xml:space="preserve"> severity of these crashes. </w:t>
      </w:r>
    </w:p>
    <w:p w:rsidR="00AC066B" w:rsidRDefault="00AC066B" w:rsidP="00D72ECE">
      <w:pPr>
        <w:ind w:firstLine="432"/>
      </w:pPr>
    </w:p>
    <w:p w:rsidR="005548A3" w:rsidRDefault="00AC066B" w:rsidP="00D72ECE">
      <w:pPr>
        <w:ind w:firstLine="0"/>
        <w:rPr>
          <w:rFonts w:eastAsia="Times New Roman"/>
          <w:b/>
          <w:bCs/>
          <w:caps/>
          <w:szCs w:val="28"/>
          <w:lang w:val="x-none" w:eastAsia="x-none"/>
        </w:rPr>
      </w:pPr>
      <w:r w:rsidRPr="00CF5A9A">
        <w:rPr>
          <w:i/>
        </w:rPr>
        <w:t>Keywords</w:t>
      </w:r>
      <w:r>
        <w:t>: Multivariate count model, spatial dependence, unobserved heterogeneity, composite marginal likelihood estimation, pedestrian injuries in traffic crashes.</w:t>
      </w:r>
      <w:r w:rsidR="005548A3">
        <w:br w:type="page"/>
      </w:r>
    </w:p>
    <w:p w:rsidR="00CF5A9A" w:rsidRDefault="00CF5A9A" w:rsidP="00D72ECE">
      <w:pPr>
        <w:pStyle w:val="Heading1"/>
        <w:sectPr w:rsidR="00CF5A9A" w:rsidSect="00BA6025">
          <w:type w:val="continuous"/>
          <w:pgSz w:w="12240" w:h="15840"/>
          <w:pgMar w:top="1440" w:right="1440" w:bottom="1440" w:left="1440" w:header="720" w:footer="720" w:gutter="0"/>
          <w:cols w:space="720"/>
          <w:docGrid w:linePitch="360"/>
        </w:sectPr>
      </w:pPr>
    </w:p>
    <w:p w:rsidR="007924A0" w:rsidRPr="0061071A" w:rsidRDefault="007924A0" w:rsidP="00D72ECE">
      <w:pPr>
        <w:pStyle w:val="Heading1"/>
        <w:spacing w:before="0"/>
        <w:ind w:left="360" w:hanging="360"/>
      </w:pPr>
      <w:r w:rsidRPr="0061071A">
        <w:lastRenderedPageBreak/>
        <w:t>Introduction</w:t>
      </w:r>
    </w:p>
    <w:p w:rsidR="00092FC7" w:rsidRPr="00331E21" w:rsidRDefault="00745E62" w:rsidP="00D72ECE">
      <w:pPr>
        <w:autoSpaceDE w:val="0"/>
        <w:autoSpaceDN w:val="0"/>
        <w:adjustRightInd w:val="0"/>
        <w:ind w:firstLine="0"/>
      </w:pPr>
      <w:r w:rsidRPr="0023338D">
        <w:t xml:space="preserve">Walking and bicycling are two </w:t>
      </w:r>
      <w:r w:rsidRPr="0019608A">
        <w:t>active transportation modes that can contribute i</w:t>
      </w:r>
      <w:r w:rsidR="008D00BE" w:rsidRPr="001A2030">
        <w:t>n important ways to, among other things, lower traffic congestion</w:t>
      </w:r>
      <w:r w:rsidR="008D00BE">
        <w:t xml:space="preserve"> levels</w:t>
      </w:r>
      <w:r w:rsidR="008D00BE" w:rsidRPr="0019608A">
        <w:t xml:space="preserve">, </w:t>
      </w:r>
      <w:r w:rsidRPr="0019608A">
        <w:t>energy independence, reduced mobile-source emissions, improved public health</w:t>
      </w:r>
      <w:r w:rsidRPr="001A2030">
        <w:t xml:space="preserve">, and </w:t>
      </w:r>
      <w:r w:rsidR="008D00BE">
        <w:t xml:space="preserve">vibrant </w:t>
      </w:r>
      <w:r w:rsidRPr="0019608A">
        <w:t xml:space="preserve">social cohesion </w:t>
      </w:r>
      <w:r w:rsidR="008D00BE">
        <w:t xml:space="preserve">opportunities </w:t>
      </w:r>
      <w:r w:rsidRPr="005B6B28">
        <w:t xml:space="preserve">(see </w:t>
      </w:r>
      <w:proofErr w:type="spellStart"/>
      <w:r w:rsidRPr="005B6B28">
        <w:t>Wier</w:t>
      </w:r>
      <w:proofErr w:type="spellEnd"/>
      <w:r w:rsidRPr="005B6B28">
        <w:t xml:space="preserve"> et al., 20</w:t>
      </w:r>
      <w:r w:rsidR="00684060">
        <w:t>09</w:t>
      </w:r>
      <w:r w:rsidRPr="00EA49FD">
        <w:t>).</w:t>
      </w:r>
      <w:r w:rsidRPr="00331E21">
        <w:t xml:space="preserve"> Indeed, </w:t>
      </w:r>
      <w:r w:rsidR="00092FC7" w:rsidRPr="00331E21">
        <w:t xml:space="preserve">there is increasing recognition among transportation planners, social scientists, urban design specialists, as well as public health professionals that </w:t>
      </w:r>
      <w:r w:rsidR="00092FC7" w:rsidRPr="0023338D">
        <w:t>investments in non-motorized facilities</w:t>
      </w:r>
      <w:r w:rsidR="00EE3ADB">
        <w:t>,</w:t>
      </w:r>
      <w:r w:rsidR="00092FC7" w:rsidRPr="0023338D">
        <w:t xml:space="preserve"> and carefully choreographed educational campaigns to promote walking and bicycling</w:t>
      </w:r>
      <w:r w:rsidR="00EE3ADB">
        <w:t>,</w:t>
      </w:r>
      <w:r w:rsidR="00092FC7" w:rsidRPr="0023338D">
        <w:t xml:space="preserve"> can be key ingredients of a broader public policy strategy to </w:t>
      </w:r>
      <w:r w:rsidR="008D00BE">
        <w:t xml:space="preserve">engender </w:t>
      </w:r>
      <w:r w:rsidR="00092FC7" w:rsidRPr="0019608A">
        <w:t>a happier public and a better quality of life</w:t>
      </w:r>
      <w:r w:rsidR="009443C0" w:rsidRPr="00331E21">
        <w:t xml:space="preserve"> (</w:t>
      </w:r>
      <w:proofErr w:type="spellStart"/>
      <w:r w:rsidR="00431A50">
        <w:t>Rasciute</w:t>
      </w:r>
      <w:proofErr w:type="spellEnd"/>
      <w:r w:rsidR="00431A50">
        <w:t xml:space="preserve"> et al., 2010</w:t>
      </w:r>
      <w:r w:rsidR="00092FC7" w:rsidRPr="00331E21">
        <w:t xml:space="preserve">). </w:t>
      </w:r>
    </w:p>
    <w:p w:rsidR="0023338D" w:rsidRDefault="00543F07" w:rsidP="00D72ECE">
      <w:r w:rsidRPr="00BF6017">
        <w:t>Between the non-motorized modes of walking and bicycling</w:t>
      </w:r>
      <w:r w:rsidR="009443C0">
        <w:t>,</w:t>
      </w:r>
      <w:r w:rsidRPr="00BF6017">
        <w:t xml:space="preserve"> the former may be viewed as the most </w:t>
      </w:r>
      <w:r w:rsidR="00955932" w:rsidRPr="00BF6017">
        <w:t xml:space="preserve">natural form of transportation </w:t>
      </w:r>
      <w:r w:rsidR="009443C0">
        <w:t xml:space="preserve">(at least </w:t>
      </w:r>
      <w:r w:rsidR="00955932" w:rsidRPr="00BF6017">
        <w:t>for most individuals</w:t>
      </w:r>
      <w:r w:rsidR="009443C0">
        <w:t>)</w:t>
      </w:r>
      <w:r w:rsidR="00955932" w:rsidRPr="00BF6017">
        <w:t xml:space="preserve"> in that it does not</w:t>
      </w:r>
      <w:r w:rsidR="00EE3ADB" w:rsidRPr="00BF6017">
        <w:t xml:space="preserve"> entail</w:t>
      </w:r>
      <w:r w:rsidR="00955932" w:rsidRPr="00BF6017">
        <w:t xml:space="preserve"> any non-human </w:t>
      </w:r>
      <w:r w:rsidR="00EE3ADB" w:rsidRPr="00BF6017">
        <w:t>mobility assistance</w:t>
      </w:r>
      <w:r w:rsidR="00955932" w:rsidRPr="00BF6017">
        <w:t xml:space="preserve">. In fact, almost all individuals are pedestrians for at least a small part of each of their travel journeys. However, the proportion of trips in developed countries that are completely undertaken by foot is </w:t>
      </w:r>
      <w:r w:rsidR="00356877" w:rsidRPr="00BF6017">
        <w:t xml:space="preserve">a </w:t>
      </w:r>
      <w:r w:rsidR="00955932" w:rsidRPr="00BF6017">
        <w:t>very small</w:t>
      </w:r>
      <w:r w:rsidR="00356877" w:rsidRPr="00BF6017">
        <w:t xml:space="preserve"> fraction of total trips. For example, according to the most recent National Household Travel Survey (NHTS) conducted in 2009 in the United States, </w:t>
      </w:r>
      <w:r w:rsidRPr="00BF6017">
        <w:t xml:space="preserve">trips by the walk mode accounted for only </w:t>
      </w:r>
      <w:r w:rsidR="00786FA2">
        <w:t>10.4%</w:t>
      </w:r>
      <w:r w:rsidRPr="00BF6017">
        <w:t xml:space="preserve"> </w:t>
      </w:r>
      <w:r w:rsidR="00356877" w:rsidRPr="00BF6017">
        <w:t>of all weekday trips, and</w:t>
      </w:r>
      <w:r w:rsidR="00356877" w:rsidRPr="0023338D">
        <w:rPr>
          <w:color w:val="FF0000"/>
        </w:rPr>
        <w:t xml:space="preserve"> </w:t>
      </w:r>
      <w:r w:rsidR="00786FA2">
        <w:t>0.74%</w:t>
      </w:r>
      <w:r w:rsidRPr="00BF6017">
        <w:t xml:space="preserve"> </w:t>
      </w:r>
      <w:r w:rsidR="00356877" w:rsidRPr="00BF6017">
        <w:t xml:space="preserve">of total weekday person travel mileage.  </w:t>
      </w:r>
      <w:r w:rsidRPr="00BF6017">
        <w:t>While there are many reasons for the relative lack of preference to travel by foot</w:t>
      </w:r>
      <w:r w:rsidR="00714DBB" w:rsidRPr="00BF6017">
        <w:t xml:space="preserve"> (including </w:t>
      </w:r>
      <w:r w:rsidR="00645E4A" w:rsidRPr="00BF6017">
        <w:t xml:space="preserve">low </w:t>
      </w:r>
      <w:r w:rsidR="00714DBB" w:rsidRPr="00BF6017">
        <w:t>land use mix</w:t>
      </w:r>
      <w:r w:rsidR="00645E4A" w:rsidRPr="00BF6017">
        <w:t xml:space="preserve"> diversity, unconducive built environment factors and </w:t>
      </w:r>
      <w:r w:rsidR="00714DBB" w:rsidRPr="00BF6017">
        <w:t>weather</w:t>
      </w:r>
      <w:r w:rsidR="00645E4A" w:rsidRPr="00BF6017">
        <w:t xml:space="preserve"> conditions</w:t>
      </w:r>
      <w:r w:rsidR="00714DBB" w:rsidRPr="00BF6017">
        <w:t xml:space="preserve">, and </w:t>
      </w:r>
      <w:r w:rsidR="00645E4A" w:rsidRPr="00BF6017">
        <w:t xml:space="preserve">long </w:t>
      </w:r>
      <w:r w:rsidR="00714DBB" w:rsidRPr="00BF6017">
        <w:t>trip distance</w:t>
      </w:r>
      <w:r w:rsidR="00645E4A" w:rsidRPr="00BF6017">
        <w:t>s</w:t>
      </w:r>
      <w:r w:rsidR="00714DBB" w:rsidRPr="00BF6017">
        <w:t>)</w:t>
      </w:r>
      <w:r w:rsidRPr="00BF6017">
        <w:t xml:space="preserve">, one important reason provided by individuals in surveys as a substantial impediment to the choice of the walk mode of travel </w:t>
      </w:r>
      <w:r w:rsidR="00EE3ADB">
        <w:t>(</w:t>
      </w:r>
      <w:r w:rsidR="00714DBB" w:rsidRPr="00BF6017">
        <w:t>even for short-distance trips</w:t>
      </w:r>
      <w:r w:rsidR="00EE3ADB">
        <w:t>)</w:t>
      </w:r>
      <w:r w:rsidR="00714DBB" w:rsidRPr="00BF6017">
        <w:t xml:space="preserve"> </w:t>
      </w:r>
      <w:r w:rsidRPr="00BF6017">
        <w:t xml:space="preserve">is the perception that it is </w:t>
      </w:r>
      <w:r w:rsidR="00645E4A" w:rsidRPr="00BF6017">
        <w:t xml:space="preserve">unsafe </w:t>
      </w:r>
      <w:r w:rsidRPr="00BF6017">
        <w:t xml:space="preserve">from the perspective of </w:t>
      </w:r>
      <w:r w:rsidR="00714DBB" w:rsidRPr="00BF6017">
        <w:t xml:space="preserve">traffic </w:t>
      </w:r>
      <w:r w:rsidRPr="00BF6017">
        <w:t>crashes</w:t>
      </w:r>
      <w:r w:rsidR="00714DBB" w:rsidRPr="00BF6017">
        <w:t xml:space="preserve"> (see, for example, </w:t>
      </w:r>
      <w:proofErr w:type="spellStart"/>
      <w:r w:rsidR="003856AE">
        <w:t>Kamargianni</w:t>
      </w:r>
      <w:proofErr w:type="spellEnd"/>
      <w:r w:rsidR="003856AE" w:rsidRPr="008159D4">
        <w:t xml:space="preserve"> </w:t>
      </w:r>
      <w:r w:rsidR="00714DBB" w:rsidRPr="008159D4">
        <w:t>et al., 2015</w:t>
      </w:r>
      <w:r w:rsidR="00714DBB" w:rsidRPr="00BF6017">
        <w:t xml:space="preserve"> and</w:t>
      </w:r>
      <w:r w:rsidR="005976B1">
        <w:t xml:space="preserve"> Weinstein-Agarwal, 2008</w:t>
      </w:r>
      <w:r w:rsidR="00714DBB" w:rsidRPr="00BF6017">
        <w:t>). Unfortunately, this perception is not unfounded</w:t>
      </w:r>
      <w:r w:rsidRPr="00BF6017">
        <w:t>.</w:t>
      </w:r>
      <w:r w:rsidR="00714DBB" w:rsidRPr="00BF6017">
        <w:t xml:space="preserve"> </w:t>
      </w:r>
      <w:r w:rsidRPr="00BF6017">
        <w:t xml:space="preserve"> </w:t>
      </w:r>
      <w:r w:rsidR="00714DBB" w:rsidRPr="00BF6017">
        <w:t>According to the latest traffic safety data from the National Highway Traffic Safety Administration (NHTSA), in 201</w:t>
      </w:r>
      <w:r w:rsidR="00F8678B">
        <w:t>5</w:t>
      </w:r>
      <w:r w:rsidR="00714DBB" w:rsidRPr="00BF6017">
        <w:t xml:space="preserve">, </w:t>
      </w:r>
      <w:r w:rsidR="00F8678B">
        <w:t>5,376</w:t>
      </w:r>
      <w:r w:rsidR="00714DBB" w:rsidRPr="00BF6017">
        <w:t xml:space="preserve"> pedestrians lost their lives and another </w:t>
      </w:r>
      <w:r w:rsidR="00F8678B">
        <w:t>70</w:t>
      </w:r>
      <w:r w:rsidR="00714DBB" w:rsidRPr="00BF6017">
        <w:t>,000 pedestrians sustained injuries in traffic crashes in the US</w:t>
      </w:r>
      <w:r w:rsidR="005633BB">
        <w:t xml:space="preserve"> (NHTSA, 201</w:t>
      </w:r>
      <w:r w:rsidR="00B56152">
        <w:t>6</w:t>
      </w:r>
      <w:r w:rsidR="00AD552C">
        <w:t>a</w:t>
      </w:r>
      <w:r w:rsidR="005633BB">
        <w:t>)</w:t>
      </w:r>
      <w:r w:rsidR="00714DBB" w:rsidRPr="00BF6017">
        <w:t xml:space="preserve">. That is, on average, a pedestrian was killed every </w:t>
      </w:r>
      <w:r w:rsidR="00411902">
        <w:t>98 minutes</w:t>
      </w:r>
      <w:r w:rsidR="00714DBB" w:rsidRPr="00BF6017">
        <w:t xml:space="preserve"> and injured every </w:t>
      </w:r>
      <w:r w:rsidR="00411902">
        <w:t>7.5</w:t>
      </w:r>
      <w:r w:rsidR="00714DBB" w:rsidRPr="00BF6017">
        <w:t xml:space="preserve"> minutes in traffic crashes in the US. More importantly, while the total </w:t>
      </w:r>
      <w:r w:rsidR="00B342F8" w:rsidRPr="00BF6017">
        <w:t xml:space="preserve">number of roadway crash fatalities in the US fell from 43,510 in 2005 to 32,675 in 2014 (a </w:t>
      </w:r>
      <w:r w:rsidR="00B00AE7">
        <w:t>24.9</w:t>
      </w:r>
      <w:r w:rsidR="00B342F8" w:rsidRPr="00BF6017">
        <w:t>% drop), the total number of pedestrian fatalities remained virtually the same at 4,892 in 2005 and 4,</w:t>
      </w:r>
      <w:r w:rsidR="00F8678B">
        <w:t>910</w:t>
      </w:r>
      <w:r w:rsidR="00B342F8" w:rsidRPr="00BF6017">
        <w:t xml:space="preserve"> in 2014</w:t>
      </w:r>
      <w:r w:rsidR="00AD552C">
        <w:t xml:space="preserve"> (NHTSA, 2016b)</w:t>
      </w:r>
      <w:r w:rsidR="00B342F8" w:rsidRPr="00BF6017">
        <w:t xml:space="preserve">. Further, </w:t>
      </w:r>
      <w:r w:rsidR="00F8678B">
        <w:t>between 2014 and 2015, while overall fatalities climbed by 7.2% (from 32,744 to 35,092), pedestrian fatalities rose much faster</w:t>
      </w:r>
      <w:r w:rsidR="00B5684C">
        <w:t xml:space="preserve"> by 9.5% (from 4</w:t>
      </w:r>
      <w:r w:rsidR="009D6D31">
        <w:t>,</w:t>
      </w:r>
      <w:r w:rsidR="00B5684C">
        <w:t>910 to 5</w:t>
      </w:r>
      <w:r w:rsidR="009D6D31">
        <w:t>,</w:t>
      </w:r>
      <w:r w:rsidR="00B5684C">
        <w:t>376; 5</w:t>
      </w:r>
      <w:r w:rsidR="009D6D31">
        <w:t>,</w:t>
      </w:r>
      <w:r w:rsidR="00B5684C">
        <w:t>37</w:t>
      </w:r>
      <w:r w:rsidR="00F8678B">
        <w:t xml:space="preserve">6 is the highest number of pedestrians killed in road </w:t>
      </w:r>
      <w:r w:rsidR="00F8678B">
        <w:lastRenderedPageBreak/>
        <w:t>crashes in any year since 1996). Additionally, t</w:t>
      </w:r>
      <w:r w:rsidR="00B342F8" w:rsidRPr="00BF6017">
        <w:t>he percentage of pedestrian fatalities as a fraction of total fatalities has seen a steady up</w:t>
      </w:r>
      <w:r w:rsidR="00645E4A" w:rsidRPr="00BF6017">
        <w:t xml:space="preserve"> </w:t>
      </w:r>
      <w:r w:rsidR="00B342F8" w:rsidRPr="00BF6017">
        <w:t>climb over the years, from 11% in 2005 to 1</w:t>
      </w:r>
      <w:r w:rsidR="00F8678B">
        <w:t>8</w:t>
      </w:r>
      <w:r w:rsidR="00B342F8" w:rsidRPr="00BF6017">
        <w:t xml:space="preserve">% in 2014. </w:t>
      </w:r>
      <w:r w:rsidR="00645E4A" w:rsidRPr="00BF6017">
        <w:t>A similar situation exists in many other developed countries. For example, in Australia, pedestrians comprise 17% of all serious transportation-related injuries and 13% of all road fatalities, according to the Bureau of Infrastructure, Transportation, and Regional Economics (BITRE,</w:t>
      </w:r>
      <w:r w:rsidR="00644471">
        <w:t xml:space="preserve"> </w:t>
      </w:r>
      <w:r w:rsidR="00645E4A" w:rsidRPr="00BF6017">
        <w:t xml:space="preserve">2013). </w:t>
      </w:r>
      <w:r w:rsidR="00EE3ADB">
        <w:t xml:space="preserve">Indeed, </w:t>
      </w:r>
      <w:r w:rsidR="00EE3ADB" w:rsidRPr="00BF6017">
        <w:t>p</w:t>
      </w:r>
      <w:r w:rsidR="0023338D" w:rsidRPr="00BF6017">
        <w:t>edestrians are often referred to as “vulnerable road users” because of their over-representation in the pool of those fatally injured in traffic crashes</w:t>
      </w:r>
      <w:r w:rsidR="00EE3ADB">
        <w:t xml:space="preserve">. </w:t>
      </w:r>
      <w:r w:rsidR="0023338D" w:rsidRPr="00BF6017">
        <w:t>Of course, this is not surprising because, in a crash, pedestrians have little to no protection relative to other road users.</w:t>
      </w:r>
    </w:p>
    <w:p w:rsidR="00EE3ADB" w:rsidRDefault="0023338D" w:rsidP="00D72ECE">
      <w:pPr>
        <w:pStyle w:val="FootnoteText"/>
      </w:pPr>
      <w:r w:rsidRPr="00BF6017">
        <w:rPr>
          <w:sz w:val="24"/>
          <w:szCs w:val="24"/>
        </w:rPr>
        <w:t xml:space="preserve">Clearly, efforts to promote walking need to be coordinated with strategies that </w:t>
      </w:r>
      <w:r w:rsidR="007459D3" w:rsidRPr="00BF6017">
        <w:rPr>
          <w:sz w:val="24"/>
          <w:szCs w:val="24"/>
        </w:rPr>
        <w:t xml:space="preserve">enhance safety for the vulnerable road-user group of pedestrians. This, in turn, necessitates an understanding of the risk factors associated with pedestrian injuries in the context of traffic crashes, to </w:t>
      </w:r>
      <w:r w:rsidRPr="00BF6017">
        <w:rPr>
          <w:sz w:val="24"/>
          <w:szCs w:val="24"/>
        </w:rPr>
        <w:t xml:space="preserve">allow the identification of high risk crash environmental settings and inform the design of appropriate transportation policy countermeasures. </w:t>
      </w:r>
      <w:r w:rsidR="007459D3" w:rsidRPr="00BF6017">
        <w:rPr>
          <w:sz w:val="24"/>
          <w:szCs w:val="24"/>
        </w:rPr>
        <w:t>In the literature, such analyses have been undertaken through the development of pedestrian crash and injury prediction models</w:t>
      </w:r>
      <w:r w:rsidR="00BF4092" w:rsidRPr="00BF6017">
        <w:rPr>
          <w:sz w:val="24"/>
          <w:szCs w:val="24"/>
        </w:rPr>
        <w:t xml:space="preserve">. Such models are generally developed at </w:t>
      </w:r>
      <w:r w:rsidR="007459D3" w:rsidRPr="00BF6017">
        <w:rPr>
          <w:sz w:val="24"/>
          <w:szCs w:val="24"/>
        </w:rPr>
        <w:t xml:space="preserve">either </w:t>
      </w:r>
      <w:r w:rsidR="00BF4092" w:rsidRPr="00BF6017">
        <w:rPr>
          <w:sz w:val="24"/>
          <w:szCs w:val="24"/>
        </w:rPr>
        <w:t>t</w:t>
      </w:r>
      <w:r w:rsidR="007459D3" w:rsidRPr="00BF6017">
        <w:rPr>
          <w:sz w:val="24"/>
          <w:szCs w:val="24"/>
        </w:rPr>
        <w:t xml:space="preserve">he micro-level </w:t>
      </w:r>
      <w:r w:rsidR="00BF4092" w:rsidRPr="00BF6017">
        <w:rPr>
          <w:sz w:val="24"/>
          <w:szCs w:val="24"/>
        </w:rPr>
        <w:t xml:space="preserve">or the macro-level location unit. The micro-level models use a roadway street segment </w:t>
      </w:r>
      <w:r w:rsidR="007459D3" w:rsidRPr="00BF6017">
        <w:rPr>
          <w:sz w:val="24"/>
          <w:szCs w:val="24"/>
        </w:rPr>
        <w:t xml:space="preserve">or an intersection </w:t>
      </w:r>
      <w:r w:rsidR="00BF4092" w:rsidRPr="00BF6017">
        <w:rPr>
          <w:sz w:val="24"/>
          <w:szCs w:val="24"/>
        </w:rPr>
        <w:t>as the location unit of analysis, with the aim of identifying relatively shorter-term engineering solutions (such as geometric design improvements or traffic signal control re-configurations). T</w:t>
      </w:r>
      <w:r w:rsidR="007459D3" w:rsidRPr="00BF6017">
        <w:rPr>
          <w:sz w:val="24"/>
          <w:szCs w:val="24"/>
        </w:rPr>
        <w:t>he macro-level</w:t>
      </w:r>
      <w:r w:rsidR="00BF4092" w:rsidRPr="00BF6017">
        <w:rPr>
          <w:sz w:val="24"/>
          <w:szCs w:val="24"/>
        </w:rPr>
        <w:t xml:space="preserve"> models, on the other hand, use a more aggregate “neighborhood” level location unit of analysis with the aim of identifying relatively longer-term planning and behavioral modification solutions (such as more equitably channeling resources for pedestrian facility investments if inequities are identified, or land use design reconfigurations, or targeting specific demographic groups with information campaigns)</w:t>
      </w:r>
      <w:r w:rsidR="007459D3" w:rsidRPr="00BF6017">
        <w:rPr>
          <w:sz w:val="24"/>
          <w:szCs w:val="24"/>
        </w:rPr>
        <w:t xml:space="preserve">.  </w:t>
      </w:r>
    </w:p>
    <w:p w:rsidR="0023338D" w:rsidRPr="00F545D5" w:rsidRDefault="0023338D" w:rsidP="00D72ECE">
      <w:pPr>
        <w:pStyle w:val="FootnoteText"/>
      </w:pPr>
      <w:r w:rsidRPr="00BF6017">
        <w:rPr>
          <w:sz w:val="24"/>
          <w:szCs w:val="24"/>
        </w:rPr>
        <w:t>In t</w:t>
      </w:r>
      <w:r w:rsidR="008D00BE" w:rsidRPr="00BF6017">
        <w:rPr>
          <w:sz w:val="24"/>
          <w:szCs w:val="24"/>
        </w:rPr>
        <w:t>his paper, we contribute to the pedestrian crash</w:t>
      </w:r>
      <w:r w:rsidRPr="00BF6017">
        <w:rPr>
          <w:sz w:val="24"/>
          <w:szCs w:val="24"/>
        </w:rPr>
        <w:t xml:space="preserve"> literature by formulating a </w:t>
      </w:r>
      <w:r w:rsidR="008D00BE" w:rsidRPr="00BF6017">
        <w:rPr>
          <w:sz w:val="24"/>
          <w:szCs w:val="24"/>
        </w:rPr>
        <w:t xml:space="preserve">macro-level </w:t>
      </w:r>
      <w:r w:rsidRPr="00BF6017">
        <w:rPr>
          <w:sz w:val="24"/>
          <w:szCs w:val="24"/>
        </w:rPr>
        <w:t>multivariate</w:t>
      </w:r>
      <w:r w:rsidR="008D00BE" w:rsidRPr="00BF6017">
        <w:rPr>
          <w:sz w:val="24"/>
          <w:szCs w:val="24"/>
        </w:rPr>
        <w:t xml:space="preserve"> model to jointly analyze </w:t>
      </w:r>
      <w:r w:rsidRPr="00BF6017">
        <w:rPr>
          <w:sz w:val="24"/>
          <w:szCs w:val="24"/>
        </w:rPr>
        <w:t>the coun</w:t>
      </w:r>
      <w:r w:rsidR="008D00BE" w:rsidRPr="00BF6017">
        <w:rPr>
          <w:sz w:val="24"/>
          <w:szCs w:val="24"/>
        </w:rPr>
        <w:t xml:space="preserve">t of pedestrians </w:t>
      </w:r>
      <w:r w:rsidRPr="00BF6017">
        <w:rPr>
          <w:sz w:val="24"/>
          <w:szCs w:val="24"/>
        </w:rPr>
        <w:t xml:space="preserve">involved in traffic crashes by </w:t>
      </w:r>
      <w:r w:rsidR="00411902">
        <w:rPr>
          <w:sz w:val="24"/>
          <w:szCs w:val="24"/>
          <w:lang w:val="en-US"/>
        </w:rPr>
        <w:t xml:space="preserve">each of multiple </w:t>
      </w:r>
      <w:r w:rsidRPr="00BF6017">
        <w:rPr>
          <w:sz w:val="24"/>
          <w:szCs w:val="24"/>
        </w:rPr>
        <w:t xml:space="preserve">injury severity </w:t>
      </w:r>
      <w:r w:rsidR="00411902">
        <w:rPr>
          <w:sz w:val="24"/>
          <w:szCs w:val="24"/>
          <w:lang w:val="en-US"/>
        </w:rPr>
        <w:t>levels</w:t>
      </w:r>
      <w:r w:rsidRPr="00BF6017">
        <w:rPr>
          <w:sz w:val="24"/>
          <w:szCs w:val="24"/>
        </w:rPr>
        <w:t xml:space="preserve">. The </w:t>
      </w:r>
      <w:r w:rsidR="008D00BE" w:rsidRPr="00BF6017">
        <w:rPr>
          <w:sz w:val="24"/>
          <w:szCs w:val="24"/>
        </w:rPr>
        <w:t>reader will note that</w:t>
      </w:r>
      <w:r w:rsidR="00411902">
        <w:rPr>
          <w:sz w:val="24"/>
          <w:szCs w:val="24"/>
          <w:lang w:val="en-US"/>
        </w:rPr>
        <w:t>, for each injury severity level,</w:t>
      </w:r>
      <w:r w:rsidR="008D00BE" w:rsidRPr="00BF6017">
        <w:rPr>
          <w:sz w:val="24"/>
          <w:szCs w:val="24"/>
        </w:rPr>
        <w:t xml:space="preserve"> the count variable used in the analysis corresponds to the number of pedestrian injuries </w:t>
      </w:r>
      <w:r w:rsidR="00411902">
        <w:rPr>
          <w:sz w:val="24"/>
          <w:szCs w:val="24"/>
          <w:lang w:val="en-US"/>
        </w:rPr>
        <w:t xml:space="preserve">of that </w:t>
      </w:r>
      <w:r w:rsidR="008D00BE" w:rsidRPr="00BF6017">
        <w:rPr>
          <w:sz w:val="24"/>
          <w:szCs w:val="24"/>
        </w:rPr>
        <w:t>injury severity level w</w:t>
      </w:r>
      <w:r w:rsidR="00CA0783">
        <w:rPr>
          <w:sz w:val="24"/>
          <w:szCs w:val="24"/>
        </w:rPr>
        <w:t>ithin a c</w:t>
      </w:r>
      <w:r w:rsidR="008D00BE" w:rsidRPr="00BF6017">
        <w:rPr>
          <w:sz w:val="24"/>
          <w:szCs w:val="24"/>
        </w:rPr>
        <w:t xml:space="preserve">ensus tract, not the number of crashes within a </w:t>
      </w:r>
      <w:r w:rsidR="00CA0783">
        <w:rPr>
          <w:sz w:val="24"/>
          <w:szCs w:val="24"/>
          <w:lang w:val="en-US"/>
        </w:rPr>
        <w:t>c</w:t>
      </w:r>
      <w:proofErr w:type="spellStart"/>
      <w:r w:rsidR="008D00BE" w:rsidRPr="00BF6017">
        <w:rPr>
          <w:sz w:val="24"/>
          <w:szCs w:val="24"/>
        </w:rPr>
        <w:t>ensus</w:t>
      </w:r>
      <w:proofErr w:type="spellEnd"/>
      <w:r w:rsidR="008D00BE" w:rsidRPr="00BF6017">
        <w:rPr>
          <w:sz w:val="24"/>
          <w:szCs w:val="24"/>
        </w:rPr>
        <w:t xml:space="preserve"> tract by the most severe level of injury incurred by a pedestrian in the crash (the latter approach would not appropriately consider situations where multiple non-motorized individuals are injured, and to different levels, in a single </w:t>
      </w:r>
      <w:r w:rsidR="008D00BE" w:rsidRPr="00BF6017">
        <w:rPr>
          <w:sz w:val="24"/>
          <w:szCs w:val="24"/>
        </w:rPr>
        <w:lastRenderedPageBreak/>
        <w:t>crash</w:t>
      </w:r>
      <w:r w:rsidR="00FE2BD3">
        <w:rPr>
          <w:sz w:val="24"/>
          <w:szCs w:val="24"/>
          <w:lang w:val="en-US"/>
        </w:rPr>
        <w:t>)</w:t>
      </w:r>
      <w:r w:rsidR="008D00BE" w:rsidRPr="00BF6017">
        <w:rPr>
          <w:sz w:val="24"/>
          <w:szCs w:val="24"/>
        </w:rPr>
        <w:t>.</w:t>
      </w:r>
      <w:r w:rsidR="00FE2BD3">
        <w:rPr>
          <w:rStyle w:val="FootnoteReference"/>
          <w:sz w:val="24"/>
          <w:szCs w:val="24"/>
        </w:rPr>
        <w:footnoteReference w:id="2"/>
      </w:r>
      <w:r w:rsidR="008D00BE" w:rsidRPr="00BF6017">
        <w:rPr>
          <w:sz w:val="24"/>
          <w:szCs w:val="24"/>
          <w:lang w:val="en-US"/>
        </w:rPr>
        <w:t xml:space="preserve"> The </w:t>
      </w:r>
      <w:r w:rsidR="008D00BE" w:rsidRPr="00BF6017">
        <w:rPr>
          <w:sz w:val="24"/>
          <w:szCs w:val="24"/>
        </w:rPr>
        <w:t xml:space="preserve">spatial unit </w:t>
      </w:r>
      <w:r w:rsidRPr="00BF6017">
        <w:rPr>
          <w:sz w:val="24"/>
          <w:szCs w:val="24"/>
        </w:rPr>
        <w:t>use</w:t>
      </w:r>
      <w:r w:rsidR="008D00BE" w:rsidRPr="00BF6017">
        <w:rPr>
          <w:sz w:val="24"/>
          <w:szCs w:val="24"/>
          <w:lang w:val="en-US"/>
        </w:rPr>
        <w:t>d</w:t>
      </w:r>
      <w:r w:rsidRPr="00BF6017">
        <w:rPr>
          <w:sz w:val="24"/>
          <w:szCs w:val="24"/>
        </w:rPr>
        <w:t xml:space="preserve"> </w:t>
      </w:r>
      <w:r w:rsidR="008D00BE" w:rsidRPr="00BF6017">
        <w:rPr>
          <w:sz w:val="24"/>
          <w:szCs w:val="24"/>
          <w:lang w:val="en-US"/>
        </w:rPr>
        <w:t xml:space="preserve">in our analysis </w:t>
      </w:r>
      <w:r w:rsidRPr="00BF6017">
        <w:rPr>
          <w:sz w:val="24"/>
          <w:szCs w:val="24"/>
        </w:rPr>
        <w:t>to characterize a “nei</w:t>
      </w:r>
      <w:r w:rsidR="008D00BE" w:rsidRPr="00BF6017">
        <w:rPr>
          <w:sz w:val="24"/>
          <w:szCs w:val="24"/>
        </w:rPr>
        <w:t xml:space="preserve">ghborhood” is the </w:t>
      </w:r>
      <w:r w:rsidR="00CA0783">
        <w:rPr>
          <w:sz w:val="24"/>
          <w:szCs w:val="24"/>
          <w:lang w:val="en-US"/>
        </w:rPr>
        <w:t>c</w:t>
      </w:r>
      <w:proofErr w:type="spellStart"/>
      <w:r w:rsidR="008D00BE" w:rsidRPr="00BF6017">
        <w:rPr>
          <w:sz w:val="24"/>
          <w:szCs w:val="24"/>
        </w:rPr>
        <w:t>ensus</w:t>
      </w:r>
      <w:proofErr w:type="spellEnd"/>
      <w:r w:rsidR="008D00BE" w:rsidRPr="00BF6017">
        <w:rPr>
          <w:sz w:val="24"/>
          <w:szCs w:val="24"/>
        </w:rPr>
        <w:t xml:space="preserve"> tract, which represent</w:t>
      </w:r>
      <w:r w:rsidR="008D00BE" w:rsidRPr="00BF6017">
        <w:rPr>
          <w:sz w:val="24"/>
          <w:szCs w:val="24"/>
          <w:lang w:val="en-US"/>
        </w:rPr>
        <w:t>s</w:t>
      </w:r>
      <w:r w:rsidRPr="00BF6017">
        <w:rPr>
          <w:sz w:val="24"/>
          <w:szCs w:val="24"/>
        </w:rPr>
        <w:t xml:space="preserve"> a reasonably homogenous spatial unit of an urban area (see </w:t>
      </w:r>
      <w:proofErr w:type="spellStart"/>
      <w:r w:rsidRPr="005B6B28">
        <w:rPr>
          <w:sz w:val="24"/>
          <w:szCs w:val="24"/>
        </w:rPr>
        <w:t>Delmelle</w:t>
      </w:r>
      <w:proofErr w:type="spellEnd"/>
      <w:r w:rsidRPr="005B6B28">
        <w:rPr>
          <w:sz w:val="24"/>
          <w:szCs w:val="24"/>
        </w:rPr>
        <w:t xml:space="preserve"> </w:t>
      </w:r>
      <w:r w:rsidRPr="00C7214B">
        <w:rPr>
          <w:sz w:val="24"/>
          <w:szCs w:val="24"/>
        </w:rPr>
        <w:t>et al.</w:t>
      </w:r>
      <w:r w:rsidRPr="000C0297">
        <w:rPr>
          <w:sz w:val="24"/>
          <w:szCs w:val="24"/>
        </w:rPr>
        <w:t>, 2011</w:t>
      </w:r>
      <w:r w:rsidRPr="00BF6017">
        <w:rPr>
          <w:sz w:val="24"/>
          <w:szCs w:val="24"/>
        </w:rPr>
        <w:t xml:space="preserve">). Besides, the </w:t>
      </w:r>
      <w:r w:rsidR="00CA0783">
        <w:rPr>
          <w:sz w:val="24"/>
          <w:szCs w:val="24"/>
          <w:lang w:val="en-US"/>
        </w:rPr>
        <w:t>c</w:t>
      </w:r>
      <w:proofErr w:type="spellStart"/>
      <w:r w:rsidRPr="00BF6017">
        <w:rPr>
          <w:sz w:val="24"/>
          <w:szCs w:val="24"/>
        </w:rPr>
        <w:t>ensus</w:t>
      </w:r>
      <w:proofErr w:type="spellEnd"/>
      <w:r w:rsidRPr="00BF6017">
        <w:rPr>
          <w:sz w:val="24"/>
          <w:szCs w:val="24"/>
        </w:rPr>
        <w:t xml:space="preserve"> directly provides socio-economic data at the level of the </w:t>
      </w:r>
      <w:r w:rsidR="00CA0783">
        <w:rPr>
          <w:sz w:val="24"/>
          <w:szCs w:val="24"/>
          <w:lang w:val="en-US"/>
        </w:rPr>
        <w:t>c</w:t>
      </w:r>
      <w:proofErr w:type="spellStart"/>
      <w:r w:rsidRPr="00BF6017">
        <w:rPr>
          <w:sz w:val="24"/>
          <w:szCs w:val="24"/>
        </w:rPr>
        <w:t>ensus</w:t>
      </w:r>
      <w:proofErr w:type="spellEnd"/>
      <w:r w:rsidRPr="00BF6017">
        <w:rPr>
          <w:sz w:val="24"/>
          <w:szCs w:val="24"/>
        </w:rPr>
        <w:t xml:space="preserve"> tract, facilitating analysis at this spatial scale.</w:t>
      </w:r>
    </w:p>
    <w:p w:rsidR="00A60D44" w:rsidRDefault="009443C0" w:rsidP="00D72ECE">
      <w:pPr>
        <w:pStyle w:val="FootnoteText"/>
      </w:pPr>
      <w:r w:rsidRPr="00BF6017">
        <w:rPr>
          <w:sz w:val="24"/>
          <w:szCs w:val="24"/>
        </w:rPr>
        <w:t>The analysis in this paper, unlike many other macro-level pedestrian injury studies in the literature (see, for example,</w:t>
      </w:r>
      <w:r w:rsidR="00287C86" w:rsidRPr="00BF6017">
        <w:rPr>
          <w:sz w:val="24"/>
          <w:szCs w:val="24"/>
        </w:rPr>
        <w:t xml:space="preserve"> </w:t>
      </w:r>
      <w:proofErr w:type="spellStart"/>
      <w:r w:rsidR="00287C86" w:rsidRPr="00BF6017">
        <w:rPr>
          <w:sz w:val="24"/>
          <w:szCs w:val="24"/>
        </w:rPr>
        <w:t>Moudon</w:t>
      </w:r>
      <w:proofErr w:type="spellEnd"/>
      <w:r w:rsidR="00287C86" w:rsidRPr="00BF6017">
        <w:rPr>
          <w:sz w:val="24"/>
          <w:szCs w:val="24"/>
        </w:rPr>
        <w:t xml:space="preserve"> et al., </w:t>
      </w:r>
      <w:r w:rsidR="000B53B9">
        <w:rPr>
          <w:sz w:val="24"/>
          <w:szCs w:val="24"/>
          <w:lang w:val="en-US"/>
        </w:rPr>
        <w:t>2011</w:t>
      </w:r>
      <w:r w:rsidR="00287C86" w:rsidRPr="00BF6017">
        <w:rPr>
          <w:sz w:val="24"/>
          <w:szCs w:val="24"/>
        </w:rPr>
        <w:t xml:space="preserve">, </w:t>
      </w:r>
      <w:proofErr w:type="spellStart"/>
      <w:r w:rsidR="00287C86" w:rsidRPr="005B6B28">
        <w:rPr>
          <w:sz w:val="24"/>
          <w:szCs w:val="24"/>
        </w:rPr>
        <w:t>Wier</w:t>
      </w:r>
      <w:proofErr w:type="spellEnd"/>
      <w:r w:rsidR="00287C86" w:rsidRPr="005B6B28">
        <w:rPr>
          <w:sz w:val="24"/>
          <w:szCs w:val="24"/>
        </w:rPr>
        <w:t xml:space="preserve"> et al., 20</w:t>
      </w:r>
      <w:r w:rsidR="00684060">
        <w:rPr>
          <w:sz w:val="24"/>
          <w:szCs w:val="24"/>
          <w:lang w:val="en-US"/>
        </w:rPr>
        <w:t>09</w:t>
      </w:r>
      <w:r w:rsidRPr="00BF6017">
        <w:rPr>
          <w:sz w:val="24"/>
          <w:szCs w:val="24"/>
        </w:rPr>
        <w:t xml:space="preserve"> </w:t>
      </w:r>
      <w:r w:rsidR="00287C86" w:rsidRPr="00BF6017">
        <w:rPr>
          <w:sz w:val="24"/>
          <w:szCs w:val="24"/>
        </w:rPr>
        <w:t xml:space="preserve">and </w:t>
      </w:r>
      <w:proofErr w:type="spellStart"/>
      <w:r w:rsidR="007C46D0" w:rsidRPr="005B6B28">
        <w:rPr>
          <w:sz w:val="24"/>
          <w:szCs w:val="24"/>
        </w:rPr>
        <w:t>Cai</w:t>
      </w:r>
      <w:proofErr w:type="spellEnd"/>
      <w:r w:rsidR="007C46D0" w:rsidRPr="005B6B28">
        <w:rPr>
          <w:sz w:val="24"/>
          <w:szCs w:val="24"/>
        </w:rPr>
        <w:t xml:space="preserve"> et al., 2016</w:t>
      </w:r>
      <w:r w:rsidR="007C46D0" w:rsidRPr="00BF6017">
        <w:rPr>
          <w:sz w:val="24"/>
          <w:szCs w:val="24"/>
        </w:rPr>
        <w:t>)</w:t>
      </w:r>
      <w:r w:rsidRPr="00BF6017">
        <w:rPr>
          <w:sz w:val="24"/>
          <w:szCs w:val="24"/>
        </w:rPr>
        <w:t xml:space="preserve">, explicitly acknowledges the need to model pedestrian injuries by injury severity level. </w:t>
      </w:r>
      <w:r w:rsidR="007C46D0" w:rsidRPr="00BF6017">
        <w:rPr>
          <w:sz w:val="24"/>
          <w:szCs w:val="24"/>
        </w:rPr>
        <w:t xml:space="preserve">This is because the risk factors for different types of pedestrian injuries can be very different, as already established by </w:t>
      </w:r>
      <w:proofErr w:type="spellStart"/>
      <w:r w:rsidR="007C46D0" w:rsidRPr="00BF6017">
        <w:rPr>
          <w:sz w:val="24"/>
          <w:szCs w:val="24"/>
        </w:rPr>
        <w:t>Narayanamoorthy</w:t>
      </w:r>
      <w:proofErr w:type="spellEnd"/>
      <w:r w:rsidR="007C46D0" w:rsidRPr="00BF6017">
        <w:rPr>
          <w:sz w:val="24"/>
          <w:szCs w:val="24"/>
        </w:rPr>
        <w:t xml:space="preserve"> et al.</w:t>
      </w:r>
      <w:r w:rsidR="009D6D31">
        <w:rPr>
          <w:sz w:val="24"/>
          <w:szCs w:val="24"/>
          <w:lang w:val="en-US"/>
        </w:rPr>
        <w:t xml:space="preserve"> (</w:t>
      </w:r>
      <w:r w:rsidR="007C46D0" w:rsidRPr="00BF6017">
        <w:rPr>
          <w:sz w:val="24"/>
          <w:szCs w:val="24"/>
        </w:rPr>
        <w:t>2013</w:t>
      </w:r>
      <w:r w:rsidR="009D6D31">
        <w:rPr>
          <w:sz w:val="24"/>
          <w:szCs w:val="24"/>
          <w:lang w:val="en-US"/>
        </w:rPr>
        <w:t>)</w:t>
      </w:r>
      <w:r w:rsidR="001F1F1D">
        <w:rPr>
          <w:sz w:val="24"/>
          <w:szCs w:val="24"/>
          <w:lang w:val="en-US"/>
        </w:rPr>
        <w:t xml:space="preserve"> and</w:t>
      </w:r>
      <w:r w:rsidR="00C61F85">
        <w:rPr>
          <w:sz w:val="24"/>
          <w:szCs w:val="24"/>
          <w:lang w:val="en-US"/>
        </w:rPr>
        <w:t xml:space="preserve"> </w:t>
      </w:r>
      <w:proofErr w:type="spellStart"/>
      <w:r w:rsidR="007C46D0" w:rsidRPr="005B6B28">
        <w:rPr>
          <w:sz w:val="24"/>
          <w:szCs w:val="24"/>
        </w:rPr>
        <w:t>Amoh-Gyimah</w:t>
      </w:r>
      <w:proofErr w:type="spellEnd"/>
      <w:r w:rsidR="007C46D0" w:rsidRPr="005B6B28">
        <w:rPr>
          <w:sz w:val="24"/>
          <w:szCs w:val="24"/>
        </w:rPr>
        <w:t xml:space="preserve"> et al.</w:t>
      </w:r>
      <w:r w:rsidR="009D6D31">
        <w:rPr>
          <w:sz w:val="24"/>
          <w:szCs w:val="24"/>
          <w:lang w:val="en-US"/>
        </w:rPr>
        <w:t xml:space="preserve"> (</w:t>
      </w:r>
      <w:r w:rsidR="007C46D0" w:rsidRPr="005B6B28">
        <w:rPr>
          <w:sz w:val="24"/>
          <w:szCs w:val="24"/>
        </w:rPr>
        <w:t>2016</w:t>
      </w:r>
      <w:r w:rsidR="009D6D31">
        <w:rPr>
          <w:sz w:val="24"/>
          <w:szCs w:val="24"/>
          <w:lang w:val="en-US"/>
        </w:rPr>
        <w:t>)</w:t>
      </w:r>
      <w:r w:rsidR="007C46D0" w:rsidRPr="00BF6017">
        <w:rPr>
          <w:sz w:val="24"/>
          <w:szCs w:val="24"/>
        </w:rPr>
        <w:t xml:space="preserve">.  </w:t>
      </w:r>
      <w:r w:rsidR="00C95477" w:rsidRPr="00BF6017">
        <w:rPr>
          <w:sz w:val="24"/>
          <w:szCs w:val="24"/>
        </w:rPr>
        <w:t>An u</w:t>
      </w:r>
      <w:r w:rsidR="007C46D0" w:rsidRPr="00BF6017">
        <w:rPr>
          <w:sz w:val="24"/>
          <w:szCs w:val="24"/>
        </w:rPr>
        <w:t xml:space="preserve">nderstanding </w:t>
      </w:r>
      <w:r w:rsidR="00C95477" w:rsidRPr="00BF6017">
        <w:rPr>
          <w:sz w:val="24"/>
          <w:szCs w:val="24"/>
        </w:rPr>
        <w:t>of these variations is</w:t>
      </w:r>
      <w:r w:rsidR="007C46D0" w:rsidRPr="00BF6017">
        <w:rPr>
          <w:sz w:val="24"/>
          <w:szCs w:val="24"/>
        </w:rPr>
        <w:t xml:space="preserve"> critical to</w:t>
      </w:r>
      <w:r w:rsidR="00C95477" w:rsidRPr="00BF6017">
        <w:rPr>
          <w:sz w:val="24"/>
          <w:szCs w:val="24"/>
        </w:rPr>
        <w:t xml:space="preserve"> the identification and</w:t>
      </w:r>
      <w:r w:rsidR="007C46D0" w:rsidRPr="00BF6017">
        <w:rPr>
          <w:sz w:val="24"/>
          <w:szCs w:val="24"/>
        </w:rPr>
        <w:t xml:space="preserve"> </w:t>
      </w:r>
      <w:r w:rsidR="00C95477" w:rsidRPr="00BF6017">
        <w:rPr>
          <w:sz w:val="24"/>
          <w:szCs w:val="24"/>
        </w:rPr>
        <w:t>prioritization of planning, educational, and enforcement safety countermeasure efforts</w:t>
      </w:r>
      <w:r w:rsidR="00445E67" w:rsidRPr="00BF6017">
        <w:rPr>
          <w:sz w:val="24"/>
          <w:szCs w:val="24"/>
        </w:rPr>
        <w:t xml:space="preserve">, particularly because </w:t>
      </w:r>
      <w:r w:rsidR="00234057" w:rsidRPr="00BF6017">
        <w:rPr>
          <w:sz w:val="24"/>
          <w:szCs w:val="24"/>
        </w:rPr>
        <w:t>the financial and other costs of c</w:t>
      </w:r>
      <w:r w:rsidR="00445E67" w:rsidRPr="00BF6017">
        <w:rPr>
          <w:sz w:val="24"/>
          <w:szCs w:val="24"/>
        </w:rPr>
        <w:t>rashes</w:t>
      </w:r>
      <w:r w:rsidR="00234057" w:rsidRPr="00BF6017">
        <w:rPr>
          <w:sz w:val="24"/>
          <w:szCs w:val="24"/>
        </w:rPr>
        <w:t xml:space="preserve"> va</w:t>
      </w:r>
      <w:r w:rsidR="00445E67" w:rsidRPr="00BF6017">
        <w:rPr>
          <w:sz w:val="24"/>
          <w:szCs w:val="24"/>
        </w:rPr>
        <w:t xml:space="preserve">ry substantially based on the nature and extent of injuries sustained (see </w:t>
      </w:r>
      <w:r w:rsidR="00445E67" w:rsidRPr="005B6B28">
        <w:rPr>
          <w:sz w:val="24"/>
          <w:szCs w:val="24"/>
        </w:rPr>
        <w:t>Wang et al</w:t>
      </w:r>
      <w:r w:rsidR="00445E67" w:rsidRPr="006D0744">
        <w:rPr>
          <w:sz w:val="24"/>
          <w:szCs w:val="24"/>
        </w:rPr>
        <w:t>.,</w:t>
      </w:r>
      <w:r w:rsidR="00445E67" w:rsidRPr="000C0297">
        <w:rPr>
          <w:sz w:val="24"/>
          <w:szCs w:val="24"/>
        </w:rPr>
        <w:t xml:space="preserve"> 2011</w:t>
      </w:r>
      <w:r w:rsidR="0070738A" w:rsidRPr="00BF6017">
        <w:rPr>
          <w:sz w:val="24"/>
          <w:szCs w:val="24"/>
        </w:rPr>
        <w:t xml:space="preserve"> and </w:t>
      </w:r>
      <w:proofErr w:type="spellStart"/>
      <w:r w:rsidR="0070738A" w:rsidRPr="00BF6017">
        <w:rPr>
          <w:sz w:val="24"/>
          <w:szCs w:val="24"/>
        </w:rPr>
        <w:t>Blincoe</w:t>
      </w:r>
      <w:proofErr w:type="spellEnd"/>
      <w:r w:rsidR="0070738A" w:rsidRPr="00BF6017">
        <w:rPr>
          <w:sz w:val="24"/>
          <w:szCs w:val="24"/>
        </w:rPr>
        <w:t xml:space="preserve"> et al</w:t>
      </w:r>
      <w:r w:rsidR="006D0744">
        <w:rPr>
          <w:sz w:val="24"/>
          <w:szCs w:val="24"/>
          <w:lang w:val="en-US"/>
        </w:rPr>
        <w:t>.</w:t>
      </w:r>
      <w:r w:rsidR="0070738A" w:rsidRPr="00BF6017">
        <w:rPr>
          <w:sz w:val="24"/>
          <w:szCs w:val="24"/>
        </w:rPr>
        <w:t>, 2015</w:t>
      </w:r>
      <w:r w:rsidR="00445E67" w:rsidRPr="00BF6017">
        <w:rPr>
          <w:sz w:val="24"/>
          <w:szCs w:val="24"/>
        </w:rPr>
        <w:t>).</w:t>
      </w:r>
      <w:r w:rsidR="001A2030">
        <w:rPr>
          <w:sz w:val="24"/>
          <w:szCs w:val="24"/>
          <w:lang w:val="en-US"/>
        </w:rPr>
        <w:t xml:space="preserve"> </w:t>
      </w:r>
      <w:r w:rsidR="001A2030" w:rsidRPr="00B141A3">
        <w:rPr>
          <w:sz w:val="24"/>
          <w:szCs w:val="24"/>
        </w:rPr>
        <w:t>For example, a tract with four pedestrian fatalities over a given time period should be considered more hazardous than a tract where four pedestrians are injured in a non-incapacitating manner ov</w:t>
      </w:r>
      <w:r w:rsidR="001A2030">
        <w:rPr>
          <w:sz w:val="24"/>
          <w:szCs w:val="24"/>
        </w:rPr>
        <w:t>er the same time period. I</w:t>
      </w:r>
      <w:r w:rsidR="001A2030" w:rsidRPr="00B141A3">
        <w:rPr>
          <w:sz w:val="24"/>
          <w:szCs w:val="24"/>
        </w:rPr>
        <w:t xml:space="preserve">n terms of site ranking for improvement or effective informational campaign strategies, it is important to identify the risk factors of the first tract that make it particularly vulnerable to fatal pedestrian injuries. </w:t>
      </w:r>
      <w:r w:rsidR="00234057" w:rsidRPr="00BF6017">
        <w:rPr>
          <w:sz w:val="24"/>
          <w:szCs w:val="24"/>
        </w:rPr>
        <w:t xml:space="preserve"> </w:t>
      </w:r>
    </w:p>
    <w:p w:rsidR="00C95477" w:rsidRPr="008159D4" w:rsidRDefault="00234057" w:rsidP="00D72ECE">
      <w:pPr>
        <w:pStyle w:val="FootnoteText"/>
        <w:rPr>
          <w:lang w:val="en-US"/>
        </w:rPr>
      </w:pPr>
      <w:r w:rsidRPr="00BF6017">
        <w:rPr>
          <w:sz w:val="24"/>
          <w:szCs w:val="24"/>
        </w:rPr>
        <w:t xml:space="preserve">Even as analysts </w:t>
      </w:r>
      <w:r w:rsidR="0070738A" w:rsidRPr="00BF6017">
        <w:rPr>
          <w:sz w:val="24"/>
          <w:szCs w:val="24"/>
        </w:rPr>
        <w:t>need to recognize the differential risk factors for different pedestrian injury severity levels</w:t>
      </w:r>
      <w:r w:rsidRPr="00BF6017">
        <w:rPr>
          <w:sz w:val="24"/>
          <w:szCs w:val="24"/>
        </w:rPr>
        <w:t xml:space="preserve">, it is also important to recognize </w:t>
      </w:r>
      <w:r w:rsidR="0070738A" w:rsidRPr="00BF6017">
        <w:rPr>
          <w:sz w:val="24"/>
          <w:szCs w:val="24"/>
        </w:rPr>
        <w:t>the multivariate nature of the injury counts by injury severity level</w:t>
      </w:r>
      <w:r w:rsidR="00FE2BD3" w:rsidRPr="00BF6017">
        <w:rPr>
          <w:sz w:val="24"/>
          <w:szCs w:val="24"/>
          <w:lang w:val="en-US"/>
        </w:rPr>
        <w:t xml:space="preserve"> within each </w:t>
      </w:r>
      <w:r w:rsidR="00CA0783">
        <w:rPr>
          <w:sz w:val="24"/>
          <w:szCs w:val="24"/>
          <w:lang w:val="en-US"/>
        </w:rPr>
        <w:t>c</w:t>
      </w:r>
      <w:r w:rsidR="00FE2BD3" w:rsidRPr="00BF6017">
        <w:rPr>
          <w:sz w:val="24"/>
          <w:szCs w:val="24"/>
          <w:lang w:val="en-US"/>
        </w:rPr>
        <w:t>ensus tract</w:t>
      </w:r>
      <w:r w:rsidR="00446A72">
        <w:rPr>
          <w:sz w:val="24"/>
          <w:szCs w:val="24"/>
          <w:lang w:val="en-US"/>
        </w:rPr>
        <w:t xml:space="preserve"> </w:t>
      </w:r>
      <w:r w:rsidR="00764B14" w:rsidRPr="00BF6017">
        <w:rPr>
          <w:sz w:val="24"/>
          <w:szCs w:val="24"/>
          <w:lang w:val="en-US"/>
        </w:rPr>
        <w:t xml:space="preserve">(as opposed to independently modeling the count of pedestrian injuries by severity level; see, for example, the univariate count models by severity level in </w:t>
      </w:r>
      <w:proofErr w:type="spellStart"/>
      <w:r w:rsidR="00764B14" w:rsidRPr="00BF6017">
        <w:rPr>
          <w:sz w:val="24"/>
          <w:szCs w:val="24"/>
          <w:lang w:val="en-US"/>
        </w:rPr>
        <w:t>Amoh-Gyimah</w:t>
      </w:r>
      <w:proofErr w:type="spellEnd"/>
      <w:r w:rsidR="00764B14" w:rsidRPr="00BF6017">
        <w:rPr>
          <w:sz w:val="24"/>
          <w:szCs w:val="24"/>
          <w:lang w:val="en-US"/>
        </w:rPr>
        <w:t xml:space="preserve"> et al., 2016)</w:t>
      </w:r>
      <w:r w:rsidRPr="00BF6017">
        <w:rPr>
          <w:sz w:val="24"/>
          <w:szCs w:val="24"/>
        </w:rPr>
        <w:t xml:space="preserve">. </w:t>
      </w:r>
      <w:r w:rsidR="00411902">
        <w:rPr>
          <w:sz w:val="24"/>
          <w:szCs w:val="24"/>
          <w:lang w:val="en-US"/>
        </w:rPr>
        <w:t>In particular</w:t>
      </w:r>
      <w:r w:rsidR="0088159A" w:rsidRPr="00BF6017">
        <w:rPr>
          <w:sz w:val="24"/>
          <w:szCs w:val="24"/>
          <w:lang w:val="en-US"/>
        </w:rPr>
        <w:t xml:space="preserve">, there may be unobserved </w:t>
      </w:r>
      <w:r w:rsidR="00CA0783">
        <w:rPr>
          <w:sz w:val="24"/>
          <w:szCs w:val="24"/>
          <w:lang w:val="en-US"/>
        </w:rPr>
        <w:t>c</w:t>
      </w:r>
      <w:proofErr w:type="spellStart"/>
      <w:r w:rsidR="00FE2BD3" w:rsidRPr="00BF6017">
        <w:rPr>
          <w:sz w:val="24"/>
          <w:szCs w:val="24"/>
        </w:rPr>
        <w:t>ensus</w:t>
      </w:r>
      <w:proofErr w:type="spellEnd"/>
      <w:r w:rsidR="00FE2BD3" w:rsidRPr="00BF6017">
        <w:rPr>
          <w:sz w:val="24"/>
          <w:szCs w:val="24"/>
        </w:rPr>
        <w:t xml:space="preserve"> tract factors that (1) </w:t>
      </w:r>
      <w:r w:rsidR="0088159A" w:rsidRPr="00BF6017">
        <w:rPr>
          <w:sz w:val="24"/>
          <w:szCs w:val="24"/>
        </w:rPr>
        <w:t xml:space="preserve">intrinsically impact </w:t>
      </w:r>
      <w:r w:rsidR="00FE2BD3" w:rsidRPr="00BF6017">
        <w:rPr>
          <w:sz w:val="24"/>
          <w:szCs w:val="24"/>
        </w:rPr>
        <w:t xml:space="preserve">pedestrian injuries </w:t>
      </w:r>
      <w:r w:rsidR="0088159A" w:rsidRPr="00BF6017">
        <w:rPr>
          <w:sz w:val="24"/>
          <w:szCs w:val="24"/>
          <w:lang w:val="en-US"/>
        </w:rPr>
        <w:t xml:space="preserve">in specific ways </w:t>
      </w:r>
      <w:r w:rsidR="0088159A" w:rsidRPr="00BF6017">
        <w:rPr>
          <w:sz w:val="24"/>
          <w:szCs w:val="24"/>
        </w:rPr>
        <w:t xml:space="preserve">across </w:t>
      </w:r>
      <w:r w:rsidR="00FE2BD3" w:rsidRPr="00BF6017">
        <w:rPr>
          <w:sz w:val="24"/>
          <w:szCs w:val="24"/>
        </w:rPr>
        <w:t xml:space="preserve">injury levels (for example, the absence of sidewalks in a </w:t>
      </w:r>
      <w:r w:rsidR="00CA0783">
        <w:rPr>
          <w:sz w:val="24"/>
          <w:szCs w:val="24"/>
          <w:lang w:val="en-US"/>
        </w:rPr>
        <w:t>c</w:t>
      </w:r>
      <w:proofErr w:type="spellStart"/>
      <w:r w:rsidR="00FE2BD3" w:rsidRPr="00BF6017">
        <w:rPr>
          <w:sz w:val="24"/>
          <w:szCs w:val="24"/>
        </w:rPr>
        <w:t>ensus</w:t>
      </w:r>
      <w:proofErr w:type="spellEnd"/>
      <w:r w:rsidR="00FE2BD3" w:rsidRPr="00BF6017">
        <w:rPr>
          <w:sz w:val="24"/>
          <w:szCs w:val="24"/>
        </w:rPr>
        <w:t xml:space="preserve"> tract may lead to a general increase in risk propensity for pedestrians across all injury levels), </w:t>
      </w:r>
      <w:r w:rsidR="0088159A" w:rsidRPr="00BF6017">
        <w:rPr>
          <w:sz w:val="24"/>
          <w:szCs w:val="24"/>
          <w:lang w:val="en-US"/>
        </w:rPr>
        <w:t xml:space="preserve">and </w:t>
      </w:r>
      <w:r w:rsidR="0088159A" w:rsidRPr="00BF6017">
        <w:rPr>
          <w:sz w:val="24"/>
          <w:szCs w:val="24"/>
        </w:rPr>
        <w:t>(2</w:t>
      </w:r>
      <w:r w:rsidR="00FE2BD3" w:rsidRPr="00BF6017">
        <w:rPr>
          <w:sz w:val="24"/>
          <w:szCs w:val="24"/>
        </w:rPr>
        <w:t xml:space="preserve">) </w:t>
      </w:r>
      <w:r w:rsidR="0088159A" w:rsidRPr="00BF6017">
        <w:rPr>
          <w:sz w:val="24"/>
          <w:szCs w:val="24"/>
          <w:lang w:val="en-US"/>
        </w:rPr>
        <w:t xml:space="preserve">moderate the effect of an exogenous variable on the risk for different injury levels (for example, </w:t>
      </w:r>
      <w:r w:rsidR="00F771CE" w:rsidRPr="00BF6017">
        <w:rPr>
          <w:sz w:val="24"/>
          <w:szCs w:val="24"/>
          <w:lang w:val="en-US"/>
        </w:rPr>
        <w:t xml:space="preserve">the absence of sidewalks may increase the impact of </w:t>
      </w:r>
      <w:r w:rsidR="00837B3C" w:rsidRPr="00BF6017">
        <w:rPr>
          <w:sz w:val="24"/>
          <w:szCs w:val="24"/>
          <w:lang w:val="en-US"/>
        </w:rPr>
        <w:t>an exposure proxy variable such as population density on the risk for all injury severity levels</w:t>
      </w:r>
      <w:r w:rsidR="0088159A" w:rsidRPr="00BF6017">
        <w:rPr>
          <w:sz w:val="24"/>
          <w:szCs w:val="24"/>
          <w:lang w:val="en-US"/>
        </w:rPr>
        <w:t xml:space="preserve">). </w:t>
      </w:r>
      <w:r w:rsidR="00F771CE" w:rsidRPr="00BF6017">
        <w:rPr>
          <w:sz w:val="24"/>
          <w:szCs w:val="24"/>
          <w:lang w:val="en-US"/>
        </w:rPr>
        <w:t xml:space="preserve">For each </w:t>
      </w:r>
      <w:r w:rsidR="00CA0783">
        <w:rPr>
          <w:sz w:val="24"/>
          <w:szCs w:val="24"/>
          <w:lang w:val="en-US"/>
        </w:rPr>
        <w:t>c</w:t>
      </w:r>
      <w:r w:rsidR="00F771CE" w:rsidRPr="00BF6017">
        <w:rPr>
          <w:sz w:val="24"/>
          <w:szCs w:val="24"/>
          <w:lang w:val="en-US"/>
        </w:rPr>
        <w:t xml:space="preserve">ensus tract, the first </w:t>
      </w:r>
      <w:r w:rsidR="00837B3C" w:rsidRPr="00BF6017">
        <w:rPr>
          <w:sz w:val="24"/>
          <w:szCs w:val="24"/>
          <w:lang w:val="en-US"/>
        </w:rPr>
        <w:t xml:space="preserve">effect </w:t>
      </w:r>
      <w:r w:rsidR="00764B14" w:rsidRPr="00BF6017">
        <w:rPr>
          <w:sz w:val="24"/>
          <w:szCs w:val="24"/>
          <w:lang w:val="en-US"/>
        </w:rPr>
        <w:t xml:space="preserve">above </w:t>
      </w:r>
      <w:r w:rsidR="00837B3C" w:rsidRPr="00BF6017">
        <w:rPr>
          <w:sz w:val="24"/>
          <w:szCs w:val="24"/>
          <w:lang w:val="en-US"/>
        </w:rPr>
        <w:t xml:space="preserve">generates a covariance across the intrinsic risks of </w:t>
      </w:r>
      <w:r w:rsidR="00837B3C" w:rsidRPr="00BF6017">
        <w:rPr>
          <w:sz w:val="24"/>
          <w:szCs w:val="24"/>
          <w:lang w:val="en-US"/>
        </w:rPr>
        <w:lastRenderedPageBreak/>
        <w:t>different injury levels</w:t>
      </w:r>
      <w:r w:rsidR="000456D7">
        <w:rPr>
          <w:sz w:val="24"/>
          <w:szCs w:val="24"/>
          <w:lang w:val="en-US"/>
        </w:rPr>
        <w:t xml:space="preserve"> (cross injury severity level </w:t>
      </w:r>
      <w:r w:rsidR="00C93E40">
        <w:rPr>
          <w:sz w:val="24"/>
          <w:szCs w:val="24"/>
          <w:lang w:val="en-US"/>
        </w:rPr>
        <w:t xml:space="preserve">risk covariance due to </w:t>
      </w:r>
      <w:r w:rsidR="00411902">
        <w:rPr>
          <w:sz w:val="24"/>
          <w:szCs w:val="24"/>
          <w:lang w:val="en-US"/>
        </w:rPr>
        <w:t xml:space="preserve">unobserved intrinsic tract-specific factors that lead to </w:t>
      </w:r>
      <w:r w:rsidR="00C93E40">
        <w:rPr>
          <w:sz w:val="24"/>
          <w:szCs w:val="24"/>
          <w:lang w:val="en-US"/>
        </w:rPr>
        <w:t xml:space="preserve">constant heterogeneity or CH </w:t>
      </w:r>
      <w:r w:rsidR="00411902">
        <w:rPr>
          <w:sz w:val="24"/>
          <w:szCs w:val="24"/>
          <w:lang w:val="en-US"/>
        </w:rPr>
        <w:t>across tracts</w:t>
      </w:r>
      <w:r w:rsidR="00C93E40">
        <w:rPr>
          <w:sz w:val="24"/>
          <w:szCs w:val="24"/>
          <w:lang w:val="en-US"/>
        </w:rPr>
        <w:t>)</w:t>
      </w:r>
      <w:r w:rsidR="00837B3C" w:rsidRPr="00BF6017">
        <w:rPr>
          <w:sz w:val="24"/>
          <w:szCs w:val="24"/>
          <w:lang w:val="en-US"/>
        </w:rPr>
        <w:t>, while the second effect generates a covariance across the effects of an exogenous variable on different injury levels</w:t>
      </w:r>
      <w:r w:rsidR="00C93E40">
        <w:rPr>
          <w:sz w:val="24"/>
          <w:szCs w:val="24"/>
          <w:lang w:val="en-US"/>
        </w:rPr>
        <w:t xml:space="preserve"> (cross injury severity level risk covariance due to </w:t>
      </w:r>
      <w:r w:rsidR="00411902">
        <w:rPr>
          <w:sz w:val="24"/>
          <w:szCs w:val="24"/>
          <w:lang w:val="en-US"/>
        </w:rPr>
        <w:t xml:space="preserve">unobserved tract-specific factors that moderate the effect of an exogenous variable, leading to </w:t>
      </w:r>
      <w:r w:rsidR="00C93E40">
        <w:rPr>
          <w:sz w:val="24"/>
          <w:szCs w:val="24"/>
          <w:lang w:val="en-US"/>
        </w:rPr>
        <w:t xml:space="preserve">slope heterogeneity or SH </w:t>
      </w:r>
      <w:r w:rsidR="00411902">
        <w:rPr>
          <w:sz w:val="24"/>
          <w:szCs w:val="24"/>
          <w:lang w:val="en-US"/>
        </w:rPr>
        <w:t>across tracts)</w:t>
      </w:r>
      <w:r w:rsidR="00837B3C" w:rsidRPr="00BF6017">
        <w:rPr>
          <w:sz w:val="24"/>
          <w:szCs w:val="24"/>
          <w:lang w:val="en-US"/>
        </w:rPr>
        <w:t xml:space="preserve">. </w:t>
      </w:r>
      <w:r w:rsidRPr="00BF6017">
        <w:rPr>
          <w:sz w:val="24"/>
          <w:szCs w:val="24"/>
        </w:rPr>
        <w:t>Of cours</w:t>
      </w:r>
      <w:r w:rsidR="0088159A" w:rsidRPr="00BF6017">
        <w:rPr>
          <w:sz w:val="24"/>
          <w:szCs w:val="24"/>
        </w:rPr>
        <w:t>e, by definition, these effects</w:t>
      </w:r>
      <w:r w:rsidRPr="00BF6017">
        <w:rPr>
          <w:sz w:val="24"/>
          <w:szCs w:val="24"/>
        </w:rPr>
        <w:t xml:space="preserve"> correspond to unobserved factors, and one can only speculate </w:t>
      </w:r>
      <w:r w:rsidR="00957794">
        <w:rPr>
          <w:sz w:val="24"/>
          <w:szCs w:val="24"/>
          <w:lang w:val="en-US"/>
        </w:rPr>
        <w:t xml:space="preserve">on </w:t>
      </w:r>
      <w:r w:rsidRPr="00BF6017">
        <w:rPr>
          <w:sz w:val="24"/>
          <w:szCs w:val="24"/>
        </w:rPr>
        <w:t>what these unobserved fac</w:t>
      </w:r>
      <w:r w:rsidR="00837B3C" w:rsidRPr="00BF6017">
        <w:rPr>
          <w:sz w:val="24"/>
          <w:szCs w:val="24"/>
        </w:rPr>
        <w:t>tors may be. The important point is that the analyst should ac</w:t>
      </w:r>
      <w:r w:rsidRPr="00BF6017">
        <w:rPr>
          <w:sz w:val="24"/>
          <w:szCs w:val="24"/>
        </w:rPr>
        <w:t xml:space="preserve">knowledge and test the potential presence of </w:t>
      </w:r>
      <w:r w:rsidR="00837B3C" w:rsidRPr="00BF6017">
        <w:rPr>
          <w:sz w:val="24"/>
          <w:szCs w:val="24"/>
          <w:lang w:val="en-US"/>
        </w:rPr>
        <w:t xml:space="preserve">such effects, </w:t>
      </w:r>
      <w:r w:rsidRPr="00BF6017">
        <w:rPr>
          <w:sz w:val="24"/>
          <w:szCs w:val="24"/>
        </w:rPr>
        <w:t>leading to the need for a multivariate count</w:t>
      </w:r>
      <w:r w:rsidR="0088159A" w:rsidRPr="00BF6017">
        <w:rPr>
          <w:sz w:val="24"/>
          <w:szCs w:val="24"/>
        </w:rPr>
        <w:t xml:space="preserve"> model system for pedestrian injuries by injury severity level</w:t>
      </w:r>
      <w:r w:rsidRPr="00BF6017">
        <w:rPr>
          <w:sz w:val="24"/>
          <w:szCs w:val="24"/>
        </w:rPr>
        <w:t xml:space="preserve">. </w:t>
      </w:r>
      <w:r w:rsidR="00C61F85">
        <w:rPr>
          <w:sz w:val="24"/>
          <w:szCs w:val="24"/>
          <w:lang w:val="en-US"/>
        </w:rPr>
        <w:t xml:space="preserve">In the </w:t>
      </w:r>
      <w:r w:rsidR="00957794">
        <w:rPr>
          <w:sz w:val="24"/>
          <w:szCs w:val="24"/>
          <w:lang w:val="en-US"/>
        </w:rPr>
        <w:t xml:space="preserve">crash </w:t>
      </w:r>
      <w:r w:rsidR="00C61F85">
        <w:rPr>
          <w:sz w:val="24"/>
          <w:szCs w:val="24"/>
          <w:lang w:val="en-US"/>
        </w:rPr>
        <w:t xml:space="preserve">literature, </w:t>
      </w:r>
      <w:proofErr w:type="spellStart"/>
      <w:r w:rsidR="00957794">
        <w:rPr>
          <w:sz w:val="24"/>
          <w:szCs w:val="24"/>
          <w:lang w:val="en-US"/>
        </w:rPr>
        <w:t>multivariateness</w:t>
      </w:r>
      <w:proofErr w:type="spellEnd"/>
      <w:r w:rsidR="00957794">
        <w:rPr>
          <w:sz w:val="24"/>
          <w:szCs w:val="24"/>
          <w:lang w:val="en-US"/>
        </w:rPr>
        <w:t xml:space="preserve"> is almost exclusively accommodated through </w:t>
      </w:r>
      <w:r w:rsidR="00C61F85">
        <w:rPr>
          <w:sz w:val="24"/>
          <w:szCs w:val="24"/>
          <w:lang w:val="en-US"/>
        </w:rPr>
        <w:t xml:space="preserve">cross injury risk covariance due to </w:t>
      </w:r>
      <w:r w:rsidR="00957794">
        <w:rPr>
          <w:sz w:val="24"/>
          <w:szCs w:val="24"/>
          <w:lang w:val="en-US"/>
        </w:rPr>
        <w:t>CH (see, for example, Huang et al., 2017)</w:t>
      </w:r>
      <w:r w:rsidR="003354F1">
        <w:rPr>
          <w:sz w:val="24"/>
          <w:szCs w:val="24"/>
          <w:lang w:val="en-US"/>
        </w:rPr>
        <w:t xml:space="preserve">; </w:t>
      </w:r>
      <w:r w:rsidR="00C61F85">
        <w:rPr>
          <w:sz w:val="24"/>
          <w:szCs w:val="24"/>
          <w:lang w:val="en-US"/>
        </w:rPr>
        <w:t xml:space="preserve">we are not aware of </w:t>
      </w:r>
      <w:proofErr w:type="spellStart"/>
      <w:r w:rsidR="00957794">
        <w:rPr>
          <w:sz w:val="24"/>
          <w:szCs w:val="24"/>
          <w:lang w:val="en-US"/>
        </w:rPr>
        <w:t>multivariateness</w:t>
      </w:r>
      <w:proofErr w:type="spellEnd"/>
      <w:r w:rsidR="00957794">
        <w:rPr>
          <w:sz w:val="24"/>
          <w:szCs w:val="24"/>
          <w:lang w:val="en-US"/>
        </w:rPr>
        <w:t xml:space="preserve"> generated by </w:t>
      </w:r>
      <w:r w:rsidR="00C61F85">
        <w:rPr>
          <w:sz w:val="24"/>
          <w:szCs w:val="24"/>
          <w:lang w:val="en-US"/>
        </w:rPr>
        <w:t xml:space="preserve">cross injury risk covariance due to SH being considered. </w:t>
      </w:r>
    </w:p>
    <w:p w:rsidR="007D2E70" w:rsidRDefault="007D2E70" w:rsidP="00D72ECE">
      <w:pPr>
        <w:ind w:firstLine="432"/>
      </w:pPr>
      <w:r>
        <w:t xml:space="preserve">Another important issue </w:t>
      </w:r>
      <w:r w:rsidRPr="00691CF7">
        <w:t xml:space="preserve">in the modeling of crashes is </w:t>
      </w:r>
      <w:r w:rsidR="00C01972">
        <w:t>t</w:t>
      </w:r>
      <w:r w:rsidR="009950C6">
        <w:t xml:space="preserve">o acknowledge </w:t>
      </w:r>
      <w:r w:rsidRPr="00691CF7">
        <w:t xml:space="preserve">unobserved </w:t>
      </w:r>
      <w:r>
        <w:t>location</w:t>
      </w:r>
      <w:r w:rsidR="00A60D44">
        <w:t>-based</w:t>
      </w:r>
      <w:r w:rsidRPr="00691CF7">
        <w:t xml:space="preserve"> heterogeneity</w:t>
      </w:r>
      <w:r>
        <w:t xml:space="preserve"> </w:t>
      </w:r>
      <w:r w:rsidR="00C01972">
        <w:t xml:space="preserve">effects </w:t>
      </w:r>
      <w:r>
        <w:t>(in</w:t>
      </w:r>
      <w:r w:rsidR="00A60D44">
        <w:t xml:space="preserve"> our case, </w:t>
      </w:r>
      <w:r w:rsidR="009950C6">
        <w:t xml:space="preserve">dependency in the </w:t>
      </w:r>
      <w:r w:rsidR="00CA0783">
        <w:t>c</w:t>
      </w:r>
      <w:r w:rsidR="00A60D44">
        <w:t>ensus tract-based</w:t>
      </w:r>
      <w:r>
        <w:t xml:space="preserve"> </w:t>
      </w:r>
      <w:r w:rsidR="009950C6">
        <w:t xml:space="preserve">spatial </w:t>
      </w:r>
      <w:r>
        <w:t>heterogeneity</w:t>
      </w:r>
      <w:r w:rsidR="00C01972">
        <w:t xml:space="preserve"> effects</w:t>
      </w:r>
      <w:r w:rsidR="00411902">
        <w:t>; see Mannering et al., 2016</w:t>
      </w:r>
      <w:r>
        <w:t>)</w:t>
      </w:r>
      <w:r w:rsidRPr="00691CF7">
        <w:t xml:space="preserve">. This is </w:t>
      </w:r>
      <w:r>
        <w:t xml:space="preserve">very </w:t>
      </w:r>
      <w:r w:rsidRPr="00691CF7">
        <w:t>closely related to the need for a multivariate system as discussed in the previous paragraph</w:t>
      </w:r>
      <w:r>
        <w:t xml:space="preserve">. Indeed, as discussed earlier, we generate </w:t>
      </w:r>
      <w:proofErr w:type="spellStart"/>
      <w:r>
        <w:t>multivariateness</w:t>
      </w:r>
      <w:proofErr w:type="spellEnd"/>
      <w:r>
        <w:t xml:space="preserve"> through the CH and SH effects, which immediately imply unobserved census tract heterogeneity </w:t>
      </w:r>
      <w:r w:rsidR="00EE3ADB">
        <w:t xml:space="preserve">(or spatial heterogeneity) </w:t>
      </w:r>
      <w:r>
        <w:t>in the risks</w:t>
      </w:r>
      <w:r w:rsidR="00076A2D">
        <w:t xml:space="preserve"> (a model with both CH and SH effects is generally referred to as a random coefficients or random parameters model)</w:t>
      </w:r>
      <w:r>
        <w:t>. But the multivariate specification by itself does not accommodate</w:t>
      </w:r>
      <w:r w:rsidR="00C01972">
        <w:t xml:space="preserve">, for a </w:t>
      </w:r>
      <w:r w:rsidR="00C01972" w:rsidRPr="00BF6017">
        <w:rPr>
          <w:u w:val="single"/>
        </w:rPr>
        <w:t xml:space="preserve">given </w:t>
      </w:r>
      <w:r w:rsidR="00C01972">
        <w:t xml:space="preserve">injury severity level, </w:t>
      </w:r>
      <w:r w:rsidR="002F1DC8">
        <w:t xml:space="preserve">possible covariance between </w:t>
      </w:r>
      <w:r w:rsidR="00021D1C">
        <w:t xml:space="preserve">pairs of the CH and SH effects. </w:t>
      </w:r>
      <w:r w:rsidR="005708D0" w:rsidRPr="005708D0">
        <w:t xml:space="preserve">For instance, it is possible that in some census tracts there is a greater tendency of jaywalking (unobserved factor) and this leads to </w:t>
      </w:r>
      <w:r w:rsidR="00411902">
        <w:t xml:space="preserve">say </w:t>
      </w:r>
      <w:r w:rsidR="005708D0" w:rsidRPr="005708D0">
        <w:t xml:space="preserve">an increase in the risk of </w:t>
      </w:r>
      <w:r w:rsidR="00411902">
        <w:t>injuries in the “</w:t>
      </w:r>
      <w:r w:rsidR="005708D0" w:rsidRPr="005708D0">
        <w:t>possible</w:t>
      </w:r>
      <w:r w:rsidR="00411902">
        <w:t>”</w:t>
      </w:r>
      <w:r w:rsidR="005708D0" w:rsidRPr="005708D0">
        <w:t xml:space="preserve"> injury </w:t>
      </w:r>
      <w:r w:rsidR="00411902">
        <w:t xml:space="preserve">category </w:t>
      </w:r>
      <w:r w:rsidR="005708D0" w:rsidRPr="005708D0">
        <w:t>(</w:t>
      </w:r>
      <w:r w:rsidR="00411902">
        <w:t xml:space="preserve">positive </w:t>
      </w:r>
      <w:r w:rsidR="005708D0" w:rsidRPr="005708D0">
        <w:t>CH</w:t>
      </w:r>
      <w:r w:rsidR="00411902">
        <w:t>-based</w:t>
      </w:r>
      <w:r w:rsidR="005708D0" w:rsidRPr="005708D0">
        <w:t xml:space="preserve"> effect). Then, in areas close to subway stations this jaywalking tendency </w:t>
      </w:r>
      <w:r w:rsidR="00411902">
        <w:t xml:space="preserve">may </w:t>
      </w:r>
      <w:r w:rsidR="005708D0" w:rsidRPr="005708D0">
        <w:t>become even more pronounced and increase even more the risk propensity of possible injuries</w:t>
      </w:r>
      <w:r w:rsidR="00411902">
        <w:t xml:space="preserve"> (a positive SH-based effect)</w:t>
      </w:r>
      <w:r>
        <w:t xml:space="preserve">. </w:t>
      </w:r>
      <w:r w:rsidR="00411902">
        <w:t xml:space="preserve">In such a case, there would be a positive covariance between the constant effect and the effect </w:t>
      </w:r>
      <w:r w:rsidR="008845D8">
        <w:t>of the number of subway stations for the risk of “possible” injuries.</w:t>
      </w:r>
      <w:r w:rsidR="00411902">
        <w:t xml:space="preserve"> </w:t>
      </w:r>
      <w:r>
        <w:t>In th</w:t>
      </w:r>
      <w:r w:rsidR="008845D8">
        <w:t>is</w:t>
      </w:r>
      <w:r>
        <w:t xml:space="preserve"> context of unobserved heterogeneity within multivariate specifications, a</w:t>
      </w:r>
      <w:r w:rsidR="00C61F85">
        <w:t xml:space="preserve"> couple of</w:t>
      </w:r>
      <w:r w:rsidR="00311DF3">
        <w:t xml:space="preserve"> </w:t>
      </w:r>
      <w:r>
        <w:t>relevant stud</w:t>
      </w:r>
      <w:r w:rsidR="00C61F85">
        <w:t>ies</w:t>
      </w:r>
      <w:r>
        <w:t xml:space="preserve"> in the crash literature </w:t>
      </w:r>
      <w:r w:rsidR="00C61F85">
        <w:t>are</w:t>
      </w:r>
      <w:r>
        <w:t xml:space="preserve"> </w:t>
      </w:r>
      <w:proofErr w:type="spellStart"/>
      <w:r>
        <w:t>Barua</w:t>
      </w:r>
      <w:proofErr w:type="spellEnd"/>
      <w:r>
        <w:t xml:space="preserve"> et al. (2016)</w:t>
      </w:r>
      <w:r w:rsidR="00C61F85">
        <w:t xml:space="preserve"> and Anastasopoulos (2016)</w:t>
      </w:r>
      <w:r>
        <w:t xml:space="preserve">. </w:t>
      </w:r>
      <w:r w:rsidR="00C61F85">
        <w:t>T</w:t>
      </w:r>
      <w:r>
        <w:t>he model proposed here is more general in that it allows covariance in the intrinsic risk and the effects of variables on risk for each and all injury severity levels</w:t>
      </w:r>
      <w:r w:rsidR="001F1F1D">
        <w:t>. In the two earlier multivariate studies just identified</w:t>
      </w:r>
      <w:r w:rsidR="00076A2D">
        <w:t xml:space="preserve">, the covariance matrix across </w:t>
      </w:r>
      <w:r w:rsidR="00076A2D">
        <w:lastRenderedPageBreak/>
        <w:t xml:space="preserve">parameters </w:t>
      </w:r>
      <w:r w:rsidR="00B5684C">
        <w:t xml:space="preserve">for each injury severity level </w:t>
      </w:r>
      <w:r w:rsidR="00076A2D">
        <w:t>is a</w:t>
      </w:r>
      <w:r w:rsidR="00B5684C">
        <w:t>ssumed to have off-diagonal elements of zero</w:t>
      </w:r>
      <w:r w:rsidR="009950C6">
        <w:t xml:space="preserve">, as is also the case in almost all other random parameters models in the crash literature, including in the recent univariate models of </w:t>
      </w:r>
      <w:r w:rsidR="009950C6" w:rsidRPr="005B6B28">
        <w:t>Xu and Huan</w:t>
      </w:r>
      <w:r w:rsidR="00684060" w:rsidRPr="00EC44D2">
        <w:t>g</w:t>
      </w:r>
      <w:r w:rsidR="009D6D31">
        <w:t xml:space="preserve"> (</w:t>
      </w:r>
      <w:r w:rsidR="009950C6" w:rsidRPr="00684060">
        <w:t>2015</w:t>
      </w:r>
      <w:r w:rsidR="009D6D31">
        <w:t>)</w:t>
      </w:r>
      <w:r w:rsidR="00684060" w:rsidRPr="00EC44D2">
        <w:t xml:space="preserve"> </w:t>
      </w:r>
      <w:r w:rsidR="00C61F85">
        <w:t xml:space="preserve">and </w:t>
      </w:r>
      <w:proofErr w:type="spellStart"/>
      <w:r w:rsidR="009950C6">
        <w:t>Amoh</w:t>
      </w:r>
      <w:proofErr w:type="spellEnd"/>
      <w:r w:rsidR="009950C6">
        <w:t xml:space="preserve"> </w:t>
      </w:r>
      <w:proofErr w:type="spellStart"/>
      <w:r w:rsidR="00684060">
        <w:t>G</w:t>
      </w:r>
      <w:r w:rsidR="009950C6">
        <w:t>yimah</w:t>
      </w:r>
      <w:proofErr w:type="spellEnd"/>
      <w:r w:rsidR="009950C6">
        <w:t xml:space="preserve"> et al.</w:t>
      </w:r>
      <w:r w:rsidR="009D6D31">
        <w:t xml:space="preserve"> (</w:t>
      </w:r>
      <w:r w:rsidR="009950C6">
        <w:t>2016</w:t>
      </w:r>
      <w:r w:rsidR="009D6D31">
        <w:t>)</w:t>
      </w:r>
      <w:r w:rsidR="009B05BE">
        <w:t>.</w:t>
      </w:r>
      <w:r w:rsidR="009B05BE">
        <w:rPr>
          <w:rStyle w:val="FootnoteReference"/>
        </w:rPr>
        <w:footnoteReference w:id="3"/>
      </w:r>
      <w:r w:rsidR="001F1F1D">
        <w:t xml:space="preserve"> </w:t>
      </w:r>
      <w:r>
        <w:t xml:space="preserve"> </w:t>
      </w:r>
      <w:r w:rsidR="003218C2">
        <w:t>Additionally, in a multivariate</w:t>
      </w:r>
      <w:r w:rsidR="006C0AAF">
        <w:t xml:space="preserve"> context,</w:t>
      </w:r>
      <w:r w:rsidR="00021D1C">
        <w:t xml:space="preserve"> </w:t>
      </w:r>
      <w:proofErr w:type="spellStart"/>
      <w:r>
        <w:t>Narayanamoorthy</w:t>
      </w:r>
      <w:proofErr w:type="spellEnd"/>
      <w:r>
        <w:t xml:space="preserve"> et al. (2013) </w:t>
      </w:r>
      <w:r w:rsidR="00957794">
        <w:t xml:space="preserve">and Huang et al. (2017) </w:t>
      </w:r>
      <w:r>
        <w:t>do not</w:t>
      </w:r>
      <w:r w:rsidR="00957794">
        <w:t xml:space="preserve"> </w:t>
      </w:r>
      <w:r>
        <w:t xml:space="preserve">accommodate </w:t>
      </w:r>
      <w:r w:rsidR="00076A2D">
        <w:t xml:space="preserve">SH effects </w:t>
      </w:r>
      <w:r>
        <w:t>in the coefficients in their multivariate model</w:t>
      </w:r>
      <w:r w:rsidR="00076A2D">
        <w:t>, only the CH effects</w:t>
      </w:r>
      <w:r>
        <w:t xml:space="preserve">. </w:t>
      </w:r>
    </w:p>
    <w:p w:rsidR="00213E99" w:rsidRDefault="0023338D" w:rsidP="00D72ECE">
      <w:r w:rsidRPr="00571D2A">
        <w:t>The rest of this paper is structured as follows. Section 2 pr</w:t>
      </w:r>
      <w:r w:rsidR="008845D8">
        <w:t>ovides</w:t>
      </w:r>
      <w:r w:rsidRPr="00571D2A">
        <w:t xml:space="preserve"> </w:t>
      </w:r>
      <w:r>
        <w:t xml:space="preserve">an overview of the </w:t>
      </w:r>
      <w:r w:rsidR="00215577">
        <w:t xml:space="preserve">method adopted in </w:t>
      </w:r>
      <w:r w:rsidRPr="00571D2A">
        <w:t>the current study</w:t>
      </w:r>
      <w:r w:rsidR="000573BA">
        <w:t xml:space="preserve">, including a discussion of how spatial dependence is incorporated (spatial dependence is an issue separate from the </w:t>
      </w:r>
      <w:proofErr w:type="spellStart"/>
      <w:r w:rsidR="000573BA">
        <w:t>multivariateness</w:t>
      </w:r>
      <w:proofErr w:type="spellEnd"/>
      <w:r w:rsidR="000573BA">
        <w:t xml:space="preserve"> and spatial heterogeneity issues discussed </w:t>
      </w:r>
      <w:r w:rsidR="008845D8">
        <w:t>in this section</w:t>
      </w:r>
      <w:r w:rsidR="000573BA">
        <w:t>)</w:t>
      </w:r>
      <w:r w:rsidRPr="00571D2A">
        <w:t xml:space="preserve">. Section 3 presents the model structure and estimation procedure. Section 4 </w:t>
      </w:r>
      <w:r w:rsidR="008845D8">
        <w:t>discusses the empirical application, including data description,</w:t>
      </w:r>
      <w:r w:rsidRPr="00571D2A">
        <w:t xml:space="preserve"> empirical estimation results</w:t>
      </w:r>
      <w:r w:rsidR="008845D8">
        <w:t>,</w:t>
      </w:r>
      <w:r w:rsidRPr="00571D2A">
        <w:t xml:space="preserve"> and implications for reducing </w:t>
      </w:r>
      <w:r w:rsidR="008845D8">
        <w:t xml:space="preserve">pedestrian </w:t>
      </w:r>
      <w:r w:rsidRPr="00571D2A">
        <w:t xml:space="preserve">injury severity in </w:t>
      </w:r>
      <w:r w:rsidR="008845D8">
        <w:t xml:space="preserve">roadway </w:t>
      </w:r>
      <w:r w:rsidRPr="00571D2A">
        <w:t xml:space="preserve">crashes. Finally, Section </w:t>
      </w:r>
      <w:r w:rsidR="00673DD2">
        <w:t>5</w:t>
      </w:r>
      <w:r w:rsidR="00673DD2" w:rsidRPr="00571D2A">
        <w:t xml:space="preserve"> </w:t>
      </w:r>
      <w:r>
        <w:t xml:space="preserve">concludes the paper. </w:t>
      </w:r>
    </w:p>
    <w:p w:rsidR="00647A97" w:rsidRDefault="00647A97" w:rsidP="00D72ECE"/>
    <w:p w:rsidR="004A79CF" w:rsidRPr="00084023" w:rsidRDefault="004A79CF" w:rsidP="00D72ECE">
      <w:pPr>
        <w:pStyle w:val="Heading1"/>
        <w:spacing w:before="0"/>
        <w:ind w:left="360" w:hanging="360"/>
      </w:pPr>
      <w:r w:rsidRPr="00084023">
        <w:rPr>
          <w:rStyle w:val="FirstLevelHeadingChar"/>
          <w:b/>
        </w:rPr>
        <w:t>the current paper</w:t>
      </w:r>
    </w:p>
    <w:p w:rsidR="00735B4D" w:rsidRDefault="00417E45" w:rsidP="00D72ECE">
      <w:pPr>
        <w:ind w:firstLine="0"/>
      </w:pPr>
      <w:r>
        <w:t>In our multivariate analysis, we recast the traditional count model</w:t>
      </w:r>
      <w:r w:rsidRPr="00DF5C4A">
        <w:t xml:space="preserve"> as a special case of </w:t>
      </w:r>
      <w:r w:rsidRPr="00971E5B">
        <w:t>a generalized ordered-res</w:t>
      </w:r>
      <w:r>
        <w:t xml:space="preserve">ponse </w:t>
      </w:r>
      <w:r w:rsidR="0061799B">
        <w:t xml:space="preserve">(GOR) </w:t>
      </w:r>
      <w:r>
        <w:t xml:space="preserve">model in which </w:t>
      </w:r>
      <w:r w:rsidRPr="00971E5B">
        <w:t xml:space="preserve">the count is </w:t>
      </w:r>
      <w:r>
        <w:t xml:space="preserve">viewed as a </w:t>
      </w:r>
      <w:r w:rsidRPr="00971E5B">
        <w:t>result of a latent risk</w:t>
      </w:r>
      <w:r w:rsidRPr="00B7173D">
        <w:t xml:space="preserve"> propensity that gets mapped into the observed </w:t>
      </w:r>
      <w:r w:rsidRPr="005336C6">
        <w:t>count outcomes through thresholds that are themselves functions of exogenous variables</w:t>
      </w:r>
      <w:r w:rsidR="007F215F">
        <w:t xml:space="preserve"> (see Castro et al., 2012 and Bhat et al., 2014</w:t>
      </w:r>
      <w:r w:rsidR="0087756C">
        <w:t>a</w:t>
      </w:r>
      <w:r w:rsidR="007F215F">
        <w:t xml:space="preserve">). </w:t>
      </w:r>
      <w:r>
        <w:t xml:space="preserve">Doing so allows </w:t>
      </w:r>
      <w:r w:rsidRPr="005336C6">
        <w:t xml:space="preserve">the </w:t>
      </w:r>
      <w:r w:rsidR="00C93E40">
        <w:t xml:space="preserve">multivariate </w:t>
      </w:r>
      <w:r w:rsidRPr="00C14506">
        <w:t>lin</w:t>
      </w:r>
      <w:r>
        <w:t xml:space="preserve">kage across count categories to be easily </w:t>
      </w:r>
      <w:r w:rsidRPr="00C14506">
        <w:t>generated through the latent risk propensity, and excess prob</w:t>
      </w:r>
      <w:r w:rsidRPr="005833DA">
        <w:t>ability masses (such as excess zero</w:t>
      </w:r>
      <w:r w:rsidRPr="00DC5130">
        <w:t xml:space="preserve"> valu</w:t>
      </w:r>
      <w:r w:rsidRPr="0014369E">
        <w:t>es) are easily handled without the need for zero-inflated and hurdle-count type devices that get very cumbersome</w:t>
      </w:r>
      <w:r>
        <w:t xml:space="preserve"> in mu</w:t>
      </w:r>
      <w:r w:rsidR="00B5684C">
        <w:t>ltivariate count settings. As i</w:t>
      </w:r>
      <w:r w:rsidR="0061799B">
        <w:t xml:space="preserve">mportantly, our approach to recast count models as GOR models </w:t>
      </w:r>
      <w:r w:rsidR="00446A72">
        <w:t xml:space="preserve">also </w:t>
      </w:r>
      <w:r w:rsidR="0061799B">
        <w:t xml:space="preserve">enables us to </w:t>
      </w:r>
      <w:r>
        <w:t xml:space="preserve">accommodate </w:t>
      </w:r>
      <w:r w:rsidR="00215577">
        <w:t xml:space="preserve">spatial dependence effects in a rich manner. </w:t>
      </w:r>
    </w:p>
    <w:p w:rsidR="00114DE3" w:rsidRDefault="00114DE3" w:rsidP="00D72ECE">
      <w:pPr>
        <w:ind w:firstLine="0"/>
      </w:pPr>
    </w:p>
    <w:p w:rsidR="00114DE3" w:rsidRPr="00BF6017" w:rsidRDefault="00672FFE" w:rsidP="0070440D">
      <w:pPr>
        <w:ind w:firstLine="0"/>
        <w:rPr>
          <w:b/>
        </w:rPr>
      </w:pPr>
      <w:r>
        <w:rPr>
          <w:b/>
        </w:rPr>
        <w:t>2.1</w:t>
      </w:r>
      <w:r w:rsidR="00B95C42" w:rsidRPr="00BF6017">
        <w:rPr>
          <w:b/>
        </w:rPr>
        <w:t xml:space="preserve"> </w:t>
      </w:r>
      <w:r w:rsidR="00114DE3" w:rsidRPr="00BF6017">
        <w:rPr>
          <w:b/>
        </w:rPr>
        <w:t>Spatial Dependency</w:t>
      </w:r>
    </w:p>
    <w:p w:rsidR="002700DF" w:rsidRPr="00691CF7" w:rsidRDefault="00215577" w:rsidP="0070440D">
      <w:pPr>
        <w:ind w:firstLine="0"/>
      </w:pPr>
      <w:r>
        <w:t>An important</w:t>
      </w:r>
      <w:r w:rsidR="001E2105">
        <w:t xml:space="preserve"> </w:t>
      </w:r>
      <w:r w:rsidR="00417E45" w:rsidRPr="00691CF7">
        <w:t xml:space="preserve">consideration </w:t>
      </w:r>
      <w:r w:rsidR="001E2105">
        <w:t xml:space="preserve">in injury count </w:t>
      </w:r>
      <w:r w:rsidR="00417E45" w:rsidRPr="00691CF7">
        <w:t>modeling relates</w:t>
      </w:r>
      <w:r w:rsidR="001E2105">
        <w:t xml:space="preserve"> to spatial dependency. </w:t>
      </w:r>
      <w:r w:rsidR="001E2105" w:rsidRPr="00EB555C">
        <w:t xml:space="preserve">Spatial dependency is important to recognize because </w:t>
      </w:r>
      <w:r w:rsidR="002700DF">
        <w:t>injury occurrence locations</w:t>
      </w:r>
      <w:r w:rsidR="002700DF" w:rsidRPr="00691CF7">
        <w:t xml:space="preserve">, by nature, are location-based. </w:t>
      </w:r>
      <w:r w:rsidR="002700DF">
        <w:t>Thus, i</w:t>
      </w:r>
      <w:r w:rsidR="002700DF" w:rsidRPr="00691CF7">
        <w:t>t is not difficult t</w:t>
      </w:r>
      <w:r w:rsidR="002700DF">
        <w:t xml:space="preserve">o think of reasons why the </w:t>
      </w:r>
      <w:r w:rsidR="002700DF" w:rsidRPr="00691CF7">
        <w:t xml:space="preserve">risk </w:t>
      </w:r>
      <w:r w:rsidR="002700DF">
        <w:t xml:space="preserve">of one injury severity level </w:t>
      </w:r>
      <w:r w:rsidR="002700DF" w:rsidRPr="00691CF7">
        <w:t xml:space="preserve">at one </w:t>
      </w:r>
      <w:r w:rsidR="002700DF">
        <w:lastRenderedPageBreak/>
        <w:t xml:space="preserve">location (one </w:t>
      </w:r>
      <w:r w:rsidR="00CA0783">
        <w:t>c</w:t>
      </w:r>
      <w:r w:rsidR="002700DF">
        <w:t xml:space="preserve">ensus tract) </w:t>
      </w:r>
      <w:r w:rsidR="002700DF" w:rsidRPr="00691CF7">
        <w:t xml:space="preserve">will affect the </w:t>
      </w:r>
      <w:r w:rsidR="002700DF">
        <w:t xml:space="preserve">risk of the same injury severity level </w:t>
      </w:r>
      <w:r w:rsidR="002700DF" w:rsidRPr="00691CF7">
        <w:t xml:space="preserve">at another proximal </w:t>
      </w:r>
      <w:r w:rsidR="002700DF">
        <w:t>segment</w:t>
      </w:r>
      <w:r w:rsidR="002700DF" w:rsidRPr="00691CF7">
        <w:t>. Such a specification implies that both observed as well as unobserved va</w:t>
      </w:r>
      <w:r w:rsidR="002700DF">
        <w:t>riables (that impact risk for a specific pedestrian injury severity level in crashes</w:t>
      </w:r>
      <w:r w:rsidR="002700DF" w:rsidRPr="00691CF7">
        <w:t xml:space="preserve">) affect the </w:t>
      </w:r>
      <w:r w:rsidR="00F25384">
        <w:t xml:space="preserve">injury </w:t>
      </w:r>
      <w:r w:rsidR="002700DF" w:rsidRPr="00691CF7">
        <w:t xml:space="preserve">count </w:t>
      </w:r>
      <w:r w:rsidR="00661B44">
        <w:t>of</w:t>
      </w:r>
      <w:r w:rsidR="00F25384">
        <w:t xml:space="preserve"> the same severity level </w:t>
      </w:r>
      <w:r w:rsidR="002700DF" w:rsidRPr="00691CF7">
        <w:t xml:space="preserve">at proximally located </w:t>
      </w:r>
      <w:r w:rsidR="002700DF">
        <w:t>segments</w:t>
      </w:r>
      <w:r w:rsidR="002700DF" w:rsidRPr="00691CF7">
        <w:t>. For example, i</w:t>
      </w:r>
      <w:r w:rsidR="00217FC6">
        <w:t xml:space="preserve">t is certainly possible that motorists in </w:t>
      </w:r>
      <w:r w:rsidR="00CA0783">
        <w:t>c</w:t>
      </w:r>
      <w:r w:rsidR="00217FC6">
        <w:t xml:space="preserve">ensus tracts with a substantial fraction of local/residential roads in the roadway system </w:t>
      </w:r>
      <w:r w:rsidR="008845D8">
        <w:t xml:space="preserve">(say an observed variable in the analysis) </w:t>
      </w:r>
      <w:r w:rsidR="00217FC6">
        <w:t xml:space="preserve">generally are more </w:t>
      </w:r>
      <w:r w:rsidR="002431B4">
        <w:t>at</w:t>
      </w:r>
      <w:r w:rsidR="00217FC6">
        <w:t xml:space="preserve">tuned to driving in a pedestrian-heavy environment with people of different age groups, and this general motorist experience not only reduces the count of severe pedestrian injuries in the </w:t>
      </w:r>
      <w:r w:rsidR="00CA0783">
        <w:t>c</w:t>
      </w:r>
      <w:r w:rsidR="00217FC6">
        <w:t xml:space="preserve">ensus tract, but also </w:t>
      </w:r>
      <w:r w:rsidR="002700DF" w:rsidRPr="00691CF7">
        <w:t xml:space="preserve">has a “spatial spillover” effect on the </w:t>
      </w:r>
      <w:r w:rsidR="00217FC6">
        <w:t xml:space="preserve">count of severe pedestrian injuries </w:t>
      </w:r>
      <w:r w:rsidR="002700DF" w:rsidRPr="00691CF7">
        <w:t xml:space="preserve">at proximally located </w:t>
      </w:r>
      <w:r w:rsidR="00CA0783">
        <w:t>c</w:t>
      </w:r>
      <w:r w:rsidR="00217FC6">
        <w:t>ensus tracts as these pedestrian-friendly drivers travel close to their residences</w:t>
      </w:r>
      <w:r w:rsidR="00FF4EC7">
        <w:t xml:space="preserve"> and traverse neighboring </w:t>
      </w:r>
      <w:r w:rsidR="00CA0783">
        <w:t>c</w:t>
      </w:r>
      <w:r w:rsidR="00FF4EC7">
        <w:t>ensus tracts</w:t>
      </w:r>
      <w:r w:rsidR="002700DF" w:rsidRPr="00691CF7">
        <w:t xml:space="preserve">. In addition, there may be common unobserved (to the analyst) location factors (such as the </w:t>
      </w:r>
      <w:r w:rsidR="00767B6F">
        <w:t xml:space="preserve">absence of continuous pedestrian walkways or pedestrian signals at adjacent </w:t>
      </w:r>
      <w:r w:rsidR="00CA0783">
        <w:t>c</w:t>
      </w:r>
      <w:r w:rsidR="00767B6F">
        <w:t>ensus tracts</w:t>
      </w:r>
      <w:r w:rsidR="002700DF" w:rsidRPr="00691CF7">
        <w:t>) that may lead to a “spatial correlation” effect i</w:t>
      </w:r>
      <w:r w:rsidR="00767B6F">
        <w:t xml:space="preserve">n the error terms of the injury </w:t>
      </w:r>
      <w:r w:rsidR="002700DF" w:rsidRPr="00691CF7">
        <w:t>risk propensity at pr</w:t>
      </w:r>
      <w:r w:rsidR="00767B6F">
        <w:t>oximally located tracts</w:t>
      </w:r>
      <w:r w:rsidR="002700DF" w:rsidRPr="00691CF7">
        <w:t>. Ignoring such spatial depend</w:t>
      </w:r>
      <w:r w:rsidR="00487A85">
        <w:t xml:space="preserve">encies </w:t>
      </w:r>
      <w:r w:rsidR="002700DF" w:rsidRPr="00691CF7">
        <w:t xml:space="preserve">will, in general, result in inconsistent and inefficient parameter estimation. </w:t>
      </w:r>
    </w:p>
    <w:p w:rsidR="005D6F55" w:rsidRPr="00BF6017" w:rsidRDefault="001E2105" w:rsidP="00D72ECE">
      <w:pPr>
        <w:pStyle w:val="FootnoteText"/>
        <w:rPr>
          <w:sz w:val="24"/>
          <w:szCs w:val="24"/>
        </w:rPr>
      </w:pPr>
      <w:r w:rsidRPr="00BF6017">
        <w:rPr>
          <w:sz w:val="24"/>
          <w:szCs w:val="24"/>
        </w:rPr>
        <w:t xml:space="preserve"> In the </w:t>
      </w:r>
      <w:r w:rsidR="003C0059" w:rsidRPr="00BF6017">
        <w:rPr>
          <w:sz w:val="24"/>
          <w:szCs w:val="24"/>
        </w:rPr>
        <w:t xml:space="preserve">multivariate count data analysis literature in general, and the multivariate crash count data analysis literature in particular, the most common approach to introduce spatial dependence is based on using a conditional autoregressive (CAR) </w:t>
      </w:r>
      <w:r w:rsidR="00311DF3">
        <w:rPr>
          <w:sz w:val="24"/>
          <w:szCs w:val="24"/>
          <w:lang w:val="en-US"/>
        </w:rPr>
        <w:t xml:space="preserve">(that is, </w:t>
      </w:r>
      <w:r w:rsidR="003C0059" w:rsidRPr="00BF6017">
        <w:rPr>
          <w:sz w:val="24"/>
          <w:szCs w:val="24"/>
        </w:rPr>
        <w:t>a joint prior on a spatial random effect</w:t>
      </w:r>
      <w:r w:rsidR="00311DF3">
        <w:rPr>
          <w:sz w:val="24"/>
          <w:szCs w:val="24"/>
          <w:lang w:val="en-US"/>
        </w:rPr>
        <w:t>)</w:t>
      </w:r>
      <w:r w:rsidR="003C0059" w:rsidRPr="00BF6017">
        <w:rPr>
          <w:sz w:val="24"/>
          <w:szCs w:val="24"/>
        </w:rPr>
        <w:t xml:space="preserve"> term that is introduced multiplicatively in exponential form in the parameterization of the expected value of the discrete distribution for the count variable. The resulting model is </w:t>
      </w:r>
      <w:r w:rsidR="00511C0B" w:rsidRPr="00BF6017">
        <w:rPr>
          <w:sz w:val="24"/>
          <w:szCs w:val="24"/>
        </w:rPr>
        <w:t xml:space="preserve">typically </w:t>
      </w:r>
      <w:r w:rsidR="003C0059" w:rsidRPr="00BF6017">
        <w:rPr>
          <w:sz w:val="24"/>
          <w:szCs w:val="24"/>
        </w:rPr>
        <w:t>estimated using Bayesian hierarchical methods</w:t>
      </w:r>
      <w:r w:rsidR="00E47211">
        <w:rPr>
          <w:sz w:val="24"/>
          <w:szCs w:val="24"/>
          <w:lang w:val="en-US"/>
        </w:rPr>
        <w:t xml:space="preserve"> (</w:t>
      </w:r>
      <w:r w:rsidR="00311DF3">
        <w:rPr>
          <w:sz w:val="24"/>
          <w:szCs w:val="24"/>
          <w:lang w:val="en-US"/>
        </w:rPr>
        <w:t xml:space="preserve">see </w:t>
      </w:r>
      <w:proofErr w:type="spellStart"/>
      <w:r w:rsidR="00E47211">
        <w:rPr>
          <w:sz w:val="24"/>
          <w:szCs w:val="24"/>
          <w:lang w:val="en-US"/>
        </w:rPr>
        <w:t>H</w:t>
      </w:r>
      <w:r w:rsidR="008159D4">
        <w:rPr>
          <w:sz w:val="24"/>
          <w:szCs w:val="24"/>
          <w:lang w:val="en-US"/>
        </w:rPr>
        <w:t>eydari</w:t>
      </w:r>
      <w:proofErr w:type="spellEnd"/>
      <w:r w:rsidR="00E47211">
        <w:rPr>
          <w:sz w:val="24"/>
          <w:szCs w:val="24"/>
          <w:lang w:val="en-US"/>
        </w:rPr>
        <w:t xml:space="preserve"> et al., 2017 and </w:t>
      </w:r>
      <w:proofErr w:type="spellStart"/>
      <w:r w:rsidR="00E47211">
        <w:rPr>
          <w:sz w:val="24"/>
          <w:szCs w:val="24"/>
          <w:lang w:val="en-US"/>
        </w:rPr>
        <w:t>Buddhavarapu</w:t>
      </w:r>
      <w:proofErr w:type="spellEnd"/>
      <w:r w:rsidR="00E47211">
        <w:rPr>
          <w:sz w:val="24"/>
          <w:szCs w:val="24"/>
          <w:lang w:val="en-US"/>
        </w:rPr>
        <w:t xml:space="preserve"> et al., 2016</w:t>
      </w:r>
      <w:r w:rsidR="00311DF3">
        <w:rPr>
          <w:sz w:val="24"/>
          <w:szCs w:val="24"/>
          <w:lang w:val="en-US"/>
        </w:rPr>
        <w:t xml:space="preserve"> for recent examples</w:t>
      </w:r>
      <w:r w:rsidR="00E47211">
        <w:rPr>
          <w:sz w:val="24"/>
          <w:szCs w:val="24"/>
          <w:lang w:val="en-US"/>
        </w:rPr>
        <w:t>)</w:t>
      </w:r>
      <w:r w:rsidR="003C0059" w:rsidRPr="00BF6017">
        <w:rPr>
          <w:sz w:val="24"/>
          <w:szCs w:val="24"/>
        </w:rPr>
        <w:t xml:space="preserve">. </w:t>
      </w:r>
      <w:proofErr w:type="spellStart"/>
      <w:r w:rsidR="002431B4">
        <w:rPr>
          <w:sz w:val="24"/>
          <w:szCs w:val="24"/>
          <w:lang w:val="en-US"/>
        </w:rPr>
        <w:t>W</w:t>
      </w:r>
      <w:r w:rsidR="00F33D4E" w:rsidRPr="00BF6017">
        <w:rPr>
          <w:sz w:val="24"/>
          <w:szCs w:val="24"/>
        </w:rPr>
        <w:t>e</w:t>
      </w:r>
      <w:proofErr w:type="spellEnd"/>
      <w:r w:rsidR="00F33D4E" w:rsidRPr="00BF6017">
        <w:rPr>
          <w:sz w:val="24"/>
          <w:szCs w:val="24"/>
        </w:rPr>
        <w:t xml:space="preserve"> </w:t>
      </w:r>
      <w:r w:rsidR="002431B4">
        <w:rPr>
          <w:sz w:val="24"/>
          <w:szCs w:val="24"/>
          <w:lang w:val="en-US"/>
        </w:rPr>
        <w:t xml:space="preserve">also </w:t>
      </w:r>
      <w:r w:rsidR="00F33D4E" w:rsidRPr="00BF6017">
        <w:rPr>
          <w:sz w:val="24"/>
          <w:szCs w:val="24"/>
        </w:rPr>
        <w:t xml:space="preserve">refer the reader to </w:t>
      </w:r>
      <w:proofErr w:type="spellStart"/>
      <w:r w:rsidR="00F33D4E" w:rsidRPr="00BF6017">
        <w:rPr>
          <w:sz w:val="24"/>
          <w:szCs w:val="24"/>
        </w:rPr>
        <w:t>Narayanamoorthy</w:t>
      </w:r>
      <w:proofErr w:type="spellEnd"/>
      <w:r w:rsidR="00F33D4E" w:rsidRPr="00BF6017">
        <w:rPr>
          <w:sz w:val="24"/>
          <w:szCs w:val="24"/>
        </w:rPr>
        <w:t xml:space="preserve"> et al. (2013), Mannering and Bhat (2014), and </w:t>
      </w:r>
      <w:proofErr w:type="spellStart"/>
      <w:r w:rsidR="00F33D4E" w:rsidRPr="00BF6017">
        <w:rPr>
          <w:sz w:val="24"/>
          <w:szCs w:val="24"/>
        </w:rPr>
        <w:t>Barua</w:t>
      </w:r>
      <w:proofErr w:type="spellEnd"/>
      <w:r w:rsidR="00F33D4E" w:rsidRPr="00BF6017">
        <w:rPr>
          <w:sz w:val="24"/>
          <w:szCs w:val="24"/>
        </w:rPr>
        <w:t xml:space="preserve"> et al. (2015) for a review and details.  Unfortunately, the CAR</w:t>
      </w:r>
      <w:r w:rsidR="003C0059" w:rsidRPr="00BF6017">
        <w:rPr>
          <w:sz w:val="24"/>
          <w:szCs w:val="24"/>
        </w:rPr>
        <w:t xml:space="preserve"> </w:t>
      </w:r>
      <w:r w:rsidR="002431B4">
        <w:rPr>
          <w:sz w:val="24"/>
          <w:szCs w:val="24"/>
          <w:lang w:val="en-US"/>
        </w:rPr>
        <w:t xml:space="preserve">random-effect </w:t>
      </w:r>
      <w:r w:rsidR="003C0059" w:rsidRPr="00BF6017">
        <w:rPr>
          <w:sz w:val="24"/>
          <w:szCs w:val="24"/>
        </w:rPr>
        <w:t xml:space="preserve">approach </w:t>
      </w:r>
      <w:r w:rsidR="00F33D4E" w:rsidRPr="00BF6017">
        <w:rPr>
          <w:sz w:val="24"/>
          <w:szCs w:val="24"/>
        </w:rPr>
        <w:t xml:space="preserve">considers only </w:t>
      </w:r>
      <w:r w:rsidR="003C0059" w:rsidRPr="00BF6017">
        <w:rPr>
          <w:sz w:val="24"/>
          <w:szCs w:val="24"/>
        </w:rPr>
        <w:t xml:space="preserve">spatial error correlation effects, but </w:t>
      </w:r>
      <w:r w:rsidR="00F33D4E" w:rsidRPr="00BF6017">
        <w:rPr>
          <w:sz w:val="24"/>
          <w:szCs w:val="24"/>
        </w:rPr>
        <w:t xml:space="preserve">completely ignores </w:t>
      </w:r>
      <w:r w:rsidR="003C0059" w:rsidRPr="00BF6017">
        <w:rPr>
          <w:sz w:val="24"/>
          <w:szCs w:val="24"/>
        </w:rPr>
        <w:t>spatial spillover effects.</w:t>
      </w:r>
      <w:r w:rsidR="00F33D4E" w:rsidRPr="00BF6017">
        <w:rPr>
          <w:sz w:val="24"/>
          <w:szCs w:val="24"/>
        </w:rPr>
        <w:t xml:space="preserve"> </w:t>
      </w:r>
      <w:r w:rsidR="00CF58DD">
        <w:rPr>
          <w:sz w:val="24"/>
          <w:szCs w:val="24"/>
          <w:lang w:val="en-US"/>
        </w:rPr>
        <w:t>That is, a change in a variable affecting the dependent count variable will not affect the dependent count variable in a neighboring tract</w:t>
      </w:r>
      <w:r w:rsidR="00440FDA">
        <w:rPr>
          <w:sz w:val="24"/>
          <w:szCs w:val="24"/>
          <w:lang w:val="en-US"/>
        </w:rPr>
        <w:t xml:space="preserve"> in the CAR approach</w:t>
      </w:r>
      <w:r w:rsidR="00CF58DD">
        <w:rPr>
          <w:sz w:val="24"/>
          <w:szCs w:val="24"/>
          <w:lang w:val="en-US"/>
        </w:rPr>
        <w:t xml:space="preserve">. </w:t>
      </w:r>
      <w:r w:rsidR="00F33D4E" w:rsidRPr="00BF6017">
        <w:rPr>
          <w:sz w:val="24"/>
          <w:szCs w:val="24"/>
        </w:rPr>
        <w:t xml:space="preserve">In this regard, the CAR approach is akin to the spatial autoregressive error (SAR) structure used commonly in the spatial econometrics literature. As indicated by </w:t>
      </w:r>
      <w:r w:rsidR="005D6F55" w:rsidRPr="008D4976">
        <w:rPr>
          <w:sz w:val="24"/>
          <w:szCs w:val="24"/>
          <w:lang w:val="en-US"/>
        </w:rPr>
        <w:t>Beck et al. (</w:t>
      </w:r>
      <w:r w:rsidR="008D4976" w:rsidRPr="008D4976">
        <w:rPr>
          <w:sz w:val="24"/>
          <w:szCs w:val="24"/>
          <w:lang w:val="en-US"/>
        </w:rPr>
        <w:t>200</w:t>
      </w:r>
      <w:r w:rsidR="008D4976">
        <w:rPr>
          <w:sz w:val="24"/>
          <w:szCs w:val="24"/>
          <w:lang w:val="en-US"/>
        </w:rPr>
        <w:t>6</w:t>
      </w:r>
      <w:r w:rsidR="005D6F55" w:rsidRPr="008D4976">
        <w:rPr>
          <w:sz w:val="24"/>
          <w:szCs w:val="24"/>
          <w:lang w:val="en-US"/>
        </w:rPr>
        <w:t>),</w:t>
      </w:r>
      <w:r w:rsidR="005D6F55" w:rsidRPr="0046353E">
        <w:rPr>
          <w:sz w:val="24"/>
          <w:szCs w:val="24"/>
          <w:lang w:val="en-US"/>
        </w:rPr>
        <w:t xml:space="preserve"> McMillen (2010)</w:t>
      </w:r>
      <w:r w:rsidR="005D6F55" w:rsidRPr="00BF6017">
        <w:rPr>
          <w:sz w:val="24"/>
          <w:szCs w:val="24"/>
          <w:lang w:val="en-US"/>
        </w:rPr>
        <w:t xml:space="preserve"> and </w:t>
      </w:r>
      <w:r w:rsidR="005D6F55" w:rsidRPr="005B6B28">
        <w:rPr>
          <w:sz w:val="24"/>
          <w:szCs w:val="24"/>
          <w:lang w:val="en-US"/>
        </w:rPr>
        <w:t xml:space="preserve">Bhat </w:t>
      </w:r>
      <w:r w:rsidR="0070267E" w:rsidRPr="005B6B28">
        <w:rPr>
          <w:sz w:val="24"/>
          <w:szCs w:val="24"/>
          <w:lang w:val="en-US"/>
        </w:rPr>
        <w:t>(</w:t>
      </w:r>
      <w:r w:rsidR="008D4976" w:rsidRPr="005B6B28">
        <w:rPr>
          <w:sz w:val="24"/>
          <w:szCs w:val="24"/>
          <w:lang w:val="en-US"/>
        </w:rPr>
        <w:t>201</w:t>
      </w:r>
      <w:r w:rsidR="008D4976">
        <w:rPr>
          <w:sz w:val="24"/>
          <w:szCs w:val="24"/>
          <w:lang w:val="en-US"/>
        </w:rPr>
        <w:t>5</w:t>
      </w:r>
      <w:r w:rsidR="00105786">
        <w:rPr>
          <w:sz w:val="24"/>
          <w:szCs w:val="24"/>
          <w:lang w:val="en-US"/>
        </w:rPr>
        <w:t>a</w:t>
      </w:r>
      <w:r w:rsidR="0070267E" w:rsidRPr="005B6B28">
        <w:rPr>
          <w:sz w:val="24"/>
          <w:szCs w:val="24"/>
          <w:lang w:val="en-US"/>
        </w:rPr>
        <w:t>),</w:t>
      </w:r>
      <w:r w:rsidR="0070267E" w:rsidRPr="00BF6017">
        <w:rPr>
          <w:sz w:val="24"/>
          <w:szCs w:val="24"/>
          <w:lang w:val="en-US"/>
        </w:rPr>
        <w:t xml:space="preserve"> the SAR (and by extension, the CAR) structure </w:t>
      </w:r>
      <w:r w:rsidR="00FD4E70" w:rsidRPr="0019608A">
        <w:rPr>
          <w:sz w:val="24"/>
          <w:szCs w:val="24"/>
          <w:lang w:val="en-US"/>
        </w:rPr>
        <w:t>necessitate</w:t>
      </w:r>
      <w:r w:rsidR="0070267E" w:rsidRPr="00BF6017">
        <w:rPr>
          <w:sz w:val="24"/>
          <w:szCs w:val="24"/>
          <w:lang w:val="en-US"/>
        </w:rPr>
        <w:t xml:space="preserve"> </w:t>
      </w:r>
      <w:r w:rsidR="0070267E" w:rsidRPr="00BF6017">
        <w:rPr>
          <w:sz w:val="24"/>
          <w:szCs w:val="24"/>
        </w:rPr>
        <w:t xml:space="preserve">the rather illogical position that </w:t>
      </w:r>
      <w:r w:rsidR="005D6F55" w:rsidRPr="00BF6017">
        <w:rPr>
          <w:sz w:val="24"/>
          <w:szCs w:val="24"/>
        </w:rPr>
        <w:t xml:space="preserve">space matters in the error process but not in the </w:t>
      </w:r>
      <w:r w:rsidR="0070267E" w:rsidRPr="00BF6017">
        <w:rPr>
          <w:sz w:val="24"/>
          <w:szCs w:val="24"/>
          <w:lang w:val="en-US"/>
        </w:rPr>
        <w:t>effect</w:t>
      </w:r>
      <w:r w:rsidR="00FD4E70" w:rsidRPr="00BF6017">
        <w:rPr>
          <w:sz w:val="24"/>
          <w:szCs w:val="24"/>
          <w:lang w:val="en-US"/>
        </w:rPr>
        <w:t>s</w:t>
      </w:r>
      <w:r w:rsidR="0070267E" w:rsidRPr="00BF6017">
        <w:rPr>
          <w:sz w:val="24"/>
          <w:szCs w:val="24"/>
          <w:lang w:val="en-US"/>
        </w:rPr>
        <w:t xml:space="preserve"> of exogenous variables. The </w:t>
      </w:r>
      <w:r w:rsidR="005D6F55" w:rsidRPr="00BF6017">
        <w:rPr>
          <w:sz w:val="24"/>
          <w:szCs w:val="24"/>
        </w:rPr>
        <w:t xml:space="preserve">implication is that if a new independent variable is added to a spatial </w:t>
      </w:r>
      <w:r w:rsidR="005D6F55" w:rsidRPr="00BF6017">
        <w:rPr>
          <w:sz w:val="24"/>
          <w:szCs w:val="24"/>
        </w:rPr>
        <w:lastRenderedPageBreak/>
        <w:t>error model “so that we move it from the error to the substantive portion of the model”</w:t>
      </w:r>
      <w:r w:rsidR="0070267E" w:rsidRPr="00BF6017">
        <w:rPr>
          <w:sz w:val="24"/>
          <w:szCs w:val="24"/>
          <w:lang w:val="en-US"/>
        </w:rPr>
        <w:t xml:space="preserve"> (Beck et al., </w:t>
      </w:r>
      <w:r w:rsidR="008D4976" w:rsidRPr="00BF6017">
        <w:rPr>
          <w:sz w:val="24"/>
          <w:szCs w:val="24"/>
          <w:lang w:val="en-US"/>
        </w:rPr>
        <w:t>200</w:t>
      </w:r>
      <w:r w:rsidR="008D4976">
        <w:rPr>
          <w:sz w:val="24"/>
          <w:szCs w:val="24"/>
          <w:lang w:val="en-US"/>
        </w:rPr>
        <w:t>6</w:t>
      </w:r>
      <w:r w:rsidR="0070267E" w:rsidRPr="00BF6017">
        <w:rPr>
          <w:sz w:val="24"/>
          <w:szCs w:val="24"/>
          <w:lang w:val="en-US"/>
        </w:rPr>
        <w:t>)</w:t>
      </w:r>
      <w:r w:rsidR="005D6F55" w:rsidRPr="00BF6017">
        <w:rPr>
          <w:sz w:val="24"/>
          <w:szCs w:val="24"/>
        </w:rPr>
        <w:t xml:space="preserve">, the variable magically ceases to have a spatial impact on neighboring observations. </w:t>
      </w:r>
      <w:r w:rsidR="007D2E70" w:rsidRPr="0019608A">
        <w:rPr>
          <w:sz w:val="24"/>
          <w:szCs w:val="24"/>
          <w:lang w:val="en-US"/>
        </w:rPr>
        <w:t xml:space="preserve">On the other hand, </w:t>
      </w:r>
      <w:r w:rsidR="007D2E70" w:rsidRPr="00BF6017">
        <w:rPr>
          <w:sz w:val="24"/>
          <w:szCs w:val="24"/>
        </w:rPr>
        <w:t>the spatial lag specification, in reduced form</w:t>
      </w:r>
      <w:r w:rsidR="003218C2">
        <w:rPr>
          <w:sz w:val="24"/>
          <w:szCs w:val="24"/>
          <w:lang w:val="en-US"/>
        </w:rPr>
        <w:t xml:space="preserve"> (see next section)</w:t>
      </w:r>
      <w:r w:rsidR="007D2E70" w:rsidRPr="00BF6017">
        <w:rPr>
          <w:sz w:val="24"/>
          <w:szCs w:val="24"/>
        </w:rPr>
        <w:t xml:space="preserve">, allows </w:t>
      </w:r>
      <w:r w:rsidR="007D2E70" w:rsidRPr="00BF6017">
        <w:rPr>
          <w:sz w:val="24"/>
          <w:szCs w:val="24"/>
          <w:lang w:val="en-US"/>
        </w:rPr>
        <w:t xml:space="preserve">symmetry in </w:t>
      </w:r>
      <w:r w:rsidR="007D2E70" w:rsidRPr="00BF6017">
        <w:rPr>
          <w:sz w:val="24"/>
          <w:szCs w:val="24"/>
        </w:rPr>
        <w:t xml:space="preserve">spatial dependence through both spatial spillover effects as well as spatial error correlation effects. </w:t>
      </w:r>
      <w:r w:rsidR="005D6F55" w:rsidRPr="00BF6017">
        <w:rPr>
          <w:sz w:val="24"/>
          <w:szCs w:val="24"/>
        </w:rPr>
        <w:t>Overall, we submit that</w:t>
      </w:r>
      <w:r w:rsidR="00FD4E70" w:rsidRPr="00BF6017">
        <w:rPr>
          <w:sz w:val="24"/>
          <w:szCs w:val="24"/>
          <w:lang w:val="en-US"/>
        </w:rPr>
        <w:t xml:space="preserve">, on pure theoretical and logical grounds, </w:t>
      </w:r>
      <w:r w:rsidR="0070267E" w:rsidRPr="00BF6017">
        <w:rPr>
          <w:sz w:val="24"/>
          <w:szCs w:val="24"/>
          <w:lang w:val="en-US"/>
        </w:rPr>
        <w:t>sp</w:t>
      </w:r>
      <w:r w:rsidR="00FD4E70" w:rsidRPr="00BF6017">
        <w:rPr>
          <w:sz w:val="24"/>
          <w:szCs w:val="24"/>
          <w:lang w:val="en-US"/>
        </w:rPr>
        <w:t>a</w:t>
      </w:r>
      <w:r w:rsidR="0070267E" w:rsidRPr="00BF6017">
        <w:rPr>
          <w:sz w:val="24"/>
          <w:szCs w:val="24"/>
          <w:lang w:val="en-US"/>
        </w:rPr>
        <w:t xml:space="preserve">tial dependency in crash models </w:t>
      </w:r>
      <w:r w:rsidR="005D6F55" w:rsidRPr="00BF6017">
        <w:rPr>
          <w:sz w:val="24"/>
          <w:szCs w:val="24"/>
        </w:rPr>
        <w:t>should be developed using the spat</w:t>
      </w:r>
      <w:r w:rsidR="0070267E" w:rsidRPr="00BF6017">
        <w:rPr>
          <w:sz w:val="24"/>
          <w:szCs w:val="24"/>
        </w:rPr>
        <w:t xml:space="preserve">ial lag formulation </w:t>
      </w:r>
      <w:r w:rsidR="0070267E" w:rsidRPr="00BF6017">
        <w:rPr>
          <w:sz w:val="24"/>
          <w:szCs w:val="24"/>
          <w:lang w:val="en-US"/>
        </w:rPr>
        <w:t>we use here (</w:t>
      </w:r>
      <w:r w:rsidR="0070267E" w:rsidRPr="00BF6017">
        <w:rPr>
          <w:sz w:val="24"/>
          <w:szCs w:val="24"/>
        </w:rPr>
        <w:t>or its variants</w:t>
      </w:r>
      <w:r w:rsidR="0070267E" w:rsidRPr="00BF6017">
        <w:rPr>
          <w:sz w:val="24"/>
          <w:szCs w:val="24"/>
          <w:lang w:val="en-US"/>
        </w:rPr>
        <w:t>)</w:t>
      </w:r>
      <w:r w:rsidR="00FD4E70" w:rsidRPr="0019608A">
        <w:rPr>
          <w:sz w:val="24"/>
          <w:szCs w:val="24"/>
          <w:lang w:val="en-US"/>
        </w:rPr>
        <w:t xml:space="preserve">, and so we will not empirically test the spatial lag </w:t>
      </w:r>
      <w:r w:rsidR="00FB4A11" w:rsidRPr="0019608A">
        <w:rPr>
          <w:sz w:val="24"/>
          <w:szCs w:val="24"/>
          <w:lang w:val="en-US"/>
        </w:rPr>
        <w:t xml:space="preserve">structure </w:t>
      </w:r>
      <w:r w:rsidR="00FD4E70" w:rsidRPr="0019608A">
        <w:rPr>
          <w:sz w:val="24"/>
          <w:szCs w:val="24"/>
          <w:lang w:val="en-US"/>
        </w:rPr>
        <w:t xml:space="preserve">with </w:t>
      </w:r>
      <w:r w:rsidR="00FD4E70" w:rsidRPr="00BF6017">
        <w:rPr>
          <w:sz w:val="24"/>
          <w:szCs w:val="24"/>
          <w:lang w:val="en-US"/>
        </w:rPr>
        <w:t xml:space="preserve">spatial error </w:t>
      </w:r>
      <w:r w:rsidR="00FD4E70" w:rsidRPr="0019608A">
        <w:rPr>
          <w:sz w:val="24"/>
          <w:szCs w:val="24"/>
          <w:lang w:val="en-US"/>
        </w:rPr>
        <w:t xml:space="preserve">structures (even though </w:t>
      </w:r>
      <w:r w:rsidR="00FB4A11">
        <w:rPr>
          <w:sz w:val="24"/>
          <w:szCs w:val="24"/>
          <w:lang w:val="en-US"/>
        </w:rPr>
        <w:t>the SAR structure is in fact a little simpler to estimate in our inference approach).</w:t>
      </w:r>
      <w:r w:rsidR="00FD4E70" w:rsidRPr="00BF6017">
        <w:rPr>
          <w:sz w:val="24"/>
          <w:szCs w:val="24"/>
        </w:rPr>
        <w:t xml:space="preserve"> </w:t>
      </w:r>
    </w:p>
    <w:p w:rsidR="00B95C42" w:rsidRDefault="0004153D" w:rsidP="00D72ECE">
      <w:r>
        <w:t xml:space="preserve">There is yet one other reason to adopt the spatial lag structure, when combined with unobserved </w:t>
      </w:r>
      <w:r w:rsidR="003218C2">
        <w:t xml:space="preserve">(spatial) </w:t>
      </w:r>
      <w:r>
        <w:t>heterogeneity</w:t>
      </w:r>
      <w:r w:rsidR="000A4BCC">
        <w:t xml:space="preserve"> in the effects of exogenous variables (that is, random coefficients)</w:t>
      </w:r>
      <w:r>
        <w:t xml:space="preserve">, as discussed in detail by </w:t>
      </w:r>
      <w:r w:rsidRPr="001F443A">
        <w:t>Bhat (2015</w:t>
      </w:r>
      <w:r w:rsidR="00105786">
        <w:t>a</w:t>
      </w:r>
      <w:r w:rsidRPr="001F443A">
        <w:t>).</w:t>
      </w:r>
      <w:r>
        <w:t xml:space="preserve"> </w:t>
      </w:r>
      <w:r w:rsidR="002F1DC8">
        <w:t xml:space="preserve">Specifically, because of the spatial nature of injury occurrence locations, “spatial drift” effects are very likely wherein </w:t>
      </w:r>
      <w:r w:rsidR="00021D1C">
        <w:t xml:space="preserve">SH </w:t>
      </w:r>
      <w:r w:rsidR="002F1DC8">
        <w:t>effects themselves should be corr</w:t>
      </w:r>
      <w:r w:rsidR="000A4BCC">
        <w:t xml:space="preserve">elated over tracts based on spatial proximity </w:t>
      </w:r>
      <w:r w:rsidR="002F1DC8">
        <w:t xml:space="preserve">(see </w:t>
      </w:r>
      <w:proofErr w:type="spellStart"/>
      <w:r w:rsidR="002F1DC8" w:rsidRPr="005B6B28">
        <w:t>Bradlow</w:t>
      </w:r>
      <w:proofErr w:type="spellEnd"/>
      <w:r w:rsidR="002F1DC8" w:rsidRPr="005B6B28">
        <w:t xml:space="preserve"> </w:t>
      </w:r>
      <w:r w:rsidR="002F1DC8" w:rsidRPr="006D0744">
        <w:t>et al</w:t>
      </w:r>
      <w:r w:rsidR="002F1DC8" w:rsidRPr="002A1750">
        <w:t>., 2005</w:t>
      </w:r>
      <w:r w:rsidR="002F1DC8">
        <w:t xml:space="preserve"> and Bhat, 2015</w:t>
      </w:r>
      <w:r w:rsidR="00105786">
        <w:t>a</w:t>
      </w:r>
      <w:r w:rsidR="002F1DC8">
        <w:t xml:space="preserve"> for a discussion of the spatial drift phenomena). Thus, </w:t>
      </w:r>
      <w:r w:rsidR="00F41A55">
        <w:t xml:space="preserve">for example, consider an unobserved tract variable that corresponds to motorist friendliness </w:t>
      </w:r>
      <w:r w:rsidR="000A4BCC">
        <w:t xml:space="preserve">levels </w:t>
      </w:r>
      <w:r w:rsidR="00F41A55">
        <w:t>toward pedestrians</w:t>
      </w:r>
      <w:r w:rsidR="00FB0DE7">
        <w:t xml:space="preserve"> (MFTP</w:t>
      </w:r>
      <w:r w:rsidR="00147F71">
        <w:t xml:space="preserve">). </w:t>
      </w:r>
      <w:r w:rsidR="00F41A55">
        <w:t>It is certainly plausible that there is a proximity-based spatial pattern (across tracts) in this u</w:t>
      </w:r>
      <w:r w:rsidR="00FB0DE7">
        <w:t xml:space="preserve">nderlying MFTP </w:t>
      </w:r>
      <w:r w:rsidR="00F41A55">
        <w:t>attitude</w:t>
      </w:r>
      <w:r w:rsidR="000A4BCC">
        <w:t xml:space="preserve"> because of social interactions</w:t>
      </w:r>
      <w:r w:rsidR="00F41A55">
        <w:t>.</w:t>
      </w:r>
      <w:r w:rsidR="00021D1C">
        <w:t xml:space="preserve"> I</w:t>
      </w:r>
      <w:r w:rsidR="00FB0DE7">
        <w:t xml:space="preserve">f </w:t>
      </w:r>
      <w:r w:rsidR="000A4BCC">
        <w:t xml:space="preserve">this </w:t>
      </w:r>
      <w:r w:rsidR="00FB0DE7">
        <w:t xml:space="preserve">MFTP </w:t>
      </w:r>
      <w:r w:rsidR="000A4BCC">
        <w:t xml:space="preserve">attitude </w:t>
      </w:r>
      <w:r w:rsidR="00EA1795">
        <w:t xml:space="preserve">reduces pedestrian crash risk particularly on local residential roads (because of the high motorist-pedestrian interactions on such roads), then the extent of deviation </w:t>
      </w:r>
      <w:r w:rsidR="000A4BCC">
        <w:t xml:space="preserve">(from the norm) </w:t>
      </w:r>
      <w:r w:rsidR="00EA1795">
        <w:t xml:space="preserve">in the effect of a “proportion of local residential roads” </w:t>
      </w:r>
      <w:r w:rsidR="000A4BCC">
        <w:t>variable in a tract on</w:t>
      </w:r>
      <w:r w:rsidR="00EA1795">
        <w:t xml:space="preserve"> </w:t>
      </w:r>
      <w:r w:rsidR="00FB0DE7">
        <w:t xml:space="preserve">pedestrian injury </w:t>
      </w:r>
      <w:r w:rsidR="00EA1795">
        <w:t xml:space="preserve">risk </w:t>
      </w:r>
      <w:r w:rsidR="00FB0DE7">
        <w:t xml:space="preserve">would once again be correlated with the corresponding deviation in other tracts based on spatial proximity. </w:t>
      </w:r>
      <w:r w:rsidR="000A4BCC">
        <w:t xml:space="preserve">We accommodate such correlations </w:t>
      </w:r>
      <w:r w:rsidR="00021D1C">
        <w:t>because we allow unobserved SH effects, which when combined with the spatial lag structure, imply spatial drift effects (on the other hand, SH effects, when combined with a SAR or CAR structure, do not engender such drift effects beca</w:t>
      </w:r>
      <w:r w:rsidR="003C61B0">
        <w:t>use the SAR and CAR structures</w:t>
      </w:r>
      <w:r w:rsidR="00021D1C">
        <w:t xml:space="preserve"> act solely upon the CH effect). This is one other strong reason to prefer the </w:t>
      </w:r>
      <w:r w:rsidR="003C61B0">
        <w:t>spatial lag structure over other spatial structures</w:t>
      </w:r>
      <w:r w:rsidR="00021D1C">
        <w:t>.</w:t>
      </w:r>
      <w:r w:rsidR="00821161">
        <w:rPr>
          <w:rStyle w:val="FootnoteReference"/>
        </w:rPr>
        <w:footnoteReference w:id="4"/>
      </w:r>
      <w:r w:rsidR="00021D1C">
        <w:t xml:space="preserve"> </w:t>
      </w:r>
    </w:p>
    <w:p w:rsidR="0070440D" w:rsidRPr="009F3205" w:rsidRDefault="0070440D" w:rsidP="00D72ECE"/>
    <w:p w:rsidR="00B95C42" w:rsidRPr="00BF6017" w:rsidRDefault="00672FFE" w:rsidP="00D72ECE">
      <w:pPr>
        <w:pStyle w:val="FootnoteText"/>
        <w:ind w:firstLine="0"/>
        <w:rPr>
          <w:b/>
        </w:rPr>
      </w:pPr>
      <w:r>
        <w:rPr>
          <w:b/>
          <w:sz w:val="24"/>
          <w:szCs w:val="24"/>
          <w:lang w:val="en-US" w:eastAsia="en-US"/>
        </w:rPr>
        <w:t>2.2</w:t>
      </w:r>
      <w:r w:rsidR="00B95C42" w:rsidRPr="00BF6017">
        <w:rPr>
          <w:b/>
          <w:sz w:val="24"/>
          <w:szCs w:val="24"/>
          <w:lang w:val="en-US" w:eastAsia="en-US"/>
        </w:rPr>
        <w:t xml:space="preserve"> Summary Overview of Paper</w:t>
      </w:r>
    </w:p>
    <w:p w:rsidR="00B95C42" w:rsidRDefault="00B95C42" w:rsidP="00D72ECE">
      <w:pPr>
        <w:pStyle w:val="FootnoteText"/>
        <w:ind w:firstLine="0"/>
      </w:pPr>
      <w:r w:rsidRPr="0019608A">
        <w:rPr>
          <w:sz w:val="24"/>
          <w:szCs w:val="24"/>
        </w:rPr>
        <w:t xml:space="preserve">The </w:t>
      </w:r>
      <w:r w:rsidR="00417E45" w:rsidRPr="00BF6017">
        <w:rPr>
          <w:sz w:val="24"/>
          <w:szCs w:val="24"/>
        </w:rPr>
        <w:t>spatial random coefficient</w:t>
      </w:r>
      <w:r w:rsidR="007F215F" w:rsidRPr="00BF6017">
        <w:rPr>
          <w:sz w:val="24"/>
          <w:szCs w:val="24"/>
        </w:rPr>
        <w:t>s</w:t>
      </w:r>
      <w:r w:rsidR="00417E45" w:rsidRPr="00BF6017">
        <w:rPr>
          <w:sz w:val="24"/>
          <w:szCs w:val="24"/>
        </w:rPr>
        <w:t xml:space="preserve"> </w:t>
      </w:r>
      <w:r w:rsidR="00FE32A9">
        <w:rPr>
          <w:sz w:val="24"/>
          <w:szCs w:val="24"/>
          <w:lang w:val="en-US"/>
        </w:rPr>
        <w:t xml:space="preserve">flexible </w:t>
      </w:r>
      <w:r w:rsidR="00417E45" w:rsidRPr="00BF6017">
        <w:rPr>
          <w:sz w:val="24"/>
          <w:szCs w:val="24"/>
        </w:rPr>
        <w:t xml:space="preserve">multivariate count model </w:t>
      </w:r>
      <w:r w:rsidR="007F215F" w:rsidRPr="00BF6017">
        <w:rPr>
          <w:sz w:val="24"/>
          <w:szCs w:val="24"/>
        </w:rPr>
        <w:t xml:space="preserve">proposed in this paper </w:t>
      </w:r>
      <w:r w:rsidR="00417E45" w:rsidRPr="00BF6017">
        <w:rPr>
          <w:sz w:val="24"/>
          <w:szCs w:val="24"/>
        </w:rPr>
        <w:t xml:space="preserve">recognizes many econometric issues at once: </w:t>
      </w:r>
      <w:r w:rsidR="00B31A53">
        <w:rPr>
          <w:sz w:val="24"/>
          <w:szCs w:val="24"/>
          <w:lang w:val="en-US"/>
        </w:rPr>
        <w:t xml:space="preserve">(a) </w:t>
      </w:r>
      <w:r w:rsidR="00B31A53" w:rsidRPr="00BF6017">
        <w:rPr>
          <w:sz w:val="24"/>
          <w:szCs w:val="24"/>
        </w:rPr>
        <w:t xml:space="preserve">It allows a full covariance matrix for the random coefficients (CH and SH effects) </w:t>
      </w:r>
      <w:r w:rsidR="00B31A53">
        <w:rPr>
          <w:sz w:val="24"/>
          <w:szCs w:val="24"/>
          <w:lang w:val="en-US"/>
        </w:rPr>
        <w:t xml:space="preserve">characterizing spatial heterogeneity </w:t>
      </w:r>
      <w:r w:rsidR="00B31A53" w:rsidRPr="00BF6017">
        <w:rPr>
          <w:sz w:val="24"/>
          <w:szCs w:val="24"/>
        </w:rPr>
        <w:t>for each count category</w:t>
      </w:r>
      <w:r w:rsidR="00B31A53">
        <w:rPr>
          <w:sz w:val="24"/>
          <w:szCs w:val="24"/>
          <w:lang w:val="en-US"/>
        </w:rPr>
        <w:t>,</w:t>
      </w:r>
      <w:r w:rsidR="00B31A53" w:rsidRPr="00BF6017">
        <w:rPr>
          <w:sz w:val="24"/>
          <w:szCs w:val="24"/>
        </w:rPr>
        <w:t xml:space="preserve"> </w:t>
      </w:r>
      <w:r w:rsidR="00417E45" w:rsidRPr="00BF6017">
        <w:rPr>
          <w:sz w:val="24"/>
          <w:szCs w:val="24"/>
        </w:rPr>
        <w:t>(</w:t>
      </w:r>
      <w:r w:rsidR="00B31A53">
        <w:rPr>
          <w:sz w:val="24"/>
          <w:szCs w:val="24"/>
          <w:lang w:val="en-US"/>
        </w:rPr>
        <w:t>b</w:t>
      </w:r>
      <w:r w:rsidR="00417E45" w:rsidRPr="00BF6017">
        <w:rPr>
          <w:sz w:val="24"/>
          <w:szCs w:val="24"/>
        </w:rPr>
        <w:t>) It addresses excess zeros (or any other excess count value for that matter) within a multivariate cou</w:t>
      </w:r>
      <w:r w:rsidR="007F215F" w:rsidRPr="00BF6017">
        <w:rPr>
          <w:sz w:val="24"/>
          <w:szCs w:val="24"/>
        </w:rPr>
        <w:t>nt setting</w:t>
      </w:r>
      <w:r w:rsidR="004E2DBA">
        <w:rPr>
          <w:sz w:val="24"/>
          <w:szCs w:val="24"/>
          <w:lang w:val="en-US"/>
        </w:rPr>
        <w:t xml:space="preserve"> in a simple and elegant fashion</w:t>
      </w:r>
      <w:r w:rsidR="007F215F" w:rsidRPr="00BF6017">
        <w:rPr>
          <w:sz w:val="24"/>
          <w:szCs w:val="24"/>
        </w:rPr>
        <w:t xml:space="preserve">, </w:t>
      </w:r>
      <w:r w:rsidR="00B31A53">
        <w:rPr>
          <w:sz w:val="24"/>
          <w:szCs w:val="24"/>
          <w:lang w:val="en-US"/>
        </w:rPr>
        <w:t xml:space="preserve">while recognizing </w:t>
      </w:r>
      <w:proofErr w:type="spellStart"/>
      <w:r w:rsidR="00B31A53">
        <w:rPr>
          <w:sz w:val="24"/>
          <w:szCs w:val="24"/>
          <w:lang w:val="en-US"/>
        </w:rPr>
        <w:t>multivariateness</w:t>
      </w:r>
      <w:proofErr w:type="spellEnd"/>
      <w:r w:rsidR="00B31A53">
        <w:rPr>
          <w:sz w:val="24"/>
          <w:szCs w:val="24"/>
          <w:lang w:val="en-US"/>
        </w:rPr>
        <w:t xml:space="preserve"> engendered through </w:t>
      </w:r>
      <w:proofErr w:type="spellStart"/>
      <w:r w:rsidR="00B31A53">
        <w:rPr>
          <w:sz w:val="24"/>
          <w:szCs w:val="24"/>
          <w:lang w:val="en-US"/>
        </w:rPr>
        <w:t>covariances</w:t>
      </w:r>
      <w:proofErr w:type="spellEnd"/>
      <w:r w:rsidR="00B31A53">
        <w:rPr>
          <w:sz w:val="24"/>
          <w:szCs w:val="24"/>
          <w:lang w:val="en-US"/>
        </w:rPr>
        <w:t xml:space="preserve"> in both the CH and SH effects</w:t>
      </w:r>
      <w:r w:rsidR="007F215F" w:rsidRPr="00BF6017">
        <w:rPr>
          <w:sz w:val="24"/>
          <w:szCs w:val="24"/>
        </w:rPr>
        <w:t>, (c) It accommodates spatial dependency through a spatial autoregressive lag structure</w:t>
      </w:r>
      <w:r w:rsidR="007E5817" w:rsidRPr="00BF6017">
        <w:rPr>
          <w:sz w:val="24"/>
          <w:szCs w:val="24"/>
        </w:rPr>
        <w:t xml:space="preserve">, allowing for varying spatial autoregressive parameters across count categories, </w:t>
      </w:r>
      <w:r w:rsidR="00F8600E">
        <w:rPr>
          <w:sz w:val="24"/>
          <w:szCs w:val="24"/>
          <w:lang w:val="en-US"/>
        </w:rPr>
        <w:t xml:space="preserve">and </w:t>
      </w:r>
      <w:r w:rsidR="007E5817" w:rsidRPr="00BF6017">
        <w:rPr>
          <w:sz w:val="24"/>
          <w:szCs w:val="24"/>
        </w:rPr>
        <w:t xml:space="preserve">(d) It captures spatial drift effects through the spatial structure on </w:t>
      </w:r>
      <w:r w:rsidR="00696067">
        <w:rPr>
          <w:sz w:val="24"/>
          <w:szCs w:val="24"/>
          <w:lang w:val="en-US"/>
        </w:rPr>
        <w:t xml:space="preserve">the </w:t>
      </w:r>
      <w:r w:rsidR="004E2DBA">
        <w:rPr>
          <w:sz w:val="24"/>
          <w:szCs w:val="24"/>
          <w:lang w:val="en-US"/>
        </w:rPr>
        <w:t xml:space="preserve">CH and </w:t>
      </w:r>
      <w:r w:rsidR="007E5817" w:rsidRPr="00BF6017">
        <w:rPr>
          <w:sz w:val="24"/>
          <w:szCs w:val="24"/>
        </w:rPr>
        <w:t xml:space="preserve">SH effects. To our knowledge, this is the first time in the crash literature, as well as the broader econometric literature, that such a general spatial multivariate model has been formulated. </w:t>
      </w:r>
      <w:r w:rsidR="00EF052C" w:rsidRPr="00BF6017">
        <w:rPr>
          <w:sz w:val="24"/>
          <w:szCs w:val="24"/>
        </w:rPr>
        <w:t>The likelihood function for the resulting model is analytically intractable, and simulation approaches are of little use. To overcome this issue, we use a composite marginal likelihood (CML) inference approach that is simple to implement and is based on evaluating lower-dimensional marginal probability expressions.</w:t>
      </w:r>
      <w:r w:rsidR="00EF052C" w:rsidRPr="00BF6017">
        <w:rPr>
          <w:sz w:val="24"/>
          <w:szCs w:val="24"/>
          <w:lang w:val="en-US"/>
        </w:rPr>
        <w:t xml:space="preserve"> </w:t>
      </w:r>
    </w:p>
    <w:p w:rsidR="00647A97" w:rsidRDefault="00EF052C" w:rsidP="00D72ECE">
      <w:pPr>
        <w:pStyle w:val="FootnoteText"/>
        <w:rPr>
          <w:sz w:val="24"/>
          <w:szCs w:val="24"/>
        </w:rPr>
      </w:pPr>
      <w:r w:rsidRPr="00BF6017">
        <w:rPr>
          <w:sz w:val="24"/>
          <w:szCs w:val="24"/>
        </w:rPr>
        <w:t xml:space="preserve">The proposed model is applied to examine, at the spatial level of a </w:t>
      </w:r>
      <w:r w:rsidR="00CA0783">
        <w:rPr>
          <w:sz w:val="24"/>
          <w:szCs w:val="24"/>
          <w:lang w:val="en-US"/>
        </w:rPr>
        <w:t>c</w:t>
      </w:r>
      <w:proofErr w:type="spellStart"/>
      <w:r w:rsidRPr="00BF6017">
        <w:rPr>
          <w:sz w:val="24"/>
          <w:szCs w:val="24"/>
        </w:rPr>
        <w:t>ensus</w:t>
      </w:r>
      <w:proofErr w:type="spellEnd"/>
      <w:r w:rsidRPr="00BF6017">
        <w:rPr>
          <w:sz w:val="24"/>
          <w:szCs w:val="24"/>
        </w:rPr>
        <w:t xml:space="preserve"> tract, the number of pedestrian injuries by injury severity level. In this empirical context, an appropriate exposure measure of crash risk within a </w:t>
      </w:r>
      <w:r w:rsidR="00CA0783">
        <w:rPr>
          <w:sz w:val="24"/>
          <w:szCs w:val="24"/>
          <w:lang w:val="en-US"/>
        </w:rPr>
        <w:t>c</w:t>
      </w:r>
      <w:proofErr w:type="spellStart"/>
      <w:r w:rsidRPr="00BF6017">
        <w:rPr>
          <w:sz w:val="24"/>
          <w:szCs w:val="24"/>
        </w:rPr>
        <w:t>ensus</w:t>
      </w:r>
      <w:proofErr w:type="spellEnd"/>
      <w:r w:rsidRPr="00BF6017">
        <w:rPr>
          <w:sz w:val="24"/>
          <w:szCs w:val="24"/>
        </w:rPr>
        <w:t xml:space="preserve"> tract would be the number of pedestrian miles of travel and motorized vehicle miles of travel. </w:t>
      </w:r>
      <w:r w:rsidRPr="00BF6017">
        <w:rPr>
          <w:sz w:val="24"/>
          <w:szCs w:val="24"/>
          <w:lang w:val="en-US"/>
        </w:rPr>
        <w:t xml:space="preserve">But, because of the </w:t>
      </w:r>
      <w:r w:rsidRPr="00BF6017">
        <w:rPr>
          <w:sz w:val="24"/>
          <w:szCs w:val="24"/>
        </w:rPr>
        <w:t>difficult</w:t>
      </w:r>
      <w:r w:rsidRPr="00BF6017">
        <w:rPr>
          <w:sz w:val="24"/>
          <w:szCs w:val="24"/>
          <w:lang w:val="en-US"/>
        </w:rPr>
        <w:t>y</w:t>
      </w:r>
      <w:r w:rsidRPr="00BF6017">
        <w:rPr>
          <w:sz w:val="24"/>
          <w:szCs w:val="24"/>
        </w:rPr>
        <w:t xml:space="preserve"> in construct</w:t>
      </w:r>
      <w:r w:rsidRPr="00BF6017">
        <w:rPr>
          <w:sz w:val="24"/>
          <w:szCs w:val="24"/>
          <w:lang w:val="en-US"/>
        </w:rPr>
        <w:t>ing such measures accurately,</w:t>
      </w:r>
      <w:r w:rsidRPr="00BF6017">
        <w:rPr>
          <w:sz w:val="24"/>
          <w:szCs w:val="24"/>
        </w:rPr>
        <w:t xml:space="preserve"> we use surrogate exposure measures such as population density, income, land-use, </w:t>
      </w:r>
      <w:r w:rsidRPr="00BF6017">
        <w:rPr>
          <w:sz w:val="24"/>
          <w:szCs w:val="24"/>
        </w:rPr>
        <w:lastRenderedPageBreak/>
        <w:t xml:space="preserve">road-network characteristics, and activity intensity characteristics. </w:t>
      </w:r>
      <w:r w:rsidRPr="00BF6017">
        <w:rPr>
          <w:sz w:val="24"/>
          <w:szCs w:val="24"/>
          <w:lang w:val="en-US"/>
        </w:rPr>
        <w:t xml:space="preserve">As discussed in several earlier studies (see, for example, </w:t>
      </w:r>
      <w:r w:rsidR="00B2141F" w:rsidRPr="00BF6017">
        <w:rPr>
          <w:sz w:val="24"/>
          <w:szCs w:val="24"/>
          <w:lang w:val="en-US"/>
        </w:rPr>
        <w:t xml:space="preserve">Huang et al., 2014; </w:t>
      </w:r>
      <w:proofErr w:type="spellStart"/>
      <w:r w:rsidR="00B2141F" w:rsidRPr="00BF6017">
        <w:rPr>
          <w:sz w:val="24"/>
          <w:szCs w:val="24"/>
          <w:lang w:val="en-US"/>
        </w:rPr>
        <w:t>Aguero-Valverde</w:t>
      </w:r>
      <w:proofErr w:type="spellEnd"/>
      <w:r w:rsidR="00B2141F" w:rsidRPr="00BF6017">
        <w:rPr>
          <w:sz w:val="24"/>
          <w:szCs w:val="24"/>
          <w:lang w:val="en-US"/>
        </w:rPr>
        <w:t xml:space="preserve"> et al., 2006</w:t>
      </w:r>
      <w:r w:rsidRPr="00BF6017">
        <w:rPr>
          <w:sz w:val="24"/>
          <w:szCs w:val="24"/>
          <w:lang w:val="en-US"/>
        </w:rPr>
        <w:t xml:space="preserve">), </w:t>
      </w:r>
      <w:r w:rsidRPr="00BF6017">
        <w:rPr>
          <w:sz w:val="24"/>
          <w:szCs w:val="24"/>
        </w:rPr>
        <w:t>this approach</w:t>
      </w:r>
      <w:r w:rsidRPr="00BF6017">
        <w:rPr>
          <w:sz w:val="24"/>
          <w:szCs w:val="24"/>
          <w:lang w:val="en-US"/>
        </w:rPr>
        <w:t xml:space="preserve"> </w:t>
      </w:r>
      <w:r w:rsidRPr="00BF6017">
        <w:rPr>
          <w:sz w:val="24"/>
          <w:szCs w:val="24"/>
        </w:rPr>
        <w:t>has the advantage that exposu</w:t>
      </w:r>
      <w:r w:rsidR="00B95C42" w:rsidRPr="00BF6017">
        <w:rPr>
          <w:sz w:val="24"/>
          <w:szCs w:val="24"/>
        </w:rPr>
        <w:t>re is internalized</w:t>
      </w:r>
      <w:r w:rsidRPr="00BF6017">
        <w:rPr>
          <w:sz w:val="24"/>
          <w:szCs w:val="24"/>
        </w:rPr>
        <w:t xml:space="preserve">, and so it is possible to identify </w:t>
      </w:r>
      <w:r w:rsidR="00CA0783">
        <w:rPr>
          <w:sz w:val="24"/>
          <w:szCs w:val="24"/>
          <w:lang w:val="en-US"/>
        </w:rPr>
        <w:t>c</w:t>
      </w:r>
      <w:proofErr w:type="spellStart"/>
      <w:r w:rsidRPr="00BF6017">
        <w:rPr>
          <w:sz w:val="24"/>
          <w:szCs w:val="24"/>
        </w:rPr>
        <w:t>ensus</w:t>
      </w:r>
      <w:proofErr w:type="spellEnd"/>
      <w:r w:rsidRPr="00BF6017">
        <w:rPr>
          <w:sz w:val="24"/>
          <w:szCs w:val="24"/>
        </w:rPr>
        <w:t xml:space="preserve"> tracts that are likely </w:t>
      </w:r>
      <w:r w:rsidR="00B95C42" w:rsidRPr="00BF6017">
        <w:rPr>
          <w:sz w:val="24"/>
          <w:szCs w:val="24"/>
        </w:rPr>
        <w:t xml:space="preserve">to have a high number of pedestrian </w:t>
      </w:r>
      <w:proofErr w:type="spellStart"/>
      <w:r w:rsidR="00B95C42" w:rsidRPr="00BF6017">
        <w:rPr>
          <w:sz w:val="24"/>
          <w:szCs w:val="24"/>
        </w:rPr>
        <w:t>in</w:t>
      </w:r>
      <w:r w:rsidR="00B95C42">
        <w:rPr>
          <w:sz w:val="24"/>
          <w:szCs w:val="24"/>
          <w:lang w:val="en-US"/>
        </w:rPr>
        <w:t>j</w:t>
      </w:r>
      <w:r w:rsidR="00B95C42" w:rsidRPr="0019608A">
        <w:rPr>
          <w:sz w:val="24"/>
          <w:szCs w:val="24"/>
        </w:rPr>
        <w:t>uries</w:t>
      </w:r>
      <w:proofErr w:type="spellEnd"/>
      <w:r w:rsidRPr="00BF6017">
        <w:rPr>
          <w:sz w:val="24"/>
          <w:szCs w:val="24"/>
        </w:rPr>
        <w:t xml:space="preserve"> based purely on the readily available </w:t>
      </w:r>
      <w:r w:rsidR="00CA0783">
        <w:rPr>
          <w:sz w:val="24"/>
          <w:szCs w:val="24"/>
          <w:lang w:val="en-US"/>
        </w:rPr>
        <w:t>c</w:t>
      </w:r>
      <w:proofErr w:type="spellStart"/>
      <w:r w:rsidRPr="00BF6017">
        <w:rPr>
          <w:sz w:val="24"/>
          <w:szCs w:val="24"/>
        </w:rPr>
        <w:t>ensus</w:t>
      </w:r>
      <w:proofErr w:type="spellEnd"/>
      <w:r w:rsidRPr="00BF6017">
        <w:rPr>
          <w:sz w:val="24"/>
          <w:szCs w:val="24"/>
        </w:rPr>
        <w:t xml:space="preserve"> tract demographic factors and built environment characteristics. The data for our analysis is drawn from a </w:t>
      </w:r>
      <w:r w:rsidRPr="00BF6017">
        <w:rPr>
          <w:sz w:val="24"/>
          <w:szCs w:val="24"/>
          <w:lang w:val="en-US"/>
        </w:rPr>
        <w:t xml:space="preserve">2009 pedestrian </w:t>
      </w:r>
      <w:r w:rsidRPr="00BF6017">
        <w:rPr>
          <w:sz w:val="24"/>
          <w:szCs w:val="24"/>
        </w:rPr>
        <w:t xml:space="preserve">crash database </w:t>
      </w:r>
      <w:r w:rsidRPr="00BF6017">
        <w:rPr>
          <w:sz w:val="24"/>
          <w:szCs w:val="24"/>
          <w:lang w:val="en-US"/>
        </w:rPr>
        <w:t xml:space="preserve">from the Manhattan region of New York City. </w:t>
      </w:r>
      <w:r w:rsidRPr="00BF6017">
        <w:rPr>
          <w:sz w:val="24"/>
          <w:szCs w:val="24"/>
        </w:rPr>
        <w:t xml:space="preserve">Several groups of </w:t>
      </w:r>
      <w:r w:rsidR="00725139">
        <w:rPr>
          <w:sz w:val="24"/>
          <w:szCs w:val="24"/>
          <w:lang w:val="en-US"/>
        </w:rPr>
        <w:t>c</w:t>
      </w:r>
      <w:proofErr w:type="spellStart"/>
      <w:r w:rsidRPr="00BF6017">
        <w:rPr>
          <w:sz w:val="24"/>
          <w:szCs w:val="24"/>
        </w:rPr>
        <w:t>ensus</w:t>
      </w:r>
      <w:proofErr w:type="spellEnd"/>
      <w:r w:rsidRPr="00BF6017">
        <w:rPr>
          <w:sz w:val="24"/>
          <w:szCs w:val="24"/>
        </w:rPr>
        <w:t xml:space="preserve"> tract-based risk factors are considered i</w:t>
      </w:r>
      <w:r w:rsidR="00B95C42" w:rsidRPr="00BF6017">
        <w:rPr>
          <w:sz w:val="24"/>
          <w:szCs w:val="24"/>
        </w:rPr>
        <w:t xml:space="preserve">n the empirical </w:t>
      </w:r>
      <w:r w:rsidRPr="00BF6017">
        <w:rPr>
          <w:sz w:val="24"/>
          <w:szCs w:val="24"/>
        </w:rPr>
        <w:t>analysis based on earlier research, including (1) socio-demographic characteristics (such as population density, proportions of the population by age, income, and race/ethnicity), (2) land-use and road network characteristics</w:t>
      </w:r>
      <w:r w:rsidR="001A2030">
        <w:rPr>
          <w:sz w:val="24"/>
          <w:szCs w:val="24"/>
          <w:lang w:val="en-US"/>
        </w:rPr>
        <w:t xml:space="preserve"> </w:t>
      </w:r>
      <w:r w:rsidR="001A2030" w:rsidRPr="00571D2A">
        <w:rPr>
          <w:sz w:val="24"/>
          <w:szCs w:val="24"/>
        </w:rPr>
        <w:t>(such as p</w:t>
      </w:r>
      <w:r w:rsidR="001A2030">
        <w:rPr>
          <w:sz w:val="24"/>
          <w:szCs w:val="24"/>
        </w:rPr>
        <w:t>roportion</w:t>
      </w:r>
      <w:r w:rsidR="001A2030" w:rsidRPr="00571D2A">
        <w:rPr>
          <w:sz w:val="24"/>
          <w:szCs w:val="24"/>
        </w:rPr>
        <w:t xml:space="preserve"> </w:t>
      </w:r>
      <w:r w:rsidR="001A2030">
        <w:rPr>
          <w:sz w:val="24"/>
          <w:szCs w:val="24"/>
        </w:rPr>
        <w:t>of retail and commercial land-use,</w:t>
      </w:r>
      <w:r w:rsidR="001A2030">
        <w:rPr>
          <w:sz w:val="24"/>
          <w:szCs w:val="24"/>
          <w:lang w:val="en-US"/>
        </w:rPr>
        <w:t xml:space="preserve"> and</w:t>
      </w:r>
      <w:r w:rsidR="001A2030">
        <w:rPr>
          <w:sz w:val="24"/>
          <w:szCs w:val="24"/>
        </w:rPr>
        <w:t xml:space="preserve"> proportion</w:t>
      </w:r>
      <w:r w:rsidR="001A2030" w:rsidRPr="00571D2A">
        <w:rPr>
          <w:sz w:val="24"/>
          <w:szCs w:val="24"/>
        </w:rPr>
        <w:t xml:space="preserve"> of roads by </w:t>
      </w:r>
      <w:r w:rsidR="001A2030">
        <w:rPr>
          <w:sz w:val="24"/>
          <w:szCs w:val="24"/>
        </w:rPr>
        <w:t>functional type)</w:t>
      </w:r>
      <w:r w:rsidRPr="00BF6017">
        <w:rPr>
          <w:sz w:val="24"/>
          <w:szCs w:val="24"/>
        </w:rPr>
        <w:t>, (3) activity intensity characteristics</w:t>
      </w:r>
      <w:r w:rsidR="00675251">
        <w:rPr>
          <w:sz w:val="24"/>
          <w:szCs w:val="24"/>
          <w:lang w:val="en-US"/>
        </w:rPr>
        <w:t xml:space="preserve"> </w:t>
      </w:r>
      <w:r w:rsidR="00675251">
        <w:rPr>
          <w:sz w:val="24"/>
          <w:szCs w:val="24"/>
        </w:rPr>
        <w:t xml:space="preserve">(such as </w:t>
      </w:r>
      <w:r w:rsidR="00675251" w:rsidRPr="00571D2A">
        <w:rPr>
          <w:sz w:val="24"/>
          <w:szCs w:val="24"/>
        </w:rPr>
        <w:t>retail intensity</w:t>
      </w:r>
      <w:r w:rsidR="00675251">
        <w:rPr>
          <w:sz w:val="24"/>
          <w:szCs w:val="24"/>
        </w:rPr>
        <w:t xml:space="preserve">, and </w:t>
      </w:r>
      <w:r w:rsidR="00675251" w:rsidRPr="00571D2A">
        <w:rPr>
          <w:sz w:val="24"/>
          <w:szCs w:val="24"/>
        </w:rPr>
        <w:t>number of schools and universities</w:t>
      </w:r>
      <w:r w:rsidR="00675251">
        <w:rPr>
          <w:sz w:val="24"/>
          <w:szCs w:val="24"/>
        </w:rPr>
        <w:t>),</w:t>
      </w:r>
      <w:r w:rsidRPr="00BF6017">
        <w:rPr>
          <w:sz w:val="24"/>
          <w:szCs w:val="24"/>
        </w:rPr>
        <w:t xml:space="preserve"> and (4) commute mode shares and transit supply characteristics</w:t>
      </w:r>
      <w:r w:rsidR="00675251">
        <w:rPr>
          <w:sz w:val="24"/>
          <w:szCs w:val="24"/>
          <w:lang w:val="en-US"/>
        </w:rPr>
        <w:t xml:space="preserve"> </w:t>
      </w:r>
      <w:r w:rsidR="00675251" w:rsidRPr="00571D2A">
        <w:rPr>
          <w:sz w:val="24"/>
          <w:szCs w:val="24"/>
        </w:rPr>
        <w:t xml:space="preserve">(such as </w:t>
      </w:r>
      <w:r w:rsidR="00675251">
        <w:rPr>
          <w:sz w:val="24"/>
          <w:szCs w:val="24"/>
        </w:rPr>
        <w:t>shares of commute trips by mode</w:t>
      </w:r>
      <w:r w:rsidR="00675251" w:rsidRPr="00571D2A">
        <w:rPr>
          <w:sz w:val="24"/>
          <w:szCs w:val="24"/>
        </w:rPr>
        <w:t xml:space="preserve"> </w:t>
      </w:r>
      <w:r w:rsidR="00675251">
        <w:rPr>
          <w:sz w:val="24"/>
          <w:szCs w:val="24"/>
        </w:rPr>
        <w:t>and number of bus stops</w:t>
      </w:r>
      <w:r w:rsidR="00675251" w:rsidRPr="00571D2A">
        <w:rPr>
          <w:sz w:val="24"/>
          <w:szCs w:val="24"/>
        </w:rPr>
        <w:t>)</w:t>
      </w:r>
      <w:r w:rsidRPr="00BF6017">
        <w:rPr>
          <w:sz w:val="24"/>
          <w:szCs w:val="24"/>
        </w:rPr>
        <w:t>.</w:t>
      </w:r>
    </w:p>
    <w:p w:rsidR="00EF052C" w:rsidRDefault="00EF052C" w:rsidP="00D72ECE">
      <w:pPr>
        <w:pStyle w:val="FootnoteText"/>
      </w:pPr>
      <w:r w:rsidRPr="00BF6017">
        <w:rPr>
          <w:sz w:val="24"/>
          <w:szCs w:val="24"/>
        </w:rPr>
        <w:t xml:space="preserve"> </w:t>
      </w:r>
    </w:p>
    <w:p w:rsidR="00F70BB4" w:rsidRDefault="00F70BB4" w:rsidP="00D72ECE">
      <w:pPr>
        <w:pStyle w:val="Heading1"/>
        <w:spacing w:before="0"/>
        <w:ind w:left="360" w:hanging="360"/>
        <w:rPr>
          <w:lang w:val="en-US"/>
        </w:rPr>
      </w:pPr>
      <w:r>
        <w:t>Methodology</w:t>
      </w:r>
    </w:p>
    <w:p w:rsidR="00084023" w:rsidRPr="00351114" w:rsidRDefault="00084023" w:rsidP="00D72ECE">
      <w:pPr>
        <w:pStyle w:val="Heading2"/>
        <w:spacing w:before="0" w:beforeAutospacing="0" w:after="0" w:afterAutospacing="0"/>
        <w:ind w:left="360" w:hanging="360"/>
      </w:pPr>
      <w:r>
        <w:t xml:space="preserve">Count </w:t>
      </w:r>
      <w:r w:rsidR="00647A97">
        <w:rPr>
          <w:lang w:val="en-US"/>
        </w:rPr>
        <w:t>M</w:t>
      </w:r>
      <w:proofErr w:type="spellStart"/>
      <w:r>
        <w:t>odel</w:t>
      </w:r>
      <w:proofErr w:type="spellEnd"/>
      <w:r>
        <w:t xml:space="preserve"> </w:t>
      </w:r>
      <w:r w:rsidR="00647A97">
        <w:rPr>
          <w:lang w:val="en-US"/>
        </w:rPr>
        <w:t>R</w:t>
      </w:r>
      <w:proofErr w:type="spellStart"/>
      <w:r w:rsidRPr="00351114">
        <w:t>ecasting</w:t>
      </w:r>
      <w:proofErr w:type="spellEnd"/>
      <w:r>
        <w:t xml:space="preserve"> as a </w:t>
      </w:r>
      <w:r w:rsidR="00647A97">
        <w:rPr>
          <w:lang w:val="en-US"/>
        </w:rPr>
        <w:t>G</w:t>
      </w:r>
      <w:proofErr w:type="spellStart"/>
      <w:r>
        <w:t>eneralized</w:t>
      </w:r>
      <w:proofErr w:type="spellEnd"/>
      <w:r>
        <w:t xml:space="preserve"> </w:t>
      </w:r>
      <w:r w:rsidR="00647A97">
        <w:rPr>
          <w:lang w:val="en-US"/>
        </w:rPr>
        <w:t>O</w:t>
      </w:r>
      <w:proofErr w:type="spellStart"/>
      <w:r w:rsidR="00647A97">
        <w:t>rdered</w:t>
      </w:r>
      <w:proofErr w:type="spellEnd"/>
      <w:r w:rsidR="00647A97">
        <w:t>-R</w:t>
      </w:r>
      <w:r>
        <w:t xml:space="preserve">esponse </w:t>
      </w:r>
      <w:r w:rsidR="00647A97">
        <w:rPr>
          <w:lang w:val="en-US"/>
        </w:rPr>
        <w:t>M</w:t>
      </w:r>
      <w:proofErr w:type="spellStart"/>
      <w:r>
        <w:t>odel</w:t>
      </w:r>
      <w:proofErr w:type="spellEnd"/>
    </w:p>
    <w:p w:rsidR="00084023" w:rsidRDefault="00084023" w:rsidP="00D72ECE">
      <w:pPr>
        <w:keepNext/>
        <w:ind w:firstLine="0"/>
      </w:pPr>
      <w:r w:rsidRPr="00FF687C">
        <w:t xml:space="preserve">Let </w:t>
      </w:r>
      <w:r w:rsidRPr="00FF687C">
        <w:rPr>
          <w:i/>
        </w:rPr>
        <w:t>q</w:t>
      </w:r>
      <w:r w:rsidRPr="00FF687C">
        <w:t xml:space="preserve"> (</w:t>
      </w:r>
      <w:r w:rsidRPr="00FF687C">
        <w:rPr>
          <w:i/>
        </w:rPr>
        <w:t xml:space="preserve">q </w:t>
      </w:r>
      <w:r w:rsidRPr="00FF687C">
        <w:t xml:space="preserve">= 1, 2, …, </w:t>
      </w:r>
      <w:r w:rsidRPr="00FF687C">
        <w:rPr>
          <w:i/>
        </w:rPr>
        <w:t>Q</w:t>
      </w:r>
      <w:r w:rsidRPr="00FF687C">
        <w:t xml:space="preserve">) be the index for </w:t>
      </w:r>
      <w:r w:rsidR="00EA73F9">
        <w:t>census tracts</w:t>
      </w:r>
      <w:r>
        <w:t xml:space="preserve"> and </w:t>
      </w:r>
      <w:r w:rsidRPr="00FF687C">
        <w:t xml:space="preserve">let </w:t>
      </w:r>
      <w:r>
        <w:rPr>
          <w:i/>
        </w:rPr>
        <w:t>j</w:t>
      </w:r>
      <w:r w:rsidRPr="00FF687C">
        <w:rPr>
          <w:i/>
        </w:rPr>
        <w:t xml:space="preserve"> </w:t>
      </w:r>
      <w:r w:rsidRPr="00FF687C">
        <w:t>(</w:t>
      </w:r>
      <w:r>
        <w:rPr>
          <w:i/>
        </w:rPr>
        <w:t>j</w:t>
      </w:r>
      <w:r w:rsidRPr="00FF687C">
        <w:rPr>
          <w:i/>
        </w:rPr>
        <w:t xml:space="preserve"> =</w:t>
      </w:r>
      <w:r w:rsidRPr="00FF687C">
        <w:t xml:space="preserve"> 1, 2, …, </w:t>
      </w:r>
      <w:r>
        <w:rPr>
          <w:i/>
        </w:rPr>
        <w:t>J</w:t>
      </w:r>
      <w:r>
        <w:t xml:space="preserve">) be the index for </w:t>
      </w:r>
      <w:r w:rsidR="00EA73F9">
        <w:t>injury severity</w:t>
      </w:r>
      <w:r w:rsidR="00B95B5A">
        <w:t xml:space="preserve">, where </w:t>
      </w:r>
      <w:r w:rsidR="00B95B5A" w:rsidRPr="00456CEF">
        <w:rPr>
          <w:i/>
        </w:rPr>
        <w:t>Q</w:t>
      </w:r>
      <w:r w:rsidR="00B95B5A" w:rsidRPr="00456CEF">
        <w:t xml:space="preserve"> is the to</w:t>
      </w:r>
      <w:r w:rsidR="00B95B5A">
        <w:t>ta</w:t>
      </w:r>
      <w:r w:rsidR="00725139">
        <w:t>l number of observation units (c</w:t>
      </w:r>
      <w:r w:rsidR="00B95B5A">
        <w:t xml:space="preserve">ensus tracts) </w:t>
      </w:r>
      <w:r w:rsidR="00B95B5A" w:rsidRPr="00456CEF">
        <w:t xml:space="preserve">in the sample, </w:t>
      </w:r>
      <w:r w:rsidR="00B95B5A">
        <w:t xml:space="preserve">and </w:t>
      </w:r>
      <w:r w:rsidR="00B95B5A" w:rsidRPr="00456CEF">
        <w:rPr>
          <w:i/>
        </w:rPr>
        <w:t>J</w:t>
      </w:r>
      <w:r w:rsidR="00B95B5A" w:rsidRPr="00456CEF">
        <w:t xml:space="preserve"> is the number of injury severity levels</w:t>
      </w:r>
      <w:r w:rsidRPr="00FF687C">
        <w:t xml:space="preserve"> </w:t>
      </w:r>
      <w:r w:rsidR="00B95B5A">
        <w:t>(</w:t>
      </w:r>
      <w:r w:rsidR="00B95B5A" w:rsidRPr="00BF6017">
        <w:rPr>
          <w:i/>
        </w:rPr>
        <w:t>J</w:t>
      </w:r>
      <w:r w:rsidR="00B95B5A">
        <w:t xml:space="preserve">=4 in our later empirical analysis, corresponding to </w:t>
      </w:r>
      <w:r w:rsidR="00B95B5A" w:rsidRPr="00456CEF">
        <w:t xml:space="preserve">the </w:t>
      </w:r>
      <w:r w:rsidR="00B95B5A">
        <w:t xml:space="preserve">pedestrian injury severity categories of </w:t>
      </w:r>
      <w:r w:rsidR="00B95B5A" w:rsidRPr="00456CEF">
        <w:t>“possible” injury</w:t>
      </w:r>
      <w:r w:rsidR="00224779">
        <w:t xml:space="preserve"> (</w:t>
      </w:r>
      <w:r w:rsidR="00224779" w:rsidRPr="00BF6017">
        <w:rPr>
          <w:i/>
        </w:rPr>
        <w:t>j</w:t>
      </w:r>
      <w:r w:rsidR="00224779">
        <w:t>=1)</w:t>
      </w:r>
      <w:r w:rsidR="00B95B5A" w:rsidRPr="00456CEF">
        <w:t>, “non-incapacitating injury”</w:t>
      </w:r>
      <w:r w:rsidR="00224779">
        <w:t xml:space="preserve"> (</w:t>
      </w:r>
      <w:r w:rsidR="00224779" w:rsidRPr="00BF6017">
        <w:rPr>
          <w:i/>
        </w:rPr>
        <w:t>j</w:t>
      </w:r>
      <w:r w:rsidR="00224779">
        <w:t>=2)</w:t>
      </w:r>
      <w:r w:rsidR="00B95B5A" w:rsidRPr="00456CEF">
        <w:t>, “incapacitating injury”</w:t>
      </w:r>
      <w:r w:rsidR="00224779">
        <w:t xml:space="preserve"> (</w:t>
      </w:r>
      <w:r w:rsidR="00224779" w:rsidRPr="00BF6017">
        <w:rPr>
          <w:i/>
        </w:rPr>
        <w:t>j</w:t>
      </w:r>
      <w:r w:rsidR="00224779">
        <w:t>=3)</w:t>
      </w:r>
      <w:r w:rsidR="00B95B5A" w:rsidRPr="00456CEF">
        <w:t>, and “fatal” injury</w:t>
      </w:r>
      <w:r w:rsidR="00224779">
        <w:t xml:space="preserve"> (</w:t>
      </w:r>
      <w:r w:rsidR="00224779" w:rsidRPr="00BF6017">
        <w:rPr>
          <w:i/>
        </w:rPr>
        <w:t>j</w:t>
      </w:r>
      <w:r w:rsidR="00224779">
        <w:t>=4)</w:t>
      </w:r>
      <w:r w:rsidR="00B95B5A">
        <w:t xml:space="preserve">). </w:t>
      </w:r>
      <w:r w:rsidRPr="00FF687C">
        <w:t xml:space="preserve">Let </w:t>
      </w:r>
      <w:r w:rsidR="00B624C1" w:rsidRPr="00FF687C">
        <w:rPr>
          <w:position w:val="-14"/>
        </w:rPr>
        <w:object w:dxaOrig="3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8.75pt" o:ole="" o:preferrelative="f">
            <v:imagedata r:id="rId13" o:title=""/>
            <o:lock v:ext="edit" aspectratio="f"/>
          </v:shape>
          <o:OLEObject Type="Embed" ProgID="Equation.3" ShapeID="_x0000_i1025" DrawAspect="Content" ObjectID="_1555512414" r:id="rId14"/>
        </w:object>
      </w:r>
      <w:r w:rsidRPr="00FF687C">
        <w:t xml:space="preserve">be the index for the count of </w:t>
      </w:r>
      <w:r w:rsidR="00E90B2D">
        <w:t>injury severity</w:t>
      </w:r>
      <w:r w:rsidR="00E90B2D" w:rsidRPr="009C7BB5">
        <w:rPr>
          <w:i/>
        </w:rPr>
        <w:t xml:space="preserve"> </w:t>
      </w:r>
      <w:r w:rsidRPr="009C7BB5">
        <w:rPr>
          <w:i/>
        </w:rPr>
        <w:t>j</w:t>
      </w:r>
      <w:r>
        <w:t xml:space="preserve"> at </w:t>
      </w:r>
      <w:r w:rsidR="00EA73F9">
        <w:t>the census tract</w:t>
      </w:r>
      <w:r>
        <w:t xml:space="preserve"> </w:t>
      </w:r>
      <w:r w:rsidRPr="00FF687C">
        <w:rPr>
          <w:i/>
        </w:rPr>
        <w:t>q</w:t>
      </w:r>
      <w:r w:rsidRPr="00FF687C">
        <w:t>, and let</w:t>
      </w:r>
      <w:r w:rsidRPr="00FF687C">
        <w:rPr>
          <w:position w:val="-14"/>
        </w:rPr>
        <w:t xml:space="preserve"> </w:t>
      </w:r>
      <w:r w:rsidR="00B624C1" w:rsidRPr="00FF687C">
        <w:rPr>
          <w:position w:val="-14"/>
        </w:rPr>
        <w:object w:dxaOrig="360" w:dyaOrig="380">
          <v:shape id="_x0000_i1026" type="#_x0000_t75" style="width:18pt;height:18.75pt" o:ole="" o:preferrelative="f">
            <v:imagedata r:id="rId15" o:title=""/>
            <o:lock v:ext="edit" aspectratio="f"/>
          </v:shape>
          <o:OLEObject Type="Embed" ProgID="Equation.3" ShapeID="_x0000_i1026" DrawAspect="Content" ObjectID="_1555512415" r:id="rId16"/>
        </w:object>
      </w:r>
      <w:r w:rsidRPr="00FF687C">
        <w:t xml:space="preserve"> be the actual observed count of </w:t>
      </w:r>
      <w:r w:rsidR="00E90B2D">
        <w:t>the injury severity</w:t>
      </w:r>
      <w:r w:rsidR="00E90B2D" w:rsidRPr="009C7BB5">
        <w:rPr>
          <w:i/>
        </w:rPr>
        <w:t xml:space="preserve"> </w:t>
      </w:r>
      <w:r w:rsidRPr="009C7BB5">
        <w:rPr>
          <w:i/>
        </w:rPr>
        <w:t>j</w:t>
      </w:r>
      <w:r>
        <w:t xml:space="preserve"> at </w:t>
      </w:r>
      <w:r w:rsidR="00EA73F9">
        <w:t>the census tract</w:t>
      </w:r>
      <w:r>
        <w:t xml:space="preserve"> </w:t>
      </w:r>
      <w:r w:rsidRPr="00FF687C">
        <w:rPr>
          <w:i/>
        </w:rPr>
        <w:t>q</w:t>
      </w:r>
      <w:r>
        <w:t xml:space="preserve"> </w:t>
      </w:r>
      <w:r w:rsidRPr="00456CEF">
        <w:t>over a predefined time period (</w:t>
      </w:r>
      <w:r>
        <w:t xml:space="preserve">we considered a </w:t>
      </w:r>
      <w:r w:rsidRPr="00456CEF">
        <w:t xml:space="preserve">time period </w:t>
      </w:r>
      <w:r>
        <w:t>of one year for</w:t>
      </w:r>
      <w:r w:rsidRPr="00456CEF">
        <w:t xml:space="preserve"> the empirical analysis </w:t>
      </w:r>
      <w:r>
        <w:t>in</w:t>
      </w:r>
      <w:r w:rsidRPr="00456CEF">
        <w:t xml:space="preserve"> this paper; note also that </w:t>
      </w:r>
      <w:r w:rsidR="00B624C1" w:rsidRPr="00456CEF">
        <w:rPr>
          <w:position w:val="-14"/>
        </w:rPr>
        <w:object w:dxaOrig="360" w:dyaOrig="380">
          <v:shape id="_x0000_i1027" type="#_x0000_t75" style="width:18pt;height:18.75pt" o:ole="" o:preferrelative="f">
            <v:imagedata r:id="rId17" o:title=""/>
            <o:lock v:ext="edit" aspectratio="f"/>
          </v:shape>
          <o:OLEObject Type="Embed" ProgID="Equation.3" ShapeID="_x0000_i1027" DrawAspect="Content" ObjectID="_1555512416" r:id="rId18"/>
        </w:object>
      </w:r>
      <w:r w:rsidRPr="00456CEF">
        <w:t xml:space="preserve"> may take a value in the range from 0 </w:t>
      </w:r>
      <w:proofErr w:type="gramStart"/>
      <w:r w:rsidRPr="00456CEF">
        <w:t xml:space="preserve">to </w:t>
      </w:r>
      <w:proofErr w:type="gramEnd"/>
      <w:r w:rsidRPr="00456CEF">
        <w:rPr>
          <w:position w:val="-10"/>
        </w:rPr>
        <w:object w:dxaOrig="340" w:dyaOrig="320">
          <v:shape id="_x0000_i1028" type="#_x0000_t75" style="width:16.5pt;height:16.5pt" o:ole="">
            <v:imagedata r:id="rId19" o:title=""/>
          </v:shape>
          <o:OLEObject Type="Embed" ProgID="Equation.3" ShapeID="_x0000_i1028" DrawAspect="Content" ObjectID="_1555512417" r:id="rId20"/>
        </w:object>
      </w:r>
      <w:r w:rsidRPr="00456CEF">
        <w:t xml:space="preserve">. </w:t>
      </w:r>
      <w:r w:rsidR="00307EF0" w:rsidRPr="00456CEF">
        <w:t>Next,</w:t>
      </w:r>
      <w:r w:rsidRPr="00456CEF">
        <w:t xml:space="preserve"> define a latent risk propensity for </w:t>
      </w:r>
      <w:r w:rsidR="00E90B2D">
        <w:t>the</w:t>
      </w:r>
      <w:r>
        <w:t xml:space="preserve"> </w:t>
      </w:r>
      <w:r w:rsidR="00E90B2D">
        <w:t>injury severity</w:t>
      </w:r>
      <w:r w:rsidRPr="00456CEF">
        <w:t xml:space="preserve"> </w:t>
      </w:r>
      <w:r w:rsidRPr="00195A74">
        <w:rPr>
          <w:i/>
        </w:rPr>
        <w:t>j</w:t>
      </w:r>
      <w:r>
        <w:t xml:space="preserve"> at </w:t>
      </w:r>
      <w:r w:rsidR="003F32D5">
        <w:t>tract</w:t>
      </w:r>
      <w:r>
        <w:t xml:space="preserve"> </w:t>
      </w:r>
      <w:r w:rsidRPr="00195A74">
        <w:rPr>
          <w:i/>
        </w:rPr>
        <w:t>q</w:t>
      </w:r>
      <w:r w:rsidRPr="00456CEF">
        <w:t xml:space="preserve"> </w:t>
      </w:r>
      <w:proofErr w:type="gramStart"/>
      <w:r w:rsidRPr="00456CEF">
        <w:t>as</w:t>
      </w:r>
      <w:r>
        <w:t xml:space="preserve"> </w:t>
      </w:r>
      <w:proofErr w:type="gramEnd"/>
      <w:r w:rsidR="00B624C1" w:rsidRPr="00456CEF">
        <w:rPr>
          <w:position w:val="-14"/>
        </w:rPr>
        <w:object w:dxaOrig="320" w:dyaOrig="400">
          <v:shape id="_x0000_i1029" type="#_x0000_t75" style="width:16.5pt;height:20.25pt" o:ole="" o:preferrelative="f">
            <v:imagedata r:id="rId21" o:title=""/>
            <o:lock v:ext="edit" aspectratio="f"/>
          </v:shape>
          <o:OLEObject Type="Embed" ProgID="Equation.3" ShapeID="_x0000_i1029" DrawAspect="Content" ObjectID="_1555512418" r:id="rId22"/>
        </w:object>
      </w:r>
      <w:r w:rsidRPr="00456CEF">
        <w:t xml:space="preserve">. Then, consider the following structure for </w:t>
      </w:r>
      <w:r w:rsidR="00925CAF" w:rsidRPr="00456CEF">
        <w:rPr>
          <w:position w:val="-14"/>
        </w:rPr>
        <w:object w:dxaOrig="320" w:dyaOrig="400">
          <v:shape id="_x0000_i1030" type="#_x0000_t75" style="width:16.5pt;height:20.25pt" o:ole="" o:preferrelative="f">
            <v:imagedata r:id="rId21" o:title=""/>
            <o:lock v:ext="edit" aspectratio="f"/>
          </v:shape>
          <o:OLEObject Type="Embed" ProgID="Equation.3" ShapeID="_x0000_i1030" DrawAspect="Content" ObjectID="_1555512419" r:id="rId23"/>
        </w:object>
      </w:r>
      <w:r>
        <w:rPr>
          <w:position w:val="-14"/>
        </w:rPr>
        <w:t xml:space="preserve"> </w:t>
      </w:r>
      <w:r w:rsidRPr="00456CEF">
        <w:t xml:space="preserve">in the GOR representation for count models (see </w:t>
      </w:r>
      <w:r w:rsidR="004A2F36">
        <w:t xml:space="preserve">Castro, </w:t>
      </w:r>
      <w:proofErr w:type="spellStart"/>
      <w:r w:rsidR="004A2F36">
        <w:t>Paleti</w:t>
      </w:r>
      <w:proofErr w:type="spellEnd"/>
      <w:r w:rsidR="004A2F36">
        <w:t>, and Bhat (</w:t>
      </w:r>
      <w:r>
        <w:t>CPB</w:t>
      </w:r>
      <w:r w:rsidR="004A2F36">
        <w:t>), 2013</w:t>
      </w:r>
      <w:r w:rsidRPr="00456CEF">
        <w:t xml:space="preserve">): </w:t>
      </w:r>
    </w:p>
    <w:p w:rsidR="00084023" w:rsidRPr="00903200" w:rsidRDefault="00925CAF" w:rsidP="00D72ECE">
      <w:pPr>
        <w:tabs>
          <w:tab w:val="right" w:pos="9360"/>
        </w:tabs>
        <w:ind w:firstLine="0"/>
        <w:contextualSpacing/>
      </w:pPr>
      <w:r w:rsidRPr="00C50D8F">
        <w:rPr>
          <w:position w:val="-30"/>
        </w:rPr>
        <w:object w:dxaOrig="2659" w:dyaOrig="700">
          <v:shape id="_x0000_i1031" type="#_x0000_t75" style="width:133.5pt;height:35.25pt" o:ole="" o:preferrelative="f">
            <v:imagedata r:id="rId24" o:title=""/>
            <o:lock v:ext="edit" aspectratio="f"/>
          </v:shape>
          <o:OLEObject Type="Embed" ProgID="Equation.3" ShapeID="_x0000_i1031" DrawAspect="Content" ObjectID="_1555512420" r:id="rId25"/>
        </w:object>
      </w:r>
      <w:r w:rsidR="00084023" w:rsidRPr="00571D2A">
        <w:rPr>
          <w:position w:val="-56"/>
        </w:rPr>
        <w:t xml:space="preserve"> </w:t>
      </w:r>
      <w:r w:rsidR="00084023" w:rsidRPr="00571D2A">
        <w:t xml:space="preserve"> </w:t>
      </w:r>
      <w:r w:rsidRPr="00903200">
        <w:rPr>
          <w:b/>
          <w:position w:val="-14"/>
        </w:rPr>
        <w:object w:dxaOrig="900" w:dyaOrig="380">
          <v:shape id="_x0000_i1032" type="#_x0000_t75" style="width:45pt;height:18.75pt" o:ole="" o:preferrelative="f">
            <v:imagedata r:id="rId26" o:title=""/>
            <o:lock v:ext="edit" aspectratio="f"/>
          </v:shape>
          <o:OLEObject Type="Embed" ProgID="Equation.3" ShapeID="_x0000_i1032" DrawAspect="Content" ObjectID="_1555512421" r:id="rId27"/>
        </w:object>
      </w:r>
      <w:r w:rsidR="00084023" w:rsidRPr="00571D2A">
        <w:t xml:space="preserve"> </w:t>
      </w:r>
      <w:proofErr w:type="gramStart"/>
      <w:r w:rsidR="00084023" w:rsidRPr="00571D2A">
        <w:t>if</w:t>
      </w:r>
      <w:proofErr w:type="gramEnd"/>
      <w:r w:rsidR="00084023" w:rsidRPr="00571D2A">
        <w:t xml:space="preserve"> </w:t>
      </w:r>
      <w:r w:rsidR="00B624C1" w:rsidRPr="00903200">
        <w:rPr>
          <w:position w:val="-16"/>
        </w:rPr>
        <w:object w:dxaOrig="2079" w:dyaOrig="420">
          <v:shape id="_x0000_i1033" type="#_x0000_t75" style="width:103.5pt;height:20.25pt" o:ole="" o:preferrelative="f">
            <v:imagedata r:id="rId28" o:title=""/>
            <o:lock v:ext="edit" aspectratio="f"/>
          </v:shape>
          <o:OLEObject Type="Embed" ProgID="Equation.3" ShapeID="_x0000_i1033" DrawAspect="Content" ObjectID="_1555512422" r:id="rId29"/>
        </w:object>
      </w:r>
      <w:r w:rsidR="00084023" w:rsidRPr="00571D2A">
        <w:tab/>
        <w:t>(1)</w:t>
      </w:r>
    </w:p>
    <w:p w:rsidR="00084023" w:rsidRPr="00456CEF" w:rsidRDefault="00084023" w:rsidP="00D72ECE">
      <w:pPr>
        <w:ind w:firstLine="0"/>
        <w:contextualSpacing/>
      </w:pPr>
      <w:r>
        <w:lastRenderedPageBreak/>
        <w:t>w</w:t>
      </w:r>
      <w:r w:rsidRPr="00456CEF">
        <w:t>here</w:t>
      </w:r>
      <w:r>
        <w:t xml:space="preserve"> </w:t>
      </w:r>
      <w:r w:rsidRPr="00C376B2">
        <w:rPr>
          <w:position w:val="-14"/>
        </w:rPr>
        <w:object w:dxaOrig="400" w:dyaOrig="380">
          <v:shape id="_x0000_i1034" type="#_x0000_t75" style="width:22.5pt;height:19.5pt" o:ole="">
            <v:imagedata r:id="rId30" o:title=""/>
          </v:shape>
          <o:OLEObject Type="Embed" ProgID="Equation.DSMT4" ShapeID="_x0000_i1034" DrawAspect="Content" ObjectID="_1555512423" r:id="rId31"/>
        </w:object>
      </w:r>
      <w:r>
        <w:t xml:space="preserve"> </w:t>
      </w:r>
      <w:r w:rsidRPr="00456CEF">
        <w:t xml:space="preserve">is the usual distance-based spatial weight corresponding to </w:t>
      </w:r>
      <w:r w:rsidR="003F32D5">
        <w:t>tracts</w:t>
      </w:r>
      <w:r w:rsidRPr="00456CEF">
        <w:t xml:space="preserve"> </w:t>
      </w:r>
      <w:r w:rsidR="00B624C1" w:rsidRPr="00C376B2">
        <w:rPr>
          <w:position w:val="-10"/>
        </w:rPr>
        <w:object w:dxaOrig="200" w:dyaOrig="260">
          <v:shape id="_x0000_i1035" type="#_x0000_t75" style="width:9.75pt;height:13.5pt" o:ole="" o:preferrelative="f">
            <v:imagedata r:id="rId32" o:title=""/>
            <o:lock v:ext="edit" aspectratio="f"/>
          </v:shape>
          <o:OLEObject Type="Embed" ProgID="Equation.DSMT4" ShapeID="_x0000_i1035" DrawAspect="Content" ObjectID="_1555512424" r:id="rId33"/>
        </w:object>
      </w:r>
      <w:r>
        <w:t xml:space="preserve"> and </w:t>
      </w:r>
      <w:r w:rsidR="00B624C1" w:rsidRPr="00C376B2">
        <w:rPr>
          <w:position w:val="-10"/>
        </w:rPr>
        <w:object w:dxaOrig="260" w:dyaOrig="320">
          <v:shape id="_x0000_i1036" type="#_x0000_t75" style="width:13.5pt;height:16.5pt" o:ole="" o:preferrelative="f">
            <v:imagedata r:id="rId34" o:title=""/>
            <o:lock v:ext="edit" aspectratio="f"/>
          </v:shape>
          <o:OLEObject Type="Embed" ProgID="Equation.DSMT4" ShapeID="_x0000_i1036" DrawAspect="Content" ObjectID="_1555512425" r:id="rId35"/>
        </w:object>
      </w:r>
      <w:r w:rsidRPr="00C376B2">
        <w:rPr>
          <w:i/>
        </w:rPr>
        <w:t xml:space="preserve"> </w:t>
      </w:r>
      <w:r w:rsidRPr="00456CEF">
        <w:t>(with</w:t>
      </w:r>
      <w:r>
        <w:t xml:space="preserve"> </w:t>
      </w:r>
      <w:r w:rsidR="00B624C1" w:rsidRPr="002F5637">
        <w:rPr>
          <w:position w:val="-30"/>
        </w:rPr>
        <w:object w:dxaOrig="2200" w:dyaOrig="560">
          <v:shape id="_x0000_i1037" type="#_x0000_t75" style="width:110.25pt;height:28.5pt" o:ole="" o:preferrelative="f">
            <v:imagedata r:id="rId36" o:title=""/>
            <o:lock v:ext="edit" aspectratio="f"/>
          </v:shape>
          <o:OLEObject Type="Embed" ProgID="Equation.DSMT4" ShapeID="_x0000_i1037" DrawAspect="Content" ObjectID="_1555512426" r:id="rId37"/>
        </w:object>
      </w:r>
      <w:r w:rsidRPr="00456CEF">
        <w:t>) for each (and all)</w:t>
      </w:r>
      <w:r w:rsidR="003F32D5">
        <w:t xml:space="preserve"> </w:t>
      </w:r>
      <w:r w:rsidR="003F32D5" w:rsidRPr="00BF6017">
        <w:rPr>
          <w:i/>
        </w:rPr>
        <w:t>q</w:t>
      </w:r>
      <w:r w:rsidR="003F32D5">
        <w:t xml:space="preserve">, </w:t>
      </w:r>
      <w:r w:rsidR="00B624C1" w:rsidRPr="0019608A">
        <w:rPr>
          <w:position w:val="-14"/>
        </w:rPr>
        <w:object w:dxaOrig="1440" w:dyaOrig="380">
          <v:shape id="_x0000_i1038" type="#_x0000_t75" style="width:1in;height:18.75pt" o:ole="" o:preferrelative="f">
            <v:imagedata r:id="rId38" o:title=""/>
            <o:lock v:ext="edit" aspectratio="f"/>
          </v:shape>
          <o:OLEObject Type="Embed" ProgID="Equation.3" ShapeID="_x0000_i1038" DrawAspect="Content" ObjectID="_1555512427" r:id="rId39"/>
        </w:object>
      </w:r>
      <w:r w:rsidRPr="00456CEF">
        <w:t>is the spatial autoregressive parameter</w:t>
      </w:r>
      <w:r w:rsidR="00137F49">
        <w:t xml:space="preserve"> for injury severity level </w:t>
      </w:r>
      <w:r w:rsidR="00137F49" w:rsidRPr="00BF6017">
        <w:rPr>
          <w:i/>
        </w:rPr>
        <w:t>j</w:t>
      </w:r>
      <w:r w:rsidRPr="00456CEF">
        <w:t>,</w:t>
      </w:r>
      <w:r>
        <w:t xml:space="preserve"> </w:t>
      </w:r>
      <w:r w:rsidR="00925CAF" w:rsidRPr="008D374A">
        <w:rPr>
          <w:position w:val="-14"/>
        </w:rPr>
        <w:object w:dxaOrig="300" w:dyaOrig="400">
          <v:shape id="_x0000_i1039" type="#_x0000_t75" style="width:15pt;height:20.25pt" o:ole="" o:preferrelative="f">
            <v:imagedata r:id="rId40" o:title=""/>
            <o:lock v:ext="edit" aspectratio="f"/>
          </v:shape>
          <o:OLEObject Type="Embed" ProgID="Equation.3" ShapeID="_x0000_i1039" DrawAspect="Content" ObjectID="_1555512428" r:id="rId41"/>
        </w:object>
      </w:r>
      <w:r>
        <w:t xml:space="preserve"> </w:t>
      </w:r>
      <w:r w:rsidRPr="00456CEF">
        <w:t>is a</w:t>
      </w:r>
      <w:r>
        <w:t xml:space="preserve"> </w:t>
      </w:r>
      <w:r w:rsidRPr="00456CEF">
        <w:rPr>
          <w:position w:val="-10"/>
        </w:rPr>
        <w:object w:dxaOrig="720" w:dyaOrig="320">
          <v:shape id="_x0000_i1040" type="#_x0000_t75" style="width:36.75pt;height:16.5pt" o:ole="">
            <v:imagedata r:id="rId42" o:title=""/>
          </v:shape>
          <o:OLEObject Type="Embed" ProgID="Equation.3" ShapeID="_x0000_i1040" DrawAspect="Content" ObjectID="_1555512429" r:id="rId43"/>
        </w:object>
      </w:r>
      <w:r w:rsidRPr="00456CEF">
        <w:t xml:space="preserve"> column v</w:t>
      </w:r>
      <w:r>
        <w:t>ector of exogenous variables (in</w:t>
      </w:r>
      <w:r w:rsidRPr="00456CEF">
        <w:t>cluding a constant</w:t>
      </w:r>
      <w:r>
        <w:t xml:space="preserve">; </w:t>
      </w:r>
      <w:r w:rsidR="00925CAF" w:rsidRPr="008D374A">
        <w:rPr>
          <w:position w:val="-14"/>
        </w:rPr>
        <w:object w:dxaOrig="2460" w:dyaOrig="400">
          <v:shape id="_x0000_i1041" type="#_x0000_t75" style="width:123.75pt;height:20.25pt" o:ole="" o:preferrelative="f">
            <v:imagedata r:id="rId44" o:title=""/>
            <o:lock v:ext="edit" aspectratio="f"/>
          </v:shape>
          <o:OLEObject Type="Embed" ProgID="Equation.3" ShapeID="_x0000_i1041" DrawAspect="Content" ObjectID="_1555512430" r:id="rId45"/>
        </w:object>
      </w:r>
      <w:r w:rsidRPr="00456CEF">
        <w:t>), and</w:t>
      </w:r>
      <w:r>
        <w:t xml:space="preserve"> </w:t>
      </w:r>
      <w:r w:rsidR="00925CAF" w:rsidRPr="008D374A">
        <w:rPr>
          <w:position w:val="-14"/>
        </w:rPr>
        <w:object w:dxaOrig="340" w:dyaOrig="380">
          <v:shape id="_x0000_i1042" type="#_x0000_t75" style="width:16.5pt;height:18.75pt" o:ole="" o:preferrelative="f">
            <v:imagedata r:id="rId46" o:title=""/>
            <o:lock v:ext="edit" aspectratio="f"/>
          </v:shape>
          <o:OLEObject Type="Embed" ProgID="Equation.3" ShapeID="_x0000_i1042" DrawAspect="Content" ObjectID="_1555512431" r:id="rId47"/>
        </w:object>
      </w:r>
      <w:r w:rsidR="00925CAF">
        <w:t xml:space="preserve"> </w:t>
      </w:r>
      <w:r w:rsidRPr="00456CEF">
        <w:t xml:space="preserve">is a corresponding </w:t>
      </w:r>
      <w:r w:rsidRPr="00456CEF">
        <w:rPr>
          <w:position w:val="-10"/>
        </w:rPr>
        <w:object w:dxaOrig="720" w:dyaOrig="320">
          <v:shape id="_x0000_i1043" type="#_x0000_t75" style="width:36.75pt;height:16.5pt" o:ole="">
            <v:imagedata r:id="rId48" o:title=""/>
          </v:shape>
          <o:OLEObject Type="Embed" ProgID="Equation.3" ShapeID="_x0000_i1043" DrawAspect="Content" ObjectID="_1555512432" r:id="rId49"/>
        </w:object>
      </w:r>
      <w:r>
        <w:rPr>
          <w:position w:val="-10"/>
        </w:rPr>
        <w:t xml:space="preserve"> </w:t>
      </w:r>
      <w:r w:rsidRPr="00456CEF">
        <w:t xml:space="preserve">column vector capturing the effects of the exogenous vector </w:t>
      </w:r>
      <w:r w:rsidR="00925CAF" w:rsidRPr="008D374A">
        <w:rPr>
          <w:position w:val="-14"/>
        </w:rPr>
        <w:object w:dxaOrig="300" w:dyaOrig="400">
          <v:shape id="_x0000_i1044" type="#_x0000_t75" style="width:15pt;height:20.25pt" o:ole="" o:preferrelative="f">
            <v:imagedata r:id="rId40" o:title=""/>
            <o:lock v:ext="edit" aspectratio="f"/>
          </v:shape>
          <o:OLEObject Type="Embed" ProgID="Equation.3" ShapeID="_x0000_i1044" DrawAspect="Content" ObjectID="_1555512433" r:id="rId50"/>
        </w:object>
      </w:r>
      <w:r w:rsidRPr="00456CEF">
        <w:rPr>
          <w:position w:val="-14"/>
        </w:rPr>
        <w:t xml:space="preserve"> </w:t>
      </w:r>
      <w:r w:rsidRPr="00456CEF">
        <w:t>on the latent risk propensity</w:t>
      </w:r>
      <w:r w:rsidR="00925CAF" w:rsidRPr="00456CEF">
        <w:rPr>
          <w:position w:val="-14"/>
        </w:rPr>
        <w:object w:dxaOrig="320" w:dyaOrig="400">
          <v:shape id="_x0000_i1045" type="#_x0000_t75" style="width:16.5pt;height:20.25pt" o:ole="" o:preferrelative="f">
            <v:imagedata r:id="rId51" o:title=""/>
            <o:lock v:ext="edit" aspectratio="f"/>
          </v:shape>
          <o:OLEObject Type="Embed" ProgID="Equation.3" ShapeID="_x0000_i1045" DrawAspect="Content" ObjectID="_1555512434" r:id="rId52"/>
        </w:object>
      </w:r>
      <w:r>
        <w:t xml:space="preserve">:  </w:t>
      </w:r>
      <w:r w:rsidR="00925CAF" w:rsidRPr="008D374A">
        <w:rPr>
          <w:position w:val="-14"/>
        </w:rPr>
        <w:object w:dxaOrig="2900" w:dyaOrig="380">
          <v:shape id="_x0000_i1046" type="#_x0000_t75" style="width:145.5pt;height:18.75pt" o:ole="" o:preferrelative="f">
            <v:imagedata r:id="rId53" o:title=""/>
            <o:lock v:ext="edit" aspectratio="f"/>
          </v:shape>
          <o:OLEObject Type="Embed" ProgID="Equation.3" ShapeID="_x0000_i1046" DrawAspect="Content" ObjectID="_1555512435" r:id="rId54"/>
        </w:object>
      </w:r>
      <w:r w:rsidRPr="00F5378A">
        <w:rPr>
          <w:rStyle w:val="FootnoteReference"/>
        </w:rPr>
        <w:footnoteReference w:id="5"/>
      </w:r>
      <w:r>
        <w:t xml:space="preserve"> </w:t>
      </w:r>
    </w:p>
    <w:p w:rsidR="00084023" w:rsidRDefault="00084023" w:rsidP="00D72ECE">
      <w:pPr>
        <w:contextualSpacing/>
      </w:pPr>
      <w:r w:rsidRPr="00456CEF">
        <w:t>The thresholds in Equation (1) take the following form:</w:t>
      </w:r>
    </w:p>
    <w:p w:rsidR="00084023" w:rsidRPr="00456CEF" w:rsidRDefault="00CE4BD2" w:rsidP="00D72ECE">
      <w:pPr>
        <w:tabs>
          <w:tab w:val="right" w:pos="9360"/>
        </w:tabs>
        <w:ind w:firstLine="0"/>
        <w:contextualSpacing/>
      </w:pPr>
      <w:r w:rsidRPr="00CE4BD2">
        <w:rPr>
          <w:position w:val="-32"/>
        </w:rPr>
        <w:object w:dxaOrig="7720" w:dyaOrig="760">
          <v:shape id="_x0000_i1047" type="#_x0000_t75" style="width:387pt;height:38.25pt" o:ole="">
            <v:imagedata r:id="rId55" o:title=""/>
          </v:shape>
          <o:OLEObject Type="Embed" ProgID="Equation.3" ShapeID="_x0000_i1047" DrawAspect="Content" ObjectID="_1555512436" r:id="rId56"/>
        </w:object>
      </w:r>
      <w:r w:rsidR="00084023" w:rsidRPr="00456CEF">
        <w:t xml:space="preserve"> </w:t>
      </w:r>
      <w:r w:rsidR="00084023" w:rsidRPr="00456CEF">
        <w:tab/>
        <w:t>(2)</w:t>
      </w:r>
    </w:p>
    <w:p w:rsidR="00084023" w:rsidRPr="00C55983" w:rsidRDefault="00084023" w:rsidP="00D72ECE">
      <w:pPr>
        <w:ind w:firstLine="0"/>
        <w:contextualSpacing/>
      </w:pPr>
      <w:r w:rsidRPr="00456CEF">
        <w:t xml:space="preserve">where </w:t>
      </w:r>
      <w:r w:rsidRPr="00456CEF">
        <w:rPr>
          <w:position w:val="-4"/>
        </w:rPr>
        <w:object w:dxaOrig="420" w:dyaOrig="300">
          <v:shape id="_x0000_i1048" type="#_x0000_t75" style="width:20.25pt;height:15pt" o:ole="">
            <v:imagedata r:id="rId57" o:title=""/>
          </v:shape>
          <o:OLEObject Type="Embed" ProgID="Equation.3" ShapeID="_x0000_i1048" DrawAspect="Content" ObjectID="_1555512437" r:id="rId58"/>
        </w:object>
      </w:r>
      <w:r w:rsidRPr="00456CEF">
        <w:t xml:space="preserve"> is the inverse function of the univariate cumulative standard normal,</w:t>
      </w:r>
      <w:r>
        <w:t xml:space="preserve"> </w:t>
      </w:r>
      <w:r w:rsidR="00925CAF" w:rsidRPr="004229E5">
        <w:rPr>
          <w:position w:val="-14"/>
        </w:rPr>
        <w:object w:dxaOrig="2060" w:dyaOrig="380">
          <v:shape id="_x0000_i1049" type="#_x0000_t75" style="width:102.75pt;height:18.75pt" o:ole="" o:preferrelative="f">
            <v:imagedata r:id="rId59" o:title=""/>
            <o:lock v:ext="edit" aspectratio="f"/>
          </v:shape>
          <o:OLEObject Type="Embed" ProgID="Equation.3" ShapeID="_x0000_i1049" DrawAspect="Content" ObjectID="_1555512438" r:id="rId60"/>
        </w:object>
      </w:r>
      <w:r w:rsidRPr="00456CEF">
        <w:t xml:space="preserve"> (this restriction is needed for identification, given the parameterization of the thresholds; see </w:t>
      </w:r>
      <w:r>
        <w:t>CPB</w:t>
      </w:r>
      <w:r w:rsidR="00E90B2D">
        <w:t>, 2012</w:t>
      </w:r>
      <w:r w:rsidRPr="00456CEF">
        <w:t>),</w:t>
      </w:r>
      <w:r>
        <w:t xml:space="preserve"> </w:t>
      </w:r>
      <w:r w:rsidR="00925CAF" w:rsidRPr="00F37354">
        <w:rPr>
          <w:position w:val="-14"/>
        </w:rPr>
        <w:object w:dxaOrig="260" w:dyaOrig="380">
          <v:shape id="_x0000_i1050" type="#_x0000_t75" style="width:13.5pt;height:18.75pt" o:ole="" o:preferrelative="f">
            <v:imagedata r:id="rId61" o:title=""/>
            <o:lock v:ext="edit" aspectratio="f"/>
          </v:shape>
          <o:OLEObject Type="Embed" ProgID="Equation.DSMT4" ShapeID="_x0000_i1050" DrawAspect="Content" ObjectID="_1555512439" r:id="rId62"/>
        </w:object>
      </w:r>
      <w:r>
        <w:t xml:space="preserve"> </w:t>
      </w:r>
      <w:r w:rsidRPr="00456CEF">
        <w:t xml:space="preserve">is a vector of exogenous variables (including a constant) associated with observation unit </w:t>
      </w:r>
      <w:r w:rsidRPr="00456CEF">
        <w:rPr>
          <w:i/>
        </w:rPr>
        <w:t>q</w:t>
      </w:r>
      <w:r w:rsidRPr="00456CEF">
        <w:t xml:space="preserve"> (there can be common variables in </w:t>
      </w:r>
      <w:r w:rsidR="00925CAF" w:rsidRPr="00F37354">
        <w:rPr>
          <w:position w:val="-14"/>
        </w:rPr>
        <w:object w:dxaOrig="260" w:dyaOrig="380">
          <v:shape id="_x0000_i1051" type="#_x0000_t75" style="width:13.5pt;height:18.75pt" o:ole="" o:preferrelative="f">
            <v:imagedata r:id="rId61" o:title=""/>
            <o:lock v:ext="edit" aspectratio="f"/>
          </v:shape>
          <o:OLEObject Type="Embed" ProgID="Equation.DSMT4" ShapeID="_x0000_i1051" DrawAspect="Content" ObjectID="_1555512440" r:id="rId63"/>
        </w:object>
      </w:r>
      <w:r w:rsidRPr="00456CEF">
        <w:t xml:space="preserve"> and</w:t>
      </w:r>
      <w:r w:rsidR="00B624C1">
        <w:t xml:space="preserve"> </w:t>
      </w:r>
      <w:r w:rsidR="00925CAF" w:rsidRPr="008D374A">
        <w:rPr>
          <w:position w:val="-14"/>
        </w:rPr>
        <w:object w:dxaOrig="300" w:dyaOrig="400">
          <v:shape id="_x0000_i1052" type="#_x0000_t75" style="width:15pt;height:20.25pt" o:ole="" o:preferrelative="f">
            <v:imagedata r:id="rId64" o:title=""/>
            <o:lock v:ext="edit" aspectratio="f"/>
          </v:shape>
          <o:OLEObject Type="Embed" ProgID="Equation.3" ShapeID="_x0000_i1052" DrawAspect="Content" ObjectID="_1555512441" r:id="rId65"/>
        </w:object>
      </w:r>
      <w:r w:rsidRPr="00456CEF">
        <w:t>),</w:t>
      </w:r>
      <w:r>
        <w:t xml:space="preserve"> </w:t>
      </w:r>
      <w:r w:rsidR="00925CAF" w:rsidRPr="008D374A">
        <w:rPr>
          <w:position w:val="-14"/>
        </w:rPr>
        <w:object w:dxaOrig="260" w:dyaOrig="400">
          <v:shape id="_x0000_i1053" type="#_x0000_t75" style="width:13.5pt;height:20.25pt" o:ole="" o:preferrelative="f">
            <v:imagedata r:id="rId66" o:title=""/>
            <o:lock v:ext="edit" aspectratio="f"/>
          </v:shape>
          <o:OLEObject Type="Embed" ProgID="Equation.3" ShapeID="_x0000_i1053" DrawAspect="Content" ObjectID="_1555512442" r:id="rId67"/>
        </w:object>
      </w:r>
      <w:r w:rsidRPr="00456CEF">
        <w:rPr>
          <w:position w:val="-14"/>
        </w:rPr>
        <w:t xml:space="preserve"> </w:t>
      </w:r>
      <w:r w:rsidRPr="00456CEF">
        <w:t xml:space="preserve">is a corresponding coefficient </w:t>
      </w:r>
      <w:r>
        <w:t xml:space="preserve">vector to be estimated for </w:t>
      </w:r>
      <w:r w:rsidR="00E90B2D">
        <w:t xml:space="preserve">injury severity </w:t>
      </w:r>
      <w:r w:rsidRPr="003B3DDE">
        <w:rPr>
          <w:i/>
        </w:rPr>
        <w:t>j</w:t>
      </w:r>
      <w:r w:rsidRPr="00456CEF">
        <w:t>, and</w:t>
      </w:r>
      <w:r>
        <w:t xml:space="preserve"> </w:t>
      </w:r>
      <w:r w:rsidR="00925CAF" w:rsidRPr="008D374A">
        <w:rPr>
          <w:position w:val="-14"/>
        </w:rPr>
        <w:object w:dxaOrig="279" w:dyaOrig="380">
          <v:shape id="_x0000_i1054" type="#_x0000_t75" style="width:13.5pt;height:18.75pt" o:ole="" o:preferrelative="f">
            <v:imagedata r:id="rId68" o:title=""/>
            <o:lock v:ext="edit" aspectratio="f"/>
          </v:shape>
          <o:OLEObject Type="Embed" ProgID="Equation.3" ShapeID="_x0000_i1054" DrawAspect="Content" ObjectID="_1555512443" r:id="rId69"/>
        </w:object>
      </w:r>
      <w:r w:rsidR="00B624C1">
        <w:t xml:space="preserve"> </w:t>
      </w:r>
      <w:r w:rsidRPr="00456CEF">
        <w:t>is an appropriate count level that may be determined based on the empirical context under consideration and empirical testing. Of course, as in the typical ordered-response framework, the values of</w:t>
      </w:r>
      <w:r>
        <w:t xml:space="preserve"> </w:t>
      </w:r>
      <w:r w:rsidR="00B624C1" w:rsidRPr="008D374A">
        <w:rPr>
          <w:position w:val="-16"/>
        </w:rPr>
        <w:object w:dxaOrig="520" w:dyaOrig="400">
          <v:shape id="_x0000_i1055" type="#_x0000_t75" style="width:26.25pt;height:20.25pt" o:ole="" o:preferrelative="f">
            <v:imagedata r:id="rId70" o:title=""/>
            <o:lock v:ext="edit" aspectratio="f"/>
          </v:shape>
          <o:OLEObject Type="Embed" ProgID="Equation.3" ShapeID="_x0000_i1055" DrawAspect="Content" ObjectID="_1555512444" r:id="rId71"/>
        </w:object>
      </w:r>
      <w:r>
        <w:t>s</w:t>
      </w:r>
      <w:r w:rsidRPr="00456CEF">
        <w:t xml:space="preserve">hould be such that the ordering condition on the thresholds </w:t>
      </w:r>
      <w:r w:rsidR="00925CAF" w:rsidRPr="00456CEF">
        <w:rPr>
          <w:position w:val="-14"/>
        </w:rPr>
        <w:object w:dxaOrig="2940" w:dyaOrig="380">
          <v:shape id="_x0000_i1056" type="#_x0000_t75" style="width:147pt;height:18.75pt" o:ole="" o:preferrelative="f">
            <v:imagedata r:id="rId72" o:title=""/>
            <o:lock v:ext="edit" aspectratio="f"/>
          </v:shape>
          <o:OLEObject Type="Embed" ProgID="Equation.3" ShapeID="_x0000_i1056" DrawAspect="Content" ObjectID="_1555512445" r:id="rId73"/>
        </w:object>
      </w:r>
      <w:r w:rsidRPr="00456CEF">
        <w:t xml:space="preserve"> is satisfied. </w:t>
      </w:r>
      <w:r w:rsidRPr="000F0257">
        <w:t xml:space="preserve">While this can be guaranteed using a </w:t>
      </w:r>
      <w:proofErr w:type="spellStart"/>
      <w:r w:rsidRPr="000F0257">
        <w:t>reparameterization</w:t>
      </w:r>
      <w:proofErr w:type="spellEnd"/>
      <w:r w:rsidRPr="000F0257">
        <w:t xml:space="preserve"> (of the type suggested in Greene and </w:t>
      </w:r>
      <w:proofErr w:type="spellStart"/>
      <w:r w:rsidRPr="000F0257">
        <w:t>Hensher</w:t>
      </w:r>
      <w:proofErr w:type="spellEnd"/>
      <w:r w:rsidRPr="000F0257">
        <w:t xml:space="preserve">, 2010, page 109 and </w:t>
      </w:r>
      <w:proofErr w:type="spellStart"/>
      <w:r w:rsidRPr="000F0257">
        <w:t>Eluru</w:t>
      </w:r>
      <w:proofErr w:type="spellEnd"/>
      <w:r w:rsidRPr="000F0257">
        <w:t xml:space="preserve"> </w:t>
      </w:r>
      <w:r w:rsidRPr="00C7214B">
        <w:t>et al</w:t>
      </w:r>
      <w:r w:rsidRPr="00947C1B">
        <w:t>.</w:t>
      </w:r>
      <w:r w:rsidRPr="000F0257">
        <w:t>, 200</w:t>
      </w:r>
      <w:r>
        <w:t>8</w:t>
      </w:r>
      <w:r w:rsidRPr="000F0257">
        <w:t xml:space="preserve">), the ascending nature of the first component of the threshold </w:t>
      </w:r>
      <w:r w:rsidRPr="00AF0D7D">
        <w:t xml:space="preserve">and its size relative to the </w:t>
      </w:r>
      <w:r w:rsidR="00D628EB" w:rsidRPr="008D374A">
        <w:rPr>
          <w:position w:val="-16"/>
        </w:rPr>
        <w:object w:dxaOrig="520" w:dyaOrig="400">
          <v:shape id="_x0000_i1057" type="#_x0000_t75" style="width:26.25pt;height:20.25pt" o:ole="" o:preferrelative="f">
            <v:imagedata r:id="rId74" o:title=""/>
            <o:lock v:ext="edit" aspectratio="f"/>
          </v:shape>
          <o:OLEObject Type="Embed" ProgID="Equation.3" ShapeID="_x0000_i1057" DrawAspect="Content" ObjectID="_1555512446" r:id="rId75"/>
        </w:object>
      </w:r>
      <w:r w:rsidRPr="000F0257">
        <w:t xml:space="preserve">values guaranteed the ordering conditions on the overall threshold values. This is a result we have also observed in several other applications of our recasting of the count model (similar to the lack of a need to explicitly constrain the thresholds in a simple ordered-response model). At the same time, </w:t>
      </w:r>
      <w:r w:rsidRPr="00AF0D7D">
        <w:t>t</w:t>
      </w:r>
      <w:r w:rsidRPr="008A2598">
        <w:t>he presence of the</w:t>
      </w:r>
      <w:r w:rsidR="00521D37">
        <w:t>se</w:t>
      </w:r>
      <w:r w:rsidRPr="008A2598">
        <w:t xml:space="preserve"> </w:t>
      </w:r>
      <w:r w:rsidR="00D628EB" w:rsidRPr="008D374A">
        <w:rPr>
          <w:position w:val="-16"/>
        </w:rPr>
        <w:object w:dxaOrig="520" w:dyaOrig="400">
          <v:shape id="_x0000_i1058" type="#_x0000_t75" style="width:26.25pt;height:20.25pt" o:ole="" o:preferrelative="f">
            <v:imagedata r:id="rId76" o:title=""/>
            <o:lock v:ext="edit" aspectratio="f"/>
          </v:shape>
          <o:OLEObject Type="Embed" ProgID="Equation.3" ShapeID="_x0000_i1058" DrawAspect="Content" ObjectID="_1555512447" r:id="rId77"/>
        </w:object>
      </w:r>
      <w:r w:rsidRPr="00AF0D7D">
        <w:t>term</w:t>
      </w:r>
      <w:r>
        <w:t>s provide</w:t>
      </w:r>
      <w:r w:rsidRPr="00AF0D7D">
        <w:t xml:space="preserve"> flexibility to accommodate high or low probability masses for specifi</w:t>
      </w:r>
      <w:r w:rsidRPr="000318AC">
        <w:t xml:space="preserve">c count outcomes without the </w:t>
      </w:r>
      <w:r w:rsidRPr="000318AC">
        <w:lastRenderedPageBreak/>
        <w:t xml:space="preserve">need for using hurdle or zero-inflated mechanisms </w:t>
      </w:r>
      <w:r w:rsidRPr="008A2598">
        <w:t xml:space="preserve">that can become cumbersome when dealing with multivariate </w:t>
      </w:r>
      <w:r w:rsidRPr="007338A3">
        <w:t>counts</w:t>
      </w:r>
      <w:r>
        <w:t xml:space="preserve">. The reader can note that, for each </w:t>
      </w:r>
      <w:r w:rsidR="006B7413">
        <w:t>injury severity</w:t>
      </w:r>
      <w:r>
        <w:t xml:space="preserve"> </w:t>
      </w:r>
      <w:r w:rsidRPr="008159D4">
        <w:rPr>
          <w:i/>
        </w:rPr>
        <w:t>j</w:t>
      </w:r>
      <w:r>
        <w:t xml:space="preserve">, if the </w:t>
      </w:r>
      <w:r w:rsidR="00925CAF" w:rsidRPr="008D374A">
        <w:rPr>
          <w:position w:val="-16"/>
        </w:rPr>
        <w:object w:dxaOrig="520" w:dyaOrig="400">
          <v:shape id="_x0000_i1059" type="#_x0000_t75" style="width:26.25pt;height:20.25pt" o:ole="" o:preferrelative="f">
            <v:imagedata r:id="rId78" o:title=""/>
            <o:lock v:ext="edit" aspectratio="f"/>
          </v:shape>
          <o:OLEObject Type="Embed" ProgID="Equation.3" ShapeID="_x0000_i1059" DrawAspect="Content" ObjectID="_1555512448" r:id="rId79"/>
        </w:object>
      </w:r>
      <w:r w:rsidRPr="00FF687C">
        <w:t xml:space="preserve"> terms are </w:t>
      </w:r>
      <w:r>
        <w:t xml:space="preserve">all identically </w:t>
      </w:r>
      <w:r w:rsidRPr="00FF687C">
        <w:t>set to zero</w:t>
      </w:r>
      <w:r>
        <w:t xml:space="preserve">, </w:t>
      </w:r>
      <w:r w:rsidRPr="00FF687C">
        <w:t xml:space="preserve">all elements of the vector </w:t>
      </w:r>
      <w:r w:rsidR="00D628EB" w:rsidRPr="00C55983">
        <w:rPr>
          <w:position w:val="-14"/>
        </w:rPr>
        <w:object w:dxaOrig="340" w:dyaOrig="380">
          <v:shape id="_x0000_i1060" type="#_x0000_t75" style="width:17.25pt;height:18.75pt" o:ole="" o:preferrelative="f">
            <v:imagedata r:id="rId80" o:title=""/>
            <o:lock v:ext="edit" aspectratio="f"/>
          </v:shape>
          <o:OLEObject Type="Embed" ProgID="Equation.3" ShapeID="_x0000_i1060" DrawAspect="Content" ObjectID="_1555512449" r:id="rId81"/>
        </w:object>
      </w:r>
      <w:r w:rsidRPr="00FF687C">
        <w:t xml:space="preserve"> </w:t>
      </w:r>
      <w:r>
        <w:t xml:space="preserve">except the one on the constant </w:t>
      </w:r>
      <w:r w:rsidRPr="00FF687C">
        <w:t xml:space="preserve">are </w:t>
      </w:r>
      <w:r>
        <w:t xml:space="preserve">also </w:t>
      </w:r>
      <w:r w:rsidRPr="00FF687C">
        <w:t xml:space="preserve">set to </w:t>
      </w:r>
      <w:r w:rsidR="00BE2533">
        <w:t xml:space="preserve">a fixed value of </w:t>
      </w:r>
      <w:r w:rsidRPr="00FF687C">
        <w:t>zero</w:t>
      </w:r>
      <w:r w:rsidR="004D571E">
        <w:t xml:space="preserve"> (note that this str</w:t>
      </w:r>
      <w:r w:rsidR="00BE2533">
        <w:t xml:space="preserve">ucture </w:t>
      </w:r>
      <w:r w:rsidR="000F7E5C">
        <w:t xml:space="preserve">implies no </w:t>
      </w:r>
      <w:r w:rsidR="004D571E">
        <w:t>unobserved heterogeneity in coefficients)</w:t>
      </w:r>
      <w:r w:rsidRPr="00FF687C">
        <w:t xml:space="preserve">, </w:t>
      </w:r>
      <w:r>
        <w:t>and th</w:t>
      </w:r>
      <w:r w:rsidR="00D628EB">
        <w:t xml:space="preserve">e constant parameter element in </w:t>
      </w:r>
      <w:r w:rsidR="00D628EB" w:rsidRPr="00C55983">
        <w:rPr>
          <w:position w:val="-14"/>
        </w:rPr>
        <w:object w:dxaOrig="340" w:dyaOrig="380">
          <v:shape id="_x0000_i1061" type="#_x0000_t75" style="width:17.25pt;height:18.75pt" o:ole="" o:preferrelative="f">
            <v:imagedata r:id="rId82" o:title=""/>
            <o:lock v:ext="edit" aspectratio="f"/>
          </v:shape>
          <o:OLEObject Type="Embed" ProgID="Equation.3" ShapeID="_x0000_i1061" DrawAspect="Content" ObjectID="_1555512450" r:id="rId83"/>
        </w:object>
      </w:r>
      <w:r w:rsidR="00D628EB">
        <w:t xml:space="preserve"> </w:t>
      </w:r>
      <w:r>
        <w:t xml:space="preserve">is replaced with a standard normally distributed error term (that is, </w:t>
      </w:r>
      <w:r w:rsidR="00925CAF" w:rsidRPr="008D374A">
        <w:rPr>
          <w:position w:val="-14"/>
        </w:rPr>
        <w:object w:dxaOrig="1359" w:dyaOrig="380">
          <v:shape id="_x0000_i1062" type="#_x0000_t75" style="width:67.5pt;height:18.75pt" o:ole="" o:preferrelative="f">
            <v:imagedata r:id="rId84" o:title=""/>
            <o:lock v:ext="edit" aspectratio="f"/>
          </v:shape>
          <o:OLEObject Type="Embed" ProgID="Equation.3" ShapeID="_x0000_i1062" DrawAspect="Content" ObjectID="_1555512451" r:id="rId85"/>
        </w:object>
      </w:r>
      <w:r>
        <w:t xml:space="preserve">, </w:t>
      </w:r>
      <w:r w:rsidRPr="00FF687C">
        <w:t>the result is the traditio</w:t>
      </w:r>
      <w:r>
        <w:t>nal Poisson count model for each crash type (see CPB</w:t>
      </w:r>
      <w:r w:rsidR="006B7413">
        <w:t>, 2012</w:t>
      </w:r>
      <w:r>
        <w:t>).</w:t>
      </w:r>
      <w:r w:rsidR="009B134D">
        <w:rPr>
          <w:rStyle w:val="FootnoteReference"/>
        </w:rPr>
        <w:footnoteReference w:id="6"/>
      </w:r>
      <w:r>
        <w:t xml:space="preserve"> </w:t>
      </w:r>
    </w:p>
    <w:p w:rsidR="0070440D" w:rsidRDefault="00084023" w:rsidP="0070440D">
      <w:pPr>
        <w:contextualSpacing/>
      </w:pPr>
      <w:r>
        <w:t xml:space="preserve">The </w:t>
      </w:r>
      <w:r w:rsidRPr="00456CEF">
        <w:t xml:space="preserve">framework </w:t>
      </w:r>
      <w:r>
        <w:t xml:space="preserve">above </w:t>
      </w:r>
      <w:r w:rsidRPr="00456CEF">
        <w:t xml:space="preserve">provides </w:t>
      </w:r>
      <w:r>
        <w:t xml:space="preserve">useful </w:t>
      </w:r>
      <w:r w:rsidRPr="00456CEF">
        <w:t xml:space="preserve">computational benefits to accommodate statistical, econometric, and </w:t>
      </w:r>
      <w:r>
        <w:t xml:space="preserve">spatial considerations, while </w:t>
      </w:r>
      <w:r w:rsidRPr="00456CEF">
        <w:t>a</w:t>
      </w:r>
      <w:r>
        <w:t>lso having an intuitive interpretation (see CPB</w:t>
      </w:r>
      <w:r w:rsidR="006B7413">
        <w:t>, 2012</w:t>
      </w:r>
      <w:r>
        <w:t xml:space="preserve">). For example, in our empirical context, consider the count of </w:t>
      </w:r>
      <w:r w:rsidR="00B95B5A">
        <w:t>incapacitating</w:t>
      </w:r>
      <w:r>
        <w:t xml:space="preserve"> </w:t>
      </w:r>
      <w:r w:rsidR="00137F49">
        <w:t>pedestrian injuries</w:t>
      </w:r>
      <w:r>
        <w:t xml:space="preserve"> (the following discussion applies to all </w:t>
      </w:r>
      <w:r w:rsidR="006B7413">
        <w:t>severit</w:t>
      </w:r>
      <w:r w:rsidR="00137F49">
        <w:t>y levels</w:t>
      </w:r>
      <w:r>
        <w:t xml:space="preserve">, and we pick the category of </w:t>
      </w:r>
      <w:r w:rsidR="00B95B5A">
        <w:t>incapacitating</w:t>
      </w:r>
      <w:r>
        <w:t xml:space="preserve"> </w:t>
      </w:r>
      <w:r w:rsidR="00137F49">
        <w:t>injuries</w:t>
      </w:r>
      <w:r>
        <w:t xml:space="preserve"> simply for illustration). T</w:t>
      </w:r>
      <w:r w:rsidRPr="00456CEF">
        <w:t xml:space="preserve">he interpretation </w:t>
      </w:r>
      <w:r>
        <w:t xml:space="preserve">of the GOR framework </w:t>
      </w:r>
      <w:r w:rsidRPr="00456CEF">
        <w:t>is that there is a latent “long-term” (and constant over a cert</w:t>
      </w:r>
      <w:r>
        <w:t xml:space="preserve">ain time period) risk </w:t>
      </w:r>
      <w:r w:rsidR="00D628EB" w:rsidRPr="00456CEF">
        <w:rPr>
          <w:position w:val="-14"/>
        </w:rPr>
        <w:object w:dxaOrig="360" w:dyaOrig="400">
          <v:shape id="_x0000_i1063" type="#_x0000_t75" style="width:18pt;height:20.25pt" o:ole="" o:preferrelative="f">
            <v:imagedata r:id="rId86" o:title=""/>
            <o:lock v:ext="edit" aspectratio="f"/>
          </v:shape>
          <o:OLEObject Type="Embed" ProgID="Equation.3" ShapeID="_x0000_i1063" DrawAspect="Content" ObjectID="_1555512452" r:id="rId87"/>
        </w:object>
      </w:r>
      <w:r w:rsidRPr="00456CEF">
        <w:t xml:space="preserve"> of </w:t>
      </w:r>
      <w:r w:rsidR="00B95B5A">
        <w:t>incapacitating</w:t>
      </w:r>
      <w:r w:rsidR="006B7413">
        <w:t xml:space="preserve"> </w:t>
      </w:r>
      <w:r w:rsidR="00137F49">
        <w:t>injuries</w:t>
      </w:r>
      <w:r>
        <w:t xml:space="preserve"> at </w:t>
      </w:r>
      <w:r w:rsidR="006B7413">
        <w:t>census tract</w:t>
      </w:r>
      <w:r>
        <w:t xml:space="preserve"> </w:t>
      </w:r>
      <w:r w:rsidRPr="008159D4">
        <w:rPr>
          <w:i/>
        </w:rPr>
        <w:t>q</w:t>
      </w:r>
      <w:r>
        <w:t xml:space="preserve">, which is influenced by </w:t>
      </w:r>
      <w:r w:rsidRPr="00456CEF">
        <w:t xml:space="preserve">such </w:t>
      </w:r>
      <w:r w:rsidR="006B7413">
        <w:t>tract</w:t>
      </w:r>
      <w:r w:rsidRPr="00456CEF">
        <w:t>-specific variables as</w:t>
      </w:r>
      <w:r w:rsidR="00224779">
        <w:t xml:space="preserve">, say, </w:t>
      </w:r>
      <w:r w:rsidR="006C0AAF">
        <w:t xml:space="preserve">intensity of retail activity, and </w:t>
      </w:r>
      <w:r w:rsidR="00224779">
        <w:t>commercial and residential land-use</w:t>
      </w:r>
      <w:r w:rsidR="006C0AAF">
        <w:t xml:space="preserve"> (due to higher pedestrian activity and exposure in and around areas with high levels of these developments relative to open areas).</w:t>
      </w:r>
      <w:r>
        <w:t xml:space="preserve"> </w:t>
      </w:r>
      <w:r w:rsidRPr="00456CEF">
        <w:t>Thes</w:t>
      </w:r>
      <w:r w:rsidR="006C0AAF">
        <w:t>e</w:t>
      </w:r>
      <w:r w:rsidRPr="00456CEF">
        <w:t xml:space="preserve"> </w:t>
      </w:r>
      <w:r w:rsidR="006C0AAF">
        <w:lastRenderedPageBreak/>
        <w:t>variables</w:t>
      </w:r>
      <w:r w:rsidRPr="00456CEF">
        <w:t xml:space="preserve"> would then get manifested in the </w:t>
      </w:r>
      <w:r w:rsidR="00B624C1" w:rsidRPr="008D374A">
        <w:rPr>
          <w:position w:val="-14"/>
        </w:rPr>
        <w:object w:dxaOrig="300" w:dyaOrig="400">
          <v:shape id="_x0000_i1064" type="#_x0000_t75" style="width:15pt;height:20.25pt" o:ole="" o:preferrelative="f">
            <v:imagedata r:id="rId64" o:title=""/>
            <o:lock v:ext="edit" aspectratio="f"/>
          </v:shape>
          <o:OLEObject Type="Embed" ProgID="Equation.3" ShapeID="_x0000_i1064" DrawAspect="Content" ObjectID="_1555512453" r:id="rId88"/>
        </w:object>
      </w:r>
      <w:r w:rsidRPr="00456CEF">
        <w:t xml:space="preserve"> vector. On the other hand, there ma</w:t>
      </w:r>
      <w:r>
        <w:t xml:space="preserve">y be some specific </w:t>
      </w:r>
      <w:r w:rsidR="008D42CC">
        <w:t>census tract</w:t>
      </w:r>
      <w:r>
        <w:t xml:space="preserve"> </w:t>
      </w:r>
      <w:r w:rsidRPr="00456CEF">
        <w:t xml:space="preserve">characteristics (embedded </w:t>
      </w:r>
      <w:proofErr w:type="gramStart"/>
      <w:r w:rsidRPr="00456CEF">
        <w:t>in</w:t>
      </w:r>
      <w:r>
        <w:t xml:space="preserve"> </w:t>
      </w:r>
      <w:proofErr w:type="gramEnd"/>
      <w:r w:rsidR="00925CAF" w:rsidRPr="00F37354">
        <w:rPr>
          <w:position w:val="-14"/>
        </w:rPr>
        <w:object w:dxaOrig="260" w:dyaOrig="380">
          <v:shape id="_x0000_i1065" type="#_x0000_t75" style="width:13.5pt;height:18.75pt" o:ole="" o:preferrelative="f">
            <v:imagedata r:id="rId61" o:title=""/>
            <o:lock v:ext="edit" aspectratio="f"/>
          </v:shape>
          <o:OLEObject Type="Embed" ProgID="Equation.DSMT4" ShapeID="_x0000_i1065" DrawAspect="Content" ObjectID="_1555512454" r:id="rId89"/>
        </w:object>
      </w:r>
      <w:r w:rsidRPr="00456CEF">
        <w:t xml:space="preserve">) that may dictate the likelihood of a </w:t>
      </w:r>
      <w:r>
        <w:t xml:space="preserve">crash occurring </w:t>
      </w:r>
      <w:r w:rsidRPr="00456CEF">
        <w:t xml:space="preserve">at any given </w:t>
      </w:r>
      <w:r w:rsidRPr="00456CEF">
        <w:rPr>
          <w:i/>
        </w:rPr>
        <w:t>instant of time</w:t>
      </w:r>
      <w:r w:rsidRPr="00456CEF">
        <w:t xml:space="preserve"> for a given long-term</w:t>
      </w:r>
      <w:r>
        <w:t xml:space="preserve"> crash risk </w:t>
      </w:r>
      <w:r w:rsidR="00925CAF" w:rsidRPr="00456CEF">
        <w:rPr>
          <w:position w:val="-14"/>
        </w:rPr>
        <w:object w:dxaOrig="360" w:dyaOrig="400">
          <v:shape id="_x0000_i1066" type="#_x0000_t75" style="width:18pt;height:20.25pt" o:ole="" o:preferrelative="f">
            <v:imagedata r:id="rId90" o:title=""/>
            <o:lock v:ext="edit" aspectratio="f"/>
          </v:shape>
          <o:OLEObject Type="Embed" ProgID="Equation.3" ShapeID="_x0000_i1066" DrawAspect="Content" ObjectID="_1555512455" r:id="rId91"/>
        </w:object>
      </w:r>
      <w:r w:rsidRPr="00456CEF">
        <w:t xml:space="preserve">. For instance, </w:t>
      </w:r>
      <w:r w:rsidR="00B95B5A" w:rsidRPr="00456CEF">
        <w:t xml:space="preserve">a high proportion of </w:t>
      </w:r>
      <w:r w:rsidR="00B95B5A">
        <w:t xml:space="preserve">commercial or </w:t>
      </w:r>
      <w:r w:rsidR="00B95B5A" w:rsidRPr="00456CEF">
        <w:t xml:space="preserve">residential land-use in a tract may lead </w:t>
      </w:r>
      <w:r w:rsidR="00B95B5A">
        <w:t xml:space="preserve">to </w:t>
      </w:r>
      <w:r w:rsidR="00B95B5A" w:rsidRPr="003B1EA1">
        <w:t xml:space="preserve">higher levels of distraction and/or pre-occupation among drivers around these land-uses </w:t>
      </w:r>
      <w:r w:rsidR="00B95B5A">
        <w:t>(</w:t>
      </w:r>
      <w:r w:rsidR="00B95B5A" w:rsidRPr="003B1EA1">
        <w:t xml:space="preserve">relative to </w:t>
      </w:r>
      <w:r w:rsidR="00B95B5A">
        <w:t>around open and recreational</w:t>
      </w:r>
      <w:r w:rsidR="00B95B5A" w:rsidRPr="003B1EA1">
        <w:t xml:space="preserve"> land-use</w:t>
      </w:r>
      <w:r w:rsidR="00B95B5A">
        <w:t>s)</w:t>
      </w:r>
      <w:r w:rsidR="00B95B5A" w:rsidRPr="003B1EA1">
        <w:t xml:space="preserve">. </w:t>
      </w:r>
      <w:r w:rsidR="00B95B5A" w:rsidRPr="00456CEF">
        <w:t xml:space="preserve">In this </w:t>
      </w:r>
      <w:r w:rsidR="00B95B5A">
        <w:t>situation</w:t>
      </w:r>
      <w:r w:rsidR="00B95B5A" w:rsidRPr="00456CEF">
        <w:t xml:space="preserve">, the effect of the high proportion of </w:t>
      </w:r>
      <w:r w:rsidR="00B95B5A">
        <w:t xml:space="preserve">commercial or </w:t>
      </w:r>
      <w:r w:rsidR="00B95B5A" w:rsidRPr="00456CEF">
        <w:t xml:space="preserve">residential land-use is to </w:t>
      </w:r>
      <w:r w:rsidR="00B95B5A">
        <w:t>in</w:t>
      </w:r>
      <w:r w:rsidR="00B95B5A" w:rsidRPr="00456CEF">
        <w:t xml:space="preserve">crease the “instantaneous” likelihood of a crash </w:t>
      </w:r>
      <w:r w:rsidR="00B95B5A">
        <w:t xml:space="preserve">resulting in </w:t>
      </w:r>
      <w:r w:rsidR="00B95B5A" w:rsidRPr="00456CEF">
        <w:t>a pedestri</w:t>
      </w:r>
      <w:r w:rsidR="00B95B5A">
        <w:t>an being incapacitated</w:t>
      </w:r>
      <w:r w:rsidR="00B95B5A" w:rsidRPr="00456CEF">
        <w:t>. This</w:t>
      </w:r>
      <w:r w:rsidR="00B95B5A">
        <w:t xml:space="preserve"> </w:t>
      </w:r>
      <w:r w:rsidR="00B95B5A" w:rsidRPr="00456CEF">
        <w:t>risk-to-outcome translation effect (which we will also refer to as the “threshold” effect) is relatively localized, and separate and different from the effects th</w:t>
      </w:r>
      <w:r w:rsidR="00B95B5A">
        <w:t>at</w:t>
      </w:r>
      <w:r w:rsidR="00B95B5A" w:rsidRPr="00456CEF">
        <w:t xml:space="preserve"> </w:t>
      </w:r>
      <w:r w:rsidR="00B95B5A">
        <w:t xml:space="preserve">these same </w:t>
      </w:r>
      <w:r w:rsidR="00B95B5A" w:rsidRPr="00456CEF">
        <w:t xml:space="preserve">variables </w:t>
      </w:r>
      <w:r w:rsidR="00B95B5A">
        <w:t xml:space="preserve">may have to </w:t>
      </w:r>
      <w:r w:rsidR="00B95B5A" w:rsidRPr="00456CEF">
        <w:t xml:space="preserve">increase the long-term risk propensity </w:t>
      </w:r>
      <w:r w:rsidR="00B95B5A">
        <w:t>of</w:t>
      </w:r>
      <w:r w:rsidR="00B95B5A" w:rsidRPr="00456CEF">
        <w:t xml:space="preserve"> pedestrian </w:t>
      </w:r>
      <w:r w:rsidR="00B95B5A">
        <w:t>injuries</w:t>
      </w:r>
      <w:r w:rsidR="006C0AAF">
        <w:t>.</w:t>
      </w:r>
      <w:r w:rsidR="00B95B5A">
        <w:t xml:space="preserve"> </w:t>
      </w:r>
      <w:r w:rsidRPr="00456CEF">
        <w:t xml:space="preserve">Further, the GOR framework in Equation (1) accommodates spatial dependency in counts through spatial lag (“spillover”) effects in the “long-term” latent crash propensity, not </w:t>
      </w:r>
      <w:r>
        <w:t xml:space="preserve">through </w:t>
      </w:r>
      <w:r w:rsidRPr="00456CEF">
        <w:t xml:space="preserve">the elements that affect the localized and “instantaneous” translation of the propensity to whether or not a </w:t>
      </w:r>
      <w:r>
        <w:t xml:space="preserve">crash </w:t>
      </w:r>
      <w:r w:rsidRPr="00456CEF">
        <w:t xml:space="preserve">occurs at any given time (and, therefore, not the threshold elements that affect the mapping of the latent </w:t>
      </w:r>
      <w:r>
        <w:t xml:space="preserve">risk </w:t>
      </w:r>
      <w:r w:rsidRPr="00456CEF">
        <w:t xml:space="preserve">to the observed </w:t>
      </w:r>
      <w:r>
        <w:t xml:space="preserve">crash </w:t>
      </w:r>
      <w:r w:rsidRPr="00456CEF">
        <w:t>count outcome).</w:t>
      </w:r>
    </w:p>
    <w:p w:rsidR="004C2BE7" w:rsidRDefault="00084023" w:rsidP="0070440D">
      <w:pPr>
        <w:contextualSpacing/>
      </w:pPr>
      <w:r w:rsidRPr="00456CEF">
        <w:t xml:space="preserve"> </w:t>
      </w:r>
    </w:p>
    <w:p w:rsidR="00845179" w:rsidRDefault="00084023" w:rsidP="0070440D">
      <w:pPr>
        <w:pStyle w:val="Heading2"/>
        <w:spacing w:before="0" w:beforeAutospacing="0" w:after="0" w:afterAutospacing="0"/>
        <w:ind w:left="360" w:hanging="360"/>
      </w:pPr>
      <w:r w:rsidRPr="00351114">
        <w:t>Model Formulation and Estimation</w:t>
      </w:r>
    </w:p>
    <w:p w:rsidR="00084023" w:rsidRPr="00F545D5" w:rsidRDefault="00084023" w:rsidP="00D72ECE">
      <w:pPr>
        <w:pStyle w:val="Heading2"/>
        <w:numPr>
          <w:ilvl w:val="0"/>
          <w:numId w:val="0"/>
        </w:numPr>
        <w:spacing w:before="0" w:beforeAutospacing="0" w:after="0" w:afterAutospacing="0"/>
      </w:pPr>
      <w:r w:rsidRPr="00BF6017">
        <w:rPr>
          <w:b w:val="0"/>
        </w:rPr>
        <w:t xml:space="preserve">To proceed with the model formulation, we assume that the vector </w:t>
      </w:r>
      <w:r w:rsidR="009E30C8" w:rsidRPr="00C55983">
        <w:rPr>
          <w:position w:val="-14"/>
        </w:rPr>
        <w:object w:dxaOrig="340" w:dyaOrig="380">
          <v:shape id="_x0000_i1067" type="#_x0000_t75" style="width:17.25pt;height:18.75pt" o:ole="" o:preferrelative="f">
            <v:imagedata r:id="rId82" o:title=""/>
            <o:lock v:ext="edit" aspectratio="f"/>
          </v:shape>
          <o:OLEObject Type="Embed" ProgID="Equation.3" ShapeID="_x0000_i1067" DrawAspect="Content" ObjectID="_1555512456" r:id="rId92"/>
        </w:object>
      </w:r>
      <w:r w:rsidRPr="00BF6017">
        <w:rPr>
          <w:b w:val="0"/>
        </w:rPr>
        <w:t xml:space="preserve"> is a realization from a multivariate normally distributed vector for each </w:t>
      </w:r>
      <w:r w:rsidR="00A3772F" w:rsidRPr="00BF6017">
        <w:rPr>
          <w:b w:val="0"/>
        </w:rPr>
        <w:t>injury severity level</w:t>
      </w:r>
      <w:r w:rsidRPr="00BF6017">
        <w:rPr>
          <w:b w:val="0"/>
        </w:rPr>
        <w:t xml:space="preserve"> </w:t>
      </w:r>
      <w:r w:rsidRPr="00BF6017">
        <w:rPr>
          <w:b w:val="0"/>
          <w:i/>
        </w:rPr>
        <w:t>j</w:t>
      </w:r>
      <w:r w:rsidRPr="00BF6017">
        <w:rPr>
          <w:b w:val="0"/>
        </w:rPr>
        <w:t>. That is</w:t>
      </w:r>
      <w:r w:rsidR="00A3772F" w:rsidRPr="00BF6017">
        <w:rPr>
          <w:b w:val="0"/>
        </w:rPr>
        <w:t>,</w:t>
      </w:r>
      <w:r w:rsidR="00925CAF" w:rsidRPr="00BF6017">
        <w:rPr>
          <w:b w:val="0"/>
          <w:position w:val="-14"/>
        </w:rPr>
        <w:object w:dxaOrig="2020" w:dyaOrig="380">
          <v:shape id="_x0000_i1068" type="#_x0000_t75" style="width:100.5pt;height:18.75pt" o:ole="" o:preferrelative="f">
            <v:imagedata r:id="rId93" o:title=""/>
            <o:lock v:ext="edit" aspectratio="f"/>
          </v:shape>
          <o:OLEObject Type="Embed" ProgID="Equation.3" ShapeID="_x0000_i1068" DrawAspect="Content" ObjectID="_1555512457" r:id="rId94"/>
        </w:object>
      </w:r>
      <w:r w:rsidRPr="00BF6017">
        <w:rPr>
          <w:b w:val="0"/>
        </w:rPr>
        <w:t xml:space="preserve">. For each </w:t>
      </w:r>
      <w:r w:rsidR="00A3772F" w:rsidRPr="00BF6017">
        <w:rPr>
          <w:b w:val="0"/>
        </w:rPr>
        <w:t>injury level</w:t>
      </w:r>
      <w:r w:rsidRPr="00BF6017">
        <w:rPr>
          <w:b w:val="0"/>
        </w:rPr>
        <w:t xml:space="preserve"> </w:t>
      </w:r>
      <w:r w:rsidRPr="00BF6017">
        <w:rPr>
          <w:b w:val="0"/>
          <w:i/>
        </w:rPr>
        <w:t>j</w:t>
      </w:r>
      <w:r w:rsidRPr="00BF6017">
        <w:rPr>
          <w:b w:val="0"/>
        </w:rPr>
        <w:t xml:space="preserve">, the first element of </w:t>
      </w:r>
      <w:r w:rsidR="009E30C8" w:rsidRPr="00BF6017">
        <w:rPr>
          <w:b w:val="0"/>
          <w:position w:val="-14"/>
        </w:rPr>
        <w:object w:dxaOrig="260" w:dyaOrig="380">
          <v:shape id="_x0000_i1069" type="#_x0000_t75" style="width:12.75pt;height:18.75pt" o:ole="" o:preferrelative="f">
            <v:imagedata r:id="rId95" o:title=""/>
            <o:lock v:ext="edit" aspectratio="f"/>
          </v:shape>
          <o:OLEObject Type="Embed" ProgID="Equation.3" ShapeID="_x0000_i1069" DrawAspect="Content" ObjectID="_1555512458" r:id="rId96"/>
        </w:object>
      </w:r>
      <w:r w:rsidR="009E30C8">
        <w:rPr>
          <w:b w:val="0"/>
          <w:lang w:val="en-US"/>
        </w:rPr>
        <w:t xml:space="preserve"> </w:t>
      </w:r>
      <w:r w:rsidRPr="00BF6017">
        <w:rPr>
          <w:b w:val="0"/>
        </w:rPr>
        <w:t xml:space="preserve">is set to zero and the first diagonal element of </w:t>
      </w:r>
      <w:r w:rsidR="00925CAF" w:rsidRPr="00BF6017">
        <w:rPr>
          <w:b w:val="0"/>
          <w:position w:val="-14"/>
        </w:rPr>
        <w:object w:dxaOrig="340" w:dyaOrig="380">
          <v:shape id="_x0000_i1070" type="#_x0000_t75" style="width:16.5pt;height:18.75pt" o:ole="" o:preferrelative="f">
            <v:imagedata r:id="rId97" o:title=""/>
            <o:lock v:ext="edit" aspectratio="f"/>
          </v:shape>
          <o:OLEObject Type="Embed" ProgID="Equation.3" ShapeID="_x0000_i1070" DrawAspect="Content" ObjectID="_1555512459" r:id="rId98"/>
        </w:object>
      </w:r>
      <w:r w:rsidR="009E30C8">
        <w:rPr>
          <w:b w:val="0"/>
          <w:lang w:val="en-US"/>
        </w:rPr>
        <w:t xml:space="preserve"> </w:t>
      </w:r>
      <w:r w:rsidRPr="00BF6017">
        <w:rPr>
          <w:b w:val="0"/>
        </w:rPr>
        <w:t>is normalized to one (</w:t>
      </w:r>
      <w:r w:rsidR="00407241">
        <w:rPr>
          <w:b w:val="0"/>
        </w:rPr>
        <w:t xml:space="preserve">these aid in </w:t>
      </w:r>
      <w:r w:rsidR="00FE10B9" w:rsidRPr="00BF6017">
        <w:rPr>
          <w:b w:val="0"/>
        </w:rPr>
        <w:t>econometric</w:t>
      </w:r>
      <w:r w:rsidR="00FE10B9">
        <w:rPr>
          <w:b w:val="0"/>
          <w:lang w:val="en-US"/>
        </w:rPr>
        <w:t xml:space="preserve"> stability and also </w:t>
      </w:r>
      <w:r w:rsidR="00BE2533">
        <w:rPr>
          <w:b w:val="0"/>
          <w:lang w:val="en-US"/>
        </w:rPr>
        <w:t xml:space="preserve">reflect the lack of </w:t>
      </w:r>
      <w:r w:rsidR="00FE10B9">
        <w:rPr>
          <w:b w:val="0"/>
          <w:lang w:val="en-US"/>
        </w:rPr>
        <w:t xml:space="preserve">strict </w:t>
      </w:r>
      <w:r w:rsidR="00BE2533">
        <w:rPr>
          <w:b w:val="0"/>
          <w:lang w:val="en-US"/>
        </w:rPr>
        <w:t>cardinality in</w:t>
      </w:r>
      <w:r w:rsidR="00FE10B9">
        <w:rPr>
          <w:b w:val="0"/>
          <w:lang w:val="en-US"/>
        </w:rPr>
        <w:t xml:space="preserve"> the underlying latent propensity; see CPB, 2012</w:t>
      </w:r>
      <w:r w:rsidRPr="00BF6017">
        <w:rPr>
          <w:b w:val="0"/>
        </w:rPr>
        <w:t xml:space="preserve">). For future reference, let </w:t>
      </w:r>
      <w:r w:rsidR="00925CAF" w:rsidRPr="00BF6017">
        <w:rPr>
          <w:b w:val="0"/>
          <w:position w:val="-14"/>
        </w:rPr>
        <w:object w:dxaOrig="340" w:dyaOrig="400">
          <v:shape id="_x0000_i1071" type="#_x0000_t75" style="width:16.5pt;height:20.25pt" o:ole="" o:preferrelative="f">
            <v:imagedata r:id="rId99" o:title=""/>
            <o:lock v:ext="edit" aspectratio="f"/>
          </v:shape>
          <o:OLEObject Type="Embed" ProgID="Equation.3" ShapeID="_x0000_i1071" DrawAspect="Content" ObjectID="_1555512460" r:id="rId100"/>
        </w:object>
      </w:r>
      <w:r w:rsidR="009E30C8">
        <w:rPr>
          <w:b w:val="0"/>
          <w:lang w:val="en-US"/>
        </w:rPr>
        <w:t xml:space="preserve"> </w:t>
      </w:r>
      <w:r w:rsidRPr="00BF6017">
        <w:rPr>
          <w:b w:val="0"/>
        </w:rPr>
        <w:t>be a column vector obtained by stacking the unique elements of the symmetric matrix</w:t>
      </w:r>
      <w:r w:rsidR="00925CAF">
        <w:rPr>
          <w:b w:val="0"/>
          <w:lang w:val="en-US"/>
        </w:rPr>
        <w:t xml:space="preserve"> </w:t>
      </w:r>
      <w:r w:rsidR="00925CAF" w:rsidRPr="00BF6017">
        <w:rPr>
          <w:b w:val="0"/>
          <w:position w:val="-14"/>
        </w:rPr>
        <w:object w:dxaOrig="340" w:dyaOrig="380">
          <v:shape id="_x0000_i1072" type="#_x0000_t75" style="width:16.5pt;height:18.75pt" o:ole="" o:preferrelative="f">
            <v:imagedata r:id="rId97" o:title=""/>
            <o:lock v:ext="edit" aspectratio="f"/>
          </v:shape>
          <o:OLEObject Type="Embed" ProgID="Equation.3" ShapeID="_x0000_i1072" DrawAspect="Content" ObjectID="_1555512461" r:id="rId101"/>
        </w:object>
      </w:r>
      <w:r w:rsidRPr="00BF6017">
        <w:rPr>
          <w:b w:val="0"/>
        </w:rPr>
        <w:t>. By allowing a multivariate distribution for</w:t>
      </w:r>
      <w:r w:rsidR="009E30C8" w:rsidRPr="00C55983">
        <w:rPr>
          <w:position w:val="-14"/>
        </w:rPr>
        <w:object w:dxaOrig="340" w:dyaOrig="380">
          <v:shape id="_x0000_i1073" type="#_x0000_t75" style="width:17.25pt;height:18.75pt" o:ole="" o:preferrelative="f">
            <v:imagedata r:id="rId82" o:title=""/>
            <o:lock v:ext="edit" aspectratio="f"/>
          </v:shape>
          <o:OLEObject Type="Embed" ProgID="Equation.3" ShapeID="_x0000_i1073" DrawAspect="Content" ObjectID="_1555512462" r:id="rId102"/>
        </w:object>
      </w:r>
      <w:r w:rsidRPr="00BF6017">
        <w:rPr>
          <w:b w:val="0"/>
        </w:rPr>
        <w:t>, we allow</w:t>
      </w:r>
      <w:r w:rsidR="006C0AAF" w:rsidRPr="00BF6017">
        <w:rPr>
          <w:b w:val="0"/>
        </w:rPr>
        <w:t xml:space="preserve"> for a full covariance matrix for the random coefficients for each count category</w:t>
      </w:r>
      <w:r w:rsidRPr="00BF6017">
        <w:rPr>
          <w:b w:val="0"/>
        </w:rPr>
        <w:t>. It is now well established that ignoring such variations when present will lead to inconsistent and biased parameters estimates in count models (see Bhat et al., 2014</w:t>
      </w:r>
      <w:r w:rsidR="0087756C">
        <w:rPr>
          <w:b w:val="0"/>
          <w:lang w:val="en-US"/>
        </w:rPr>
        <w:t>a</w:t>
      </w:r>
      <w:r w:rsidRPr="00BF6017">
        <w:rPr>
          <w:b w:val="0"/>
        </w:rPr>
        <w:t xml:space="preserve">; Mannering et al., 2016). Of course, the discussion thus far has only focused on heterogeneity in intrinsic risk and the effect of exogenous variables across </w:t>
      </w:r>
      <w:r w:rsidR="00373DF4" w:rsidRPr="00BF6017">
        <w:rPr>
          <w:b w:val="0"/>
        </w:rPr>
        <w:t>census tracts</w:t>
      </w:r>
      <w:r w:rsidRPr="00BF6017">
        <w:rPr>
          <w:b w:val="0"/>
        </w:rPr>
        <w:t xml:space="preserve"> for each </w:t>
      </w:r>
      <w:r w:rsidR="00373DF4" w:rsidRPr="00BF6017">
        <w:rPr>
          <w:b w:val="0"/>
        </w:rPr>
        <w:t>injury level</w:t>
      </w:r>
      <w:r w:rsidRPr="00BF6017">
        <w:rPr>
          <w:b w:val="0"/>
        </w:rPr>
        <w:t xml:space="preserve"> </w:t>
      </w:r>
      <w:r w:rsidRPr="008159D4">
        <w:rPr>
          <w:b w:val="0"/>
          <w:i/>
        </w:rPr>
        <w:t>j</w:t>
      </w:r>
      <w:r w:rsidRPr="00BF6017">
        <w:rPr>
          <w:b w:val="0"/>
        </w:rPr>
        <w:t xml:space="preserve">. However, the </w:t>
      </w:r>
      <w:proofErr w:type="spellStart"/>
      <w:r w:rsidRPr="00BF6017">
        <w:rPr>
          <w:b w:val="0"/>
        </w:rPr>
        <w:t>multivariateness</w:t>
      </w:r>
      <w:proofErr w:type="spellEnd"/>
      <w:r w:rsidRPr="00BF6017">
        <w:rPr>
          <w:b w:val="0"/>
        </w:rPr>
        <w:t xml:space="preserve"> across </w:t>
      </w:r>
      <w:r w:rsidR="00373DF4" w:rsidRPr="00BF6017">
        <w:rPr>
          <w:b w:val="0"/>
        </w:rPr>
        <w:t>injury levels</w:t>
      </w:r>
      <w:r w:rsidRPr="00BF6017">
        <w:rPr>
          <w:b w:val="0"/>
        </w:rPr>
        <w:t xml:space="preserve"> also must be recognized. In </w:t>
      </w:r>
      <w:r w:rsidRPr="00BF6017">
        <w:rPr>
          <w:b w:val="0"/>
        </w:rPr>
        <w:lastRenderedPageBreak/>
        <w:t xml:space="preserve">our model, we accommodate this </w:t>
      </w:r>
      <w:proofErr w:type="spellStart"/>
      <w:r w:rsidRPr="00BF6017">
        <w:rPr>
          <w:b w:val="0"/>
        </w:rPr>
        <w:t>multivariateness</w:t>
      </w:r>
      <w:proofErr w:type="spellEnd"/>
      <w:r w:rsidRPr="00BF6017">
        <w:rPr>
          <w:b w:val="0"/>
        </w:rPr>
        <w:t xml:space="preserve"> not only through common unobserved factors that may impact overall intrinsic risks across </w:t>
      </w:r>
      <w:r w:rsidR="00373DF4" w:rsidRPr="00BF6017">
        <w:rPr>
          <w:b w:val="0"/>
        </w:rPr>
        <w:t>injury levels</w:t>
      </w:r>
      <w:r w:rsidRPr="00BF6017">
        <w:rPr>
          <w:b w:val="0"/>
        </w:rPr>
        <w:t xml:space="preserve">, but also through unobserved factors simultaneously moderating the effects of a variable </w:t>
      </w:r>
      <w:r w:rsidRPr="008159D4">
        <w:rPr>
          <w:b w:val="0"/>
          <w:i/>
        </w:rPr>
        <w:t>k</w:t>
      </w:r>
      <w:r w:rsidRPr="00BF6017">
        <w:rPr>
          <w:b w:val="0"/>
        </w:rPr>
        <w:t xml:space="preserve"> across risks of different </w:t>
      </w:r>
      <w:r w:rsidR="00373DF4" w:rsidRPr="00BF6017">
        <w:rPr>
          <w:b w:val="0"/>
        </w:rPr>
        <w:t>injury levels</w:t>
      </w:r>
      <w:r w:rsidRPr="00BF6017">
        <w:rPr>
          <w:b w:val="0"/>
        </w:rPr>
        <w:t xml:space="preserve">. For this, we assume that </w:t>
      </w:r>
      <w:r w:rsidR="009E30C8" w:rsidRPr="00BF6017">
        <w:rPr>
          <w:b w:val="0"/>
          <w:position w:val="-14"/>
        </w:rPr>
        <w:object w:dxaOrig="4620" w:dyaOrig="400">
          <v:shape id="_x0000_i1074" type="#_x0000_t75" style="width:231pt;height:20.25pt" o:ole="" o:preferrelative="f">
            <v:imagedata r:id="rId103" o:title=""/>
            <o:lock v:ext="edit" aspectratio="f"/>
          </v:shape>
          <o:OLEObject Type="Embed" ProgID="Equation.3" ShapeID="_x0000_i1074" DrawAspect="Content" ObjectID="_1555512463" r:id="rId104"/>
        </w:object>
      </w:r>
      <w:r w:rsidRPr="00BF6017">
        <w:rPr>
          <w:b w:val="0"/>
        </w:rPr>
        <w:t xml:space="preserve">. Of course, because the heterogeneity across </w:t>
      </w:r>
      <w:r w:rsidR="00373DF4" w:rsidRPr="00BF6017">
        <w:rPr>
          <w:b w:val="0"/>
        </w:rPr>
        <w:t>census tra</w:t>
      </w:r>
      <w:r w:rsidR="0071590E" w:rsidRPr="00BF6017">
        <w:rPr>
          <w:b w:val="0"/>
        </w:rPr>
        <w:t>c</w:t>
      </w:r>
      <w:r w:rsidR="00373DF4" w:rsidRPr="00BF6017">
        <w:rPr>
          <w:b w:val="0"/>
        </w:rPr>
        <w:t>ts</w:t>
      </w:r>
      <w:r w:rsidRPr="00BF6017">
        <w:rPr>
          <w:b w:val="0"/>
        </w:rPr>
        <w:t xml:space="preserve"> in the overall intrinsic risk as well as the impacts of exogenous variables is already considered in</w:t>
      </w:r>
      <w:r w:rsidR="00673DD2">
        <w:rPr>
          <w:b w:val="0"/>
          <w:lang w:val="en-US"/>
        </w:rPr>
        <w:t xml:space="preserve"> </w:t>
      </w:r>
      <w:r w:rsidR="00925CAF" w:rsidRPr="00BF6017">
        <w:rPr>
          <w:b w:val="0"/>
          <w:position w:val="-14"/>
        </w:rPr>
        <w:object w:dxaOrig="340" w:dyaOrig="380">
          <v:shape id="_x0000_i1075" type="#_x0000_t75" style="width:16.5pt;height:18.75pt" o:ole="" o:preferrelative="f">
            <v:imagedata r:id="rId97" o:title=""/>
            <o:lock v:ext="edit" aspectratio="f"/>
          </v:shape>
          <o:OLEObject Type="Embed" ProgID="Equation.3" ShapeID="_x0000_i1075" DrawAspect="Content" ObjectID="_1555512464" r:id="rId105"/>
        </w:object>
      </w:r>
      <w:r w:rsidRPr="00BF6017">
        <w:rPr>
          <w:b w:val="0"/>
        </w:rPr>
        <w:t xml:space="preserve">, all the diagonal elements of </w:t>
      </w:r>
      <w:r w:rsidR="00925CAF" w:rsidRPr="00BF6017">
        <w:rPr>
          <w:b w:val="0"/>
          <w:position w:val="-12"/>
        </w:rPr>
        <w:object w:dxaOrig="300" w:dyaOrig="360">
          <v:shape id="_x0000_i1076" type="#_x0000_t75" style="width:15pt;height:18pt" o:ole="" o:preferrelative="f">
            <v:imagedata r:id="rId106" o:title=""/>
            <o:lock v:ext="edit" aspectratio="f"/>
          </v:shape>
          <o:OLEObject Type="Embed" ProgID="Equation.3" ShapeID="_x0000_i1076" DrawAspect="Content" ObjectID="_1555512465" r:id="rId107"/>
        </w:object>
      </w:r>
      <w:r w:rsidR="00673DD2">
        <w:rPr>
          <w:b w:val="0"/>
          <w:lang w:val="en-US"/>
        </w:rPr>
        <w:t xml:space="preserve"> </w:t>
      </w:r>
      <w:r w:rsidRPr="00BF6017">
        <w:rPr>
          <w:b w:val="0"/>
        </w:rPr>
        <w:t xml:space="preserve">for each </w:t>
      </w:r>
      <w:r w:rsidRPr="008159D4">
        <w:rPr>
          <w:b w:val="0"/>
          <w:i/>
        </w:rPr>
        <w:t>k</w:t>
      </w:r>
      <w:r w:rsidRPr="00BF6017">
        <w:rPr>
          <w:b w:val="0"/>
        </w:rPr>
        <w:t xml:space="preserve"> have to be normalized to zer</w:t>
      </w:r>
      <w:r w:rsidR="000456D7" w:rsidRPr="00BF6017">
        <w:rPr>
          <w:b w:val="0"/>
        </w:rPr>
        <w:t xml:space="preserve">o. This is </w:t>
      </w:r>
      <w:r w:rsidR="006C0AAF" w:rsidRPr="00BF6017">
        <w:rPr>
          <w:b w:val="0"/>
        </w:rPr>
        <w:t xml:space="preserve">admittedly </w:t>
      </w:r>
      <w:r w:rsidR="000456D7" w:rsidRPr="00BF6017">
        <w:rPr>
          <w:b w:val="0"/>
        </w:rPr>
        <w:t xml:space="preserve">unconventional notation in that there cannot be a covariance matrix with zero diagonal entries and non-zero non-diagonal entries because the resulting matrix is not positive definite; but the reader will note that we do not directly estimate </w:t>
      </w:r>
      <w:r w:rsidR="00925CAF" w:rsidRPr="00BF6017">
        <w:rPr>
          <w:b w:val="0"/>
          <w:position w:val="-12"/>
        </w:rPr>
        <w:object w:dxaOrig="300" w:dyaOrig="360">
          <v:shape id="_x0000_i1077" type="#_x0000_t75" style="width:15pt;height:18pt" o:ole="" o:preferrelative="f">
            <v:imagedata r:id="rId106" o:title=""/>
            <o:lock v:ext="edit" aspectratio="f"/>
          </v:shape>
          <o:OLEObject Type="Embed" ProgID="Equation.3" ShapeID="_x0000_i1077" DrawAspect="Content" ObjectID="_1555512466" r:id="rId108"/>
        </w:object>
      </w:r>
      <w:r w:rsidR="006C0AAF" w:rsidRPr="00BF6017">
        <w:rPr>
          <w:b w:val="0"/>
        </w:rPr>
        <w:t>, but</w:t>
      </w:r>
      <w:r w:rsidR="000456D7" w:rsidRPr="00BF6017">
        <w:rPr>
          <w:b w:val="0"/>
        </w:rPr>
        <w:t xml:space="preserve"> include it later as an element of a larger covariance matrix to be estimated</w:t>
      </w:r>
      <w:r w:rsidRPr="00BF6017">
        <w:rPr>
          <w:b w:val="0"/>
        </w:rPr>
        <w:t xml:space="preserve">. </w:t>
      </w:r>
      <w:r w:rsidR="000456D7" w:rsidRPr="00BF6017">
        <w:rPr>
          <w:b w:val="0"/>
        </w:rPr>
        <w:t>For notational purposes, it is helpful to structure things as we have.</w:t>
      </w:r>
      <w:r w:rsidRPr="00BF6017">
        <w:rPr>
          <w:b w:val="0"/>
        </w:rPr>
        <w:t xml:space="preserve"> For future reference, let </w:t>
      </w:r>
      <w:r w:rsidR="00925CAF" w:rsidRPr="00BF6017">
        <w:rPr>
          <w:b w:val="0"/>
          <w:position w:val="-12"/>
        </w:rPr>
        <w:object w:dxaOrig="300" w:dyaOrig="380">
          <v:shape id="_x0000_i1078" type="#_x0000_t75" style="width:15pt;height:18.75pt" o:ole="" o:preferrelative="f">
            <v:imagedata r:id="rId109" o:title=""/>
            <o:lock v:ext="edit" aspectratio="f"/>
          </v:shape>
          <o:OLEObject Type="Embed" ProgID="Equation.3" ShapeID="_x0000_i1078" DrawAspect="Content" ObjectID="_1555512467" r:id="rId110"/>
        </w:object>
      </w:r>
      <w:r w:rsidRPr="00BF6017">
        <w:rPr>
          <w:b w:val="0"/>
        </w:rPr>
        <w:t xml:space="preserve">represent a column vector obtained by stacking the unique cross-diagonal elements of the symmetric matrix </w:t>
      </w:r>
      <w:r w:rsidR="00925CAF" w:rsidRPr="00BF6017">
        <w:rPr>
          <w:b w:val="0"/>
          <w:position w:val="-12"/>
        </w:rPr>
        <w:object w:dxaOrig="300" w:dyaOrig="360">
          <v:shape id="_x0000_i1079" type="#_x0000_t75" style="width:15pt;height:18pt" o:ole="" o:preferrelative="f">
            <v:imagedata r:id="rId106" o:title=""/>
            <o:lock v:ext="edit" aspectratio="f"/>
          </v:shape>
          <o:OLEObject Type="Embed" ProgID="Equation.3" ShapeID="_x0000_i1079" DrawAspect="Content" ObjectID="_1555512468" r:id="rId111"/>
        </w:object>
      </w:r>
      <w:r w:rsidRPr="00BF6017">
        <w:rPr>
          <w:b w:val="0"/>
        </w:rPr>
        <w:t>.</w:t>
      </w:r>
    </w:p>
    <w:p w:rsidR="00084023" w:rsidRDefault="00084023" w:rsidP="00D72ECE">
      <w:pPr>
        <w:tabs>
          <w:tab w:val="right" w:pos="9360"/>
        </w:tabs>
        <w:contextualSpacing/>
      </w:pPr>
      <w:r w:rsidRPr="00D7727B">
        <w:t>T</w:t>
      </w:r>
      <w:r>
        <w:t xml:space="preserve">o write </w:t>
      </w:r>
      <w:r w:rsidRPr="00D7727B">
        <w:t xml:space="preserve">Equation (5) compactly, we define several vectors and matrices. Let </w:t>
      </w:r>
      <w:r w:rsidR="00CC584E" w:rsidRPr="00D7727B">
        <w:rPr>
          <w:position w:val="-14"/>
        </w:rPr>
        <w:object w:dxaOrig="2299" w:dyaOrig="400">
          <v:shape id="_x0000_i1080" type="#_x0000_t75" style="width:115.5pt;height:20.25pt" o:ole="" o:preferrelative="f">
            <v:imagedata r:id="rId112" o:title=""/>
            <o:lock v:ext="edit" aspectratio="f"/>
          </v:shape>
          <o:OLEObject Type="Embed" ProgID="Equation.3" ShapeID="_x0000_i1080" DrawAspect="Content" ObjectID="_1555512469" r:id="rId113"/>
        </w:object>
      </w:r>
      <w:r w:rsidR="009E30C8">
        <w:t xml:space="preserve"> </w:t>
      </w:r>
      <w:r w:rsidR="00CC584E" w:rsidRPr="00D7727B">
        <w:rPr>
          <w:position w:val="-14"/>
        </w:rPr>
        <w:object w:dxaOrig="2380" w:dyaOrig="400">
          <v:shape id="_x0000_i1081" type="#_x0000_t75" style="width:118.5pt;height:20.25pt" o:ole="" o:preferrelative="f">
            <v:imagedata r:id="rId114" o:title=""/>
            <o:lock v:ext="edit" aspectratio="f"/>
          </v:shape>
          <o:OLEObject Type="Embed" ProgID="Equation.3" ShapeID="_x0000_i1081" DrawAspect="Content" ObjectID="_1555512470" r:id="rId115"/>
        </w:object>
      </w:r>
      <w:r>
        <w:t>,</w:t>
      </w:r>
      <w:r w:rsidR="009E30C8">
        <w:t xml:space="preserve"> </w:t>
      </w:r>
      <w:r w:rsidR="00CC584E" w:rsidRPr="00D7727B">
        <w:rPr>
          <w:position w:val="-14"/>
        </w:rPr>
        <w:object w:dxaOrig="2220" w:dyaOrig="400">
          <v:shape id="_x0000_i1082" type="#_x0000_t75" style="width:111pt;height:20.25pt" o:ole="" o:preferrelative="f">
            <v:imagedata r:id="rId116" o:title=""/>
            <o:lock v:ext="edit" aspectratio="f"/>
          </v:shape>
          <o:OLEObject Type="Embed" ProgID="Equation.3" ShapeID="_x0000_i1082" DrawAspect="Content" ObjectID="_1555512471" r:id="rId117"/>
        </w:object>
      </w:r>
      <w:r>
        <w:t>,</w:t>
      </w:r>
      <w:r w:rsidR="009E30C8">
        <w:t xml:space="preserve"> </w:t>
      </w:r>
      <w:r w:rsidR="00CC584E" w:rsidRPr="00CF5453">
        <w:rPr>
          <w:position w:val="-12"/>
        </w:rPr>
        <w:object w:dxaOrig="1900" w:dyaOrig="380">
          <v:shape id="_x0000_i1083" type="#_x0000_t75" style="width:94.5pt;height:18.75pt" o:ole="" o:preferrelative="f">
            <v:imagedata r:id="rId118" o:title=""/>
            <o:lock v:ext="edit" aspectratio="f"/>
          </v:shape>
          <o:OLEObject Type="Embed" ProgID="Equation.3" ShapeID="_x0000_i1083" DrawAspect="Content" ObjectID="_1555512472" r:id="rId119"/>
        </w:object>
      </w:r>
      <w:r w:rsidRPr="00D7727B">
        <w:t xml:space="preserve"> (</w:t>
      </w:r>
      <w:r>
        <w:rPr>
          <w:i/>
        </w:rPr>
        <w:t>J</w:t>
      </w:r>
      <w:r w:rsidRPr="00D7727B">
        <w:rPr>
          <w:i/>
        </w:rPr>
        <w:t>×</w:t>
      </w:r>
      <w:r>
        <w:t xml:space="preserve">1) </w:t>
      </w:r>
      <w:r w:rsidRPr="00D7727B">
        <w:t>vectors</w:t>
      </w:r>
      <w:r>
        <w:t>,</w:t>
      </w:r>
      <w:r w:rsidRPr="00D7727B">
        <w:t xml:space="preserve"> </w:t>
      </w:r>
      <w:r w:rsidR="00CC584E" w:rsidRPr="00D7727B">
        <w:rPr>
          <w:position w:val="-14"/>
        </w:rPr>
        <w:object w:dxaOrig="2840" w:dyaOrig="400">
          <v:shape id="_x0000_i1084" type="#_x0000_t75" style="width:142.5pt;height:20.25pt" o:ole="" o:preferrelative="f">
            <v:imagedata r:id="rId120" o:title=""/>
            <o:lock v:ext="edit" aspectratio="f"/>
          </v:shape>
          <o:OLEObject Type="Embed" ProgID="Equation.3" ShapeID="_x0000_i1084" DrawAspect="Content" ObjectID="_1555512473" r:id="rId121"/>
        </w:object>
      </w:r>
      <w:r w:rsidR="00CC584E">
        <w:t xml:space="preserve"> </w:t>
      </w:r>
      <w:r w:rsidR="00CC584E" w:rsidRPr="00D7727B">
        <w:rPr>
          <w:position w:val="-14"/>
        </w:rPr>
        <w:object w:dxaOrig="2820" w:dyaOrig="380">
          <v:shape id="_x0000_i1085" type="#_x0000_t75" style="width:141pt;height:18.75pt" o:ole="" o:preferrelative="f">
            <v:imagedata r:id="rId122" o:title=""/>
            <o:lock v:ext="edit" aspectratio="f"/>
          </v:shape>
          <o:OLEObject Type="Embed" ProgID="Equation.3" ShapeID="_x0000_i1085" DrawAspect="Content" ObjectID="_1555512474" r:id="rId123"/>
        </w:object>
      </w:r>
      <w:r>
        <w:t>,</w:t>
      </w:r>
      <w:r w:rsidR="00CC584E" w:rsidRPr="00D7727B">
        <w:rPr>
          <w:position w:val="-14"/>
        </w:rPr>
        <w:object w:dxaOrig="3180" w:dyaOrig="400">
          <v:shape id="_x0000_i1086" type="#_x0000_t75" style="width:159pt;height:20.25pt" o:ole="" o:preferrelative="f">
            <v:imagedata r:id="rId124" o:title=""/>
            <o:lock v:ext="edit" aspectratio="f"/>
          </v:shape>
          <o:OLEObject Type="Embed" ProgID="Equation.3" ShapeID="_x0000_i1086" DrawAspect="Content" ObjectID="_1555512475" r:id="rId125"/>
        </w:object>
      </w:r>
      <w:r>
        <w:t>,</w:t>
      </w:r>
      <w:r w:rsidRPr="00D7727B">
        <w:t xml:space="preserve"> </w:t>
      </w:r>
      <w:r w:rsidR="009E30C8" w:rsidRPr="00D7727B">
        <w:rPr>
          <w:position w:val="-14"/>
        </w:rPr>
        <w:object w:dxaOrig="1100" w:dyaOrig="420">
          <v:shape id="_x0000_i1087" type="#_x0000_t75" style="width:54.75pt;height:21pt" o:ole="" o:preferrelative="f">
            <v:imagedata r:id="rId126" o:title=""/>
            <o:lock v:ext="edit" aspectratio="f"/>
          </v:shape>
          <o:OLEObject Type="Embed" ProgID="Equation.3" ShapeID="_x0000_i1087" DrawAspect="Content" ObjectID="_1555512476" r:id="rId127"/>
        </w:object>
      </w:r>
      <w:r w:rsidRPr="00D7727B">
        <w:t xml:space="preserve"> (</w:t>
      </w:r>
      <w:r w:rsidRPr="00D7727B">
        <w:rPr>
          <w:i/>
        </w:rPr>
        <w:t>Q</w:t>
      </w:r>
      <w:r>
        <w:rPr>
          <w:i/>
        </w:rPr>
        <w:t>J</w:t>
      </w:r>
      <w:r w:rsidRPr="00D7727B">
        <w:rPr>
          <w:i/>
        </w:rPr>
        <w:t>×1</w:t>
      </w:r>
      <w:r w:rsidRPr="00D7727B">
        <w:t xml:space="preserve"> vector</w:t>
      </w:r>
      <w:r>
        <w:t>s</w:t>
      </w:r>
      <w:r w:rsidRPr="00D7727B">
        <w:t xml:space="preserve">; </w:t>
      </w:r>
      <w:r w:rsidR="00CC584E" w:rsidRPr="00D7727B">
        <w:rPr>
          <w:position w:val="-14"/>
        </w:rPr>
        <w:object w:dxaOrig="300" w:dyaOrig="380">
          <v:shape id="_x0000_i1088" type="#_x0000_t75" style="width:15pt;height:18.75pt" o:ole="" o:preferrelative="f">
            <v:imagedata r:id="rId128" o:title=""/>
            <o:lock v:ext="edit" aspectratio="f"/>
          </v:shape>
          <o:OLEObject Type="Embed" ProgID="Equation.3" ShapeID="_x0000_i1088" DrawAspect="Content" ObjectID="_1555512477" r:id="rId129"/>
        </w:object>
      </w:r>
      <w:r w:rsidRPr="00D7727B">
        <w:t xml:space="preserve"> is a </w:t>
      </w:r>
      <w:r w:rsidR="00521D37">
        <w:t xml:space="preserve">column </w:t>
      </w:r>
      <w:r w:rsidRPr="00D7727B">
        <w:t xml:space="preserve">vector of size </w:t>
      </w:r>
      <w:r w:rsidRPr="00D7727B">
        <w:rPr>
          <w:i/>
        </w:rPr>
        <w:t xml:space="preserve">Q </w:t>
      </w:r>
      <w:r w:rsidRPr="00D7727B">
        <w:t xml:space="preserve"> with all elements equal to 1</w:t>
      </w:r>
      <w:r w:rsidR="00521D37">
        <w:t>, and ‘</w:t>
      </w:r>
      <w:r w:rsidR="00521D37" w:rsidRPr="00032C33">
        <w:rPr>
          <w:position w:val="-6"/>
        </w:rPr>
        <w:object w:dxaOrig="260" w:dyaOrig="279">
          <v:shape id="_x0000_i1089" type="#_x0000_t75" style="width:13.5pt;height:13.5pt" o:ole="">
            <v:imagedata r:id="rId130" o:title=""/>
          </v:shape>
          <o:OLEObject Type="Embed" ProgID="Equation.3" ShapeID="_x0000_i1089" DrawAspect="Content" ObjectID="_1555512478" r:id="rId131"/>
        </w:object>
      </w:r>
      <w:r w:rsidR="00521D37">
        <w:t xml:space="preserve">’ is the </w:t>
      </w:r>
      <w:proofErr w:type="spellStart"/>
      <w:r w:rsidR="00521D37">
        <w:t>Kronecker</w:t>
      </w:r>
      <w:proofErr w:type="spellEnd"/>
      <w:r w:rsidR="00521D37">
        <w:t xml:space="preserve"> product</w:t>
      </w:r>
      <w:r w:rsidRPr="00D7727B">
        <w:t>)</w:t>
      </w:r>
      <w:r>
        <w:t xml:space="preserve">, </w:t>
      </w:r>
      <w:r w:rsidR="00CC584E" w:rsidRPr="00D7727B">
        <w:rPr>
          <w:position w:val="-14"/>
        </w:rPr>
        <w:object w:dxaOrig="1760" w:dyaOrig="380">
          <v:shape id="_x0000_i1090" type="#_x0000_t75" style="width:88.5pt;height:18.75pt" o:ole="" o:preferrelative="f">
            <v:imagedata r:id="rId132" o:title=""/>
            <o:lock v:ext="edit" aspectratio="f"/>
          </v:shape>
          <o:OLEObject Type="Embed" ProgID="Equation.3" ShapeID="_x0000_i1090" DrawAspect="Content" ObjectID="_1555512479" r:id="rId133"/>
        </w:object>
      </w:r>
      <w:r w:rsidR="00CC584E">
        <w:t xml:space="preserve"> </w:t>
      </w:r>
      <w:r>
        <w:t>(</w:t>
      </w:r>
      <w:r w:rsidRPr="004816D6">
        <w:rPr>
          <w:i/>
        </w:rPr>
        <w:t xml:space="preserve"> </w:t>
      </w:r>
      <w:r>
        <w:rPr>
          <w:i/>
        </w:rPr>
        <w:t>J</w:t>
      </w:r>
      <w:r w:rsidRPr="0009527C">
        <w:t>×</w:t>
      </w:r>
      <w:r>
        <w:rPr>
          <w:i/>
        </w:rPr>
        <w:t xml:space="preserve">JK </w:t>
      </w:r>
      <w:r>
        <w:t>matrix) (</w:t>
      </w:r>
      <w:r w:rsidR="00CC584E" w:rsidRPr="004816D6">
        <w:rPr>
          <w:position w:val="-12"/>
        </w:rPr>
        <w:object w:dxaOrig="780" w:dyaOrig="360">
          <v:shape id="_x0000_i1091" type="#_x0000_t75" style="width:39pt;height:18pt" o:ole="" o:preferrelative="f">
            <v:imagedata r:id="rId134" o:title=""/>
            <o:lock v:ext="edit" aspectratio="f"/>
          </v:shape>
          <o:OLEObject Type="Embed" ProgID="Equation.3" ShapeID="_x0000_i1091" DrawAspect="Content" ObjectID="_1555512480" r:id="rId135"/>
        </w:object>
      </w:r>
      <w:r>
        <w:t xml:space="preserve"> is a square identity matrix</w:t>
      </w:r>
      <w:r w:rsidRPr="00D7727B">
        <w:t xml:space="preserve"> of size </w:t>
      </w:r>
      <w:r>
        <w:rPr>
          <w:i/>
        </w:rPr>
        <w:t>J</w:t>
      </w:r>
      <w:r w:rsidRPr="008159D4">
        <w:t>)</w:t>
      </w:r>
      <w:r w:rsidRPr="009E30C8">
        <w:t>,</w:t>
      </w:r>
      <w:r>
        <w:t xml:space="preserve"> </w:t>
      </w:r>
      <w:r w:rsidR="00CC584E" w:rsidRPr="00D7727B">
        <w:rPr>
          <w:position w:val="-14"/>
        </w:rPr>
        <w:object w:dxaOrig="1840" w:dyaOrig="380">
          <v:shape id="_x0000_i1092" type="#_x0000_t75" style="width:92.25pt;height:18.75pt" o:ole="" o:preferrelative="f">
            <v:imagedata r:id="rId136" o:title=""/>
            <o:lock v:ext="edit" aspectratio="f"/>
          </v:shape>
          <o:OLEObject Type="Embed" ProgID="Equation.3" ShapeID="_x0000_i1092" DrawAspect="Content" ObjectID="_1555512481" r:id="rId137"/>
        </w:object>
      </w:r>
      <w:r w:rsidR="00CC584E">
        <w:t xml:space="preserve"> </w:t>
      </w:r>
      <w:r>
        <w:t>(</w:t>
      </w:r>
      <w:r>
        <w:rPr>
          <w:i/>
        </w:rPr>
        <w:t>QJ</w:t>
      </w:r>
      <w:r w:rsidRPr="0009527C">
        <w:t>×</w:t>
      </w:r>
      <w:r>
        <w:rPr>
          <w:i/>
        </w:rPr>
        <w:t xml:space="preserve">JK </w:t>
      </w:r>
      <w:r>
        <w:t xml:space="preserve">matrix), </w:t>
      </w:r>
      <w:r w:rsidR="009E30C8" w:rsidRPr="008D374A">
        <w:rPr>
          <w:position w:val="-14"/>
        </w:rPr>
        <w:object w:dxaOrig="2120" w:dyaOrig="380">
          <v:shape id="_x0000_i1093" type="#_x0000_t75" style="width:105.75pt;height:18.75pt" o:ole="" o:preferrelative="f">
            <v:imagedata r:id="rId138" o:title=""/>
            <o:lock v:ext="edit" aspectratio="f"/>
          </v:shape>
          <o:OLEObject Type="Embed" ProgID="Equation.3" ShapeID="_x0000_i1093" DrawAspect="Content" ObjectID="_1555512482" r:id="rId139"/>
        </w:object>
      </w:r>
      <w:r w:rsidR="00CC584E">
        <w:t xml:space="preserve"> </w:t>
      </w:r>
      <w:r w:rsidRPr="00D7727B">
        <w:t>(</w:t>
      </w:r>
      <w:r>
        <w:rPr>
          <w:i/>
        </w:rPr>
        <w:t>JK</w:t>
      </w:r>
      <w:r w:rsidRPr="0009527C">
        <w:t>×1</w:t>
      </w:r>
      <w:r>
        <w:t xml:space="preserve"> </w:t>
      </w:r>
      <w:r w:rsidRPr="00D7727B">
        <w:t>vector</w:t>
      </w:r>
      <w:r>
        <w:t>), and</w:t>
      </w:r>
      <w:r w:rsidR="00CC584E">
        <w:t xml:space="preserve"> </w:t>
      </w:r>
      <w:r w:rsidR="00CC584E" w:rsidRPr="006041D7">
        <w:rPr>
          <w:position w:val="-12"/>
        </w:rPr>
        <w:object w:dxaOrig="1700" w:dyaOrig="360">
          <v:shape id="_x0000_i1094" type="#_x0000_t75" style="width:85.5pt;height:18pt" o:ole="" o:preferrelative="f">
            <v:imagedata r:id="rId140" o:title=""/>
            <o:lock v:ext="edit" aspectratio="f"/>
          </v:shape>
          <o:OLEObject Type="Embed" ProgID="Equation.3" ShapeID="_x0000_i1094" DrawAspect="Content" ObjectID="_1555512483" r:id="rId141"/>
        </w:object>
      </w:r>
      <w:r w:rsidR="00CC584E">
        <w:t xml:space="preserve"> </w:t>
      </w:r>
      <w:r w:rsidRPr="00D7727B">
        <w:t>(</w:t>
      </w:r>
      <w:r>
        <w:rPr>
          <w:i/>
        </w:rPr>
        <w:t>JK</w:t>
      </w:r>
      <w:r w:rsidRPr="0009527C">
        <w:t>×1</w:t>
      </w:r>
      <w:r w:rsidR="00CC584E">
        <w:t xml:space="preserve"> </w:t>
      </w:r>
      <w:r w:rsidRPr="00D7727B">
        <w:t>vector</w:t>
      </w:r>
      <w:r>
        <w:t xml:space="preserve">). Next, write </w:t>
      </w:r>
      <w:r w:rsidR="009E30C8" w:rsidRPr="008D374A">
        <w:rPr>
          <w:position w:val="-14"/>
        </w:rPr>
        <w:object w:dxaOrig="1200" w:dyaOrig="420">
          <v:shape id="_x0000_i1095" type="#_x0000_t75" style="width:60pt;height:21pt" o:ole="" o:preferrelative="f">
            <v:imagedata r:id="rId142" o:title=""/>
            <o:lock v:ext="edit" aspectratio="f"/>
          </v:shape>
          <o:OLEObject Type="Embed" ProgID="Equation.3" ShapeID="_x0000_i1095" DrawAspect="Content" ObjectID="_1555512484" r:id="rId143"/>
        </w:object>
      </w:r>
      <w:r w:rsidR="00661B44">
        <w:t xml:space="preserve"> </w:t>
      </w:r>
      <w:r>
        <w:t xml:space="preserve">Based on the covariance patterns assumed across the coefficient elements, we may write </w:t>
      </w:r>
      <w:r w:rsidR="009E30C8" w:rsidRPr="008D374A">
        <w:rPr>
          <w:position w:val="-14"/>
        </w:rPr>
        <w:object w:dxaOrig="1880" w:dyaOrig="420">
          <v:shape id="_x0000_i1096" type="#_x0000_t75" style="width:94.5pt;height:21pt" o:ole="" o:preferrelative="f">
            <v:imagedata r:id="rId144" o:title=""/>
            <o:lock v:ext="edit" aspectratio="f"/>
          </v:shape>
          <o:OLEObject Type="Embed" ProgID="Equation.3" ShapeID="_x0000_i1096" DrawAspect="Content" ObjectID="_1555512485" r:id="rId145"/>
        </w:object>
      </w:r>
      <w:r>
        <w:t>where</w:t>
      </w:r>
      <w:r w:rsidR="00CC584E">
        <w:t xml:space="preserve"> </w:t>
      </w:r>
      <w:r w:rsidR="00CC584E" w:rsidRPr="00CC584E">
        <w:rPr>
          <w:b/>
        </w:rPr>
        <w:t>Δ</w:t>
      </w:r>
      <w:r>
        <w:t xml:space="preserve"> is a </w:t>
      </w:r>
      <w:r>
        <w:rPr>
          <w:i/>
        </w:rPr>
        <w:t>JK</w:t>
      </w:r>
      <w:r w:rsidRPr="0009527C">
        <w:t>×</w:t>
      </w:r>
      <w:r>
        <w:rPr>
          <w:i/>
        </w:rPr>
        <w:t>JK</w:t>
      </w:r>
      <w:r>
        <w:t xml:space="preserve"> covariance matrix that may be written as follows:</w:t>
      </w:r>
    </w:p>
    <w:p w:rsidR="00084023" w:rsidRDefault="00CC584E" w:rsidP="00D72ECE">
      <w:pPr>
        <w:tabs>
          <w:tab w:val="right" w:pos="9360"/>
        </w:tabs>
        <w:ind w:firstLine="0"/>
        <w:contextualSpacing/>
      </w:pPr>
      <w:r w:rsidRPr="003258D5">
        <w:rPr>
          <w:position w:val="-68"/>
        </w:rPr>
        <w:object w:dxaOrig="7040" w:dyaOrig="1480">
          <v:shape id="_x0000_i1097" type="#_x0000_t75" style="width:351.75pt;height:73.5pt" o:ole="" o:preferrelative="f">
            <v:imagedata r:id="rId146" o:title=""/>
            <o:lock v:ext="edit" aspectratio="f"/>
          </v:shape>
          <o:OLEObject Type="Embed" ProgID="Equation.3" ShapeID="_x0000_i1097" DrawAspect="Content" ObjectID="_1555512486" r:id="rId147"/>
        </w:object>
      </w:r>
      <w:r w:rsidR="00307EF0">
        <w:t>,</w:t>
      </w:r>
      <w:r w:rsidR="009F1D3A">
        <w:tab/>
        <w:t>(3)</w:t>
      </w:r>
    </w:p>
    <w:p w:rsidR="00084023" w:rsidRPr="0031218E" w:rsidRDefault="00084023" w:rsidP="00D72ECE">
      <w:pPr>
        <w:tabs>
          <w:tab w:val="right" w:pos="9360"/>
        </w:tabs>
        <w:ind w:firstLine="0"/>
        <w:contextualSpacing/>
      </w:pPr>
      <w:proofErr w:type="gramStart"/>
      <w:r w:rsidRPr="0031218E">
        <w:lastRenderedPageBreak/>
        <w:t>where</w:t>
      </w:r>
      <w:proofErr w:type="gramEnd"/>
      <w:r w:rsidRPr="0031218E">
        <w:t xml:space="preserve"> the notation </w:t>
      </w:r>
      <w:r w:rsidR="0079483F" w:rsidRPr="0031218E">
        <w:rPr>
          <w:position w:val="-10"/>
        </w:rPr>
        <w:object w:dxaOrig="800" w:dyaOrig="320">
          <v:shape id="_x0000_i1098" type="#_x0000_t75" style="width:40.5pt;height:16.5pt" o:ole="" o:preferrelative="f">
            <v:imagedata r:id="rId148" o:title=""/>
            <o:lock v:ext="edit" aspectratio="f"/>
          </v:shape>
          <o:OLEObject Type="Embed" ProgID="Equation.3" ShapeID="_x0000_i1098" DrawAspect="Content" ObjectID="_1555512487" r:id="rId149"/>
        </w:object>
      </w:r>
      <w:r w:rsidRPr="0031218E">
        <w:t xml:space="preserve"> takes a value of 1 if </w:t>
      </w:r>
      <w:r w:rsidR="00CC584E" w:rsidRPr="0031218E">
        <w:rPr>
          <w:position w:val="-6"/>
        </w:rPr>
        <w:object w:dxaOrig="520" w:dyaOrig="279">
          <v:shape id="_x0000_i1099" type="#_x0000_t75" style="width:26.25pt;height:13.5pt" o:ole="" o:preferrelative="f">
            <v:imagedata r:id="rId150" o:title=""/>
            <o:lock v:ext="edit" aspectratio="f"/>
          </v:shape>
          <o:OLEObject Type="Embed" ProgID="Equation.3" ShapeID="_x0000_i1099" DrawAspect="Content" ObjectID="_1555512488" r:id="rId151"/>
        </w:object>
      </w:r>
      <w:r w:rsidRPr="0031218E">
        <w:t xml:space="preserve">  and 0 otherwise, and similarly for all other values of </w:t>
      </w:r>
      <w:r w:rsidRPr="0031218E">
        <w:rPr>
          <w:position w:val="-6"/>
        </w:rPr>
        <w:object w:dxaOrig="200" w:dyaOrig="279">
          <v:shape id="_x0000_i1100" type="#_x0000_t75" style="width:10.5pt;height:13.5pt" o:ole="">
            <v:imagedata r:id="rId152" o:title=""/>
          </v:shape>
          <o:OLEObject Type="Embed" ProgID="Equation.3" ShapeID="_x0000_i1100" DrawAspect="Content" ObjectID="_1555512489" r:id="rId153"/>
        </w:object>
      </w:r>
      <w:r w:rsidRPr="0031218E">
        <w:t xml:space="preserve">. Also, let </w:t>
      </w:r>
      <w:r w:rsidR="00CC584E" w:rsidRPr="0031218E">
        <w:rPr>
          <w:position w:val="-14"/>
        </w:rPr>
        <w:object w:dxaOrig="1880" w:dyaOrig="420">
          <v:shape id="_x0000_i1101" type="#_x0000_t75" style="width:94.5pt;height:20.25pt" o:ole="" o:preferrelative="f">
            <v:imagedata r:id="rId154" o:title=""/>
            <o:lock v:ext="edit" aspectratio="f"/>
          </v:shape>
          <o:OLEObject Type="Embed" ProgID="Equation.3" ShapeID="_x0000_i1101" DrawAspect="Content" ObjectID="_1555512490" r:id="rId155"/>
        </w:object>
      </w:r>
      <w:r w:rsidR="00CC584E">
        <w:t xml:space="preserve"> </w:t>
      </w:r>
      <w:r w:rsidRPr="0031218E">
        <w:t>(</w:t>
      </w:r>
      <w:r w:rsidRPr="0031218E">
        <w:rPr>
          <w:i/>
        </w:rPr>
        <w:t>QJK</w:t>
      </w:r>
      <w:r w:rsidRPr="0009527C">
        <w:t>×1</w:t>
      </w:r>
      <w:r w:rsidRPr="0031218E">
        <w:t xml:space="preserve"> vector), where </w:t>
      </w:r>
      <w:r w:rsidR="009E30C8" w:rsidRPr="0031218E">
        <w:rPr>
          <w:position w:val="-14"/>
        </w:rPr>
        <w:object w:dxaOrig="3180" w:dyaOrig="420">
          <v:shape id="_x0000_i1102" type="#_x0000_t75" style="width:159pt;height:21pt" o:ole="" o:preferrelative="f">
            <v:imagedata r:id="rId156" o:title=""/>
            <o:lock v:ext="edit" aspectratio="f"/>
          </v:shape>
          <o:OLEObject Type="Embed" ProgID="Equation.3" ShapeID="_x0000_i1102" DrawAspect="Content" ObjectID="_1555512491" r:id="rId157"/>
        </w:object>
      </w:r>
      <w:r w:rsidRPr="0031218E">
        <w:t>Define the following matrix:</w:t>
      </w:r>
    </w:p>
    <w:p w:rsidR="00084023" w:rsidRDefault="00CC584E" w:rsidP="00D72ECE">
      <w:pPr>
        <w:tabs>
          <w:tab w:val="right" w:pos="9360"/>
        </w:tabs>
        <w:ind w:firstLine="0"/>
        <w:contextualSpacing/>
      </w:pPr>
      <w:r w:rsidRPr="003B1CFA">
        <w:rPr>
          <w:position w:val="-68"/>
        </w:rPr>
        <w:object w:dxaOrig="4260" w:dyaOrig="1480">
          <v:shape id="_x0000_i1103" type="#_x0000_t75" style="width:213pt;height:73.5pt" o:ole="" o:preferrelative="f">
            <v:imagedata r:id="rId158" o:title=""/>
            <o:lock v:ext="edit" aspectratio="f"/>
          </v:shape>
          <o:OLEObject Type="Embed" ProgID="Equation.3" ShapeID="_x0000_i1103" DrawAspect="Content" ObjectID="_1555512492" r:id="rId159"/>
        </w:object>
      </w:r>
      <w:r w:rsidR="00084023">
        <w:t xml:space="preserve"> </w:t>
      </w:r>
      <w:r w:rsidR="009F1D3A">
        <w:tab/>
        <w:t>(4)</w:t>
      </w:r>
    </w:p>
    <w:p w:rsidR="00084023" w:rsidRDefault="00084023" w:rsidP="00D72ECE">
      <w:pPr>
        <w:tabs>
          <w:tab w:val="right" w:pos="9360"/>
        </w:tabs>
        <w:ind w:firstLine="0"/>
        <w:contextualSpacing/>
      </w:pPr>
      <w:r w:rsidRPr="00571D2A">
        <w:t>Collect all the weights</w:t>
      </w:r>
      <w:r>
        <w:t xml:space="preserve"> </w:t>
      </w:r>
      <w:r w:rsidR="009E30C8" w:rsidRPr="00C04895">
        <w:rPr>
          <w:position w:val="-14"/>
        </w:rPr>
        <w:object w:dxaOrig="400" w:dyaOrig="380">
          <v:shape id="_x0000_i1104" type="#_x0000_t75" style="width:20.25pt;height:18.75pt;mso-position-vertical:absolute" o:ole="" o:preferrelative="f">
            <v:imagedata r:id="rId160" o:title=""/>
            <o:lock v:ext="edit" aspectratio="f"/>
          </v:shape>
          <o:OLEObject Type="Embed" ProgID="Equation.DSMT4" ShapeID="_x0000_i1104" DrawAspect="Content" ObjectID="_1555512493" r:id="rId161"/>
        </w:object>
      </w:r>
      <w:r w:rsidRPr="00571D2A">
        <w:t xml:space="preserve"> into a </w:t>
      </w:r>
      <w:r w:rsidR="0079483F" w:rsidRPr="0040138C">
        <w:rPr>
          <w:position w:val="-10"/>
        </w:rPr>
        <w:object w:dxaOrig="620" w:dyaOrig="320">
          <v:shape id="_x0000_i1105" type="#_x0000_t75" style="width:31.5pt;height:16.5pt" o:ole="" o:preferrelative="f">
            <v:imagedata r:id="rId162" o:title=""/>
            <o:lock v:ext="edit" aspectratio="f"/>
          </v:shape>
          <o:OLEObject Type="Embed" ProgID="Equation.3" ShapeID="_x0000_i1105" DrawAspect="Content" ObjectID="_1555512494" r:id="rId163"/>
        </w:object>
      </w:r>
      <w:r>
        <w:t xml:space="preserve"> row-normalized </w:t>
      </w:r>
      <w:r w:rsidRPr="00571D2A">
        <w:t>spatial weight matrix</w:t>
      </w:r>
      <w:r w:rsidR="00CC584E">
        <w:t xml:space="preserve"> </w:t>
      </w:r>
      <w:r w:rsidR="00CC584E" w:rsidRPr="00CC584E">
        <w:rPr>
          <w:b/>
          <w:i/>
        </w:rPr>
        <w:t>W</w:t>
      </w:r>
      <w:r>
        <w:t xml:space="preserve">. Let </w:t>
      </w:r>
      <w:r w:rsidR="0079483F" w:rsidRPr="00871991">
        <w:rPr>
          <w:position w:val="-12"/>
        </w:rPr>
        <w:object w:dxaOrig="2200" w:dyaOrig="400">
          <v:shape id="_x0000_i1106" type="#_x0000_t75" style="width:110.25pt;height:20.25pt" o:ole="" o:preferrelative="f">
            <v:imagedata r:id="rId164" o:title=""/>
            <o:lock v:ext="edit" aspectratio="f"/>
          </v:shape>
          <o:OLEObject Type="Embed" ProgID="Equation.3" ShapeID="_x0000_i1106" DrawAspect="Content" ObjectID="_1555512495" r:id="rId165"/>
        </w:object>
      </w:r>
      <w:r w:rsidRPr="00571D2A">
        <w:t xml:space="preserve"> </w:t>
      </w:r>
      <w:r>
        <w:t>(</w:t>
      </w:r>
      <w:r w:rsidRPr="0040138C">
        <w:rPr>
          <w:position w:val="-10"/>
        </w:rPr>
        <w:object w:dxaOrig="1660" w:dyaOrig="320">
          <v:shape id="_x0000_i1107" type="#_x0000_t75" style="width:82.5pt;height:16.5pt" o:ole="">
            <v:imagedata r:id="rId166" o:title=""/>
          </v:shape>
          <o:OLEObject Type="Embed" ProgID="Equation.3" ShapeID="_x0000_i1107" DrawAspect="Content" ObjectID="_1555512496" r:id="rId167"/>
        </w:object>
      </w:r>
      <w:r>
        <w:t xml:space="preserve">, </w:t>
      </w:r>
      <w:r w:rsidRPr="00D7727B">
        <w:t xml:space="preserve">where the operation </w:t>
      </w:r>
      <w:r w:rsidR="0079483F" w:rsidRPr="00D7727B">
        <w:rPr>
          <w:b/>
          <w:position w:val="-6"/>
        </w:rPr>
        <w:object w:dxaOrig="1160" w:dyaOrig="279">
          <v:shape id="_x0000_i1108" type="#_x0000_t75" style="width:58.5pt;height:13.5pt" o:ole="" o:preferrelative="f">
            <v:imagedata r:id="rId168" o:title=""/>
            <o:lock v:ext="edit" aspectratio="f"/>
          </v:shape>
          <o:OLEObject Type="Embed" ProgID="Equation.3" ShapeID="_x0000_i1108" DrawAspect="Content" ObjectID="_1555512497" r:id="rId169"/>
        </w:object>
      </w:r>
      <w:r>
        <w:t xml:space="preserve"> </w:t>
      </w:r>
      <w:r w:rsidRPr="00D7727B">
        <w:t xml:space="preserve">is used to refer to the element by element product of a vector </w:t>
      </w:r>
      <w:r w:rsidRPr="0040138C">
        <w:rPr>
          <w:b/>
          <w:i/>
        </w:rPr>
        <w:t>M</w:t>
      </w:r>
      <w:r w:rsidRPr="00D7727B">
        <w:rPr>
          <w:b/>
        </w:rPr>
        <w:t xml:space="preserve"> </w:t>
      </w:r>
      <w:r w:rsidRPr="00D7727B">
        <w:t xml:space="preserve">and a matrix </w:t>
      </w:r>
      <w:r w:rsidRPr="0040138C">
        <w:rPr>
          <w:b/>
          <w:i/>
        </w:rPr>
        <w:t>N</w:t>
      </w:r>
      <w:r w:rsidRPr="00D7727B">
        <w:t xml:space="preserve">, </w:t>
      </w:r>
      <w:r w:rsidRPr="00D7727B">
        <w:rPr>
          <w:i/>
        </w:rPr>
        <w:t>i.e.</w:t>
      </w:r>
      <w:proofErr w:type="gramStart"/>
      <w:r w:rsidRPr="00307EF0">
        <w:t>,</w:t>
      </w:r>
      <w:r w:rsidRPr="00D7727B">
        <w:rPr>
          <w:i/>
        </w:rPr>
        <w:t xml:space="preserve"> </w:t>
      </w:r>
      <w:proofErr w:type="gramEnd"/>
      <w:r w:rsidR="0079483F" w:rsidRPr="00D7727B">
        <w:rPr>
          <w:position w:val="-14"/>
        </w:rPr>
        <w:object w:dxaOrig="1719" w:dyaOrig="380">
          <v:shape id="_x0000_i1109" type="#_x0000_t75" style="width:85.5pt;height:18.75pt" o:ole="" o:preferrelative="f">
            <v:imagedata r:id="rId170" o:title=""/>
            <o:lock v:ext="edit" aspectratio="f"/>
          </v:shape>
          <o:OLEObject Type="Embed" ProgID="Equation.3" ShapeID="_x0000_i1109" DrawAspect="Content" ObjectID="_1555512498" r:id="rId171"/>
        </w:object>
      </w:r>
      <w:r w:rsidRPr="00D7727B">
        <w:t xml:space="preserve">. </w:t>
      </w:r>
      <w:r>
        <w:t xml:space="preserve"> Define </w:t>
      </w:r>
      <w:r w:rsidR="0079483F" w:rsidRPr="00E67D45">
        <w:rPr>
          <w:position w:val="-14"/>
        </w:rPr>
        <w:object w:dxaOrig="3720" w:dyaOrig="460">
          <v:shape id="_x0000_i1110" type="#_x0000_t75" style="width:186pt;height:23.25pt" o:ole="" o:preferrelative="f">
            <v:imagedata r:id="rId172" o:title=""/>
            <o:lock v:ext="edit" aspectratio="f"/>
          </v:shape>
          <o:OLEObject Type="Embed" ProgID="Equation.3" ShapeID="_x0000_i1110" DrawAspect="Content" ObjectID="_1555512499" r:id="rId173"/>
        </w:object>
      </w:r>
      <w:r>
        <w:t>With all t</w:t>
      </w:r>
      <w:r w:rsidRPr="00571D2A">
        <w:t>hese definitions,</w:t>
      </w:r>
      <w:r>
        <w:t xml:space="preserve"> Equation (1) may be re-written </w:t>
      </w:r>
      <w:r w:rsidRPr="00571D2A">
        <w:t>i</w:t>
      </w:r>
      <w:r>
        <w:t>n a reduced and compact form as</w:t>
      </w:r>
      <w:r w:rsidRPr="00571D2A">
        <w:t>:</w:t>
      </w:r>
    </w:p>
    <w:p w:rsidR="004E380A" w:rsidRDefault="0079483F" w:rsidP="00D72ECE">
      <w:pPr>
        <w:tabs>
          <w:tab w:val="right" w:pos="9360"/>
        </w:tabs>
        <w:ind w:firstLine="0"/>
        <w:contextualSpacing/>
      </w:pPr>
      <w:r w:rsidRPr="002178C4">
        <w:rPr>
          <w:position w:val="-10"/>
        </w:rPr>
        <w:object w:dxaOrig="1740" w:dyaOrig="380">
          <v:shape id="_x0000_i1111" type="#_x0000_t75" style="width:87pt;height:18.75pt" o:ole="" o:preferrelative="f">
            <v:imagedata r:id="rId174" o:title=""/>
            <o:lock v:ext="edit" aspectratio="f"/>
          </v:shape>
          <o:OLEObject Type="Embed" ProgID="Equation.3" ShapeID="_x0000_i1111" DrawAspect="Content" ObjectID="_1555512500" r:id="rId175"/>
        </w:object>
      </w:r>
      <w:r w:rsidR="00084023">
        <w:t xml:space="preserve"> </w:t>
      </w:r>
      <w:r w:rsidR="009F1D3A">
        <w:tab/>
        <w:t>(5)</w:t>
      </w:r>
    </w:p>
    <w:p w:rsidR="003D2211" w:rsidRDefault="00ED20D4" w:rsidP="00D72ECE">
      <w:pPr>
        <w:ind w:firstLine="0"/>
      </w:pPr>
      <w:r>
        <w:t xml:space="preserve">In the above compact notation, the spatial spillover effects originate </w:t>
      </w:r>
      <w:r w:rsidR="003E7975">
        <w:t>from</w:t>
      </w:r>
      <w:r>
        <w:t xml:space="preserve"> the </w:t>
      </w:r>
      <w:r w:rsidR="0079483F" w:rsidRPr="0079483F">
        <w:rPr>
          <w:b/>
        </w:rPr>
        <w:t>C</w:t>
      </w:r>
      <w:r w:rsidR="0079483F">
        <w:t xml:space="preserve"> </w:t>
      </w:r>
      <w:r w:rsidR="003E7975">
        <w:t xml:space="preserve">matrix being applied to the first </w:t>
      </w:r>
      <w:r w:rsidR="0079483F" w:rsidRPr="0019608A">
        <w:rPr>
          <w:position w:val="-6"/>
        </w:rPr>
        <w:object w:dxaOrig="540" w:dyaOrig="279">
          <v:shape id="_x0000_i1112" type="#_x0000_t75" style="width:27pt;height:13.5pt" o:ole="" o:preferrelative="f">
            <v:imagedata r:id="rId176" o:title=""/>
            <o:lock v:ext="edit" aspectratio="f"/>
          </v:shape>
          <o:OLEObject Type="Embed" ProgID="Equation.3" ShapeID="_x0000_i1112" DrawAspect="Content" ObjectID="_1555512501" r:id="rId177"/>
        </w:object>
      </w:r>
      <w:r w:rsidR="003E7975">
        <w:t xml:space="preserve">term that includes the observed variable vector, </w:t>
      </w:r>
      <w:r w:rsidR="003D2211">
        <w:t xml:space="preserve">and </w:t>
      </w:r>
      <w:r w:rsidR="003E7975">
        <w:t xml:space="preserve">the spatial error correlation effects </w:t>
      </w:r>
      <w:r w:rsidR="003D2211">
        <w:t xml:space="preserve">and the spatial drift effects </w:t>
      </w:r>
      <w:r w:rsidR="003E7975">
        <w:t xml:space="preserve">originate from the </w:t>
      </w:r>
      <w:r w:rsidR="0079483F" w:rsidRPr="0079483F">
        <w:rPr>
          <w:b/>
        </w:rPr>
        <w:t>C</w:t>
      </w:r>
      <w:r w:rsidR="0079483F">
        <w:t xml:space="preserve"> </w:t>
      </w:r>
      <w:r w:rsidR="003E7975">
        <w:t xml:space="preserve">matrix being applied </w:t>
      </w:r>
      <w:r w:rsidR="003D2211">
        <w:t xml:space="preserve">to the second </w:t>
      </w:r>
      <w:r w:rsidR="0079483F" w:rsidRPr="00741102">
        <w:rPr>
          <w:position w:val="-10"/>
        </w:rPr>
        <w:object w:dxaOrig="360" w:dyaOrig="380">
          <v:shape id="_x0000_i1113" type="#_x0000_t75" style="width:18pt;height:18.75pt" o:ole="" o:preferrelative="f">
            <v:imagedata r:id="rId178" o:title=""/>
            <o:lock v:ext="edit" aspectratio="f"/>
          </v:shape>
          <o:OLEObject Type="Embed" ProgID="Equation.3" ShapeID="_x0000_i1113" DrawAspect="Content" ObjectID="_1555512502" r:id="rId179"/>
        </w:object>
      </w:r>
      <w:r w:rsidR="003D2211">
        <w:t xml:space="preserve"> term (note that the </w:t>
      </w:r>
      <w:r w:rsidR="0079483F" w:rsidRPr="008D374A">
        <w:rPr>
          <w:position w:val="-14"/>
        </w:rPr>
        <w:object w:dxaOrig="300" w:dyaOrig="400">
          <v:shape id="_x0000_i1114" type="#_x0000_t75" style="width:15pt;height:20.25pt" o:ole="" o:preferrelative="f">
            <v:imagedata r:id="rId180" o:title=""/>
            <o:lock v:ext="edit" aspectratio="f"/>
          </v:shape>
          <o:OLEObject Type="Embed" ProgID="Equation.3" ShapeID="_x0000_i1114" DrawAspect="Content" ObjectID="_1555512503" r:id="rId181"/>
        </w:object>
      </w:r>
      <w:r w:rsidR="003D2211">
        <w:t xml:space="preserve"> vector embedded in</w:t>
      </w:r>
      <w:r w:rsidR="0079483F" w:rsidRPr="00F545D5">
        <w:rPr>
          <w:position w:val="-6"/>
        </w:rPr>
        <w:object w:dxaOrig="220" w:dyaOrig="279">
          <v:shape id="_x0000_i1115" type="#_x0000_t75" style="width:10.5pt;height:13.5pt" o:ole="" o:preferrelative="f">
            <v:imagedata r:id="rId182" o:title=""/>
            <o:lock v:ext="edit" aspectratio="f"/>
          </v:shape>
          <o:OLEObject Type="Embed" ProgID="Equation.3" ShapeID="_x0000_i1115" DrawAspect="Content" ObjectID="_1555512504" r:id="rId183"/>
        </w:object>
      </w:r>
      <w:r w:rsidR="003D2211">
        <w:t xml:space="preserve"> includes a constant, giving rise to spatial correlation effects</w:t>
      </w:r>
      <w:r w:rsidR="000A4BCC">
        <w:t xml:space="preserve"> associated with the CH effect</w:t>
      </w:r>
      <w:r w:rsidR="003D2211">
        <w:t xml:space="preserve">; the non-constant variables in the </w:t>
      </w:r>
      <w:r w:rsidR="0079483F" w:rsidRPr="008D374A">
        <w:rPr>
          <w:position w:val="-14"/>
        </w:rPr>
        <w:object w:dxaOrig="300" w:dyaOrig="400">
          <v:shape id="_x0000_i1116" type="#_x0000_t75" style="width:15pt;height:20.25pt" o:ole="" o:preferrelative="f">
            <v:imagedata r:id="rId180" o:title=""/>
            <o:lock v:ext="edit" aspectratio="f"/>
          </v:shape>
          <o:OLEObject Type="Embed" ProgID="Equation.3" ShapeID="_x0000_i1116" DrawAspect="Content" ObjectID="_1555512505" r:id="rId184"/>
        </w:object>
      </w:r>
      <w:r w:rsidR="003D2211">
        <w:t xml:space="preserve"> vector embedded in</w:t>
      </w:r>
      <w:r w:rsidR="0079483F" w:rsidRPr="00741102">
        <w:rPr>
          <w:position w:val="-6"/>
        </w:rPr>
        <w:object w:dxaOrig="220" w:dyaOrig="279">
          <v:shape id="_x0000_i1117" type="#_x0000_t75" style="width:10.5pt;height:13.5pt" o:ole="" o:preferrelative="f">
            <v:imagedata r:id="rId182" o:title=""/>
            <o:lock v:ext="edit" aspectratio="f"/>
          </v:shape>
          <o:OLEObject Type="Embed" ProgID="Equation.3" ShapeID="_x0000_i1117" DrawAspect="Content" ObjectID="_1555512506" r:id="rId185"/>
        </w:object>
      </w:r>
      <w:r w:rsidR="003D2211">
        <w:t xml:space="preserve"> then lead to the spatial drift effects</w:t>
      </w:r>
      <w:r w:rsidR="000A4BCC">
        <w:t xml:space="preserve"> associated with the SH effect</w:t>
      </w:r>
      <w:r w:rsidR="003D2211">
        <w:t>).</w:t>
      </w:r>
      <w:r w:rsidR="00494C00">
        <w:rPr>
          <w:rStyle w:val="FootnoteReference"/>
        </w:rPr>
        <w:footnoteReference w:id="7"/>
      </w:r>
      <w:r w:rsidR="003D2211" w:rsidRPr="003D2211">
        <w:t xml:space="preserve"> </w:t>
      </w:r>
    </w:p>
    <w:p w:rsidR="00084023" w:rsidRPr="00CB2244" w:rsidRDefault="00084023" w:rsidP="00D72ECE">
      <w:pPr>
        <w:tabs>
          <w:tab w:val="right" w:pos="9360"/>
        </w:tabs>
      </w:pPr>
      <w:r w:rsidRPr="00D7727B">
        <w:t xml:space="preserve">The </w:t>
      </w:r>
      <w:r w:rsidRPr="00DF6677">
        <w:t xml:space="preserve">expected value and variance of </w:t>
      </w:r>
      <w:r w:rsidR="00DF6677" w:rsidRPr="00DF6677">
        <w:rPr>
          <w:position w:val="-10"/>
        </w:rPr>
        <w:object w:dxaOrig="300" w:dyaOrig="360">
          <v:shape id="_x0000_i1118" type="#_x0000_t75" style="width:14.25pt;height:18pt" o:ole="" o:preferrelative="f">
            <v:imagedata r:id="rId186" o:title=""/>
            <o:lock v:ext="edit" aspectratio="f"/>
          </v:shape>
          <o:OLEObject Type="Embed" ProgID="Equation.3" ShapeID="_x0000_i1118" DrawAspect="Content" ObjectID="_1555512507" r:id="rId187"/>
        </w:object>
      </w:r>
      <w:r w:rsidRPr="00DF6677">
        <w:t xml:space="preserve"> may be obtained from the above equation </w:t>
      </w:r>
      <w:proofErr w:type="gramStart"/>
      <w:r w:rsidRPr="00DF6677">
        <w:t xml:space="preserve">as </w:t>
      </w:r>
      <w:proofErr w:type="gramEnd"/>
      <w:r w:rsidR="00DF6677" w:rsidRPr="00DF6677">
        <w:rPr>
          <w:position w:val="-14"/>
        </w:rPr>
        <w:object w:dxaOrig="1960" w:dyaOrig="400">
          <v:shape id="_x0000_i1119" type="#_x0000_t75" style="width:98.25pt;height:20.25pt" o:ole="" o:preferrelative="f">
            <v:imagedata r:id="rId188" o:title=""/>
            <o:lock v:ext="edit" aspectratio="f"/>
          </v:shape>
          <o:OLEObject Type="Embed" ProgID="Equation.3" ShapeID="_x0000_i1119" DrawAspect="Content" ObjectID="_1555512508" r:id="rId189"/>
        </w:object>
      </w:r>
      <w:r w:rsidRPr="00DF6677">
        <w:t xml:space="preserve">, where </w:t>
      </w:r>
      <w:r w:rsidR="00DF6677" w:rsidRPr="00DF6677">
        <w:rPr>
          <w:position w:val="-6"/>
        </w:rPr>
        <w:object w:dxaOrig="920" w:dyaOrig="279">
          <v:shape id="_x0000_i1120" type="#_x0000_t75" style="width:45.75pt;height:13.5pt" o:ole="" o:preferrelative="f">
            <v:imagedata r:id="rId190" o:title=""/>
            <o:lock v:ext="edit" aspectratio="f"/>
          </v:shape>
          <o:OLEObject Type="Embed" ProgID="Equation.3" ShapeID="_x0000_i1120" DrawAspect="Content" ObjectID="_1555512509" r:id="rId191"/>
        </w:object>
      </w:r>
      <w:r w:rsidRPr="00DF6677">
        <w:t xml:space="preserve"> and </w:t>
      </w:r>
      <w:r w:rsidR="00DF6677" w:rsidRPr="00DF6677">
        <w:rPr>
          <w:position w:val="-14"/>
        </w:rPr>
        <w:object w:dxaOrig="2700" w:dyaOrig="420">
          <v:shape id="_x0000_i1121" type="#_x0000_t75" style="width:134.25pt;height:20.25pt" o:ole="" o:preferrelative="f">
            <v:imagedata r:id="rId192" o:title=""/>
            <o:lock v:ext="edit" aspectratio="f"/>
          </v:shape>
          <o:OLEObject Type="Embed" ProgID="Equation.3" ShapeID="_x0000_i1121" DrawAspect="Content" ObjectID="_1555512510" r:id="rId193"/>
        </w:object>
      </w:r>
      <w:r w:rsidRPr="00DF6677">
        <w:t xml:space="preserve">. </w:t>
      </w:r>
      <w:r w:rsidRPr="00DF6677">
        <w:tab/>
        <w:t xml:space="preserve">The parameter vector to be estimated in the model is </w:t>
      </w:r>
      <w:r w:rsidR="00DF6677" w:rsidRPr="00DF6677">
        <w:rPr>
          <w:position w:val="-10"/>
        </w:rPr>
        <w:object w:dxaOrig="2420" w:dyaOrig="360">
          <v:shape id="_x0000_i1122" type="#_x0000_t75" style="width:120.75pt;height:18pt" o:ole="" o:preferrelative="f">
            <v:imagedata r:id="rId194" o:title=""/>
            <o:lock v:ext="edit" aspectratio="f"/>
          </v:shape>
          <o:OLEObject Type="Embed" ProgID="Equation.3" ShapeID="_x0000_i1122" DrawAspect="Content" ObjectID="_1555512511" r:id="rId195"/>
        </w:object>
      </w:r>
      <w:r w:rsidRPr="00DF6677">
        <w:t xml:space="preserve">where </w:t>
      </w:r>
      <w:r w:rsidR="00DF6677" w:rsidRPr="00DF6677">
        <w:rPr>
          <w:position w:val="-12"/>
        </w:rPr>
        <w:object w:dxaOrig="1820" w:dyaOrig="360">
          <v:shape id="_x0000_i1123" type="#_x0000_t75" style="width:90.75pt;height:18pt" o:ole="" o:preferrelative="f">
            <v:imagedata r:id="rId196" o:title=""/>
            <o:lock v:ext="edit" aspectratio="f"/>
          </v:shape>
          <o:OLEObject Type="Embed" ProgID="Equation.3" ShapeID="_x0000_i1123" DrawAspect="Content" ObjectID="_1555512512" r:id="rId197"/>
        </w:object>
      </w:r>
      <w:r w:rsidRPr="00DF6677">
        <w:t xml:space="preserve"> </w:t>
      </w:r>
      <w:r w:rsidR="00DF6677" w:rsidRPr="00DF6677">
        <w:rPr>
          <w:position w:val="-6"/>
        </w:rPr>
        <w:object w:dxaOrig="220" w:dyaOrig="220">
          <v:shape id="_x0000_i1124" type="#_x0000_t75" style="width:10.5pt;height:10.5pt" o:ole="" o:preferrelative="f">
            <v:imagedata r:id="rId198" o:title=""/>
            <o:lock v:ext="edit" aspectratio="f"/>
          </v:shape>
          <o:OLEObject Type="Embed" ProgID="Equation.3" ShapeID="_x0000_i1124" DrawAspect="Content" ObjectID="_1555512513" r:id="rId199"/>
        </w:object>
      </w:r>
      <w:r w:rsidRPr="00DF6677">
        <w:t xml:space="preserve"> is a column </w:t>
      </w:r>
      <w:r w:rsidRPr="00DF6677">
        <w:lastRenderedPageBreak/>
        <w:t xml:space="preserve">vector obtained by vertically stacking the </w:t>
      </w:r>
      <w:r w:rsidR="00DF6677" w:rsidRPr="00DF6677">
        <w:rPr>
          <w:position w:val="-16"/>
        </w:rPr>
        <w:object w:dxaOrig="3460" w:dyaOrig="400">
          <v:shape id="_x0000_i1125" type="#_x0000_t75" style="width:173.25pt;height:20.25pt" o:ole="" o:preferrelative="f">
            <v:imagedata r:id="rId200" o:title=""/>
            <o:lock v:ext="edit" aspectratio="f"/>
          </v:shape>
          <o:OLEObject Type="Embed" ProgID="Equation.3" ShapeID="_x0000_i1125" DrawAspect="Content" ObjectID="_1555512514" r:id="rId201"/>
        </w:object>
      </w:r>
      <w:r w:rsidRPr="00DF6677">
        <w:t xml:space="preserve"> parameters across all</w:t>
      </w:r>
      <w:r>
        <w:t xml:space="preserve"> </w:t>
      </w:r>
      <w:r w:rsidR="00373DF4">
        <w:t>injury levels</w:t>
      </w:r>
      <w:proofErr w:type="gramStart"/>
      <w:r>
        <w:t>,</w:t>
      </w:r>
      <w:r w:rsidRPr="00CB2244">
        <w:rPr>
          <w:i/>
        </w:rPr>
        <w:t xml:space="preserve"> </w:t>
      </w:r>
      <w:r w:rsidR="009C66A0" w:rsidRPr="00192D36">
        <w:rPr>
          <w:position w:val="-12"/>
        </w:rPr>
        <w:object w:dxaOrig="4420" w:dyaOrig="380">
          <v:shape id="_x0000_i1126" type="#_x0000_t75" style="width:221.25pt;height:18.75pt" o:ole="" o:preferrelative="f">
            <v:imagedata r:id="rId202" o:title=""/>
            <o:lock v:ext="edit" aspectratio="f"/>
          </v:shape>
          <o:OLEObject Type="Embed" ProgID="Equation.3" ShapeID="_x0000_i1126" DrawAspect="Content" ObjectID="_1555512515" r:id="rId203"/>
        </w:object>
      </w:r>
      <w:r w:rsidRPr="00CB2244">
        <w:t xml:space="preserve"> </w:t>
      </w:r>
      <w:r>
        <w:t xml:space="preserve">. </w:t>
      </w:r>
      <w:r w:rsidRPr="00CB2244">
        <w:t>The likelihood function for the model is:</w:t>
      </w:r>
    </w:p>
    <w:p w:rsidR="00084023" w:rsidRPr="00CB2244" w:rsidRDefault="0009527C" w:rsidP="00D72ECE">
      <w:pPr>
        <w:tabs>
          <w:tab w:val="left" w:pos="1440"/>
          <w:tab w:val="right" w:pos="9360"/>
        </w:tabs>
        <w:spacing w:before="120"/>
        <w:ind w:firstLine="0"/>
      </w:pPr>
      <w:r w:rsidRPr="00CB2244">
        <w:rPr>
          <w:position w:val="-42"/>
        </w:rPr>
        <w:object w:dxaOrig="3860" w:dyaOrig="700">
          <v:shape id="_x0000_i1127" type="#_x0000_t75" style="width:192.75pt;height:35.25pt" o:ole="" o:preferrelative="f">
            <v:imagedata r:id="rId204" o:title=""/>
            <o:lock v:ext="edit" aspectratio="f"/>
          </v:shape>
          <o:OLEObject Type="Embed" ProgID="Equation.3" ShapeID="_x0000_i1127" DrawAspect="Content" ObjectID="_1555512516" r:id="rId205"/>
        </w:object>
      </w:r>
      <w:r w:rsidR="00084023" w:rsidRPr="00CB2244">
        <w:t xml:space="preserve"> </w:t>
      </w:r>
      <w:r w:rsidR="00084023" w:rsidRPr="00CB2244">
        <w:tab/>
        <w:t>(</w:t>
      </w:r>
      <w:r w:rsidR="009F1D3A">
        <w:t>6</w:t>
      </w:r>
      <w:r w:rsidR="00084023" w:rsidRPr="00CB2244">
        <w:t>)</w:t>
      </w:r>
    </w:p>
    <w:p w:rsidR="00084023" w:rsidRPr="00CB2244" w:rsidRDefault="004E380A" w:rsidP="00D72ECE">
      <w:pPr>
        <w:ind w:firstLine="0"/>
        <w:contextualSpacing/>
      </w:pPr>
      <w:proofErr w:type="gramStart"/>
      <w:r>
        <w:t>w</w:t>
      </w:r>
      <w:r w:rsidR="00084023" w:rsidRPr="00CB2244">
        <w:t>here</w:t>
      </w:r>
      <w:proofErr w:type="gramEnd"/>
      <w:r w:rsidR="00084023">
        <w:t xml:space="preserve"> </w:t>
      </w:r>
      <w:r w:rsidR="009C66A0" w:rsidRPr="00CB2244">
        <w:rPr>
          <w:position w:val="-18"/>
        </w:rPr>
        <w:object w:dxaOrig="6160" w:dyaOrig="440">
          <v:shape id="_x0000_i1128" type="#_x0000_t75" style="width:308.25pt;height:22.5pt" o:ole="" o:preferrelative="f">
            <v:imagedata r:id="rId206" o:title=""/>
            <o:lock v:ext="edit" aspectratio="f"/>
          </v:shape>
          <o:OLEObject Type="Embed" ProgID="Equation.3" ShapeID="_x0000_i1128" DrawAspect="Content" ObjectID="_1555512517" r:id="rId207"/>
        </w:object>
      </w:r>
      <w:r w:rsidR="00084023" w:rsidRPr="00CB2244">
        <w:t xml:space="preserve"> and </w:t>
      </w:r>
      <w:r w:rsidR="009C66A0" w:rsidRPr="00CB2244">
        <w:rPr>
          <w:position w:val="-14"/>
        </w:rPr>
        <w:object w:dxaOrig="600" w:dyaOrig="380">
          <v:shape id="_x0000_i1129" type="#_x0000_t75" style="width:30pt;height:18.75pt" o:ole="" o:preferrelative="f">
            <v:imagedata r:id="rId208" o:title=""/>
            <o:lock v:ext="edit" aspectratio="f"/>
          </v:shape>
          <o:OLEObject Type="Embed" ProgID="Equation.3" ShapeID="_x0000_i1129" DrawAspect="Content" ObjectID="_1555512518" r:id="rId209"/>
        </w:object>
      </w:r>
      <w:r w:rsidR="00084023" w:rsidRPr="00CB2244">
        <w:t xml:space="preserve"> is the multivariate normal density function of dimension </w:t>
      </w:r>
      <w:r w:rsidR="00084023">
        <w:rPr>
          <w:i/>
        </w:rPr>
        <w:t>QJ</w:t>
      </w:r>
      <w:r w:rsidR="00084023" w:rsidRPr="00CB2244">
        <w:t xml:space="preserve">. The integration domain </w:t>
      </w:r>
      <w:r w:rsidR="009C66A0" w:rsidRPr="00CB2244">
        <w:rPr>
          <w:position w:val="-18"/>
        </w:rPr>
        <w:object w:dxaOrig="400" w:dyaOrig="420">
          <v:shape id="_x0000_i1130" type="#_x0000_t75" style="width:20.25pt;height:20.25pt" o:ole="" o:preferrelative="f">
            <v:imagedata r:id="rId210" o:title=""/>
            <o:lock v:ext="edit" aspectratio="f"/>
          </v:shape>
          <o:OLEObject Type="Embed" ProgID="Equation.3" ShapeID="_x0000_i1130" DrawAspect="Content" ObjectID="_1555512519" r:id="rId211"/>
        </w:object>
      </w:r>
      <w:r w:rsidR="00084023" w:rsidRPr="00CB2244">
        <w:t xml:space="preserve"> is simply the multivariate region of the elements of the </w:t>
      </w:r>
      <w:r w:rsidR="000966FA" w:rsidRPr="00CB2244">
        <w:rPr>
          <w:position w:val="-10"/>
        </w:rPr>
        <w:object w:dxaOrig="279" w:dyaOrig="360">
          <v:shape id="_x0000_i1131" type="#_x0000_t75" style="width:13.5pt;height:18pt" o:ole="" o:preferrelative="f">
            <v:imagedata r:id="rId212" o:title=""/>
            <o:lock v:ext="edit" aspectratio="f"/>
          </v:shape>
          <o:OLEObject Type="Embed" ProgID="Equation.3" ShapeID="_x0000_i1131" DrawAspect="Content" ObjectID="_1555512520" r:id="rId213"/>
        </w:object>
      </w:r>
      <w:r w:rsidR="00084023" w:rsidRPr="00CB2244">
        <w:t xml:space="preserve"> vector determined by the observed vector of count outcomes. The dimensionality of the rectangular integral in the likelihood function is </w:t>
      </w:r>
      <w:r w:rsidR="00084023">
        <w:rPr>
          <w:i/>
        </w:rPr>
        <w:t>QJ</w:t>
      </w:r>
      <w:r w:rsidR="00084023" w:rsidRPr="00CB2244">
        <w:t xml:space="preserve">.  Existing estimation methods including the Maximum Simulated Likelihood (MSL) method and the Bayesian Inference method become cumbersome and encounter convergence problems even for moderately sized </w:t>
      </w:r>
      <w:r w:rsidR="00084023" w:rsidRPr="00CB2244">
        <w:rPr>
          <w:i/>
        </w:rPr>
        <w:t xml:space="preserve">Q </w:t>
      </w:r>
      <w:r w:rsidR="00084023" w:rsidRPr="00F077EC">
        <w:t>and</w:t>
      </w:r>
      <w:r w:rsidR="00084023">
        <w:rPr>
          <w:i/>
        </w:rPr>
        <w:t xml:space="preserve"> J </w:t>
      </w:r>
      <w:r w:rsidR="00084023" w:rsidRPr="005C438D">
        <w:t>(</w:t>
      </w:r>
      <w:r w:rsidR="00084023" w:rsidRPr="00CB2244">
        <w:t xml:space="preserve">Bhat </w:t>
      </w:r>
      <w:r w:rsidR="00084023" w:rsidRPr="009729C8">
        <w:t>et al.,</w:t>
      </w:r>
      <w:r w:rsidR="00084023" w:rsidRPr="00B86406">
        <w:t xml:space="preserve"> </w:t>
      </w:r>
      <w:r w:rsidR="00084023" w:rsidRPr="00CB2244">
        <w:t xml:space="preserve">2010). The alternative is to use the composite marginal likelihood (CML) approach. In the current study, we use the pairwise composite marginal likelihood method based on the product of the likelihood contributions from pairs of </w:t>
      </w:r>
      <w:r w:rsidR="00084023">
        <w:t>counties</w:t>
      </w:r>
      <w:r w:rsidR="00084023" w:rsidRPr="00CB2244">
        <w:t xml:space="preserve"> across all sectors. To write this function, define threshold vectors as follows:</w:t>
      </w:r>
    </w:p>
    <w:p w:rsidR="00084023" w:rsidRPr="00CB2244" w:rsidRDefault="000966FA" w:rsidP="00D72ECE">
      <w:pPr>
        <w:ind w:firstLine="0"/>
        <w:contextualSpacing/>
      </w:pPr>
      <w:r w:rsidRPr="00CB2244">
        <w:rPr>
          <w:position w:val="-16"/>
        </w:rPr>
        <w:object w:dxaOrig="3340" w:dyaOrig="499">
          <v:shape id="_x0000_i1132" type="#_x0000_t75" style="width:166.5pt;height:25.5pt" o:ole="" o:preferrelative="f">
            <v:imagedata r:id="rId214" o:title=""/>
            <o:lock v:ext="edit" aspectratio="f"/>
          </v:shape>
          <o:OLEObject Type="Embed" ProgID="Equation.3" ShapeID="_x0000_i1132" DrawAspect="Content" ObjectID="_1555512521" r:id="rId215"/>
        </w:object>
      </w:r>
      <w:r w:rsidR="00084023" w:rsidRPr="00CB2244">
        <w:t xml:space="preserve"> </w:t>
      </w:r>
      <w:proofErr w:type="gramStart"/>
      <w:r w:rsidR="00084023" w:rsidRPr="00CB2244">
        <w:t>and</w:t>
      </w:r>
      <w:proofErr w:type="gramEnd"/>
      <w:r w:rsidR="00084023" w:rsidRPr="00CB2244">
        <w:t xml:space="preserve"> </w:t>
      </w:r>
      <w:r w:rsidRPr="00CB2244">
        <w:rPr>
          <w:position w:val="-16"/>
        </w:rPr>
        <w:object w:dxaOrig="2940" w:dyaOrig="499">
          <v:shape id="_x0000_i1133" type="#_x0000_t75" style="width:147pt;height:25.5pt" o:ole="" o:preferrelative="f">
            <v:imagedata r:id="rId216" o:title=""/>
            <o:lock v:ext="edit" aspectratio="f"/>
          </v:shape>
          <o:OLEObject Type="Embed" ProgID="Equation.3" ShapeID="_x0000_i1133" DrawAspect="Content" ObjectID="_1555512522" r:id="rId217"/>
        </w:object>
      </w:r>
      <w:r w:rsidR="00084023" w:rsidRPr="00CB2244">
        <w:t xml:space="preserve"> (</w:t>
      </w:r>
      <w:r w:rsidR="00084023">
        <w:rPr>
          <w:i/>
        </w:rPr>
        <w:t>J</w:t>
      </w:r>
      <w:r w:rsidR="00084023" w:rsidRPr="00CB2244">
        <w:rPr>
          <w:i/>
        </w:rPr>
        <w:t>×</w:t>
      </w:r>
      <w:r w:rsidR="00084023" w:rsidRPr="00CB2244">
        <w:t>1 vectors)</w:t>
      </w:r>
      <w:r w:rsidR="009F1D3A">
        <w:tab/>
        <w:t xml:space="preserve">      (7)</w:t>
      </w:r>
    </w:p>
    <w:p w:rsidR="00084023" w:rsidRPr="00CB2244" w:rsidRDefault="000966FA" w:rsidP="00D72ECE">
      <w:pPr>
        <w:ind w:firstLine="0"/>
        <w:contextualSpacing/>
      </w:pPr>
      <w:r w:rsidRPr="00CB2244">
        <w:rPr>
          <w:position w:val="-14"/>
        </w:rPr>
        <w:object w:dxaOrig="1780" w:dyaOrig="480">
          <v:shape id="_x0000_i1134" type="#_x0000_t75" style="width:88.5pt;height:24.75pt" o:ole="" o:preferrelative="f">
            <v:imagedata r:id="rId218" o:title=""/>
            <o:lock v:ext="edit" aspectratio="f"/>
          </v:shape>
          <o:OLEObject Type="Embed" ProgID="Equation.3" ShapeID="_x0000_i1134" DrawAspect="Content" ObjectID="_1555512523" r:id="rId219"/>
        </w:object>
      </w:r>
      <w:proofErr w:type="gramStart"/>
      <w:r w:rsidR="00084023" w:rsidRPr="00CB2244">
        <w:t>and</w:t>
      </w:r>
      <w:proofErr w:type="gramEnd"/>
      <w:r w:rsidR="00084023" w:rsidRPr="00CB2244">
        <w:t xml:space="preserve"> </w:t>
      </w:r>
      <w:r w:rsidRPr="00CB2244">
        <w:rPr>
          <w:position w:val="-14"/>
        </w:rPr>
        <w:object w:dxaOrig="1760" w:dyaOrig="480">
          <v:shape id="_x0000_i1135" type="#_x0000_t75" style="width:87.75pt;height:24.75pt" o:ole="" o:preferrelative="f">
            <v:imagedata r:id="rId220" o:title=""/>
            <o:lock v:ext="edit" aspectratio="f"/>
          </v:shape>
          <o:OLEObject Type="Embed" ProgID="Equation.3" ShapeID="_x0000_i1135" DrawAspect="Content" ObjectID="_1555512524" r:id="rId221"/>
        </w:object>
      </w:r>
      <w:r w:rsidR="00084023" w:rsidRPr="00CB2244">
        <w:t>(</w:t>
      </w:r>
      <w:r w:rsidR="00084023">
        <w:rPr>
          <w:i/>
        </w:rPr>
        <w:t>QJ</w:t>
      </w:r>
      <w:r w:rsidR="00084023" w:rsidRPr="00CB2244">
        <w:rPr>
          <w:i/>
        </w:rPr>
        <w:t>×</w:t>
      </w:r>
      <w:r w:rsidR="00084023" w:rsidRPr="00CB2244">
        <w:t>1 vectors)</w:t>
      </w:r>
    </w:p>
    <w:p w:rsidR="00084023" w:rsidRPr="00CB2244" w:rsidRDefault="00084023" w:rsidP="00D72ECE">
      <w:pPr>
        <w:ind w:firstLine="0"/>
        <w:contextualSpacing/>
      </w:pPr>
      <w:r w:rsidRPr="00CB2244">
        <w:t xml:space="preserve">Let </w:t>
      </w:r>
      <w:r w:rsidRPr="00CB2244">
        <w:rPr>
          <w:i/>
        </w:rPr>
        <w:t>g</w:t>
      </w:r>
      <w:r w:rsidRPr="00CB2244">
        <w:t xml:space="preserve"> be an index that can takes the values from 1 to </w:t>
      </w:r>
      <w:r>
        <w:rPr>
          <w:i/>
        </w:rPr>
        <w:t>QJ</w:t>
      </w:r>
      <w:r w:rsidRPr="00CB2244">
        <w:t>. Then,</w:t>
      </w:r>
    </w:p>
    <w:p w:rsidR="00084023" w:rsidRPr="00CB2244" w:rsidRDefault="000966FA" w:rsidP="00D72ECE">
      <w:pPr>
        <w:tabs>
          <w:tab w:val="right" w:pos="9360"/>
        </w:tabs>
        <w:ind w:firstLine="0"/>
        <w:contextualSpacing/>
      </w:pPr>
      <w:r w:rsidRPr="00F3106D">
        <w:rPr>
          <w:position w:val="-82"/>
        </w:rPr>
        <w:object w:dxaOrig="5720" w:dyaOrig="1760">
          <v:shape id="_x0000_i1136" type="#_x0000_t75" style="width:285.75pt;height:88.5pt" o:ole="" o:preferrelative="f">
            <v:imagedata r:id="rId222" o:title=""/>
            <o:lock v:ext="edit" aspectratio="f"/>
          </v:shape>
          <o:OLEObject Type="Embed" ProgID="Equation.3" ShapeID="_x0000_i1136" DrawAspect="Content" ObjectID="_1555512525" r:id="rId223"/>
        </w:object>
      </w:r>
      <w:r w:rsidR="00084023" w:rsidRPr="00CB2244">
        <w:t xml:space="preserve"> </w:t>
      </w:r>
      <w:r w:rsidR="009F1D3A">
        <w:tab/>
      </w:r>
      <w:r w:rsidR="00084023" w:rsidRPr="00CB2244">
        <w:t>(</w:t>
      </w:r>
      <w:r w:rsidR="009F1D3A">
        <w:t>8</w:t>
      </w:r>
      <w:r w:rsidR="00084023" w:rsidRPr="00CB2244">
        <w:t>)</w:t>
      </w:r>
    </w:p>
    <w:p w:rsidR="00084023" w:rsidRDefault="00084023" w:rsidP="00D72ECE">
      <w:pPr>
        <w:tabs>
          <w:tab w:val="left" w:pos="6880"/>
        </w:tabs>
        <w:ind w:firstLine="0"/>
        <w:contextualSpacing/>
      </w:pPr>
      <w:r w:rsidRPr="00CB2244">
        <w:t xml:space="preserve">where </w:t>
      </w:r>
      <w:r w:rsidRPr="00537092">
        <w:rPr>
          <w:noProof/>
          <w:position w:val="-36"/>
        </w:rPr>
        <w:drawing>
          <wp:inline distT="0" distB="0" distL="0" distR="0" wp14:anchorId="522948A5" wp14:editId="14D4C78C">
            <wp:extent cx="3630168" cy="521208"/>
            <wp:effectExtent l="0" t="0" r="0" b="0"/>
            <wp:docPr id="147"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preferRelativeResize="0">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3630168" cy="521208"/>
                    </a:xfrm>
                    <a:prstGeom prst="rect">
                      <a:avLst/>
                    </a:prstGeom>
                    <a:noFill/>
                    <a:ln>
                      <a:noFill/>
                    </a:ln>
                  </pic:spPr>
                </pic:pic>
              </a:graphicData>
            </a:graphic>
          </wp:inline>
        </w:drawing>
      </w:r>
      <w:r>
        <w:rPr>
          <w:position w:val="-36"/>
        </w:rPr>
        <w:tab/>
      </w:r>
    </w:p>
    <w:p w:rsidR="00084023" w:rsidRPr="00CB2244" w:rsidRDefault="00084023" w:rsidP="00D72ECE">
      <w:pPr>
        <w:contextualSpacing/>
      </w:pPr>
      <w:r w:rsidRPr="00CB2244">
        <w:t xml:space="preserve">In the above expression, </w:t>
      </w:r>
      <w:r w:rsidR="009C66A0" w:rsidRPr="00CB2244">
        <w:rPr>
          <w:position w:val="-14"/>
        </w:rPr>
        <w:object w:dxaOrig="440" w:dyaOrig="380">
          <v:shape id="_x0000_i1137" type="#_x0000_t75" style="width:22.5pt;height:18.75pt" o:ole="" o:preferrelative="f">
            <v:imagedata r:id="rId225" o:title=""/>
            <o:lock v:ext="edit" aspectratio="f"/>
          </v:shape>
          <o:OLEObject Type="Embed" ProgID="Equation.3" ShapeID="_x0000_i1137" DrawAspect="Content" ObjectID="_1555512526" r:id="rId226"/>
        </w:object>
      </w:r>
      <w:r w:rsidRPr="00CB2244">
        <w:t xml:space="preserve"> represents the</w:t>
      </w:r>
      <w:r w:rsidR="009C66A0">
        <w:t xml:space="preserve"> </w:t>
      </w:r>
      <w:proofErr w:type="spellStart"/>
      <w:r w:rsidR="009C66A0" w:rsidRPr="009C66A0">
        <w:rPr>
          <w:i/>
        </w:rPr>
        <w:t>g</w:t>
      </w:r>
      <w:r w:rsidR="009C66A0" w:rsidRPr="009C66A0">
        <w:rPr>
          <w:vertAlign w:val="superscript"/>
        </w:rPr>
        <w:t>th</w:t>
      </w:r>
      <w:proofErr w:type="spellEnd"/>
      <w:r w:rsidRPr="00CB2244">
        <w:t xml:space="preserve"> element of the column vector </w:t>
      </w:r>
      <w:r w:rsidR="009C66A0" w:rsidRPr="00CB2244">
        <w:rPr>
          <w:position w:val="-8"/>
        </w:rPr>
        <w:object w:dxaOrig="279" w:dyaOrig="300">
          <v:shape id="_x0000_i1138" type="#_x0000_t75" style="width:13.5pt;height:15pt" o:ole="" o:preferrelative="f">
            <v:imagedata r:id="rId227" o:title=""/>
            <o:lock v:ext="edit" aspectratio="f"/>
          </v:shape>
          <o:OLEObject Type="Embed" ProgID="Equation.3" ShapeID="_x0000_i1138" DrawAspect="Content" ObjectID="_1555512527" r:id="rId228"/>
        </w:object>
      </w:r>
      <w:r w:rsidRPr="00CB2244">
        <w:t xml:space="preserve"> and similarly for other vectors. </w:t>
      </w:r>
      <w:r w:rsidRPr="00CB2244">
        <w:rPr>
          <w:position w:val="-14"/>
        </w:rPr>
        <w:object w:dxaOrig="580" w:dyaOrig="380">
          <v:shape id="_x0000_i1139" type="#_x0000_t75" style="width:28.5pt;height:16.5pt" o:ole="">
            <v:imagedata r:id="rId229" o:title=""/>
          </v:shape>
          <o:OLEObject Type="Embed" ProgID="Equation.3" ShapeID="_x0000_i1139" DrawAspect="Content" ObjectID="_1555512528" r:id="rId230"/>
        </w:object>
      </w:r>
      <w:r w:rsidRPr="00CB2244">
        <w:t xml:space="preserve"> </w:t>
      </w:r>
      <w:proofErr w:type="gramStart"/>
      <w:r w:rsidR="0071590E">
        <w:t>r</w:t>
      </w:r>
      <w:r w:rsidRPr="00CB2244">
        <w:t>epresents</w:t>
      </w:r>
      <w:proofErr w:type="gramEnd"/>
      <w:r w:rsidRPr="00CB2244">
        <w:t xml:space="preserve"> the </w:t>
      </w:r>
      <w:r w:rsidR="000966FA" w:rsidRPr="00CB2244">
        <w:rPr>
          <w:position w:val="-10"/>
        </w:rPr>
        <w:object w:dxaOrig="540" w:dyaOrig="360">
          <v:shape id="_x0000_i1140" type="#_x0000_t75" style="width:27pt;height:18pt" o:ole="" o:preferrelative="f">
            <v:imagedata r:id="rId231" o:title=""/>
            <o:lock v:ext="edit" aspectratio="f"/>
          </v:shape>
          <o:OLEObject Type="Embed" ProgID="Equation.3" ShapeID="_x0000_i1140" DrawAspect="Content" ObjectID="_1555512529" r:id="rId232"/>
        </w:object>
      </w:r>
      <w:r w:rsidRPr="00CB2244">
        <w:t xml:space="preserve"> element of the matrix</w:t>
      </w:r>
      <w:r w:rsidR="00307EF0">
        <w:t xml:space="preserve"> </w:t>
      </w:r>
      <w:r w:rsidR="00307EF0" w:rsidRPr="00307EF0">
        <w:rPr>
          <w:b/>
        </w:rPr>
        <w:t>Ψ</w:t>
      </w:r>
      <w:r w:rsidRPr="00CB2244">
        <w:t>. The CML estimator is obtained by maximizing the logarithm of the function in Equation (</w:t>
      </w:r>
      <w:r w:rsidR="00D8390D">
        <w:t>8</w:t>
      </w:r>
      <w:r w:rsidRPr="00CB2244">
        <w:t xml:space="preserve">). Under usual regularity </w:t>
      </w:r>
      <w:r w:rsidRPr="00CB2244">
        <w:lastRenderedPageBreak/>
        <w:t>assumptions, the CML estimator of</w:t>
      </w:r>
      <w:r>
        <w:t xml:space="preserve"> </w:t>
      </w:r>
      <w:r w:rsidRPr="00B86406">
        <w:rPr>
          <w:b/>
          <w:i/>
        </w:rPr>
        <w:t>θ</w:t>
      </w:r>
      <w:r>
        <w:t xml:space="preserve"> </w:t>
      </w:r>
      <w:r w:rsidRPr="00CB2244">
        <w:t xml:space="preserve">is consistent and asymptotically normal distributed with asymptotic mean </w:t>
      </w:r>
      <w:r w:rsidRPr="00B86406">
        <w:rPr>
          <w:b/>
          <w:i/>
        </w:rPr>
        <w:t>θ</w:t>
      </w:r>
      <w:r w:rsidRPr="00CB2244">
        <w:t xml:space="preserve"> and covariance matrix given by the inverse of </w:t>
      </w:r>
      <w:proofErr w:type="spellStart"/>
      <w:r w:rsidRPr="00CB2244">
        <w:t>Godambe’s</w:t>
      </w:r>
      <w:proofErr w:type="spellEnd"/>
      <w:r w:rsidRPr="00CB2244">
        <w:t xml:space="preserve"> (1960) sandwich information matrix (see Zhao and Joe, 2005</w:t>
      </w:r>
      <w:r>
        <w:t xml:space="preserve">, </w:t>
      </w:r>
      <w:r w:rsidRPr="005B6B28">
        <w:t>Bhat, 2014</w:t>
      </w:r>
      <w:r w:rsidRPr="00CB2244">
        <w:t>):</w:t>
      </w:r>
    </w:p>
    <w:p w:rsidR="00084023" w:rsidRPr="00CB2244" w:rsidRDefault="009C66A0" w:rsidP="00D72ECE">
      <w:pPr>
        <w:tabs>
          <w:tab w:val="left" w:pos="1440"/>
          <w:tab w:val="right" w:pos="9360"/>
        </w:tabs>
        <w:spacing w:before="120" w:after="120"/>
        <w:ind w:firstLine="0"/>
      </w:pPr>
      <w:r w:rsidRPr="00CB2244">
        <w:rPr>
          <w:position w:val="-12"/>
        </w:rPr>
        <w:object w:dxaOrig="4160" w:dyaOrig="400">
          <v:shape id="_x0000_i1141" type="#_x0000_t75" style="width:207.75pt;height:20.25pt" o:ole="" o:preferrelative="f">
            <v:imagedata r:id="rId233" o:title=""/>
            <o:lock v:ext="edit" aspectratio="f"/>
          </v:shape>
          <o:OLEObject Type="Embed" ProgID="Equation.3" ShapeID="_x0000_i1141" DrawAspect="Content" ObjectID="_1555512530" r:id="rId234"/>
        </w:object>
      </w:r>
      <w:r w:rsidR="00084023" w:rsidRPr="00CB2244">
        <w:t xml:space="preserve">, </w:t>
      </w:r>
      <w:r w:rsidR="00084023" w:rsidRPr="00CB2244">
        <w:tab/>
      </w:r>
    </w:p>
    <w:p w:rsidR="00084023" w:rsidRPr="00CB2244" w:rsidRDefault="00084023" w:rsidP="00D72ECE">
      <w:pPr>
        <w:ind w:firstLine="0"/>
        <w:contextualSpacing/>
      </w:pPr>
      <w:proofErr w:type="gramStart"/>
      <w:r w:rsidRPr="00CB2244">
        <w:t>where</w:t>
      </w:r>
      <w:proofErr w:type="gramEnd"/>
      <w:r w:rsidRPr="00CB2244">
        <w:t xml:space="preserve"> </w:t>
      </w:r>
      <w:r w:rsidR="009C66A0" w:rsidRPr="00CB2244">
        <w:rPr>
          <w:position w:val="-32"/>
        </w:rPr>
        <w:object w:dxaOrig="2659" w:dyaOrig="760">
          <v:shape id="_x0000_i1142" type="#_x0000_t75" style="width:133.5pt;height:38.25pt" o:ole="" o:preferrelative="f">
            <v:imagedata r:id="rId235" o:title=""/>
            <o:lock v:ext="edit" aspectratio="f"/>
          </v:shape>
          <o:OLEObject Type="Embed" ProgID="Equation.3" ShapeID="_x0000_i1142" DrawAspect="Content" ObjectID="_1555512531" r:id="rId236"/>
        </w:object>
      </w:r>
      <w:r w:rsidRPr="00CB2244">
        <w:t xml:space="preserve"> and </w:t>
      </w:r>
      <w:r w:rsidR="009C66A0" w:rsidRPr="00CB2244">
        <w:rPr>
          <w:position w:val="-30"/>
        </w:rPr>
        <w:object w:dxaOrig="3960" w:dyaOrig="720">
          <v:shape id="_x0000_i1143" type="#_x0000_t75" style="width:198.75pt;height:36.75pt" o:ole="" o:preferrelative="f">
            <v:imagedata r:id="rId237" o:title=""/>
            <o:lock v:ext="edit" aspectratio="f"/>
          </v:shape>
          <o:OLEObject Type="Embed" ProgID="Equation.3" ShapeID="_x0000_i1143" DrawAspect="Content" ObjectID="_1555512532" r:id="rId238"/>
        </w:object>
      </w:r>
      <w:r w:rsidRPr="00CB2244">
        <w:t>.</w:t>
      </w:r>
      <w:r w:rsidR="009F1D3A">
        <w:tab/>
      </w:r>
      <w:r w:rsidR="009F1D3A">
        <w:tab/>
        <w:t xml:space="preserve">       (9)</w:t>
      </w:r>
    </w:p>
    <w:p w:rsidR="005F1830" w:rsidRDefault="00084023" w:rsidP="00D72ECE">
      <w:pPr>
        <w:pStyle w:val="FootnoteText"/>
        <w:ind w:firstLine="0"/>
        <w:rPr>
          <w:sz w:val="24"/>
          <w:szCs w:val="24"/>
        </w:rPr>
      </w:pPr>
      <w:r w:rsidRPr="00BF6017">
        <w:rPr>
          <w:sz w:val="24"/>
          <w:szCs w:val="24"/>
        </w:rPr>
        <w:t xml:space="preserve">The reader is referred to Bhat (2014) for complete details regarding the estimation of the matrices </w:t>
      </w:r>
      <w:r w:rsidR="009C66A0" w:rsidRPr="00F545D5">
        <w:rPr>
          <w:position w:val="-10"/>
          <w:sz w:val="24"/>
          <w:szCs w:val="24"/>
        </w:rPr>
        <w:object w:dxaOrig="560" w:dyaOrig="320">
          <v:shape id="_x0000_i1144" type="#_x0000_t75" style="width:28.5pt;height:16.5pt" o:ole="" o:preferrelative="f">
            <v:imagedata r:id="rId239" o:title=""/>
            <o:lock v:ext="edit" aspectratio="f"/>
          </v:shape>
          <o:OLEObject Type="Embed" ProgID="Equation.3" ShapeID="_x0000_i1144" DrawAspect="Content" ObjectID="_1555512533" r:id="rId240"/>
        </w:object>
      </w:r>
      <w:r w:rsidRPr="00BF6017">
        <w:rPr>
          <w:sz w:val="24"/>
          <w:szCs w:val="24"/>
        </w:rPr>
        <w:t xml:space="preserve"> and </w:t>
      </w:r>
      <w:r w:rsidR="009C66A0" w:rsidRPr="00F545D5">
        <w:rPr>
          <w:position w:val="-10"/>
          <w:sz w:val="24"/>
          <w:szCs w:val="24"/>
        </w:rPr>
        <w:object w:dxaOrig="499" w:dyaOrig="320">
          <v:shape id="_x0000_i1145" type="#_x0000_t75" style="width:25.5pt;height:16.5pt" o:ole="" o:preferrelative="f">
            <v:imagedata r:id="rId241" o:title=""/>
            <o:lock v:ext="edit" aspectratio="f"/>
          </v:shape>
          <o:OLEObject Type="Embed" ProgID="Equation.3" ShapeID="_x0000_i1145" DrawAspect="Content" ObjectID="_1555512534" r:id="rId242"/>
        </w:object>
      </w:r>
      <w:r w:rsidRPr="00BF6017">
        <w:rPr>
          <w:sz w:val="24"/>
          <w:szCs w:val="24"/>
        </w:rPr>
        <w:t>in Equation (</w:t>
      </w:r>
      <w:r w:rsidR="00D8390D">
        <w:rPr>
          <w:sz w:val="24"/>
          <w:szCs w:val="24"/>
          <w:lang w:val="en-US"/>
        </w:rPr>
        <w:t>9</w:t>
      </w:r>
      <w:r w:rsidRPr="00BF6017">
        <w:rPr>
          <w:sz w:val="24"/>
          <w:szCs w:val="24"/>
        </w:rPr>
        <w:t xml:space="preserve">) above. To ensure the constraints on the autoregressive terms </w:t>
      </w:r>
      <w:r w:rsidR="009C66A0" w:rsidRPr="00F545D5">
        <w:rPr>
          <w:position w:val="-14"/>
          <w:sz w:val="24"/>
          <w:szCs w:val="24"/>
        </w:rPr>
        <w:object w:dxaOrig="340" w:dyaOrig="380">
          <v:shape id="_x0000_i1146" type="#_x0000_t75" style="width:16.5pt;height:18.75pt" o:ole="" o:preferrelative="f">
            <v:imagedata r:id="rId243" o:title=""/>
            <o:lock v:ext="edit" aspectratio="f"/>
          </v:shape>
          <o:OLEObject Type="Embed" ProgID="Equation.3" ShapeID="_x0000_i1146" DrawAspect="Content" ObjectID="_1555512535" r:id="rId244"/>
        </w:object>
      </w:r>
      <w:r w:rsidRPr="00BF6017">
        <w:rPr>
          <w:sz w:val="24"/>
          <w:szCs w:val="24"/>
        </w:rPr>
        <w:t>(</w:t>
      </w:r>
      <w:r w:rsidRPr="00BF6017">
        <w:rPr>
          <w:i/>
          <w:sz w:val="24"/>
          <w:szCs w:val="24"/>
        </w:rPr>
        <w:t>j</w:t>
      </w:r>
      <w:r w:rsidRPr="00BF6017">
        <w:rPr>
          <w:sz w:val="24"/>
          <w:szCs w:val="24"/>
        </w:rPr>
        <w:t>=1,2,…</w:t>
      </w:r>
      <w:r w:rsidR="009C66A0">
        <w:rPr>
          <w:sz w:val="24"/>
          <w:szCs w:val="24"/>
          <w:lang w:val="en-US"/>
        </w:rPr>
        <w:t>,</w:t>
      </w:r>
      <w:r w:rsidRPr="00BF6017">
        <w:rPr>
          <w:i/>
          <w:sz w:val="24"/>
          <w:szCs w:val="24"/>
        </w:rPr>
        <w:t>J</w:t>
      </w:r>
      <w:r w:rsidRPr="00BF6017">
        <w:rPr>
          <w:sz w:val="24"/>
          <w:szCs w:val="24"/>
        </w:rPr>
        <w:t xml:space="preserve">), we parameterize each of these terms as </w:t>
      </w:r>
      <w:r w:rsidR="009C66A0" w:rsidRPr="00F545D5">
        <w:rPr>
          <w:position w:val="-14"/>
          <w:sz w:val="24"/>
          <w:szCs w:val="24"/>
        </w:rPr>
        <w:object w:dxaOrig="1900" w:dyaOrig="420">
          <v:shape id="_x0000_i1147" type="#_x0000_t75" style="width:95.25pt;height:20.25pt" o:ole="" o:preferrelative="f">
            <v:imagedata r:id="rId245" o:title=""/>
            <o:lock v:ext="edit" aspectratio="f"/>
          </v:shape>
          <o:OLEObject Type="Embed" ProgID="Equation.3" ShapeID="_x0000_i1147" DrawAspect="Content" ObjectID="_1555512536" r:id="rId246"/>
        </w:object>
      </w:r>
      <w:r w:rsidRPr="00BF6017">
        <w:rPr>
          <w:sz w:val="24"/>
          <w:szCs w:val="24"/>
        </w:rPr>
        <w:t xml:space="preserve">. Once estimated, the </w:t>
      </w:r>
      <w:r w:rsidR="009C66A0" w:rsidRPr="00F545D5">
        <w:rPr>
          <w:position w:val="-14"/>
          <w:sz w:val="24"/>
          <w:szCs w:val="24"/>
        </w:rPr>
        <w:object w:dxaOrig="420" w:dyaOrig="420">
          <v:shape id="_x0000_i1148" type="#_x0000_t75" style="width:20.25pt;height:20.25pt" o:ole="" o:preferrelative="f">
            <v:imagedata r:id="rId247" o:title=""/>
            <o:lock v:ext="edit" aspectratio="f"/>
          </v:shape>
          <o:OLEObject Type="Embed" ProgID="Equation.3" ShapeID="_x0000_i1148" DrawAspect="Content" ObjectID="_1555512537" r:id="rId248"/>
        </w:object>
      </w:r>
      <w:r w:rsidRPr="00BF6017">
        <w:rPr>
          <w:sz w:val="24"/>
          <w:szCs w:val="24"/>
        </w:rPr>
        <w:t xml:space="preserve">estimate can be translated back to an estimate of </w:t>
      </w:r>
      <w:r w:rsidR="009C66A0" w:rsidRPr="00F545D5">
        <w:rPr>
          <w:position w:val="-14"/>
          <w:sz w:val="24"/>
          <w:szCs w:val="24"/>
        </w:rPr>
        <w:object w:dxaOrig="279" w:dyaOrig="380">
          <v:shape id="_x0000_i1149" type="#_x0000_t75" style="width:13.5pt;height:18.75pt" o:ole="" o:preferrelative="f">
            <v:imagedata r:id="rId249" o:title=""/>
            <o:lock v:ext="edit" aspectratio="f"/>
          </v:shape>
          <o:OLEObject Type="Embed" ProgID="Equation.3" ShapeID="_x0000_i1149" DrawAspect="Content" ObjectID="_1555512538" r:id="rId250"/>
        </w:object>
      </w:r>
      <w:r w:rsidRPr="00BF6017">
        <w:rPr>
          <w:sz w:val="24"/>
          <w:szCs w:val="24"/>
        </w:rPr>
        <w:t xml:space="preserve">. </w:t>
      </w:r>
    </w:p>
    <w:p w:rsidR="0070440D" w:rsidRDefault="005F1830" w:rsidP="0070440D">
      <w:pPr>
        <w:pStyle w:val="FootnoteText"/>
        <w:rPr>
          <w:sz w:val="24"/>
          <w:szCs w:val="24"/>
        </w:rPr>
      </w:pPr>
      <w:r w:rsidRPr="005F1830">
        <w:rPr>
          <w:sz w:val="24"/>
          <w:szCs w:val="24"/>
        </w:rPr>
        <w:t xml:space="preserve">One final important </w:t>
      </w:r>
      <w:r w:rsidRPr="005F1830">
        <w:rPr>
          <w:sz w:val="24"/>
          <w:szCs w:val="24"/>
          <w:lang w:val="en-US"/>
        </w:rPr>
        <w:t xml:space="preserve">estimation </w:t>
      </w:r>
      <w:r w:rsidRPr="005F1830">
        <w:rPr>
          <w:sz w:val="24"/>
          <w:szCs w:val="24"/>
        </w:rPr>
        <w:t xml:space="preserve">issue is </w:t>
      </w:r>
      <w:r w:rsidRPr="005F1830">
        <w:rPr>
          <w:sz w:val="24"/>
          <w:szCs w:val="24"/>
          <w:lang w:val="en-US"/>
        </w:rPr>
        <w:t xml:space="preserve">that </w:t>
      </w:r>
      <w:r w:rsidRPr="005F1830">
        <w:rPr>
          <w:sz w:val="24"/>
          <w:szCs w:val="24"/>
        </w:rPr>
        <w:t xml:space="preserve">the positive definiteness of the </w:t>
      </w:r>
      <w:r w:rsidRPr="005F1830">
        <w:rPr>
          <w:sz w:val="24"/>
          <w:szCs w:val="24"/>
          <w:lang w:val="en-US"/>
        </w:rPr>
        <w:t xml:space="preserve">covariance </w:t>
      </w:r>
      <w:r w:rsidRPr="005F1830">
        <w:rPr>
          <w:sz w:val="24"/>
          <w:szCs w:val="24"/>
        </w:rPr>
        <w:t xml:space="preserve">matrix </w:t>
      </w:r>
      <w:r w:rsidR="00307EF0" w:rsidRPr="00307EF0">
        <w:rPr>
          <w:b/>
          <w:sz w:val="24"/>
          <w:szCs w:val="24"/>
          <w:lang w:val="en-US"/>
        </w:rPr>
        <w:t>Δ</w:t>
      </w:r>
      <w:r>
        <w:rPr>
          <w:position w:val="-4"/>
          <w:sz w:val="24"/>
          <w:szCs w:val="24"/>
          <w:lang w:val="en-US"/>
        </w:rPr>
        <w:t xml:space="preserve"> </w:t>
      </w:r>
      <w:r w:rsidRPr="005F1830">
        <w:rPr>
          <w:sz w:val="24"/>
          <w:szCs w:val="24"/>
          <w:lang w:val="en-US"/>
        </w:rPr>
        <w:t xml:space="preserve">must be ensured. </w:t>
      </w:r>
      <w:r w:rsidRPr="005F1830">
        <w:rPr>
          <w:sz w:val="24"/>
          <w:szCs w:val="24"/>
        </w:rPr>
        <w:t xml:space="preserve">In our estimation, </w:t>
      </w:r>
      <w:r w:rsidRPr="005F1830">
        <w:rPr>
          <w:sz w:val="24"/>
          <w:szCs w:val="24"/>
          <w:lang w:val="en-US"/>
        </w:rPr>
        <w:t xml:space="preserve">this is </w:t>
      </w:r>
      <w:r w:rsidRPr="005F1830">
        <w:rPr>
          <w:sz w:val="24"/>
          <w:szCs w:val="24"/>
        </w:rPr>
        <w:t xml:space="preserve">guaranteed by writing the logarithm of the pairwise-likelihood in terms of the </w:t>
      </w:r>
      <w:proofErr w:type="spellStart"/>
      <w:r w:rsidRPr="005F1830">
        <w:rPr>
          <w:sz w:val="24"/>
          <w:szCs w:val="24"/>
        </w:rPr>
        <w:t>Cholesky</w:t>
      </w:r>
      <w:proofErr w:type="spellEnd"/>
      <w:r w:rsidRPr="005F1830">
        <w:rPr>
          <w:sz w:val="24"/>
          <w:szCs w:val="24"/>
        </w:rPr>
        <w:t>-decomposed elements of</w:t>
      </w:r>
      <w:r w:rsidR="00307EF0">
        <w:rPr>
          <w:sz w:val="24"/>
          <w:szCs w:val="24"/>
          <w:lang w:val="en-US"/>
        </w:rPr>
        <w:t xml:space="preserve"> </w:t>
      </w:r>
      <w:r w:rsidR="00307EF0" w:rsidRPr="00307EF0">
        <w:rPr>
          <w:b/>
          <w:sz w:val="24"/>
          <w:szCs w:val="24"/>
          <w:lang w:val="en-US"/>
        </w:rPr>
        <w:t>Δ</w:t>
      </w:r>
      <w:r w:rsidRPr="005F1830">
        <w:rPr>
          <w:position w:val="-4"/>
          <w:sz w:val="24"/>
          <w:szCs w:val="24"/>
          <w:lang w:val="en-US"/>
        </w:rPr>
        <w:t xml:space="preserve"> </w:t>
      </w:r>
      <w:r w:rsidRPr="005F1830">
        <w:rPr>
          <w:sz w:val="24"/>
          <w:szCs w:val="24"/>
        </w:rPr>
        <w:t xml:space="preserve">and maximizing with respect to these elements of the </w:t>
      </w:r>
      <w:proofErr w:type="spellStart"/>
      <w:r w:rsidRPr="005F1830">
        <w:rPr>
          <w:sz w:val="24"/>
          <w:szCs w:val="24"/>
        </w:rPr>
        <w:t>Cholesky</w:t>
      </w:r>
      <w:proofErr w:type="spellEnd"/>
      <w:r w:rsidRPr="005F1830">
        <w:rPr>
          <w:sz w:val="24"/>
          <w:szCs w:val="24"/>
        </w:rPr>
        <w:t xml:space="preserve"> factor. Essentially, this procedure entails passing the </w:t>
      </w:r>
      <w:proofErr w:type="spellStart"/>
      <w:r w:rsidRPr="005F1830">
        <w:rPr>
          <w:sz w:val="24"/>
          <w:szCs w:val="24"/>
        </w:rPr>
        <w:t>Cholesky</w:t>
      </w:r>
      <w:proofErr w:type="spellEnd"/>
      <w:r w:rsidRPr="005F1830">
        <w:rPr>
          <w:sz w:val="24"/>
          <w:szCs w:val="24"/>
        </w:rPr>
        <w:t xml:space="preserve"> elements as parameters to the optimization routine, constructing the </w:t>
      </w:r>
      <w:r w:rsidR="00307EF0" w:rsidRPr="00307EF0">
        <w:rPr>
          <w:b/>
          <w:sz w:val="24"/>
          <w:szCs w:val="24"/>
          <w:lang w:val="en-US"/>
        </w:rPr>
        <w:t>Δ</w:t>
      </w:r>
      <w:r w:rsidRPr="005F1830">
        <w:rPr>
          <w:sz w:val="24"/>
          <w:szCs w:val="24"/>
        </w:rPr>
        <w:t xml:space="preserve"> matrix internal to the optimization routine, then </w:t>
      </w:r>
      <w:r w:rsidRPr="00307EF0">
        <w:rPr>
          <w:sz w:val="24"/>
          <w:szCs w:val="24"/>
        </w:rPr>
        <w:t>computing</w:t>
      </w:r>
      <w:r w:rsidRPr="00307EF0">
        <w:rPr>
          <w:sz w:val="24"/>
          <w:szCs w:val="24"/>
          <w:lang w:val="en-US"/>
        </w:rPr>
        <w:t xml:space="preserve"> </w:t>
      </w:r>
      <w:r w:rsidR="00307EF0" w:rsidRPr="00307EF0">
        <w:rPr>
          <w:b/>
          <w:sz w:val="24"/>
          <w:szCs w:val="24"/>
        </w:rPr>
        <w:t>Ψ</w:t>
      </w:r>
      <w:r w:rsidRPr="00307EF0">
        <w:rPr>
          <w:sz w:val="24"/>
          <w:szCs w:val="24"/>
        </w:rPr>
        <w:t>,</w:t>
      </w:r>
      <w:r w:rsidRPr="005F1830">
        <w:rPr>
          <w:sz w:val="24"/>
          <w:szCs w:val="24"/>
        </w:rPr>
        <w:t xml:space="preserve"> and finally selecting the appropriate elements of the matrix for the pairwise likelihood components.</w:t>
      </w:r>
    </w:p>
    <w:p w:rsidR="00084023" w:rsidRPr="00CB2244" w:rsidRDefault="005F1830" w:rsidP="0070440D">
      <w:pPr>
        <w:pStyle w:val="FootnoteText"/>
      </w:pPr>
      <w:r w:rsidRPr="005F1830">
        <w:rPr>
          <w:sz w:val="24"/>
          <w:szCs w:val="24"/>
        </w:rPr>
        <w:t xml:space="preserve"> </w:t>
      </w:r>
    </w:p>
    <w:p w:rsidR="00084023" w:rsidRPr="00351114" w:rsidRDefault="00084023" w:rsidP="0070440D">
      <w:pPr>
        <w:pStyle w:val="Heading2"/>
        <w:spacing w:before="0" w:beforeAutospacing="0" w:after="0" w:afterAutospacing="0"/>
        <w:ind w:left="360" w:hanging="360"/>
      </w:pPr>
      <w:r w:rsidRPr="00351114">
        <w:t xml:space="preserve">Model </w:t>
      </w:r>
      <w:r w:rsidR="00F657EE">
        <w:rPr>
          <w:lang w:val="en-US"/>
        </w:rPr>
        <w:t>Comparisons</w:t>
      </w:r>
    </w:p>
    <w:p w:rsidR="00084023" w:rsidRPr="00BF6017" w:rsidRDefault="00084023" w:rsidP="00D72ECE">
      <w:pPr>
        <w:pStyle w:val="FootnoteText"/>
        <w:ind w:firstLine="0"/>
      </w:pPr>
      <w:r w:rsidRPr="00BF6017">
        <w:rPr>
          <w:sz w:val="24"/>
          <w:szCs w:val="24"/>
        </w:rPr>
        <w:t>For the purpose of comparing two nested models estimated using the CML approach, the analyst can use the adjusted composite likelihood ratio test (</w:t>
      </w:r>
      <w:r w:rsidRPr="00BF6017">
        <w:rPr>
          <w:i/>
          <w:sz w:val="24"/>
          <w:szCs w:val="24"/>
        </w:rPr>
        <w:t>ADCLRT</w:t>
      </w:r>
      <w:r w:rsidRPr="00BF6017">
        <w:rPr>
          <w:sz w:val="24"/>
          <w:szCs w:val="24"/>
        </w:rPr>
        <w:t xml:space="preserve">) statistic, which is asymptotically chi-squared distributed similar to the likelihood ratio test statistic for the maximum likelihood approach. The reader is referred to Bhat (2011) </w:t>
      </w:r>
      <w:r w:rsidR="00F657EE" w:rsidRPr="00BF6017">
        <w:rPr>
          <w:sz w:val="24"/>
          <w:szCs w:val="24"/>
        </w:rPr>
        <w:t xml:space="preserve">and Bhat (2014) </w:t>
      </w:r>
      <w:r w:rsidRPr="00BF6017">
        <w:rPr>
          <w:sz w:val="24"/>
          <w:szCs w:val="24"/>
        </w:rPr>
        <w:t xml:space="preserve">for details regarding the </w:t>
      </w:r>
      <w:r w:rsidRPr="00BF6017">
        <w:rPr>
          <w:i/>
          <w:sz w:val="24"/>
          <w:szCs w:val="24"/>
        </w:rPr>
        <w:t>ADCLRT</w:t>
      </w:r>
      <w:r w:rsidRPr="00BF6017">
        <w:rPr>
          <w:sz w:val="24"/>
          <w:szCs w:val="24"/>
        </w:rPr>
        <w:t xml:space="preserve"> test statistic</w:t>
      </w:r>
      <w:r w:rsidR="00FE32A9" w:rsidRPr="00BF6017">
        <w:rPr>
          <w:sz w:val="24"/>
          <w:szCs w:val="24"/>
        </w:rPr>
        <w:t xml:space="preserve">. </w:t>
      </w:r>
      <w:r w:rsidR="00FC5F83" w:rsidRPr="00BF6017">
        <w:rPr>
          <w:sz w:val="24"/>
          <w:szCs w:val="24"/>
        </w:rPr>
        <w:t>In the case of the model proposed in this paper, a host of restrictive versions may be identified. While we have estimated many of these</w:t>
      </w:r>
      <w:r w:rsidR="007D76FD" w:rsidRPr="00BF6017">
        <w:rPr>
          <w:sz w:val="24"/>
          <w:szCs w:val="24"/>
        </w:rPr>
        <w:t xml:space="preserve"> restricted versions, we will </w:t>
      </w:r>
      <w:r w:rsidR="00FC5F83" w:rsidRPr="00BF6017">
        <w:rPr>
          <w:sz w:val="24"/>
          <w:szCs w:val="24"/>
        </w:rPr>
        <w:t xml:space="preserve">confine our presentation </w:t>
      </w:r>
      <w:r w:rsidR="00F657EE" w:rsidRPr="00BF6017">
        <w:rPr>
          <w:sz w:val="24"/>
          <w:szCs w:val="24"/>
        </w:rPr>
        <w:t xml:space="preserve">later </w:t>
      </w:r>
      <w:r w:rsidR="00FC5F83" w:rsidRPr="00BF6017">
        <w:rPr>
          <w:sz w:val="24"/>
          <w:szCs w:val="24"/>
        </w:rPr>
        <w:t>in thi</w:t>
      </w:r>
      <w:r w:rsidR="007D76FD" w:rsidRPr="00BF6017">
        <w:rPr>
          <w:sz w:val="24"/>
          <w:szCs w:val="24"/>
        </w:rPr>
        <w:t>s paper to a comparison of our general model with five</w:t>
      </w:r>
      <w:r w:rsidR="00FC5F83" w:rsidRPr="00BF6017">
        <w:rPr>
          <w:sz w:val="24"/>
          <w:szCs w:val="24"/>
        </w:rPr>
        <w:t xml:space="preserve"> restricted</w:t>
      </w:r>
      <w:r w:rsidR="007D76FD" w:rsidRPr="00BF6017">
        <w:rPr>
          <w:sz w:val="24"/>
          <w:szCs w:val="24"/>
        </w:rPr>
        <w:t xml:space="preserve"> versions that all retain unobserved heterogeneity (random coefficients)</w:t>
      </w:r>
      <w:r w:rsidR="00CF6919" w:rsidRPr="00BF6017">
        <w:rPr>
          <w:sz w:val="24"/>
          <w:szCs w:val="24"/>
        </w:rPr>
        <w:t xml:space="preserve">. Also, when spatial dependence is considered, we will </w:t>
      </w:r>
      <w:r w:rsidR="00CF6919" w:rsidRPr="00BF6017">
        <w:rPr>
          <w:sz w:val="24"/>
          <w:szCs w:val="24"/>
          <w:lang w:val="en-US"/>
        </w:rPr>
        <w:t xml:space="preserve">strictly </w:t>
      </w:r>
      <w:r w:rsidR="00CF6919" w:rsidRPr="00BF6017">
        <w:rPr>
          <w:sz w:val="24"/>
          <w:szCs w:val="24"/>
        </w:rPr>
        <w:t xml:space="preserve">retain the spatial lag structure because of the </w:t>
      </w:r>
      <w:proofErr w:type="spellStart"/>
      <w:r w:rsidR="00CF6919" w:rsidRPr="00BF6017">
        <w:rPr>
          <w:sz w:val="24"/>
          <w:szCs w:val="24"/>
        </w:rPr>
        <w:t>the</w:t>
      </w:r>
      <w:r w:rsidR="00CF6919" w:rsidRPr="00BF6017">
        <w:rPr>
          <w:sz w:val="24"/>
          <w:szCs w:val="24"/>
          <w:lang w:val="en-US"/>
        </w:rPr>
        <w:t>o</w:t>
      </w:r>
      <w:r w:rsidR="00CF6919" w:rsidRPr="00BF6017">
        <w:rPr>
          <w:sz w:val="24"/>
          <w:szCs w:val="24"/>
        </w:rPr>
        <w:t>retical</w:t>
      </w:r>
      <w:proofErr w:type="spellEnd"/>
      <w:r w:rsidR="00CF6919" w:rsidRPr="00BF6017">
        <w:rPr>
          <w:sz w:val="24"/>
          <w:szCs w:val="24"/>
        </w:rPr>
        <w:t xml:space="preserve"> and logical </w:t>
      </w:r>
      <w:r w:rsidR="00CF6919" w:rsidRPr="00BF6017">
        <w:rPr>
          <w:sz w:val="24"/>
          <w:szCs w:val="24"/>
        </w:rPr>
        <w:lastRenderedPageBreak/>
        <w:t xml:space="preserve">reasons </w:t>
      </w:r>
      <w:r w:rsidR="00D764D2" w:rsidRPr="00BF6017">
        <w:rPr>
          <w:sz w:val="24"/>
          <w:szCs w:val="24"/>
          <w:lang w:val="en-US"/>
        </w:rPr>
        <w:t>(see Section 2.1</w:t>
      </w:r>
      <w:r w:rsidR="00CF6919" w:rsidRPr="00BF6017">
        <w:rPr>
          <w:sz w:val="24"/>
          <w:szCs w:val="24"/>
          <w:lang w:val="en-US"/>
        </w:rPr>
        <w:t xml:space="preserve">) that we believe necessitate its use rather than other </w:t>
      </w:r>
      <w:r w:rsidR="00CF6919">
        <w:rPr>
          <w:sz w:val="24"/>
          <w:szCs w:val="24"/>
          <w:lang w:val="en-US"/>
        </w:rPr>
        <w:t xml:space="preserve">spatial dependence </w:t>
      </w:r>
      <w:r w:rsidR="00CF6919" w:rsidRPr="00BF6017">
        <w:rPr>
          <w:sz w:val="24"/>
          <w:szCs w:val="24"/>
          <w:lang w:val="en-US"/>
        </w:rPr>
        <w:t xml:space="preserve">structures considered in the literature. </w:t>
      </w:r>
    </w:p>
    <w:p w:rsidR="00B4047D" w:rsidRDefault="00FC5F83" w:rsidP="00D72ECE">
      <w:pPr>
        <w:numPr>
          <w:ilvl w:val="0"/>
          <w:numId w:val="21"/>
        </w:numPr>
        <w:autoSpaceDE w:val="0"/>
        <w:autoSpaceDN w:val="0"/>
        <w:adjustRightInd w:val="0"/>
        <w:ind w:left="360"/>
      </w:pPr>
      <w:r w:rsidRPr="0019608A">
        <w:rPr>
          <w:i/>
        </w:rPr>
        <w:t xml:space="preserve">Independent </w:t>
      </w:r>
      <w:proofErr w:type="spellStart"/>
      <w:r w:rsidRPr="0019608A">
        <w:rPr>
          <w:i/>
        </w:rPr>
        <w:t>aspatial</w:t>
      </w:r>
      <w:proofErr w:type="spellEnd"/>
      <w:r w:rsidRPr="0019608A">
        <w:rPr>
          <w:i/>
        </w:rPr>
        <w:t xml:space="preserve"> count (</w:t>
      </w:r>
      <w:r w:rsidR="00B4047D">
        <w:rPr>
          <w:i/>
        </w:rPr>
        <w:t>IA</w:t>
      </w:r>
      <w:r w:rsidRPr="0019608A">
        <w:rPr>
          <w:i/>
        </w:rPr>
        <w:t xml:space="preserve">C) model </w:t>
      </w:r>
      <w:r w:rsidR="00784756">
        <w:rPr>
          <w:i/>
        </w:rPr>
        <w:t>–</w:t>
      </w:r>
      <w:r w:rsidRPr="0019608A">
        <w:rPr>
          <w:i/>
        </w:rPr>
        <w:t xml:space="preserve"> </w:t>
      </w:r>
      <w:r>
        <w:t>A set of four</w:t>
      </w:r>
      <w:r w:rsidR="00B4047D">
        <w:t xml:space="preserve"> independent models (</w:t>
      </w:r>
      <w:r>
        <w:t>one for each injury severity</w:t>
      </w:r>
      <w:r w:rsidR="00B4047D">
        <w:t xml:space="preserve">) </w:t>
      </w:r>
      <w:r>
        <w:t>with all the elements of</w:t>
      </w:r>
      <w:r w:rsidR="00B4047D">
        <w:t xml:space="preserve"> </w:t>
      </w:r>
      <w:r w:rsidR="00784756" w:rsidRPr="0031218E">
        <w:rPr>
          <w:position w:val="-12"/>
        </w:rPr>
        <w:object w:dxaOrig="300" w:dyaOrig="380">
          <v:shape id="_x0000_i1150" type="#_x0000_t75" style="width:15pt;height:18.75pt" o:ole="" o:preferrelative="f">
            <v:imagedata r:id="rId109" o:title=""/>
            <o:lock v:ext="edit" aspectratio="f"/>
          </v:shape>
          <o:OLEObject Type="Embed" ProgID="Equation.3" ShapeID="_x0000_i1150" DrawAspect="Content" ObjectID="_1555512539" r:id="rId251"/>
        </w:object>
      </w:r>
      <w:r w:rsidR="00BC2883">
        <w:t xml:space="preserve"> </w:t>
      </w:r>
      <w:r w:rsidR="00B4047D">
        <w:t xml:space="preserve">for each </w:t>
      </w:r>
      <w:r w:rsidR="00B4047D" w:rsidRPr="00BF6017">
        <w:rPr>
          <w:i/>
        </w:rPr>
        <w:t xml:space="preserve">k </w:t>
      </w:r>
      <w:r w:rsidR="00B4047D">
        <w:t>set to zero, and</w:t>
      </w:r>
      <w:r>
        <w:t xml:space="preserve"> </w:t>
      </w:r>
      <w:r w:rsidR="00B71FAA" w:rsidRPr="00741102">
        <w:rPr>
          <w:position w:val="-14"/>
        </w:rPr>
        <w:object w:dxaOrig="279" w:dyaOrig="380">
          <v:shape id="_x0000_i1151" type="#_x0000_t75" style="width:13.5pt;height:18.75pt" o:ole="" o:preferrelative="f">
            <v:imagedata r:id="rId252" o:title=""/>
            <o:lock v:ext="edit" aspectratio="f"/>
          </v:shape>
          <o:OLEObject Type="Embed" ProgID="Equation.3" ShapeID="_x0000_i1151" DrawAspect="Content" ObjectID="_1555512540" r:id="rId253"/>
        </w:object>
      </w:r>
      <w:r w:rsidR="00BC2883">
        <w:t xml:space="preserve"> </w:t>
      </w:r>
      <w:r w:rsidR="00B4047D">
        <w:t xml:space="preserve">for each severity category </w:t>
      </w:r>
      <w:r w:rsidR="00B4047D" w:rsidRPr="00741102">
        <w:rPr>
          <w:i/>
        </w:rPr>
        <w:t>j</w:t>
      </w:r>
      <w:r w:rsidR="00B4047D">
        <w:t xml:space="preserve"> set to zero. The parameter vector estimated here is </w:t>
      </w:r>
      <w:r w:rsidR="00784756" w:rsidRPr="00CB2244">
        <w:rPr>
          <w:i/>
          <w:position w:val="-10"/>
        </w:rPr>
        <w:object w:dxaOrig="1780" w:dyaOrig="360">
          <v:shape id="_x0000_i1152" type="#_x0000_t75" style="width:88.5pt;height:18pt" o:ole="" o:preferrelative="f">
            <v:imagedata r:id="rId254" o:title=""/>
            <o:lock v:ext="edit" aspectratio="f"/>
          </v:shape>
          <o:OLEObject Type="Embed" ProgID="Equation.3" ShapeID="_x0000_i1152" DrawAspect="Content" ObjectID="_1555512541" r:id="rId255"/>
        </w:object>
      </w:r>
    </w:p>
    <w:p w:rsidR="00B4047D" w:rsidRDefault="00B4047D" w:rsidP="00D72ECE">
      <w:pPr>
        <w:numPr>
          <w:ilvl w:val="0"/>
          <w:numId w:val="21"/>
        </w:numPr>
        <w:autoSpaceDE w:val="0"/>
        <w:autoSpaceDN w:val="0"/>
        <w:adjustRightInd w:val="0"/>
        <w:ind w:left="360"/>
      </w:pPr>
      <w:r>
        <w:rPr>
          <w:i/>
        </w:rPr>
        <w:t xml:space="preserve">Independent constrained spatial count (ICSC) model </w:t>
      </w:r>
      <w:r w:rsidRPr="00656052">
        <w:t>– A set of four independent models (one for each injury severity level) with</w:t>
      </w:r>
      <w:r>
        <w:rPr>
          <w:i/>
        </w:rPr>
        <w:t xml:space="preserve"> </w:t>
      </w:r>
      <w:r>
        <w:t xml:space="preserve">all the elements of </w:t>
      </w:r>
      <w:r w:rsidR="00BC2883" w:rsidRPr="0031218E">
        <w:rPr>
          <w:position w:val="-12"/>
        </w:rPr>
        <w:object w:dxaOrig="300" w:dyaOrig="380">
          <v:shape id="_x0000_i1153" type="#_x0000_t75" style="width:15pt;height:18.75pt" o:ole="" o:preferrelative="f">
            <v:imagedata r:id="rId109" o:title=""/>
            <o:lock v:ext="edit" aspectratio="f"/>
          </v:shape>
          <o:OLEObject Type="Embed" ProgID="Equation.3" ShapeID="_x0000_i1153" DrawAspect="Content" ObjectID="_1555512542" r:id="rId256"/>
        </w:object>
      </w:r>
      <w:r w:rsidR="00BC2883">
        <w:t xml:space="preserve"> </w:t>
      </w:r>
      <w:r>
        <w:t xml:space="preserve">for each </w:t>
      </w:r>
      <w:r w:rsidRPr="00741102">
        <w:rPr>
          <w:i/>
        </w:rPr>
        <w:t xml:space="preserve">k </w:t>
      </w:r>
      <w:r>
        <w:t xml:space="preserve">set to zero, and </w:t>
      </w:r>
      <w:r w:rsidR="00BC2883" w:rsidRPr="00741102">
        <w:rPr>
          <w:position w:val="-14"/>
        </w:rPr>
        <w:object w:dxaOrig="279" w:dyaOrig="380">
          <v:shape id="_x0000_i1154" type="#_x0000_t75" style="width:13.5pt;height:18.75pt" o:ole="" o:preferrelative="f">
            <v:imagedata r:id="rId257" o:title=""/>
            <o:lock v:ext="edit" aspectratio="f"/>
          </v:shape>
          <o:OLEObject Type="Embed" ProgID="Equation.3" ShapeID="_x0000_i1154" DrawAspect="Content" ObjectID="_1555512543" r:id="rId258"/>
        </w:object>
      </w:r>
      <w:r w:rsidRPr="00B4047D">
        <w:t xml:space="preserve"> </w:t>
      </w:r>
      <w:r>
        <w:t xml:space="preserve">for each severity category </w:t>
      </w:r>
      <w:r w:rsidRPr="00741102">
        <w:rPr>
          <w:i/>
        </w:rPr>
        <w:t>j</w:t>
      </w:r>
      <w:r>
        <w:t xml:space="preserve"> constrained to be equal to a common parameter </w:t>
      </w:r>
      <w:r w:rsidR="00B71FAA" w:rsidRPr="00BC2883">
        <w:rPr>
          <w:position w:val="-6"/>
        </w:rPr>
        <w:object w:dxaOrig="220" w:dyaOrig="340">
          <v:shape id="_x0000_i1155" type="#_x0000_t75" style="width:10.5pt;height:16.5pt" o:ole="" o:preferrelative="f">
            <v:imagedata r:id="rId259" o:title=""/>
            <o:lock v:ext="edit" aspectratio="f"/>
          </v:shape>
          <o:OLEObject Type="Embed" ProgID="Equation.3" ShapeID="_x0000_i1155" DrawAspect="Content" ObjectID="_1555512544" r:id="rId260"/>
        </w:object>
      </w:r>
      <w:r>
        <w:t xml:space="preserve">. The parameter vector estimated here is </w:t>
      </w:r>
      <w:r w:rsidR="00BC2883" w:rsidRPr="00CB2244">
        <w:rPr>
          <w:i/>
          <w:position w:val="-10"/>
        </w:rPr>
        <w:object w:dxaOrig="2060" w:dyaOrig="380">
          <v:shape id="_x0000_i1156" type="#_x0000_t75" style="width:102.75pt;height:18.75pt" o:ole="" o:preferrelative="f">
            <v:imagedata r:id="rId261" o:title=""/>
            <o:lock v:ext="edit" aspectratio="f"/>
          </v:shape>
          <o:OLEObject Type="Embed" ProgID="Equation.3" ShapeID="_x0000_i1156" DrawAspect="Content" ObjectID="_1555512545" r:id="rId262"/>
        </w:object>
      </w:r>
    </w:p>
    <w:p w:rsidR="00B4047D" w:rsidRDefault="007D76FD" w:rsidP="00D72ECE">
      <w:pPr>
        <w:numPr>
          <w:ilvl w:val="0"/>
          <w:numId w:val="21"/>
        </w:numPr>
        <w:autoSpaceDE w:val="0"/>
        <w:autoSpaceDN w:val="0"/>
        <w:adjustRightInd w:val="0"/>
        <w:ind w:left="360"/>
      </w:pPr>
      <w:r>
        <w:rPr>
          <w:i/>
        </w:rPr>
        <w:t>Independent unconstrained spatial count (IU</w:t>
      </w:r>
      <w:r w:rsidR="00B4047D">
        <w:rPr>
          <w:i/>
        </w:rPr>
        <w:t xml:space="preserve">SC) model – </w:t>
      </w:r>
      <w:r w:rsidR="00B4047D" w:rsidRPr="00656052">
        <w:t>A set of four independent models (one for each injury severity level) with</w:t>
      </w:r>
      <w:r w:rsidR="00B4047D">
        <w:rPr>
          <w:i/>
        </w:rPr>
        <w:t xml:space="preserve"> </w:t>
      </w:r>
      <w:r w:rsidR="00B4047D">
        <w:t xml:space="preserve">all the elements of </w:t>
      </w:r>
      <w:r w:rsidR="00BC2883" w:rsidRPr="0031218E">
        <w:rPr>
          <w:position w:val="-12"/>
        </w:rPr>
        <w:object w:dxaOrig="300" w:dyaOrig="380">
          <v:shape id="_x0000_i1157" type="#_x0000_t75" style="width:15pt;height:18.75pt" o:ole="" o:preferrelative="f">
            <v:imagedata r:id="rId109" o:title=""/>
            <o:lock v:ext="edit" aspectratio="f"/>
          </v:shape>
          <o:OLEObject Type="Embed" ProgID="Equation.3" ShapeID="_x0000_i1157" DrawAspect="Content" ObjectID="_1555512546" r:id="rId263"/>
        </w:object>
      </w:r>
      <w:r w:rsidR="00BC2883">
        <w:t xml:space="preserve"> </w:t>
      </w:r>
      <w:r w:rsidR="00B4047D">
        <w:t xml:space="preserve">for each </w:t>
      </w:r>
      <w:r w:rsidR="00B4047D" w:rsidRPr="00741102">
        <w:rPr>
          <w:i/>
        </w:rPr>
        <w:t xml:space="preserve">k </w:t>
      </w:r>
      <w:r w:rsidR="00B4047D">
        <w:t xml:space="preserve">set to zero, and </w:t>
      </w:r>
      <w:r w:rsidR="00BC2883" w:rsidRPr="00741102">
        <w:rPr>
          <w:position w:val="-14"/>
        </w:rPr>
        <w:object w:dxaOrig="279" w:dyaOrig="380">
          <v:shape id="_x0000_i1158" type="#_x0000_t75" style="width:13.5pt;height:18.75pt" o:ole="" o:preferrelative="f">
            <v:imagedata r:id="rId257" o:title=""/>
            <o:lock v:ext="edit" aspectratio="f"/>
          </v:shape>
          <o:OLEObject Type="Embed" ProgID="Equation.3" ShapeID="_x0000_i1158" DrawAspect="Content" ObjectID="_1555512547" r:id="rId264"/>
        </w:object>
      </w:r>
      <w:r w:rsidR="00B4047D" w:rsidRPr="00B4047D">
        <w:t xml:space="preserve"> </w:t>
      </w:r>
      <w:r w:rsidR="00B4047D">
        <w:t xml:space="preserve">for each severity category </w:t>
      </w:r>
      <w:r w:rsidR="00B4047D" w:rsidRPr="00741102">
        <w:rPr>
          <w:i/>
        </w:rPr>
        <w:t>j</w:t>
      </w:r>
      <w:r w:rsidR="00ED20D4">
        <w:t xml:space="preserve"> estimated separately</w:t>
      </w:r>
      <w:r w:rsidR="00B4047D">
        <w:t xml:space="preserve">. The parameter vector estimated here is </w:t>
      </w:r>
      <w:r w:rsidR="00BC2883" w:rsidRPr="00CB2244">
        <w:rPr>
          <w:i/>
          <w:position w:val="-10"/>
        </w:rPr>
        <w:object w:dxaOrig="2020" w:dyaOrig="360">
          <v:shape id="_x0000_i1159" type="#_x0000_t75" style="width:103.5pt;height:19.5pt" o:ole="" o:preferrelative="f">
            <v:imagedata r:id="rId265" o:title=""/>
            <o:lock v:ext="edit" aspectratio="f"/>
          </v:shape>
          <o:OLEObject Type="Embed" ProgID="Equation.3" ShapeID="_x0000_i1159" DrawAspect="Content" ObjectID="_1555512548" r:id="rId266"/>
        </w:object>
      </w:r>
    </w:p>
    <w:p w:rsidR="00ED20D4" w:rsidRDefault="00ED20D4" w:rsidP="00D72ECE">
      <w:pPr>
        <w:numPr>
          <w:ilvl w:val="0"/>
          <w:numId w:val="21"/>
        </w:numPr>
        <w:autoSpaceDE w:val="0"/>
        <w:autoSpaceDN w:val="0"/>
        <w:adjustRightInd w:val="0"/>
        <w:ind w:left="360"/>
      </w:pPr>
      <w:r>
        <w:rPr>
          <w:i/>
        </w:rPr>
        <w:t>Mult</w:t>
      </w:r>
      <w:r w:rsidR="00661B44">
        <w:rPr>
          <w:i/>
        </w:rPr>
        <w:t>i</w:t>
      </w:r>
      <w:r>
        <w:rPr>
          <w:i/>
        </w:rPr>
        <w:t>variate</w:t>
      </w:r>
      <w:r w:rsidRPr="00741102">
        <w:rPr>
          <w:i/>
        </w:rPr>
        <w:t xml:space="preserve"> </w:t>
      </w:r>
      <w:proofErr w:type="spellStart"/>
      <w:r w:rsidRPr="00741102">
        <w:rPr>
          <w:i/>
        </w:rPr>
        <w:t>aspatial</w:t>
      </w:r>
      <w:proofErr w:type="spellEnd"/>
      <w:r w:rsidRPr="00741102">
        <w:rPr>
          <w:i/>
        </w:rPr>
        <w:t xml:space="preserve"> count (</w:t>
      </w:r>
      <w:r w:rsidR="000A4BCC">
        <w:rPr>
          <w:i/>
        </w:rPr>
        <w:t>M</w:t>
      </w:r>
      <w:r>
        <w:rPr>
          <w:i/>
        </w:rPr>
        <w:t>A</w:t>
      </w:r>
      <w:r w:rsidRPr="00741102">
        <w:rPr>
          <w:i/>
        </w:rPr>
        <w:t xml:space="preserve">C) model </w:t>
      </w:r>
      <w:r w:rsidR="00784756">
        <w:rPr>
          <w:i/>
        </w:rPr>
        <w:t>–</w:t>
      </w:r>
      <w:r w:rsidRPr="00741102">
        <w:rPr>
          <w:i/>
        </w:rPr>
        <w:t xml:space="preserve"> </w:t>
      </w:r>
      <w:r>
        <w:t>A joint count model for all severity categories together, but with</w:t>
      </w:r>
      <w:r w:rsidR="00B71FAA">
        <w:t xml:space="preserve"> </w:t>
      </w:r>
      <w:r w:rsidR="00B71FAA" w:rsidRPr="00741102">
        <w:rPr>
          <w:position w:val="-14"/>
        </w:rPr>
        <w:object w:dxaOrig="279" w:dyaOrig="380">
          <v:shape id="_x0000_i1160" type="#_x0000_t75" style="width:13.5pt;height:18.75pt" o:ole="" o:preferrelative="f">
            <v:imagedata r:id="rId267" o:title=""/>
            <o:lock v:ext="edit" aspectratio="f"/>
          </v:shape>
          <o:OLEObject Type="Embed" ProgID="Equation.3" ShapeID="_x0000_i1160" DrawAspect="Content" ObjectID="_1555512549" r:id="rId268"/>
        </w:object>
      </w:r>
      <w:r w:rsidR="00B71FAA">
        <w:t xml:space="preserve"> </w:t>
      </w:r>
      <w:r>
        <w:t xml:space="preserve">for each severity category </w:t>
      </w:r>
      <w:r w:rsidRPr="00741102">
        <w:rPr>
          <w:i/>
        </w:rPr>
        <w:t>j</w:t>
      </w:r>
      <w:r>
        <w:t xml:space="preserve"> set to zero. The parameter vector estimated here is </w:t>
      </w:r>
      <w:r w:rsidR="00B71FAA" w:rsidRPr="00CB2244">
        <w:rPr>
          <w:i/>
          <w:position w:val="-10"/>
        </w:rPr>
        <w:object w:dxaOrig="2140" w:dyaOrig="360">
          <v:shape id="_x0000_i1161" type="#_x0000_t75" style="width:107.25pt;height:18pt" o:ole="" o:preferrelative="f">
            <v:imagedata r:id="rId269" o:title=""/>
            <o:lock v:ext="edit" aspectratio="f"/>
          </v:shape>
          <o:OLEObject Type="Embed" ProgID="Equation.3" ShapeID="_x0000_i1161" DrawAspect="Content" ObjectID="_1555512550" r:id="rId270"/>
        </w:object>
      </w:r>
    </w:p>
    <w:p w:rsidR="007D76FD" w:rsidRPr="00BF6017" w:rsidRDefault="000A4BCC" w:rsidP="00D72ECE">
      <w:pPr>
        <w:numPr>
          <w:ilvl w:val="0"/>
          <w:numId w:val="21"/>
        </w:numPr>
        <w:autoSpaceDE w:val="0"/>
        <w:autoSpaceDN w:val="0"/>
        <w:adjustRightInd w:val="0"/>
        <w:ind w:left="360"/>
      </w:pPr>
      <w:r>
        <w:rPr>
          <w:i/>
        </w:rPr>
        <w:t>Multivariate</w:t>
      </w:r>
      <w:r w:rsidR="00ED20D4">
        <w:rPr>
          <w:i/>
        </w:rPr>
        <w:t xml:space="preserve"> constrained spatial count (</w:t>
      </w:r>
      <w:r>
        <w:rPr>
          <w:i/>
        </w:rPr>
        <w:t>M</w:t>
      </w:r>
      <w:r w:rsidR="00ED20D4">
        <w:rPr>
          <w:i/>
        </w:rPr>
        <w:t>C</w:t>
      </w:r>
      <w:r>
        <w:rPr>
          <w:i/>
        </w:rPr>
        <w:t xml:space="preserve">SC) model </w:t>
      </w:r>
      <w:r w:rsidR="00784756">
        <w:rPr>
          <w:i/>
        </w:rPr>
        <w:t>–</w:t>
      </w:r>
      <w:r w:rsidRPr="00741102">
        <w:rPr>
          <w:i/>
        </w:rPr>
        <w:t xml:space="preserve"> </w:t>
      </w:r>
      <w:r>
        <w:t>A joint count model for all severity categories together</w:t>
      </w:r>
      <w:r w:rsidRPr="00B71FAA">
        <w:t>, with the</w:t>
      </w:r>
      <w:r>
        <w:rPr>
          <w:i/>
        </w:rPr>
        <w:t xml:space="preserve"> </w:t>
      </w:r>
      <w:r w:rsidR="00B71FAA" w:rsidRPr="00741102">
        <w:rPr>
          <w:position w:val="-14"/>
        </w:rPr>
        <w:object w:dxaOrig="279" w:dyaOrig="380">
          <v:shape id="_x0000_i1162" type="#_x0000_t75" style="width:13.5pt;height:18.75pt" o:ole="" o:preferrelative="f">
            <v:imagedata r:id="rId267" o:title=""/>
            <o:lock v:ext="edit" aspectratio="f"/>
          </v:shape>
          <o:OLEObject Type="Embed" ProgID="Equation.3" ShapeID="_x0000_i1162" DrawAspect="Content" ObjectID="_1555512551" r:id="rId271"/>
        </w:object>
      </w:r>
      <w:r>
        <w:t>terms</w:t>
      </w:r>
      <w:r w:rsidR="00ED20D4" w:rsidRPr="00B4047D">
        <w:t xml:space="preserve"> </w:t>
      </w:r>
      <w:r w:rsidR="00ED20D4">
        <w:t xml:space="preserve">for each severity category </w:t>
      </w:r>
      <w:r w:rsidR="00ED20D4" w:rsidRPr="00741102">
        <w:rPr>
          <w:i/>
        </w:rPr>
        <w:t>j</w:t>
      </w:r>
      <w:r w:rsidR="00ED20D4">
        <w:t xml:space="preserve"> constrained to be equal to a common </w:t>
      </w:r>
      <w:proofErr w:type="gramStart"/>
      <w:r w:rsidR="00ED20D4">
        <w:t xml:space="preserve">parameter </w:t>
      </w:r>
      <w:proofErr w:type="gramEnd"/>
      <w:r w:rsidR="00B71FAA" w:rsidRPr="00B71FAA">
        <w:rPr>
          <w:position w:val="-6"/>
        </w:rPr>
        <w:object w:dxaOrig="220" w:dyaOrig="340">
          <v:shape id="_x0000_i1163" type="#_x0000_t75" style="width:10.5pt;height:16.5pt" o:ole="" o:preferrelative="f">
            <v:imagedata r:id="rId272" o:title=""/>
            <o:lock v:ext="edit" aspectratio="f"/>
          </v:shape>
          <o:OLEObject Type="Embed" ProgID="Equation.3" ShapeID="_x0000_i1163" DrawAspect="Content" ObjectID="_1555512552" r:id="rId273"/>
        </w:object>
      </w:r>
      <w:r w:rsidR="00ED20D4">
        <w:t xml:space="preserve">. The parameter vector estimated here is </w:t>
      </w:r>
      <w:r w:rsidR="00B71FAA" w:rsidRPr="00CB2244">
        <w:rPr>
          <w:i/>
          <w:position w:val="-10"/>
        </w:rPr>
        <w:object w:dxaOrig="2400" w:dyaOrig="380">
          <v:shape id="_x0000_i1164" type="#_x0000_t75" style="width:120pt;height:18.75pt" o:ole="" o:preferrelative="f">
            <v:imagedata r:id="rId274" o:title=""/>
            <o:lock v:ext="edit" aspectratio="f"/>
          </v:shape>
          <o:OLEObject Type="Embed" ProgID="Equation.3" ShapeID="_x0000_i1164" DrawAspect="Content" ObjectID="_1555512553" r:id="rId275"/>
        </w:object>
      </w:r>
    </w:p>
    <w:p w:rsidR="005244C6" w:rsidRDefault="007D76FD" w:rsidP="00D72ECE">
      <w:pPr>
        <w:autoSpaceDE w:val="0"/>
        <w:autoSpaceDN w:val="0"/>
        <w:adjustRightInd w:val="0"/>
        <w:ind w:firstLine="0"/>
      </w:pPr>
      <w:r w:rsidRPr="00BF6017">
        <w:t>In the terminology above, the proposed model is the multivariate unconstrained spatial count (MUSC) model.</w:t>
      </w:r>
    </w:p>
    <w:p w:rsidR="00FC5F83" w:rsidRPr="0019608A" w:rsidRDefault="007D76FD" w:rsidP="00D72ECE">
      <w:pPr>
        <w:autoSpaceDE w:val="0"/>
        <w:autoSpaceDN w:val="0"/>
        <w:adjustRightInd w:val="0"/>
        <w:ind w:firstLine="0"/>
      </w:pPr>
      <w:r w:rsidRPr="00BF6017">
        <w:t xml:space="preserve"> </w:t>
      </w:r>
    </w:p>
    <w:p w:rsidR="00084023" w:rsidRDefault="00084023" w:rsidP="00D72ECE">
      <w:pPr>
        <w:pStyle w:val="Heading1"/>
        <w:spacing w:before="0"/>
        <w:ind w:left="360" w:hanging="360"/>
        <w:rPr>
          <w:lang w:val="en-US"/>
        </w:rPr>
      </w:pPr>
      <w:r>
        <w:t xml:space="preserve">Empirical application </w:t>
      </w:r>
    </w:p>
    <w:p w:rsidR="00BE6F63" w:rsidRPr="00BF6017" w:rsidRDefault="00307EF0" w:rsidP="00D72ECE">
      <w:pPr>
        <w:pStyle w:val="FirstLevelHeading"/>
        <w:numPr>
          <w:ilvl w:val="0"/>
          <w:numId w:val="0"/>
        </w:numPr>
        <w:ind w:left="360" w:hanging="360"/>
        <w:contextualSpacing w:val="0"/>
        <w:rPr>
          <w:lang w:val="en-US"/>
        </w:rPr>
      </w:pPr>
      <w:r>
        <w:rPr>
          <w:rStyle w:val="FirstLevelHeadingChar"/>
          <w:b/>
          <w:lang w:val="en-US"/>
        </w:rPr>
        <w:t>4.1</w:t>
      </w:r>
      <w:r w:rsidRPr="00BF6017">
        <w:rPr>
          <w:rStyle w:val="FirstLevelHeadingChar"/>
          <w:b/>
          <w:lang w:val="en-US"/>
        </w:rPr>
        <w:t xml:space="preserve"> </w:t>
      </w:r>
      <w:r>
        <w:rPr>
          <w:rStyle w:val="FirstLevelHeadingChar"/>
          <w:b/>
        </w:rPr>
        <w:t>Data</w:t>
      </w:r>
      <w:r w:rsidR="00BE6F63">
        <w:rPr>
          <w:rStyle w:val="FirstLevelHeadingChar"/>
          <w:b/>
          <w:lang w:val="en-US"/>
        </w:rPr>
        <w:t xml:space="preserve"> and Sample Formation</w:t>
      </w:r>
    </w:p>
    <w:p w:rsidR="00BE6F63" w:rsidRDefault="00BE6F63" w:rsidP="00D72ECE">
      <w:pPr>
        <w:autoSpaceDE w:val="0"/>
        <w:autoSpaceDN w:val="0"/>
        <w:adjustRightInd w:val="0"/>
        <w:ind w:firstLine="0"/>
      </w:pPr>
      <w:r>
        <w:t xml:space="preserve">The crash data used in this paper corresponds to the pedestrian data component of the non-motorized data used in </w:t>
      </w:r>
      <w:proofErr w:type="spellStart"/>
      <w:r>
        <w:t>Narayanamoorthy</w:t>
      </w:r>
      <w:proofErr w:type="spellEnd"/>
      <w:r>
        <w:t xml:space="preserve"> et al. (</w:t>
      </w:r>
      <w:r w:rsidR="00D207BD">
        <w:t>2013</w:t>
      </w:r>
      <w:r>
        <w:t xml:space="preserve">). For completeness, we provide an overview of the data and sample formation procedures here, though readers may obtain a more detailed description in </w:t>
      </w:r>
      <w:proofErr w:type="spellStart"/>
      <w:r>
        <w:t>Narayanamoorthy</w:t>
      </w:r>
      <w:proofErr w:type="spellEnd"/>
      <w:r>
        <w:t xml:space="preserve"> et al. (</w:t>
      </w:r>
      <w:r w:rsidR="00D207BD">
        <w:t>2013</w:t>
      </w:r>
      <w:r>
        <w:t xml:space="preserve">). The crash data, compiled based on reports from multiple reporting agencies (including the New York Police Department and the New York State </w:t>
      </w:r>
      <w:r>
        <w:lastRenderedPageBreak/>
        <w:t xml:space="preserve">Department of Motor Vehicles), is obtained from the </w:t>
      </w:r>
      <w:proofErr w:type="spellStart"/>
      <w:r>
        <w:t>CrashStat</w:t>
      </w:r>
      <w:proofErr w:type="spellEnd"/>
      <w:r>
        <w:t xml:space="preserve"> website, which is the result of a project undertaken by the New York City’s (NYC) Transportation Alternatives organization.  All pedestrian crashes in the year 2009 in the Manhattan area of New York City are extracted from this crash data. These crashes are geocoded, with an identification of each</w:t>
      </w:r>
      <w:r w:rsidR="00661B44">
        <w:t xml:space="preserve"> </w:t>
      </w:r>
      <w:r>
        <w:t>pedestrian injured and the severity level of the injury (classified into four levels; possible injury, non-incapacitating injury, incapacitating injury, and fatal injury</w:t>
      </w:r>
      <w:r w:rsidR="00D8390D">
        <w:rPr>
          <w:rStyle w:val="FootnoteReference"/>
        </w:rPr>
        <w:footnoteReference w:id="8"/>
      </w:r>
      <w:r w:rsidR="00661B44">
        <w:t>).</w:t>
      </w:r>
      <w:r>
        <w:t xml:space="preserve"> The counts of pedestrians per crash by severity level</w:t>
      </w:r>
      <w:r w:rsidR="00725139">
        <w:t xml:space="preserve"> are next aggregated up to the c</w:t>
      </w:r>
      <w:r>
        <w:t>ensus tract level, to obtain the count of pedestrians injured by</w:t>
      </w:r>
      <w:r w:rsidR="00725139">
        <w:t xml:space="preserve"> severity level in each of 285 c</w:t>
      </w:r>
      <w:r>
        <w:t>ensus tracts of Manhattan. In additio</w:t>
      </w:r>
      <w:r w:rsidR="00EE3ADB">
        <w:t xml:space="preserve">n to the </w:t>
      </w:r>
      <w:proofErr w:type="spellStart"/>
      <w:r w:rsidR="00EE3ADB">
        <w:t>CrashStat</w:t>
      </w:r>
      <w:proofErr w:type="spellEnd"/>
      <w:r w:rsidR="00EE3ADB">
        <w:t xml:space="preserve"> data, we used</w:t>
      </w:r>
      <w:r>
        <w:t xml:space="preserve"> other geo-ref</w:t>
      </w:r>
      <w:r w:rsidR="00725139">
        <w:t>erenced data sources to obtain c</w:t>
      </w:r>
      <w:r>
        <w:t xml:space="preserve">ensus tract-level (the spatial unit of analysis in the current paper) information on (a) socio-demographics, (b) land-use and road network, (c) activity intensity, and (d) commute mode shares and transit supply variables. </w:t>
      </w:r>
      <w:r w:rsidR="00F9713F">
        <w:t>These formed the independent variables in the analysis.</w:t>
      </w:r>
      <w:r w:rsidR="00727391">
        <w:rPr>
          <w:rStyle w:val="FootnoteReference"/>
        </w:rPr>
        <w:footnoteReference w:id="9"/>
      </w:r>
      <w:r w:rsidR="00F9713F">
        <w:t xml:space="preserve"> </w:t>
      </w:r>
    </w:p>
    <w:p w:rsidR="00BD64AC" w:rsidRDefault="00BD64AC" w:rsidP="00D72ECE">
      <w:pPr>
        <w:autoSpaceDE w:val="0"/>
        <w:autoSpaceDN w:val="0"/>
        <w:adjustRightInd w:val="0"/>
        <w:ind w:firstLine="0"/>
      </w:pPr>
    </w:p>
    <w:p w:rsidR="00BE6F63" w:rsidRPr="00BF6017" w:rsidRDefault="00672FFE" w:rsidP="00D72ECE">
      <w:pPr>
        <w:autoSpaceDE w:val="0"/>
        <w:autoSpaceDN w:val="0"/>
        <w:adjustRightInd w:val="0"/>
        <w:ind w:firstLine="0"/>
        <w:rPr>
          <w:b/>
        </w:rPr>
      </w:pPr>
      <w:r>
        <w:rPr>
          <w:b/>
        </w:rPr>
        <w:t>4.2</w:t>
      </w:r>
      <w:r w:rsidR="00BE6F63" w:rsidRPr="00BF6017">
        <w:rPr>
          <w:b/>
        </w:rPr>
        <w:t xml:space="preserve"> </w:t>
      </w:r>
      <w:r w:rsidR="00F9713F">
        <w:rPr>
          <w:b/>
        </w:rPr>
        <w:t xml:space="preserve">Sample </w:t>
      </w:r>
      <w:proofErr w:type="spellStart"/>
      <w:r w:rsidR="00F9713F">
        <w:rPr>
          <w:b/>
        </w:rPr>
        <w:t>Descriptives</w:t>
      </w:r>
      <w:proofErr w:type="spellEnd"/>
      <w:r w:rsidR="00F9713F">
        <w:rPr>
          <w:b/>
        </w:rPr>
        <w:t xml:space="preserve"> of the Dependent Variable</w:t>
      </w:r>
    </w:p>
    <w:p w:rsidR="00BE6F63" w:rsidRPr="00BC24C6" w:rsidRDefault="00725139" w:rsidP="00D72ECE">
      <w:pPr>
        <w:autoSpaceDE w:val="0"/>
        <w:autoSpaceDN w:val="0"/>
        <w:adjustRightInd w:val="0"/>
        <w:ind w:firstLine="0"/>
      </w:pPr>
      <w:r>
        <w:t>Across all c</w:t>
      </w:r>
      <w:r w:rsidR="00BE6F63">
        <w:t>ensus tracts, the sample included a to</w:t>
      </w:r>
      <w:r w:rsidR="00EE3ADB">
        <w:t>tal of 2512 injured pedestrians</w:t>
      </w:r>
      <w:r w:rsidR="00BE6F63">
        <w:t xml:space="preserve"> split by injury severity level as follows: possible injury (1700 or 67.7%), non-incapacitating injury (523 or 20.8%), incapacitating injury (250 or 10.0%), and fatal injury (39 or 1.5%). More important for the analysis in this paper, however, is to examine the sample distributions of pedestrian injuries by </w:t>
      </w:r>
      <w:r>
        <w:t>c</w:t>
      </w:r>
      <w:r w:rsidR="00BE6F63">
        <w:t xml:space="preserve">ensus tract. The total number of pedestrians injured </w:t>
      </w:r>
      <w:r w:rsidR="0077061C">
        <w:t xml:space="preserve">(across all injury severity levels) in traffic crashes </w:t>
      </w:r>
      <w:r w:rsidR="00BE6F63">
        <w:t xml:space="preserve">during the year </w:t>
      </w:r>
      <w:r w:rsidR="0077061C">
        <w:t xml:space="preserve">2009 </w:t>
      </w:r>
      <w:r w:rsidR="00BE6F63">
        <w:t xml:space="preserve">per </w:t>
      </w:r>
      <w:r>
        <w:t>c</w:t>
      </w:r>
      <w:r w:rsidR="00BE6F63">
        <w:t xml:space="preserve">ensus tract in Manhattan varied between 0 and </w:t>
      </w:r>
      <w:r w:rsidR="009F2616" w:rsidRPr="00BF6017">
        <w:t>40</w:t>
      </w:r>
      <w:r w:rsidR="00BE6F63">
        <w:t xml:space="preserve">, with an average of about 8.8 injuries per </w:t>
      </w:r>
      <w:r>
        <w:t>c</w:t>
      </w:r>
      <w:r w:rsidR="00BE6F63">
        <w:t>ensus tract.</w:t>
      </w:r>
      <w:r w:rsidR="00BE6F63" w:rsidRPr="00C75CD6">
        <w:t xml:space="preserve"> </w:t>
      </w:r>
      <w:r w:rsidR="0077061C">
        <w:t xml:space="preserve">The corresponding ranges and average for the count of pedestrians injured in traffic crashes per </w:t>
      </w:r>
      <w:r>
        <w:t>c</w:t>
      </w:r>
      <w:r w:rsidR="0077061C">
        <w:t xml:space="preserve">ensus tract by injury severity level was as follows: possible injury (0 to 25, mean of </w:t>
      </w:r>
      <w:r w:rsidR="005E41FA">
        <w:t>5.96</w:t>
      </w:r>
      <w:r w:rsidR="0077061C">
        <w:t xml:space="preserve">), non-incapacitating injury (0 to 13, mean of </w:t>
      </w:r>
      <w:r w:rsidR="005E41FA">
        <w:t>1.84</w:t>
      </w:r>
      <w:r w:rsidR="0077061C">
        <w:t xml:space="preserve">), incapacitating injury (0 to 6, mean of </w:t>
      </w:r>
      <w:r w:rsidR="005E41FA">
        <w:t>0.88</w:t>
      </w:r>
      <w:r w:rsidR="0077061C">
        <w:t xml:space="preserve">), and fatal injury (0 to 4, mean of </w:t>
      </w:r>
      <w:r w:rsidR="005E41FA">
        <w:t>0.14</w:t>
      </w:r>
      <w:r w:rsidR="0077061C">
        <w:t xml:space="preserve">). </w:t>
      </w:r>
      <w:r w:rsidR="00BE6F63" w:rsidRPr="00D169B7">
        <w:t>Figure 1 presents</w:t>
      </w:r>
      <w:r w:rsidR="00512A93" w:rsidRPr="00D169B7">
        <w:t xml:space="preserve"> the</w:t>
      </w:r>
      <w:r w:rsidR="00BE6F63" w:rsidRPr="00D169B7">
        <w:t xml:space="preserve"> </w:t>
      </w:r>
      <w:r w:rsidR="00512A93" w:rsidRPr="00D169B7">
        <w:t xml:space="preserve">percentage of </w:t>
      </w:r>
      <w:r>
        <w:t>c</w:t>
      </w:r>
      <w:r w:rsidR="00512A93" w:rsidRPr="00D169B7">
        <w:t xml:space="preserve">ensus tracts associated with each </w:t>
      </w:r>
      <w:r w:rsidR="00BE6F63" w:rsidRPr="00D169B7">
        <w:t>count of pedestrian injuries by injury severity level</w:t>
      </w:r>
      <w:r w:rsidR="0077061C" w:rsidRPr="00D169B7">
        <w:t>, though the figure</w:t>
      </w:r>
      <w:r w:rsidR="00BE6F63" w:rsidRPr="00D169B7">
        <w:t xml:space="preserve"> </w:t>
      </w:r>
      <w:r w:rsidR="0077061C" w:rsidRPr="00D169B7">
        <w:t xml:space="preserve">aggregates counts of 10 or more into a single 10+ category </w:t>
      </w:r>
      <w:r w:rsidR="00512A93" w:rsidRPr="00D169B7">
        <w:t xml:space="preserve">to keep things </w:t>
      </w:r>
      <w:r w:rsidR="00512A93" w:rsidRPr="00D169B7">
        <w:lastRenderedPageBreak/>
        <w:t xml:space="preserve">manageable from a presentation standpoint </w:t>
      </w:r>
      <w:r w:rsidR="0077061C" w:rsidRPr="00D169B7">
        <w:t xml:space="preserve">(note that there is no such aggregation in the actual count modeling, and so the </w:t>
      </w:r>
      <w:r w:rsidR="00512A93" w:rsidRPr="00D169B7">
        <w:t xml:space="preserve">spike of the count at 10+ </w:t>
      </w:r>
      <w:r w:rsidR="009C000E">
        <w:t xml:space="preserve">for the “possible injury” category </w:t>
      </w:r>
      <w:r w:rsidR="00512A93" w:rsidRPr="00D169B7">
        <w:t>in the figure is artificial)</w:t>
      </w:r>
      <w:r w:rsidR="00BE6F63" w:rsidRPr="00D169B7">
        <w:t>.</w:t>
      </w:r>
      <w:r w:rsidR="00BE6F63">
        <w:t xml:space="preserve"> </w:t>
      </w:r>
      <w:r w:rsidR="00512A93">
        <w:t xml:space="preserve">The figure points to an increasingly higher percentage of </w:t>
      </w:r>
      <w:r>
        <w:t>c</w:t>
      </w:r>
      <w:r w:rsidR="00512A93">
        <w:t xml:space="preserve">ensus tracts with zero counts as one goes from the lowest injury severity level to the highest. </w:t>
      </w:r>
      <w:r w:rsidR="0057678C">
        <w:t>In particular, the percentage of tracts with zero values steadily increases from about 9% for pedestrians with possible injury to 90% for pedestrians with fatal injury. F</w:t>
      </w:r>
      <w:r w:rsidR="00BE6F63">
        <w:t xml:space="preserve">or the possible injury severity level in particular, we also observe local spikes at non-zero count values. </w:t>
      </w:r>
      <w:r w:rsidR="00B76710">
        <w:t>While</w:t>
      </w:r>
      <w:r w:rsidR="003354F1">
        <w:t xml:space="preserve"> these may be explained by </w:t>
      </w:r>
      <w:r w:rsidR="00FE10B9">
        <w:t xml:space="preserve">some </w:t>
      </w:r>
      <w:r w:rsidR="00B76710">
        <w:t>observed exogenous variables in the corresponding count model, any remaining unexplained spikes</w:t>
      </w:r>
      <w:r w:rsidR="00BE6F63">
        <w:t xml:space="preserve"> in discrete probability mass are easily accommodated in our proposed model using the threshold </w:t>
      </w:r>
      <w:proofErr w:type="gramStart"/>
      <w:r w:rsidR="00BE6F63">
        <w:t xml:space="preserve">parameters </w:t>
      </w:r>
      <w:proofErr w:type="gramEnd"/>
      <w:r w:rsidR="000966FA" w:rsidRPr="001C6B3C">
        <w:rPr>
          <w:position w:val="-6"/>
        </w:rPr>
        <w:object w:dxaOrig="220" w:dyaOrig="220">
          <v:shape id="_x0000_i1165" type="#_x0000_t75" style="width:10.5pt;height:10.5pt" o:ole="" o:preferrelative="f">
            <v:imagedata r:id="rId276" o:title=""/>
            <o:lock v:ext="edit" aspectratio="f"/>
          </v:shape>
          <o:OLEObject Type="Embed" ProgID="Equation.DSMT4" ShapeID="_x0000_i1165" DrawAspect="Content" ObjectID="_1555512554" r:id="rId277"/>
        </w:object>
      </w:r>
      <w:r w:rsidR="00BE6F63">
        <w:t>.</w:t>
      </w:r>
    </w:p>
    <w:p w:rsidR="0057678C" w:rsidRDefault="0057678C" w:rsidP="00D72ECE">
      <w:pPr>
        <w:autoSpaceDE w:val="0"/>
        <w:autoSpaceDN w:val="0"/>
        <w:adjustRightInd w:val="0"/>
      </w:pPr>
      <w:r w:rsidRPr="00D169B7">
        <w:t xml:space="preserve">Figure 2 is a thematic map displaying the total number of pedestrian injuries in each </w:t>
      </w:r>
      <w:r w:rsidR="00725139">
        <w:t>c</w:t>
      </w:r>
      <w:r w:rsidRPr="00D169B7">
        <w:t>ensus tract</w:t>
      </w:r>
      <w:r w:rsidRPr="00EC44D2">
        <w:t>.</w:t>
      </w:r>
      <w:r>
        <w:t xml:space="preserve"> While we have developed the map for each injury severity level separately, the essential visual result that there is geographic clustering in count values holds for all the severity levels. Thus, to economize on space, we are showing only the map for total number of pedestrian injuries across all injury severity levels. </w:t>
      </w:r>
      <w:r w:rsidR="00F9713F">
        <w:t xml:space="preserve">The </w:t>
      </w:r>
      <w:r>
        <w:t xml:space="preserve">spatial clustering in Figure 2 in the </w:t>
      </w:r>
      <w:r w:rsidR="00F9713F">
        <w:t>tract-level count</w:t>
      </w:r>
      <w:r>
        <w:t xml:space="preserve"> of pedestrian injuries </w:t>
      </w:r>
      <w:r w:rsidR="00F9713F">
        <w:t xml:space="preserve">should be obvious, which supports </w:t>
      </w:r>
      <w:r>
        <w:t xml:space="preserve">the </w:t>
      </w:r>
      <w:r w:rsidR="00F9713F">
        <w:t xml:space="preserve">need to accommodate </w:t>
      </w:r>
      <w:r w:rsidRPr="00BE66F0">
        <w:t xml:space="preserve">spatial </w:t>
      </w:r>
      <w:r>
        <w:t>dependency effects</w:t>
      </w:r>
      <w:r w:rsidR="00F9713F">
        <w:t xml:space="preserve"> in the analysis. </w:t>
      </w:r>
    </w:p>
    <w:p w:rsidR="004C2BE7" w:rsidRDefault="004C2BE7" w:rsidP="00D72ECE">
      <w:pPr>
        <w:autoSpaceDE w:val="0"/>
        <w:autoSpaceDN w:val="0"/>
        <w:adjustRightInd w:val="0"/>
        <w:ind w:firstLine="0"/>
        <w:rPr>
          <w:b/>
        </w:rPr>
      </w:pPr>
    </w:p>
    <w:p w:rsidR="00F9713F" w:rsidRPr="00340283" w:rsidRDefault="00EA700C" w:rsidP="00D72ECE">
      <w:pPr>
        <w:autoSpaceDE w:val="0"/>
        <w:autoSpaceDN w:val="0"/>
        <w:adjustRightInd w:val="0"/>
        <w:ind w:firstLine="0"/>
        <w:rPr>
          <w:b/>
        </w:rPr>
      </w:pPr>
      <w:r>
        <w:rPr>
          <w:b/>
        </w:rPr>
        <w:t>4.3</w:t>
      </w:r>
      <w:r w:rsidR="00F9713F" w:rsidRPr="00340283">
        <w:rPr>
          <w:b/>
        </w:rPr>
        <w:t xml:space="preserve"> </w:t>
      </w:r>
      <w:r w:rsidR="00F9713F">
        <w:rPr>
          <w:b/>
        </w:rPr>
        <w:t xml:space="preserve">Sample </w:t>
      </w:r>
      <w:proofErr w:type="spellStart"/>
      <w:r w:rsidR="00F9713F">
        <w:rPr>
          <w:b/>
        </w:rPr>
        <w:t>Descriptives</w:t>
      </w:r>
      <w:proofErr w:type="spellEnd"/>
      <w:r w:rsidR="00F9713F">
        <w:rPr>
          <w:b/>
        </w:rPr>
        <w:t xml:space="preserve"> for the Ind</w:t>
      </w:r>
      <w:r w:rsidR="00F9713F" w:rsidRPr="00340283">
        <w:rPr>
          <w:b/>
        </w:rPr>
        <w:t>ependent Variable</w:t>
      </w:r>
      <w:r w:rsidR="00F9713F">
        <w:rPr>
          <w:b/>
        </w:rPr>
        <w:t>s</w:t>
      </w:r>
    </w:p>
    <w:p w:rsidR="00BE6F63" w:rsidRDefault="00725139" w:rsidP="00D72ECE">
      <w:pPr>
        <w:autoSpaceDE w:val="0"/>
        <w:autoSpaceDN w:val="0"/>
        <w:adjustRightInd w:val="0"/>
        <w:ind w:firstLine="0"/>
      </w:pPr>
      <w:r>
        <w:t>The c</w:t>
      </w:r>
      <w:r w:rsidR="00BE6F63">
        <w:t xml:space="preserve">ensus tract-level sociodemographic data indicates a racially diverse region. On average, the percentage of the residential population in a </w:t>
      </w:r>
      <w:r>
        <w:t>c</w:t>
      </w:r>
      <w:r w:rsidR="00BE6F63">
        <w:t>ensus tract is 48% non-Hispanic White, 15% non-Hispanic Black, 12% non-Hispanic Asian, and 23% Hispanic (including Latino and of any race), with 2% being other race/ethnicity combinations (including American Indian, mixed races (not Hispanic), and other non-Hispanic races). The corresponding percentages in the US population as a whole are 64% non-Hispanic White, 12% non-Hispanic Black, 5% non-Hispanic Asian, 16% Hispanic, and 3% other (</w:t>
      </w:r>
      <w:proofErr w:type="spellStart"/>
      <w:r w:rsidR="00BE6F63" w:rsidRPr="00BC7629">
        <w:t>Humes</w:t>
      </w:r>
      <w:proofErr w:type="spellEnd"/>
      <w:r w:rsidR="00BE6F63" w:rsidRPr="00BC7629">
        <w:t xml:space="preserve"> </w:t>
      </w:r>
      <w:r w:rsidR="00BE6F63" w:rsidRPr="00C7214B">
        <w:t>et al.</w:t>
      </w:r>
      <w:r w:rsidR="00BE6F63" w:rsidRPr="00BC7629">
        <w:t>, 2011</w:t>
      </w:r>
      <w:r w:rsidR="00BE6F63">
        <w:t>). A comparison clearly reveals the higher race/ethnicity diversity in the Manhattan population compared to the US population.</w:t>
      </w:r>
      <w:r w:rsidR="00BE6F63">
        <w:rPr>
          <w:rStyle w:val="FootnoteReference"/>
        </w:rPr>
        <w:footnoteReference w:id="10"/>
      </w:r>
      <w:r w:rsidR="00BE6F63">
        <w:t xml:space="preserve"> Further, </w:t>
      </w:r>
      <w:r w:rsidR="00BE6F63">
        <w:lastRenderedPageBreak/>
        <w:t xml:space="preserve">there is evidence of strong racial clustering within Manhattan, with some </w:t>
      </w:r>
      <w:r>
        <w:t>c</w:t>
      </w:r>
      <w:r w:rsidR="00BE6F63">
        <w:t xml:space="preserve">ensus tracts being completely Hispanic in terms of residential population, and some tracts being dominated by White, Black or Asian populations. The remaining socio-demographic variables pertain to education levels and household income, and indicate that, on average, more than half the adult population (18 years or over) in a </w:t>
      </w:r>
      <w:r>
        <w:t>c</w:t>
      </w:r>
      <w:r w:rsidR="00BE6F63">
        <w:t>ensus tract have a Bachelor’s degree or higher</w:t>
      </w:r>
      <w:r w:rsidR="00D8390D">
        <w:t>, and</w:t>
      </w:r>
      <w:r w:rsidR="00BE6F63">
        <w:t xml:space="preserve"> the </w:t>
      </w:r>
      <w:r w:rsidR="00BE6F63" w:rsidRPr="0079003C">
        <w:t>median earnings</w:t>
      </w:r>
      <w:r w:rsidR="00BE6F63">
        <w:t xml:space="preserve"> of the households in Manhattan is $72,800. On the other hand, as per the American Community Survey data of the U.S. Census Bureau, the corresponding national statistics for the percentage of the adult population with a Bachelor’s degree and the household median earnings are 27.75% and </w:t>
      </w:r>
      <w:r w:rsidR="00BE6F63" w:rsidRPr="00A27548">
        <w:t>$51,914</w:t>
      </w:r>
      <w:r w:rsidR="00BE6F63">
        <w:t>, respectively. Overall, the descriptive statistics for the socio-demographic variables in the study area indicate a more racially diverse, relatively affluent and highly educated population in Manhattan relative to the country as a whole, though there is a huge variation in the population characteristics across tracts within Manhattan.</w:t>
      </w:r>
    </w:p>
    <w:p w:rsidR="00BE6F63" w:rsidRDefault="00BE6F63" w:rsidP="00D72ECE">
      <w:pPr>
        <w:autoSpaceDE w:val="0"/>
        <w:autoSpaceDN w:val="0"/>
        <w:adjustRightInd w:val="0"/>
      </w:pPr>
      <w:r>
        <w:t xml:space="preserve">Among the land-use and road network variables, the proportion of land-use in a specific type of development (commercial, industrial, residential, and other land uses – vacant lots, open space, recreational) is computed as the ratio of the tract land area in that specific type to the total tract land area. As one may expect, the </w:t>
      </w:r>
      <w:r w:rsidRPr="00FC3D45">
        <w:t>land</w:t>
      </w:r>
      <w:r>
        <w:t>-</w:t>
      </w:r>
      <w:r w:rsidRPr="00FC3D45">
        <w:t xml:space="preserve">use in the </w:t>
      </w:r>
      <w:r w:rsidR="00725139">
        <w:t>c</w:t>
      </w:r>
      <w:r w:rsidRPr="00FC3D45">
        <w:t xml:space="preserve">ensus tracts of Manhattan </w:t>
      </w:r>
      <w:r>
        <w:t>is</w:t>
      </w:r>
      <w:r w:rsidRPr="00FC3D45">
        <w:t xml:space="preserve"> predominantly</w:t>
      </w:r>
      <w:r>
        <w:t xml:space="preserve"> </w:t>
      </w:r>
      <w:r w:rsidRPr="00FC3D45">
        <w:t>residential (</w:t>
      </w:r>
      <w:r>
        <w:t xml:space="preserve">an </w:t>
      </w:r>
      <w:r w:rsidRPr="00FC3D45">
        <w:t xml:space="preserve">average </w:t>
      </w:r>
      <w:r>
        <w:t>proportion</w:t>
      </w:r>
      <w:r w:rsidRPr="00FC3D45">
        <w:t xml:space="preserve"> </w:t>
      </w:r>
      <w:r>
        <w:t xml:space="preserve">of </w:t>
      </w:r>
      <w:r w:rsidRPr="00FC3D45">
        <w:t>0.57) and commercial (</w:t>
      </w:r>
      <w:r>
        <w:t xml:space="preserve">an </w:t>
      </w:r>
      <w:r w:rsidRPr="00FC3D45">
        <w:t xml:space="preserve">average </w:t>
      </w:r>
      <w:r>
        <w:t>proportion</w:t>
      </w:r>
      <w:r w:rsidRPr="00FC3D45">
        <w:t xml:space="preserve"> </w:t>
      </w:r>
      <w:r>
        <w:t xml:space="preserve">of </w:t>
      </w:r>
      <w:r w:rsidRPr="00FC3D45">
        <w:t>0.30)</w:t>
      </w:r>
      <w:r>
        <w:t>, with some tracts being completely invested in residential or commercial land-uses</w:t>
      </w:r>
      <w:r w:rsidR="00CF3882">
        <w:t xml:space="preserve"> (the average proportion of industrial land-use is 0.7 and the average proportion of othe</w:t>
      </w:r>
      <w:r w:rsidR="003354F1">
        <w:t>r</w:t>
      </w:r>
      <w:r w:rsidR="00CF3882">
        <w:t xml:space="preserve"> land uses is 0.6). </w:t>
      </w:r>
      <w:r>
        <w:t>The road network variables are constructed as the ratio of the total length of a specific road type (</w:t>
      </w:r>
      <w:r w:rsidR="0075104E">
        <w:t xml:space="preserve">highways, </w:t>
      </w:r>
      <w:r>
        <w:t xml:space="preserve">local neighborhood roads and city streets, and other road types, including alleys and driveways) in the </w:t>
      </w:r>
      <w:r w:rsidR="00725139">
        <w:t>c</w:t>
      </w:r>
      <w:r>
        <w:t xml:space="preserve">ensus tract to the total length of the road carriageway in that </w:t>
      </w:r>
      <w:r w:rsidR="00725139">
        <w:t>c</w:t>
      </w:r>
      <w:r>
        <w:t xml:space="preserve">ensus tract. The Manhattan </w:t>
      </w:r>
      <w:r w:rsidR="00725139">
        <w:t>c</w:t>
      </w:r>
      <w:r>
        <w:t xml:space="preserve">ensus tracts have </w:t>
      </w:r>
      <w:r w:rsidRPr="00FC3D45">
        <w:t xml:space="preserve">a high </w:t>
      </w:r>
      <w:r>
        <w:t>proportion</w:t>
      </w:r>
      <w:r w:rsidRPr="00FC3D45">
        <w:t xml:space="preserve"> of local </w:t>
      </w:r>
      <w:r>
        <w:t xml:space="preserve">neighborhood roads and </w:t>
      </w:r>
      <w:r w:rsidRPr="00FC3D45">
        <w:t>city streets</w:t>
      </w:r>
      <w:r>
        <w:t>, with a mean proportion of 0.91</w:t>
      </w:r>
      <w:r w:rsidRPr="00FC3D45">
        <w:t>.</w:t>
      </w:r>
      <w:r>
        <w:t xml:space="preserve"> However, there is substantial variation across </w:t>
      </w:r>
      <w:r w:rsidR="00725139">
        <w:t>c</w:t>
      </w:r>
      <w:r>
        <w:t xml:space="preserve">ensus tracts, with the minimum proportion being 0.22 and the maximum being 1.00. </w:t>
      </w:r>
    </w:p>
    <w:p w:rsidR="00BE6F63" w:rsidRDefault="00BE6F63" w:rsidP="00D72ECE">
      <w:pPr>
        <w:autoSpaceDE w:val="0"/>
        <w:autoSpaceDN w:val="0"/>
        <w:adjustRightInd w:val="0"/>
      </w:pPr>
      <w:r>
        <w:lastRenderedPageBreak/>
        <w:t xml:space="preserve">The activity intensity variables are included to proxy the intensity of non-motorized travel in the </w:t>
      </w:r>
      <w:r w:rsidR="00725139">
        <w:t>c</w:t>
      </w:r>
      <w:r>
        <w:t xml:space="preserve">ensus tracts. The number of schools in the </w:t>
      </w:r>
      <w:r w:rsidR="00725139">
        <w:t>c</w:t>
      </w:r>
      <w:r>
        <w:t>ensus tract refers to the total number of elementary, middle and high schools (both public and private) present in the tract</w:t>
      </w:r>
      <w:r w:rsidR="00F9713F">
        <w:t xml:space="preserve"> (range of 0 to 10, with a mean of 1.81)</w:t>
      </w:r>
      <w:r>
        <w:t xml:space="preserve">. The number of Universities is the number of post-secondary degree granting institutions in the </w:t>
      </w:r>
      <w:r w:rsidR="00725139">
        <w:t>c</w:t>
      </w:r>
      <w:r>
        <w:t>ensus tract</w:t>
      </w:r>
      <w:r w:rsidR="00F9713F">
        <w:t xml:space="preserve"> (range of 0 to 5, with a mean of 0.15). </w:t>
      </w:r>
      <w:r w:rsidR="00D8390D">
        <w:t>T</w:t>
      </w:r>
      <w:r>
        <w:t xml:space="preserve">he intensity of retail activity </w:t>
      </w:r>
      <w:r w:rsidR="00F4578F">
        <w:t xml:space="preserve">is </w:t>
      </w:r>
      <w:r>
        <w:t xml:space="preserve">computed as the ratio of total floor space allocated for retail use to the total land area of the </w:t>
      </w:r>
      <w:r w:rsidR="00725139">
        <w:t>c</w:t>
      </w:r>
      <w:r>
        <w:t>ensus tract.</w:t>
      </w:r>
      <w:r w:rsidR="00BD6099">
        <w:rPr>
          <w:rStyle w:val="FootnoteReference"/>
        </w:rPr>
        <w:footnoteReference w:id="11"/>
      </w:r>
      <w:r w:rsidR="00BD6099">
        <w:t xml:space="preserve">  </w:t>
      </w:r>
      <w:r w:rsidR="00E21069">
        <w:t>The mean value of this variable is 0.18 across trac</w:t>
      </w:r>
      <w:r w:rsidR="003354F1">
        <w:t>ts, again though with substanti</w:t>
      </w:r>
      <w:r w:rsidR="00E21069">
        <w:t>a</w:t>
      </w:r>
      <w:r w:rsidR="003354F1">
        <w:t>l</w:t>
      </w:r>
      <w:r w:rsidR="00E21069">
        <w:t xml:space="preserve"> variation across tracts ranging from a </w:t>
      </w:r>
      <w:r w:rsidR="00BD6099" w:rsidRPr="008159D4">
        <w:t>low of 0 to a high of 1.62</w:t>
      </w:r>
      <w:r w:rsidR="00E21069" w:rsidRPr="003354F1">
        <w:t>.</w:t>
      </w:r>
      <w:r w:rsidR="00E21069">
        <w:t xml:space="preserve"> </w:t>
      </w:r>
    </w:p>
    <w:p w:rsidR="0070440D" w:rsidRDefault="00BE6F63" w:rsidP="0070440D">
      <w:pPr>
        <w:autoSpaceDE w:val="0"/>
        <w:autoSpaceDN w:val="0"/>
        <w:adjustRightInd w:val="0"/>
      </w:pPr>
      <w:r>
        <w:t>The commute mode share and transit supply variables reveal the high transit and walk mode shares in the region (mean transit share across tracts is 0.57 and mean walk share across tracts is 0.22). The transit supply variables are measured by the number of bus stops (varies from 0 to 60 across tracts, with a mean of eight bus stops per tract) and the number of subway stops</w:t>
      </w:r>
      <w:r w:rsidR="00661B44">
        <w:t xml:space="preserve"> </w:t>
      </w:r>
      <w:r>
        <w:t xml:space="preserve">(varies from </w:t>
      </w:r>
      <w:r w:rsidR="00661B44">
        <w:t>0</w:t>
      </w:r>
      <w:r>
        <w:t xml:space="preserve"> to six across tracts, with a mean of 0.5 subway stops per tract). Finally, </w:t>
      </w:r>
      <w:r w:rsidRPr="00BF7BD9">
        <w:t xml:space="preserve">the </w:t>
      </w:r>
      <w:r w:rsidR="00E21069">
        <w:t xml:space="preserve">spatial proximity metric used in characterizing the spatial dependence between any pair of </w:t>
      </w:r>
      <w:r w:rsidR="00725139">
        <w:t>c</w:t>
      </w:r>
      <w:r w:rsidR="00E21069">
        <w:t xml:space="preserve">ensus tracts is computed as the </w:t>
      </w:r>
      <w:r>
        <w:t xml:space="preserve">Euclidean </w:t>
      </w:r>
      <w:r w:rsidRPr="00BF7BD9">
        <w:t xml:space="preserve">distance </w:t>
      </w:r>
      <w:r w:rsidR="00E21069">
        <w:t xml:space="preserve">(in miles) </w:t>
      </w:r>
      <w:r w:rsidRPr="00BF7BD9">
        <w:t xml:space="preserve">between </w:t>
      </w:r>
      <w:r w:rsidR="00E21069">
        <w:t xml:space="preserve">tract </w:t>
      </w:r>
      <w:r w:rsidRPr="00BF7BD9">
        <w:t>centroids</w:t>
      </w:r>
      <w:r w:rsidR="00E21069">
        <w:t>. This metric has</w:t>
      </w:r>
      <w:r>
        <w:t xml:space="preserve"> an </w:t>
      </w:r>
      <w:r w:rsidRPr="00BF7BD9">
        <w:t>average</w:t>
      </w:r>
      <w:r w:rsidR="00E21069">
        <w:t xml:space="preserve"> value of </w:t>
      </w:r>
      <w:r w:rsidRPr="00BF7BD9">
        <w:t>3.78 miles, with a minimum of 0.09 miles and a maximum of 13.15 miles</w:t>
      </w:r>
      <w:r w:rsidR="00E21069">
        <w:t>.</w:t>
      </w:r>
    </w:p>
    <w:p w:rsidR="004C2BE7" w:rsidRDefault="00BE6F63" w:rsidP="0070440D">
      <w:pPr>
        <w:autoSpaceDE w:val="0"/>
        <w:autoSpaceDN w:val="0"/>
        <w:adjustRightInd w:val="0"/>
      </w:pPr>
      <w:r w:rsidRPr="00BF7BD9">
        <w:t xml:space="preserve"> </w:t>
      </w:r>
    </w:p>
    <w:p w:rsidR="00EA700C" w:rsidRPr="003F6D00" w:rsidRDefault="00EA700C" w:rsidP="0070440D">
      <w:pPr>
        <w:pStyle w:val="Heading2"/>
        <w:numPr>
          <w:ilvl w:val="1"/>
          <w:numId w:val="29"/>
        </w:numPr>
        <w:spacing w:before="0" w:beforeAutospacing="0" w:after="0" w:afterAutospacing="0"/>
        <w:ind w:left="360" w:hanging="360"/>
      </w:pPr>
      <w:r>
        <w:t xml:space="preserve">Model Selection and </w:t>
      </w:r>
      <w:r w:rsidRPr="003F6D00">
        <w:t>Variable Specification</w:t>
      </w:r>
    </w:p>
    <w:p w:rsidR="00EA700C" w:rsidRPr="0095017C" w:rsidRDefault="00EA700C" w:rsidP="00D72ECE">
      <w:pPr>
        <w:autoSpaceDE w:val="0"/>
        <w:autoSpaceDN w:val="0"/>
        <w:adjustRightInd w:val="0"/>
        <w:ind w:firstLine="0"/>
      </w:pPr>
      <w:r w:rsidRPr="0095017C">
        <w:t>Several weight matrix specifications were considered in our empirical analysis to characterize the nature of the dynamics of the spatial lag dependence. These included (1) a contiguity specification that generates spatial dependence bas</w:t>
      </w:r>
      <w:r>
        <w:t>ed on whether or not two tracts</w:t>
      </w:r>
      <w:r w:rsidRPr="0095017C">
        <w:t xml:space="preserve"> are contiguous, (2) </w:t>
      </w:r>
      <w:r>
        <w:t>another</w:t>
      </w:r>
      <w:r w:rsidRPr="0095017C">
        <w:t xml:space="preserve"> contiguity specification but based on shared boundary length, </w:t>
      </w:r>
      <w:r w:rsidR="00DD15AD">
        <w:t xml:space="preserve">(3) weights based on </w:t>
      </w:r>
      <w:r w:rsidR="00DD15AD" w:rsidRPr="008E4924">
        <w:rPr>
          <w:i/>
        </w:rPr>
        <w:t>k-</w:t>
      </w:r>
      <w:r w:rsidR="00DD15AD">
        <w:t>nearest neighbors,</w:t>
      </w:r>
      <w:r w:rsidR="00DD15AD" w:rsidRPr="0095017C">
        <w:t xml:space="preserve"> </w:t>
      </w:r>
      <w:r w:rsidR="00DD15AD">
        <w:t>(4</w:t>
      </w:r>
      <w:r w:rsidRPr="0095017C">
        <w:t xml:space="preserve">) the inverse of a continuous </w:t>
      </w:r>
      <w:r>
        <w:t xml:space="preserve">Euclidean </w:t>
      </w:r>
      <w:r w:rsidRPr="0095017C">
        <w:t>distance specification</w:t>
      </w:r>
      <w:r>
        <w:t xml:space="preserve"> between </w:t>
      </w:r>
      <w:r w:rsidR="00725139">
        <w:t>c</w:t>
      </w:r>
      <w:r>
        <w:t>ensus tracts</w:t>
      </w:r>
      <w:r w:rsidR="00DD15AD">
        <w:t>, (5</w:t>
      </w:r>
      <w:r w:rsidRPr="0095017C">
        <w:t>) the inverse of the square of the continuous distance specification</w:t>
      </w:r>
      <w:r>
        <w:t xml:space="preserve">, </w:t>
      </w:r>
      <w:r w:rsidR="00DD15AD">
        <w:t>and (6</w:t>
      </w:r>
      <w:r w:rsidRPr="0095017C">
        <w:t xml:space="preserve">) the inverse of the exponential of the continuous distance specification. </w:t>
      </w:r>
      <w:r w:rsidR="00DD15AD" w:rsidRPr="0095017C">
        <w:t xml:space="preserve">For the last three continuous distance-based specifications, we also explored alternative distance bands </w:t>
      </w:r>
      <w:r w:rsidR="00DD15AD">
        <w:t xml:space="preserve">(2 miles, 5 miles, 7.5 miles, 10 miles, and 15 miles, the last of which corresponds to considering all pairs of tracts) to select </w:t>
      </w:r>
      <w:r w:rsidR="00DD15AD" w:rsidRPr="00D73B66">
        <w:t xml:space="preserve">the </w:t>
      </w:r>
      <w:r w:rsidR="00DD15AD">
        <w:t xml:space="preserve">distance band to consider for the </w:t>
      </w:r>
      <w:r w:rsidR="00DD15AD" w:rsidRPr="00D73B66">
        <w:t>pair</w:t>
      </w:r>
      <w:r w:rsidR="00DD15AD">
        <w:t xml:space="preserve">ing </w:t>
      </w:r>
      <w:r w:rsidR="00DD15AD" w:rsidRPr="00D73B66">
        <w:t xml:space="preserve">of </w:t>
      </w:r>
      <w:r w:rsidR="00DD15AD">
        <w:t xml:space="preserve">tracts </w:t>
      </w:r>
      <w:r w:rsidR="00DD15AD" w:rsidRPr="00D73B66">
        <w:t>in the composite marginal likelihood (CML) estimation</w:t>
      </w:r>
      <w:r w:rsidR="00DD15AD">
        <w:t>.</w:t>
      </w:r>
      <w:r w:rsidR="00DD15AD" w:rsidRPr="00D73B66">
        <w:t xml:space="preserve"> </w:t>
      </w:r>
      <w:r w:rsidR="00DD15AD">
        <w:lastRenderedPageBreak/>
        <w:t>This is because, as discussed in detail in Bhat</w:t>
      </w:r>
      <w:r w:rsidR="003C38FD">
        <w:t xml:space="preserve"> (</w:t>
      </w:r>
      <w:r w:rsidR="00DD15AD">
        <w:t>2011</w:t>
      </w:r>
      <w:r w:rsidR="003C38FD">
        <w:t>)</w:t>
      </w:r>
      <w:r w:rsidR="00DD15AD">
        <w:t xml:space="preserve"> and Bhat</w:t>
      </w:r>
      <w:r w:rsidR="003C38FD">
        <w:t xml:space="preserve"> (</w:t>
      </w:r>
      <w:r w:rsidR="00DD15AD">
        <w:t>2014</w:t>
      </w:r>
      <w:r w:rsidR="003C38FD">
        <w:t>)</w:t>
      </w:r>
      <w:r w:rsidR="00E21069">
        <w:t>,</w:t>
      </w:r>
      <w:r w:rsidR="00DD15AD">
        <w:t xml:space="preserve"> a higher efficiency of the CML estimator can be achieved by lowering the number of pairings used in the CML estimation. T</w:t>
      </w:r>
      <w:r w:rsidR="00DD15AD" w:rsidRPr="00D73B66">
        <w:t>he best estimator efficiency</w:t>
      </w:r>
      <w:r w:rsidR="00DD15AD">
        <w:t xml:space="preserve">, </w:t>
      </w:r>
      <w:r w:rsidR="00DD15AD" w:rsidRPr="009D2650">
        <w:t>based on minimizing the trace of the asymptotic covariance matrix</w:t>
      </w:r>
      <w:r w:rsidR="00DD15AD">
        <w:t xml:space="preserve"> (see Bhat, 2014), </w:t>
      </w:r>
      <w:r w:rsidR="00DD15AD" w:rsidRPr="00D73B66">
        <w:t>was obtained with a distance band of 5 miles</w:t>
      </w:r>
      <w:r w:rsidR="00DD15AD">
        <w:t xml:space="preserve"> for all three continuous distance specifications, which was then retained in subsequent estimations. </w:t>
      </w:r>
      <w:r>
        <w:t>The</w:t>
      </w:r>
      <w:r w:rsidRPr="0095017C">
        <w:t xml:space="preserve"> determination </w:t>
      </w:r>
      <w:r>
        <w:t xml:space="preserve">of the best weight specification </w:t>
      </w:r>
      <w:r w:rsidRPr="0095017C">
        <w:t xml:space="preserve">was </w:t>
      </w:r>
      <w:r w:rsidR="00DD15AD">
        <w:t xml:space="preserve">next </w:t>
      </w:r>
      <w:r w:rsidRPr="0095017C">
        <w:t>based on the composite likelihood information criterion (</w:t>
      </w:r>
      <w:r w:rsidRPr="00BD6C9B">
        <w:t>CLIC</w:t>
      </w:r>
      <w:r w:rsidRPr="0095017C">
        <w:t xml:space="preserve">) statistic, which may be used to compare the data fit of non-nested formulations (see </w:t>
      </w:r>
      <w:proofErr w:type="spellStart"/>
      <w:r w:rsidRPr="00BC7629">
        <w:t>Varin</w:t>
      </w:r>
      <w:proofErr w:type="spellEnd"/>
      <w:r w:rsidRPr="00BC7629">
        <w:t xml:space="preserve"> and </w:t>
      </w:r>
      <w:proofErr w:type="spellStart"/>
      <w:r w:rsidRPr="00BC7629">
        <w:t>Vidoni</w:t>
      </w:r>
      <w:proofErr w:type="spellEnd"/>
      <w:r w:rsidRPr="00BC7629">
        <w:t>, 2005;</w:t>
      </w:r>
      <w:r>
        <w:t xml:space="preserve"> Bhat, 2014</w:t>
      </w:r>
      <w:r w:rsidRPr="0095017C">
        <w:t>)</w:t>
      </w:r>
      <w:r>
        <w:t>.</w:t>
      </w:r>
      <w:r w:rsidRPr="0095017C">
        <w:t xml:space="preserve"> This CLIC statistic takes the form shown below:</w:t>
      </w:r>
    </w:p>
    <w:p w:rsidR="00EA700C" w:rsidRDefault="00DE2F53" w:rsidP="00D72ECE">
      <w:pPr>
        <w:ind w:firstLine="0"/>
      </w:pPr>
      <w:r w:rsidRPr="00BD6C9B">
        <w:rPr>
          <w:position w:val="-12"/>
        </w:rPr>
        <w:object w:dxaOrig="3600" w:dyaOrig="460">
          <v:shape id="_x0000_i1166" type="#_x0000_t75" style="width:180pt;height:23.25pt" o:ole="" o:preferrelative="f">
            <v:imagedata r:id="rId278" o:title=""/>
            <o:lock v:ext="edit" aspectratio="f"/>
          </v:shape>
          <o:OLEObject Type="Embed" ProgID="Equation.3" ShapeID="_x0000_i1166" DrawAspect="Content" ObjectID="_1555512555" r:id="rId279"/>
        </w:object>
      </w:r>
      <w:r w:rsidR="00EA700C">
        <w:t>,</w:t>
      </w:r>
    </w:p>
    <w:p w:rsidR="00EA700C" w:rsidRPr="0095017C" w:rsidRDefault="00EA700C" w:rsidP="00D72ECE">
      <w:pPr>
        <w:ind w:firstLine="0"/>
      </w:pPr>
      <w:proofErr w:type="gramStart"/>
      <w:r w:rsidRPr="0095017C">
        <w:t>where</w:t>
      </w:r>
      <w:proofErr w:type="gramEnd"/>
      <w:r w:rsidRPr="0095017C">
        <w:t xml:space="preserve"> </w:t>
      </w:r>
      <w:r w:rsidR="00DE2F53" w:rsidRPr="0095017C">
        <w:rPr>
          <w:position w:val="-6"/>
        </w:rPr>
        <w:object w:dxaOrig="200" w:dyaOrig="340">
          <v:shape id="_x0000_i1167" type="#_x0000_t75" style="width:9.75pt;height:16.5pt" o:ole="" o:preferrelative="f">
            <v:imagedata r:id="rId280" o:title=""/>
            <o:lock v:ext="edit" aspectratio="f"/>
          </v:shape>
          <o:OLEObject Type="Embed" ProgID="Equation.3" ShapeID="_x0000_i1167" DrawAspect="Content" ObjectID="_1555512556" r:id="rId281"/>
        </w:object>
      </w:r>
      <w:r w:rsidRPr="0095017C">
        <w:t xml:space="preserve"> is the estimated model parameter vector, and </w:t>
      </w:r>
      <w:r w:rsidR="00DE2F53" w:rsidRPr="0095017C">
        <w:rPr>
          <w:position w:val="-10"/>
        </w:rPr>
        <w:object w:dxaOrig="499" w:dyaOrig="380">
          <v:shape id="_x0000_i1168" type="#_x0000_t75" style="width:25.5pt;height:18.75pt" o:ole="" o:preferrelative="f">
            <v:imagedata r:id="rId282" o:title=""/>
            <o:lock v:ext="edit" aspectratio="f"/>
          </v:shape>
          <o:OLEObject Type="Embed" ProgID="Equation.3" ShapeID="_x0000_i1168" DrawAspect="Content" ObjectID="_1555512557" r:id="rId283"/>
        </w:object>
      </w:r>
      <w:r w:rsidRPr="0095017C">
        <w:t xml:space="preserve"> </w:t>
      </w:r>
      <w:proofErr w:type="spellStart"/>
      <w:r w:rsidRPr="0095017C">
        <w:t>and</w:t>
      </w:r>
      <w:proofErr w:type="spellEnd"/>
      <w:r w:rsidRPr="0095017C">
        <w:t xml:space="preserve"> </w:t>
      </w:r>
      <w:r w:rsidR="00DE2F53" w:rsidRPr="0095017C">
        <w:rPr>
          <w:position w:val="-10"/>
        </w:rPr>
        <w:object w:dxaOrig="560" w:dyaOrig="380">
          <v:shape id="_x0000_i1169" type="#_x0000_t75" style="width:28.5pt;height:18.75pt" o:ole="" o:preferrelative="f">
            <v:imagedata r:id="rId284" o:title=""/>
            <o:lock v:ext="edit" aspectratio="f"/>
          </v:shape>
          <o:OLEObject Type="Embed" ProgID="Equation.3" ShapeID="_x0000_i1169" DrawAspect="Content" ObjectID="_1555512558" r:id="rId285"/>
        </w:object>
      </w:r>
      <w:r w:rsidRPr="0095017C">
        <w:t xml:space="preserve"> are the “vegetable” and “bread” matrices used in the estimation of the asymptotic variance matrix </w:t>
      </w:r>
      <w:r w:rsidR="00DE2F53" w:rsidRPr="0095017C">
        <w:rPr>
          <w:position w:val="-12"/>
        </w:rPr>
        <w:object w:dxaOrig="859" w:dyaOrig="400">
          <v:shape id="_x0000_i1170" type="#_x0000_t75" style="width:43.5pt;height:20.25pt" o:ole="" o:preferrelative="f">
            <v:imagedata r:id="rId286" o:title=""/>
            <o:lock v:ext="edit" aspectratio="f"/>
          </v:shape>
          <o:OLEObject Type="Embed" ProgID="Equation.3" ShapeID="_x0000_i1170" DrawAspect="Content" ObjectID="_1555512559" r:id="rId287"/>
        </w:object>
      </w:r>
      <w:r w:rsidRPr="0095017C">
        <w:t xml:space="preserve">. In the current context, the weight specification that provides the highest value of the </w:t>
      </w:r>
      <w:r w:rsidRPr="00BD6C9B">
        <w:t>CLIC</w:t>
      </w:r>
      <w:r w:rsidRPr="0095017C">
        <w:t xml:space="preserve"> statistic is preferred over the other competing weight specifications. </w:t>
      </w:r>
      <w:r>
        <w:t xml:space="preserve">Our </w:t>
      </w:r>
      <w:r w:rsidRPr="0095017C">
        <w:t>results indicated that</w:t>
      </w:r>
      <w:r>
        <w:t>,</w:t>
      </w:r>
      <w:r w:rsidRPr="0095017C">
        <w:t xml:space="preserve"> for all variable specifications</w:t>
      </w:r>
      <w:r w:rsidR="00F05384">
        <w:t xml:space="preserve"> we attempted and for all injury severity categories</w:t>
      </w:r>
      <w:r w:rsidRPr="0095017C">
        <w:t>, the best spatial weight matrix specification was consistently the inverse of the continuous distance specification</w:t>
      </w:r>
      <w:r w:rsidR="00DD15AD">
        <w:t xml:space="preserve"> with a 5-mile distance band</w:t>
      </w:r>
      <w:r>
        <w:t xml:space="preserve">. </w:t>
      </w:r>
    </w:p>
    <w:p w:rsidR="00A72C81" w:rsidRDefault="00EA700C" w:rsidP="00D72ECE">
      <w:pPr>
        <w:autoSpaceDE w:val="0"/>
        <w:autoSpaceDN w:val="0"/>
        <w:adjustRightInd w:val="0"/>
      </w:pPr>
      <w:r w:rsidRPr="0095017C">
        <w:t>Concurrent with the weight matrix specification, we also explored several different variable specifications and fu</w:t>
      </w:r>
      <w:r w:rsidR="00442054">
        <w:t>nctional forms of the variables. Except for a handful of exogenous count variables, all other variables are continuous</w:t>
      </w:r>
      <w:r w:rsidR="00F05384">
        <w:t xml:space="preserve">. </w:t>
      </w:r>
      <w:r w:rsidR="00D61BAA">
        <w:t>For the continuous variables, we considered the variables as is, in logarithmic form (to introduce marginally decre</w:t>
      </w:r>
      <w:r w:rsidR="003354F1">
        <w:t>a</w:t>
      </w:r>
      <w:r w:rsidR="00D61BAA">
        <w:t>sing effects)</w:t>
      </w:r>
      <w:r w:rsidR="00442054">
        <w:t xml:space="preserve">, </w:t>
      </w:r>
      <w:r w:rsidR="00E21069">
        <w:t>in</w:t>
      </w:r>
      <w:r w:rsidR="00D61BAA">
        <w:t xml:space="preserve"> </w:t>
      </w:r>
      <w:r w:rsidR="00442054">
        <w:t xml:space="preserve">spline </w:t>
      </w:r>
      <w:r w:rsidR="00E21069">
        <w:t>form</w:t>
      </w:r>
      <w:r w:rsidR="00D61BAA">
        <w:t xml:space="preserve"> (to introduce flexible and piecewise non-linear effects), </w:t>
      </w:r>
      <w:r w:rsidR="00442054">
        <w:t>as well as dummy variables</w:t>
      </w:r>
      <w:r w:rsidR="00E21069">
        <w:t xml:space="preserve"> representing ranges</w:t>
      </w:r>
      <w:r w:rsidR="00442054">
        <w:t xml:space="preserve">. </w:t>
      </w:r>
      <w:r w:rsidR="00F05384">
        <w:t xml:space="preserve">The exogenous count </w:t>
      </w:r>
      <w:r w:rsidR="00442054">
        <w:t>variables (number of schools and universities, number of bus stops, and number of subway stops) were introduced as is</w:t>
      </w:r>
      <w:r w:rsidR="00F05384">
        <w:t>.</w:t>
      </w:r>
      <w:r w:rsidR="00442054">
        <w:t xml:space="preserve"> </w:t>
      </w:r>
      <w:r w:rsidR="00442054" w:rsidRPr="00A1229D">
        <w:t xml:space="preserve">All </w:t>
      </w:r>
      <w:r w:rsidR="00F05384">
        <w:t xml:space="preserve">the </w:t>
      </w:r>
      <w:r w:rsidR="00442054" w:rsidRPr="00A1229D">
        <w:t xml:space="preserve">variables </w:t>
      </w:r>
      <w:r w:rsidR="00442054">
        <w:t>were</w:t>
      </w:r>
      <w:r w:rsidR="00442054" w:rsidRPr="00A1229D">
        <w:t xml:space="preserve"> </w:t>
      </w:r>
      <w:r w:rsidR="00442054">
        <w:t>introduced in</w:t>
      </w:r>
      <w:r w:rsidR="00442054" w:rsidRPr="00A1229D">
        <w:t xml:space="preserve"> both the latent vari</w:t>
      </w:r>
      <w:r w:rsidR="00442054">
        <w:t xml:space="preserve">able </w:t>
      </w:r>
      <w:r w:rsidR="00442054" w:rsidRPr="00A1229D">
        <w:t>and threshold specification</w:t>
      </w:r>
      <w:r w:rsidR="00442054">
        <w:t xml:space="preserve">s. </w:t>
      </w:r>
      <w:r w:rsidR="00D61BAA">
        <w:t xml:space="preserve">Interaction effects of many of the variables were also considered. </w:t>
      </w:r>
      <w:r w:rsidR="00F05384">
        <w:t>The final variable specification was based o</w:t>
      </w:r>
      <w:r w:rsidR="00F05384" w:rsidRPr="0095017C">
        <w:t>n intuitive, data fit, and statistical significance considerations</w:t>
      </w:r>
      <w:r w:rsidR="00F05384">
        <w:t>, combined with a healthy dose of practical realism in the number of combinations of variables and functional forms that can be tested</w:t>
      </w:r>
      <w:r w:rsidR="00F05384" w:rsidRPr="0095017C">
        <w:t xml:space="preserve">. </w:t>
      </w:r>
      <w:bookmarkStart w:id="1" w:name="RANGE!B15"/>
      <w:bookmarkEnd w:id="1"/>
    </w:p>
    <w:p w:rsidR="00D207BD" w:rsidRDefault="00D207BD" w:rsidP="00D72ECE">
      <w:pPr>
        <w:autoSpaceDE w:val="0"/>
        <w:autoSpaceDN w:val="0"/>
        <w:adjustRightInd w:val="0"/>
      </w:pPr>
    </w:p>
    <w:p w:rsidR="00202819" w:rsidRPr="00672FFE" w:rsidRDefault="00202819" w:rsidP="00BC264F">
      <w:pPr>
        <w:pStyle w:val="Heading2"/>
        <w:keepNext/>
        <w:keepLines/>
        <w:numPr>
          <w:ilvl w:val="1"/>
          <w:numId w:val="29"/>
        </w:numPr>
        <w:spacing w:before="0" w:beforeAutospacing="0" w:after="0" w:afterAutospacing="0"/>
        <w:ind w:left="360" w:hanging="360"/>
        <w:rPr>
          <w:shd w:val="clear" w:color="auto" w:fill="FFFFFF"/>
        </w:rPr>
      </w:pPr>
      <w:r w:rsidRPr="00672FFE">
        <w:rPr>
          <w:shd w:val="clear" w:color="auto" w:fill="FFFFFF"/>
        </w:rPr>
        <w:lastRenderedPageBreak/>
        <w:t>Model Estimation Results</w:t>
      </w:r>
    </w:p>
    <w:p w:rsidR="003402C7" w:rsidRDefault="00661B44" w:rsidP="00BC264F">
      <w:pPr>
        <w:keepNext/>
        <w:keepLines/>
        <w:ind w:firstLine="0"/>
        <w:rPr>
          <w:shd w:val="clear" w:color="auto" w:fill="FFFFFF"/>
        </w:rPr>
      </w:pPr>
      <w:r>
        <w:rPr>
          <w:shd w:val="clear" w:color="auto" w:fill="FFFFFF"/>
        </w:rPr>
        <w:t xml:space="preserve">Several sets of parameters </w:t>
      </w:r>
      <w:r w:rsidR="007624C2">
        <w:rPr>
          <w:shd w:val="clear" w:color="auto" w:fill="FFFFFF"/>
        </w:rPr>
        <w:t xml:space="preserve">constitute the model proposed here. In this section, we first discuss </w:t>
      </w:r>
      <w:r w:rsidR="007624C2" w:rsidRPr="009D2F9C">
        <w:rPr>
          <w:shd w:val="clear" w:color="auto" w:fill="FFFFFF"/>
        </w:rPr>
        <w:t xml:space="preserve">the </w:t>
      </w:r>
      <w:r w:rsidR="001E6A47">
        <w:rPr>
          <w:shd w:val="clear" w:color="auto" w:fill="FFFFFF"/>
        </w:rPr>
        <w:t xml:space="preserve">mean </w:t>
      </w:r>
      <w:r w:rsidR="007624C2" w:rsidRPr="009D2F9C">
        <w:rPr>
          <w:shd w:val="clear" w:color="auto" w:fill="FFFFFF"/>
        </w:rPr>
        <w:t xml:space="preserve">effects of the exogenous variables on the </w:t>
      </w:r>
      <w:r w:rsidR="007624C2">
        <w:rPr>
          <w:shd w:val="clear" w:color="auto" w:fill="FFFFFF"/>
        </w:rPr>
        <w:t xml:space="preserve">long-term </w:t>
      </w:r>
      <w:r w:rsidR="007624C2" w:rsidRPr="009D2F9C">
        <w:rPr>
          <w:shd w:val="clear" w:color="auto" w:fill="FFFFFF"/>
        </w:rPr>
        <w:t>injury risk propensities</w:t>
      </w:r>
      <w:r w:rsidR="001E6A47">
        <w:rPr>
          <w:shd w:val="clear" w:color="auto" w:fill="FFFFFF"/>
        </w:rPr>
        <w:t xml:space="preserve"> (the </w:t>
      </w:r>
      <w:r w:rsidR="005D3E67" w:rsidRPr="00521D37">
        <w:rPr>
          <w:position w:val="-14"/>
        </w:rPr>
        <w:object w:dxaOrig="260" w:dyaOrig="380">
          <v:shape id="_x0000_i1171" type="#_x0000_t75" style="width:12.75pt;height:18.75pt" o:ole="" o:preferrelative="f">
            <v:imagedata r:id="rId288" o:title=""/>
            <o:lock v:ext="edit" aspectratio="f"/>
          </v:shape>
          <o:OLEObject Type="Embed" ProgID="Equation.3" ShapeID="_x0000_i1171" DrawAspect="Content" ObjectID="_1555512560" r:id="rId289"/>
        </w:object>
      </w:r>
      <w:r w:rsidR="001E6A47">
        <w:t>parameters)</w:t>
      </w:r>
      <w:r w:rsidR="001E6A47">
        <w:rPr>
          <w:shd w:val="clear" w:color="auto" w:fill="FFFFFF"/>
        </w:rPr>
        <w:t xml:space="preserve">, along with the covariance effects of these exogenous variables (the </w:t>
      </w:r>
      <w:r w:rsidR="00B71FAA" w:rsidRPr="00BF6017">
        <w:rPr>
          <w:b/>
          <w:position w:val="-14"/>
        </w:rPr>
        <w:object w:dxaOrig="340" w:dyaOrig="380">
          <v:shape id="_x0000_i1172" type="#_x0000_t75" style="width:16.5pt;height:18.75pt" o:ole="" o:preferrelative="f">
            <v:imagedata r:id="rId97" o:title=""/>
            <o:lock v:ext="edit" aspectratio="f"/>
          </v:shape>
          <o:OLEObject Type="Embed" ProgID="Equation.3" ShapeID="_x0000_i1172" DrawAspect="Content" ObjectID="_1555512561" r:id="rId290"/>
        </w:object>
      </w:r>
      <w:r w:rsidR="00B71FAA">
        <w:rPr>
          <w:b/>
        </w:rPr>
        <w:t xml:space="preserve"> </w:t>
      </w:r>
      <w:r w:rsidR="001E6A47" w:rsidRPr="008159D4">
        <w:t>element</w:t>
      </w:r>
      <w:r w:rsidR="00D8390D" w:rsidRPr="003354F1">
        <w:t>s), f</w:t>
      </w:r>
      <w:r w:rsidR="001E6A47">
        <w:rPr>
          <w:shd w:val="clear" w:color="auto" w:fill="FFFFFF"/>
        </w:rPr>
        <w:t xml:space="preserve">or the </w:t>
      </w:r>
      <w:r w:rsidR="007624C2">
        <w:rPr>
          <w:shd w:val="clear" w:color="auto" w:fill="FFFFFF"/>
        </w:rPr>
        <w:t xml:space="preserve">count models of </w:t>
      </w:r>
      <w:r w:rsidR="001E6A47">
        <w:rPr>
          <w:shd w:val="clear" w:color="auto" w:fill="FFFFFF"/>
        </w:rPr>
        <w:t xml:space="preserve">different </w:t>
      </w:r>
      <w:r w:rsidR="007624C2">
        <w:rPr>
          <w:shd w:val="clear" w:color="auto" w:fill="FFFFFF"/>
        </w:rPr>
        <w:t>injury severity</w:t>
      </w:r>
      <w:r w:rsidR="001E6A47">
        <w:rPr>
          <w:shd w:val="clear" w:color="auto" w:fill="FFFFFF"/>
        </w:rPr>
        <w:t xml:space="preserve"> levels </w:t>
      </w:r>
      <w:r w:rsidR="001E6A47" w:rsidRPr="008159D4">
        <w:rPr>
          <w:i/>
          <w:shd w:val="clear" w:color="auto" w:fill="FFFFFF"/>
        </w:rPr>
        <w:t>j</w:t>
      </w:r>
      <w:r w:rsidR="001E6A47">
        <w:rPr>
          <w:shd w:val="clear" w:color="auto" w:fill="FFFFFF"/>
        </w:rPr>
        <w:t>.</w:t>
      </w:r>
      <w:r w:rsidR="007624C2">
        <w:rPr>
          <w:shd w:val="clear" w:color="auto" w:fill="FFFFFF"/>
        </w:rPr>
        <w:t xml:space="preserve"> </w:t>
      </w:r>
      <w:r w:rsidR="001E6A47">
        <w:rPr>
          <w:shd w:val="clear" w:color="auto" w:fill="FFFFFF"/>
        </w:rPr>
        <w:t xml:space="preserve">We </w:t>
      </w:r>
      <w:r w:rsidR="00063A53">
        <w:rPr>
          <w:shd w:val="clear" w:color="auto" w:fill="FFFFFF"/>
        </w:rPr>
        <w:t xml:space="preserve">next proceed to the elements of </w:t>
      </w:r>
      <w:proofErr w:type="gramStart"/>
      <w:r w:rsidR="00063A53">
        <w:rPr>
          <w:shd w:val="clear" w:color="auto" w:fill="FFFFFF"/>
        </w:rPr>
        <w:t xml:space="preserve">the </w:t>
      </w:r>
      <w:r w:rsidR="00B71FAA" w:rsidRPr="00BF6017">
        <w:rPr>
          <w:b/>
          <w:position w:val="-12"/>
        </w:rPr>
        <w:object w:dxaOrig="300" w:dyaOrig="360">
          <v:shape id="_x0000_i1173" type="#_x0000_t75" style="width:15pt;height:18pt" o:ole="" o:preferrelative="f">
            <v:imagedata r:id="rId106" o:title=""/>
            <o:lock v:ext="edit" aspectratio="f"/>
          </v:shape>
          <o:OLEObject Type="Embed" ProgID="Equation.3" ShapeID="_x0000_i1173" DrawAspect="Content" ObjectID="_1555512562" r:id="rId291"/>
        </w:object>
      </w:r>
      <w:r w:rsidR="00063A53">
        <w:rPr>
          <w:b/>
        </w:rPr>
        <w:t xml:space="preserve"> </w:t>
      </w:r>
      <w:r w:rsidR="00063A53" w:rsidRPr="00032153">
        <w:t>for</w:t>
      </w:r>
      <w:proofErr w:type="gramEnd"/>
      <w:r w:rsidR="00063A53" w:rsidRPr="00032153">
        <w:t xml:space="preserve"> each variable </w:t>
      </w:r>
      <w:r w:rsidR="00063A53" w:rsidRPr="00032153">
        <w:rPr>
          <w:i/>
        </w:rPr>
        <w:t>k</w:t>
      </w:r>
      <w:r w:rsidR="00063A53" w:rsidRPr="00032153">
        <w:t xml:space="preserve"> that engender </w:t>
      </w:r>
      <w:proofErr w:type="spellStart"/>
      <w:r w:rsidR="00063A53" w:rsidRPr="009D2F9C">
        <w:rPr>
          <w:shd w:val="clear" w:color="auto" w:fill="FFFFFF"/>
        </w:rPr>
        <w:t>multivariateness</w:t>
      </w:r>
      <w:proofErr w:type="spellEnd"/>
      <w:r w:rsidR="00063A53" w:rsidRPr="009D2F9C">
        <w:rPr>
          <w:shd w:val="clear" w:color="auto" w:fill="FFFFFF"/>
        </w:rPr>
        <w:t xml:space="preserve"> across injury levels</w:t>
      </w:r>
      <w:r w:rsidR="00063A53">
        <w:rPr>
          <w:shd w:val="clear" w:color="auto" w:fill="FFFFFF"/>
        </w:rPr>
        <w:t xml:space="preserve">, </w:t>
      </w:r>
      <w:r w:rsidR="00D8390D">
        <w:rPr>
          <w:shd w:val="clear" w:color="auto" w:fill="FFFFFF"/>
        </w:rPr>
        <w:t xml:space="preserve">and </w:t>
      </w:r>
      <w:r w:rsidR="00063A53">
        <w:rPr>
          <w:shd w:val="clear" w:color="auto" w:fill="FFFFFF"/>
        </w:rPr>
        <w:t xml:space="preserve">then to the </w:t>
      </w:r>
      <w:r w:rsidR="007624C2">
        <w:rPr>
          <w:shd w:val="clear" w:color="auto" w:fill="FFFFFF"/>
        </w:rPr>
        <w:t xml:space="preserve">effects of exogenous variables on the thresholds </w:t>
      </w:r>
      <w:r w:rsidR="001E6A47">
        <w:rPr>
          <w:shd w:val="clear" w:color="auto" w:fill="FFFFFF"/>
        </w:rPr>
        <w:t xml:space="preserve">(the </w:t>
      </w:r>
      <w:r w:rsidR="00B71FAA" w:rsidRPr="008D374A">
        <w:rPr>
          <w:position w:val="-14"/>
        </w:rPr>
        <w:object w:dxaOrig="260" w:dyaOrig="400">
          <v:shape id="_x0000_i1174" type="#_x0000_t75" style="width:13.5pt;height:20.25pt" o:ole="" o:preferrelative="f">
            <v:imagedata r:id="rId66" o:title=""/>
            <o:lock v:ext="edit" aspectratio="f"/>
          </v:shape>
          <o:OLEObject Type="Embed" ProgID="Equation.3" ShapeID="_x0000_i1174" DrawAspect="Content" ObjectID="_1555512563" r:id="rId292"/>
        </w:object>
      </w:r>
      <w:r w:rsidR="00B71FAA">
        <w:t xml:space="preserve"> </w:t>
      </w:r>
      <w:r w:rsidR="001E6A47">
        <w:t xml:space="preserve">parameters) and the </w:t>
      </w:r>
      <w:r w:rsidR="00B71FAA" w:rsidRPr="008D374A">
        <w:rPr>
          <w:position w:val="-16"/>
        </w:rPr>
        <w:object w:dxaOrig="620" w:dyaOrig="400">
          <v:shape id="_x0000_i1175" type="#_x0000_t75" style="width:30.75pt;height:20.25pt" o:ole="" o:preferrelative="f">
            <v:imagedata r:id="rId293" o:title=""/>
            <o:lock v:ext="edit" aspectratio="f"/>
          </v:shape>
          <o:OLEObject Type="Embed" ProgID="Equation.3" ShapeID="_x0000_i1175" DrawAspect="Content" ObjectID="_1555512564" r:id="rId294"/>
        </w:object>
      </w:r>
      <w:r w:rsidR="003402C7">
        <w:t>ele</w:t>
      </w:r>
      <w:r w:rsidR="001E6A47">
        <w:t>m</w:t>
      </w:r>
      <w:r w:rsidR="003402C7">
        <w:t>e</w:t>
      </w:r>
      <w:r w:rsidR="00D8390D">
        <w:t>nts in the thresholds</w:t>
      </w:r>
      <w:r w:rsidR="00063A53">
        <w:rPr>
          <w:shd w:val="clear" w:color="auto" w:fill="FFFFFF"/>
        </w:rPr>
        <w:t>. F</w:t>
      </w:r>
      <w:r w:rsidR="00E67089">
        <w:rPr>
          <w:shd w:val="clear" w:color="auto" w:fill="FFFFFF"/>
        </w:rPr>
        <w:t>inally</w:t>
      </w:r>
      <w:r w:rsidR="00063A53">
        <w:rPr>
          <w:shd w:val="clear" w:color="auto" w:fill="FFFFFF"/>
        </w:rPr>
        <w:t xml:space="preserve">, we present </w:t>
      </w:r>
      <w:r w:rsidR="00E67089">
        <w:rPr>
          <w:shd w:val="clear" w:color="auto" w:fill="FFFFFF"/>
        </w:rPr>
        <w:t>the spati</w:t>
      </w:r>
      <w:r w:rsidR="003402C7">
        <w:rPr>
          <w:shd w:val="clear" w:color="auto" w:fill="FFFFFF"/>
        </w:rPr>
        <w:t>a</w:t>
      </w:r>
      <w:r w:rsidR="00E67089">
        <w:rPr>
          <w:shd w:val="clear" w:color="auto" w:fill="FFFFFF"/>
        </w:rPr>
        <w:t>l</w:t>
      </w:r>
      <w:r w:rsidR="003402C7">
        <w:rPr>
          <w:shd w:val="clear" w:color="auto" w:fill="FFFFFF"/>
        </w:rPr>
        <w:t xml:space="preserve"> dependency </w:t>
      </w:r>
      <w:proofErr w:type="gramStart"/>
      <w:r w:rsidR="003402C7">
        <w:rPr>
          <w:shd w:val="clear" w:color="auto" w:fill="FFFFFF"/>
        </w:rPr>
        <w:t xml:space="preserve">effects </w:t>
      </w:r>
      <w:proofErr w:type="gramEnd"/>
      <w:r w:rsidR="00B71FAA" w:rsidRPr="00F545D5">
        <w:rPr>
          <w:position w:val="-14"/>
        </w:rPr>
        <w:object w:dxaOrig="279" w:dyaOrig="380">
          <v:shape id="_x0000_i1176" type="#_x0000_t75" style="width:13.5pt;height:18.75pt" o:ole="" o:preferrelative="f">
            <v:imagedata r:id="rId249" o:title=""/>
            <o:lock v:ext="edit" aspectratio="f"/>
          </v:shape>
          <o:OLEObject Type="Embed" ProgID="Equation.3" ShapeID="_x0000_i1176" DrawAspect="Content" ObjectID="_1555512565" r:id="rId295"/>
        </w:object>
      </w:r>
      <w:r w:rsidR="007624C2" w:rsidRPr="009D2F9C">
        <w:rPr>
          <w:shd w:val="clear" w:color="auto" w:fill="FFFFFF"/>
        </w:rPr>
        <w:t xml:space="preserve">. </w:t>
      </w:r>
    </w:p>
    <w:p w:rsidR="00082D23" w:rsidRDefault="00082D23" w:rsidP="00D72ECE"/>
    <w:p w:rsidR="0093563D" w:rsidRPr="00672FFE" w:rsidRDefault="00202819" w:rsidP="0070440D">
      <w:pPr>
        <w:pStyle w:val="Heading3"/>
        <w:numPr>
          <w:ilvl w:val="0"/>
          <w:numId w:val="0"/>
        </w:numPr>
        <w:spacing w:before="0"/>
      </w:pPr>
      <w:r w:rsidRPr="00672FFE">
        <w:t xml:space="preserve">4.5.1 </w:t>
      </w:r>
      <w:r w:rsidR="00534734" w:rsidRPr="00672FFE">
        <w:t>Long</w:t>
      </w:r>
      <w:r w:rsidR="00672FFE">
        <w:t>-T</w:t>
      </w:r>
      <w:r w:rsidR="00534734" w:rsidRPr="00672FFE">
        <w:t>erm Injury Risk Propensi</w:t>
      </w:r>
      <w:r w:rsidR="00ED2165" w:rsidRPr="00672FFE">
        <w:t>ty</w:t>
      </w:r>
    </w:p>
    <w:p w:rsidR="009426E3" w:rsidRPr="00D72ECE" w:rsidRDefault="009426E3" w:rsidP="00D72ECE">
      <w:pPr>
        <w:ind w:firstLine="0"/>
        <w:rPr>
          <w:u w:val="single"/>
        </w:rPr>
      </w:pPr>
      <w:r w:rsidRPr="00D72ECE">
        <w:rPr>
          <w:u w:val="single"/>
        </w:rPr>
        <w:t>4.5.1.1 Socio-Demographic Variables</w:t>
      </w:r>
    </w:p>
    <w:p w:rsidR="00DD3F46" w:rsidRDefault="009D2EF6" w:rsidP="00D72ECE">
      <w:pPr>
        <w:ind w:firstLine="0"/>
      </w:pPr>
      <w:r>
        <w:t>Table 1 provides the effects of variables and related covariance elements. As expected, the table shows a positive mean effect of the logarithm of population density</w:t>
      </w:r>
      <w:r w:rsidR="001169F8">
        <w:t xml:space="preserve"> (which is the main exposure </w:t>
      </w:r>
      <w:r>
        <w:t xml:space="preserve">measure in terms of pedestrian traffic in the current paper) for all severity levels. </w:t>
      </w:r>
      <w:r w:rsidR="001169F8">
        <w:t>T</w:t>
      </w:r>
      <w:r w:rsidR="007B7AC2">
        <w:t xml:space="preserve">here </w:t>
      </w:r>
      <w:r w:rsidR="001169F8">
        <w:t xml:space="preserve">also is </w:t>
      </w:r>
      <w:r w:rsidR="00D8390D">
        <w:t>su</w:t>
      </w:r>
      <w:r w:rsidR="007B7AC2">
        <w:t xml:space="preserve">bstantial heterogeneity </w:t>
      </w:r>
      <w:r w:rsidR="00DD3F46">
        <w:t xml:space="preserve">(across </w:t>
      </w:r>
      <w:r w:rsidR="00725139">
        <w:t>c</w:t>
      </w:r>
      <w:r w:rsidR="00DD3F46">
        <w:t xml:space="preserve">ensus tracts) </w:t>
      </w:r>
      <w:r w:rsidR="007B7AC2">
        <w:t>in the effect of this variable for the two lower injury severity levels of “possible” and “non-incapacitating” counts</w:t>
      </w:r>
      <w:r w:rsidR="00D8390D">
        <w:t>. In fact, the results indicate</w:t>
      </w:r>
      <w:r w:rsidR="007B7AC2">
        <w:t xml:space="preserve"> that an increase in population density is actually associated with a decrease in the risk propensity of possible injuries and non-incapacitating injuries for 1% and 5% of </w:t>
      </w:r>
      <w:r w:rsidR="00725139">
        <w:t>c</w:t>
      </w:r>
      <w:r w:rsidR="007B7AC2">
        <w:t>ensus tracts, respectively.  This wide variation in the effect of population density (including positive and negative effects) represents a mix</w:t>
      </w:r>
      <w:r w:rsidR="00705D1F">
        <w:t xml:space="preserve"> of different factors that moderate the </w:t>
      </w:r>
      <w:r w:rsidR="007B7AC2">
        <w:t>population density</w:t>
      </w:r>
      <w:r w:rsidR="00705D1F">
        <w:t xml:space="preserve"> influence</w:t>
      </w:r>
      <w:r w:rsidR="000857D7">
        <w:t>, including the positive effects of exposure</w:t>
      </w:r>
      <w:r w:rsidR="009E4ADD">
        <w:t xml:space="preserve"> and potential social deprivation effects</w:t>
      </w:r>
      <w:r w:rsidR="00063A53">
        <w:t>,</w:t>
      </w:r>
      <w:r w:rsidR="009E4ADD">
        <w:t xml:space="preserve"> as well as negative effects that may be related to more cautious driver behavior because of awareness of pedestrians and reduced motorist driving speeds</w:t>
      </w:r>
      <w:r w:rsidR="007B7AC2">
        <w:t xml:space="preserve">.  </w:t>
      </w:r>
      <w:r w:rsidR="009E4ADD">
        <w:t xml:space="preserve">Earlier studies that have not considered heterogeneity effects indicate a pure positive </w:t>
      </w:r>
      <w:r w:rsidR="00010C22">
        <w:t xml:space="preserve">or no </w:t>
      </w:r>
      <w:r w:rsidR="009E4ADD">
        <w:t xml:space="preserve">effect </w:t>
      </w:r>
      <w:r w:rsidR="00010C22">
        <w:t xml:space="preserve">at all on some injury severity categories </w:t>
      </w:r>
      <w:r w:rsidR="009E4ADD">
        <w:t>(such as Ha and Thill, 2011</w:t>
      </w:r>
      <w:r w:rsidR="003C3DB4">
        <w:t xml:space="preserve">, </w:t>
      </w:r>
      <w:proofErr w:type="spellStart"/>
      <w:r w:rsidR="003C3DB4">
        <w:t>Jermprapai</w:t>
      </w:r>
      <w:proofErr w:type="spellEnd"/>
      <w:r w:rsidR="003C3DB4">
        <w:t xml:space="preserve"> and Srinivasan, 201</w:t>
      </w:r>
      <w:r w:rsidR="000C0467">
        <w:t>4</w:t>
      </w:r>
      <w:r w:rsidR="003C3DB4">
        <w:t>,</w:t>
      </w:r>
      <w:r w:rsidR="009E4ADD">
        <w:t xml:space="preserve"> and </w:t>
      </w:r>
      <w:proofErr w:type="spellStart"/>
      <w:r w:rsidR="009E4ADD">
        <w:t>Narayanamoorthy</w:t>
      </w:r>
      <w:proofErr w:type="spellEnd"/>
      <w:r w:rsidR="009E4ADD">
        <w:t xml:space="preserve"> et al., 201</w:t>
      </w:r>
      <w:r w:rsidR="008159D4">
        <w:t>3</w:t>
      </w:r>
      <w:r w:rsidR="009E4ADD">
        <w:t>) or a pure negative effect (see, for example, Pharr et al., 20</w:t>
      </w:r>
      <w:r w:rsidR="00010C22">
        <w:t>13). Our results reconcile</w:t>
      </w:r>
      <w:r w:rsidR="006E515C">
        <w:t xml:space="preserve"> </w:t>
      </w:r>
      <w:r w:rsidR="00010C22">
        <w:t xml:space="preserve">the apparent contradictory results from earlier research by allowing a range of effects of population density. Also interesting from our results is that there is no heterogeneity in the population density effect </w:t>
      </w:r>
      <w:r w:rsidR="00DD3F46">
        <w:t xml:space="preserve">on pedestrian injury risk propensity </w:t>
      </w:r>
      <w:r w:rsidR="00010C22">
        <w:t>for t</w:t>
      </w:r>
      <w:r w:rsidR="00DD3F46">
        <w:t xml:space="preserve">he more </w:t>
      </w:r>
      <w:r w:rsidR="00010C22">
        <w:t xml:space="preserve">severe “incapacitating” and “fatal” </w:t>
      </w:r>
      <w:r w:rsidR="00DD3F46">
        <w:t xml:space="preserve">injury levels, a finding also obtained by </w:t>
      </w:r>
      <w:proofErr w:type="spellStart"/>
      <w:r w:rsidR="00DD3F46">
        <w:t>Amoh-Gyimah</w:t>
      </w:r>
      <w:proofErr w:type="spellEnd"/>
      <w:r w:rsidR="00DD3F46">
        <w:t xml:space="preserve"> et al. (2016). This suggests that pedestrian exposure and any social deprivation </w:t>
      </w:r>
      <w:r w:rsidR="00DD3F46">
        <w:lastRenderedPageBreak/>
        <w:t>effects uniformly impact risk propensity for severe pedestrian in</w:t>
      </w:r>
      <w:r w:rsidR="001169F8">
        <w:t>j</w:t>
      </w:r>
      <w:r w:rsidR="00DD3F46">
        <w:t>uries</w:t>
      </w:r>
      <w:r w:rsidR="00B32268">
        <w:t xml:space="preserve">, and especially </w:t>
      </w:r>
      <w:r w:rsidR="00D8390D">
        <w:t xml:space="preserve">so </w:t>
      </w:r>
      <w:r w:rsidR="00B32268">
        <w:t xml:space="preserve">for the highest severity level of fatal </w:t>
      </w:r>
      <w:r w:rsidR="00BF001D">
        <w:t>injuries. N</w:t>
      </w:r>
      <w:r w:rsidR="00B32268">
        <w:t>ote that, since all the propensity risks are normalized to the same error scale of one, the coefficients on a variable are comparable across injury severity levels in Table 1 if they both do not have unobserved heterogeneity associated with them</w:t>
      </w:r>
      <w:r w:rsidR="00BF001D">
        <w:t xml:space="preserve">. </w:t>
      </w:r>
      <w:r w:rsidR="00712279">
        <w:t xml:space="preserve">But, in the presence of unobserved heterogeneity (as for the population density effects on the two less severe injury levels in Table 1), elasticity effects will need to be computed to determine relative magnitude effects, which we undertake in Section 4.7.  </w:t>
      </w:r>
    </w:p>
    <w:p w:rsidR="00F802D8" w:rsidRDefault="00EC4ADE" w:rsidP="00D72ECE">
      <w:r>
        <w:t xml:space="preserve">The </w:t>
      </w:r>
      <w:r w:rsidR="00142B07">
        <w:t xml:space="preserve">next </w:t>
      </w:r>
      <w:r>
        <w:t xml:space="preserve">two </w:t>
      </w:r>
      <w:r w:rsidR="00EB26D5">
        <w:t>variables relate</w:t>
      </w:r>
      <w:r w:rsidR="00142B07">
        <w:t xml:space="preserve"> to </w:t>
      </w:r>
      <w:r w:rsidR="00EB26D5">
        <w:t xml:space="preserve">age </w:t>
      </w:r>
      <w:r w:rsidR="0029730D">
        <w:t xml:space="preserve">and education </w:t>
      </w:r>
      <w:r w:rsidR="00EB26D5">
        <w:t xml:space="preserve">distributions. The first of these </w:t>
      </w:r>
      <w:r w:rsidR="00142B07">
        <w:t xml:space="preserve">reveal that </w:t>
      </w:r>
      <w:r w:rsidR="0029730D">
        <w:t xml:space="preserve">a higher proportion of </w:t>
      </w:r>
      <w:r w:rsidR="00142B07">
        <w:t xml:space="preserve">young individuals </w:t>
      </w:r>
      <w:r w:rsidR="00D8390D">
        <w:t>(19 years of age or less</w:t>
      </w:r>
      <w:r w:rsidR="00142B07">
        <w:t xml:space="preserve">) in a tract tends to </w:t>
      </w:r>
      <w:r w:rsidR="0029730D">
        <w:t>decrease</w:t>
      </w:r>
      <w:r w:rsidR="00142B07">
        <w:t xml:space="preserve"> pedestrian risk propensity for “incapacitating” injuries</w:t>
      </w:r>
      <w:r w:rsidR="00EB26D5">
        <w:t xml:space="preserve">. This </w:t>
      </w:r>
      <w:r w:rsidR="00D8390D">
        <w:t xml:space="preserve">result </w:t>
      </w:r>
      <w:r>
        <w:t xml:space="preserve">is </w:t>
      </w:r>
      <w:r w:rsidR="00B46256">
        <w:t xml:space="preserve">not consistent with some </w:t>
      </w:r>
      <w:r>
        <w:t>earlier studies</w:t>
      </w:r>
      <w:r w:rsidR="00B46256">
        <w:t xml:space="preserve"> (see, for example, </w:t>
      </w:r>
      <w:proofErr w:type="spellStart"/>
      <w:r w:rsidR="00F50EB3">
        <w:t>Amoh-Gyimah</w:t>
      </w:r>
      <w:proofErr w:type="spellEnd"/>
      <w:r w:rsidR="00F50EB3">
        <w:t xml:space="preserve"> et al</w:t>
      </w:r>
      <w:r w:rsidR="006D0744">
        <w:t>.</w:t>
      </w:r>
      <w:r w:rsidR="00F50EB3">
        <w:t xml:space="preserve">, 2016 and </w:t>
      </w:r>
      <w:r w:rsidR="003C3DB4">
        <w:t>more extensive review</w:t>
      </w:r>
      <w:r w:rsidR="00F50EB3">
        <w:t>s</w:t>
      </w:r>
      <w:r w:rsidR="003C3DB4">
        <w:t xml:space="preserve"> in </w:t>
      </w:r>
      <w:r w:rsidR="00F50EB3">
        <w:t>Stoker e</w:t>
      </w:r>
      <w:r w:rsidR="003C3DB4">
        <w:t>t al., 2015</w:t>
      </w:r>
      <w:r w:rsidR="00F50EB3">
        <w:t xml:space="preserve"> and Rothman et al., 2016</w:t>
      </w:r>
      <w:r w:rsidR="003C3DB4">
        <w:t xml:space="preserve">) </w:t>
      </w:r>
      <w:r w:rsidR="00B46256">
        <w:t xml:space="preserve">that </w:t>
      </w:r>
      <w:r w:rsidR="003C3DB4">
        <w:t xml:space="preserve">suggest that </w:t>
      </w:r>
      <w:r w:rsidR="00D9061A">
        <w:t xml:space="preserve">a combination of less </w:t>
      </w:r>
      <w:r w:rsidR="003C3DB4">
        <w:t xml:space="preserve">developed </w:t>
      </w:r>
      <w:r w:rsidR="00D9061A">
        <w:t>safety cognition/</w:t>
      </w:r>
      <w:r w:rsidR="003C3DB4">
        <w:t xml:space="preserve">navigation abilities and larger variation in actions results in an increase in the risk of pedestrian crashes </w:t>
      </w:r>
      <w:r w:rsidR="0029730D">
        <w:t>among young individuals</w:t>
      </w:r>
      <w:r w:rsidR="00263DED">
        <w:t>. However, the alternative explanation is that much of the children-oriented pedestrian exposure takes p</w:t>
      </w:r>
      <w:r w:rsidR="009901F8">
        <w:t>lace in and around school zones, where low speed limits are in place and there is more awareness among drivers. Interes</w:t>
      </w:r>
      <w:r w:rsidR="001169F8">
        <w:t>t</w:t>
      </w:r>
      <w:r w:rsidR="009901F8">
        <w:t xml:space="preserve">ingly, though, we did not find statistically significant heterogeneity on the </w:t>
      </w:r>
      <w:r w:rsidR="0029730D">
        <w:t xml:space="preserve">“proportion of </w:t>
      </w:r>
      <w:r w:rsidR="009901F8">
        <w:t>young individuals” variable that c</w:t>
      </w:r>
      <w:r w:rsidR="001169F8">
        <w:t>an reconcile the differing pers</w:t>
      </w:r>
      <w:r w:rsidR="009901F8">
        <w:t>p</w:t>
      </w:r>
      <w:r w:rsidR="001169F8">
        <w:t>e</w:t>
      </w:r>
      <w:r w:rsidR="009901F8">
        <w:t xml:space="preserve">ctives, suggesting that </w:t>
      </w:r>
      <w:r w:rsidR="00E23E86">
        <w:t xml:space="preserve">the analysis contexts may matter. For instance, </w:t>
      </w:r>
      <w:proofErr w:type="spellStart"/>
      <w:r w:rsidR="00E23E86">
        <w:t>Amoh-Gyimah</w:t>
      </w:r>
      <w:proofErr w:type="spellEnd"/>
      <w:r w:rsidR="00E23E86">
        <w:t xml:space="preserve"> et al.’</w:t>
      </w:r>
      <w:r w:rsidR="00177FFA">
        <w:t>s study</w:t>
      </w:r>
      <w:r w:rsidR="00E23E86">
        <w:t xml:space="preserve"> is </w:t>
      </w:r>
      <w:r w:rsidR="00177FFA">
        <w:t xml:space="preserve">based </w:t>
      </w:r>
      <w:r w:rsidR="00E23E86">
        <w:t xml:space="preserve">on </w:t>
      </w:r>
      <w:r w:rsidR="00177FFA">
        <w:t xml:space="preserve">data on the entire city of </w:t>
      </w:r>
      <w:r w:rsidR="00E23E86">
        <w:t xml:space="preserve">Melbourne, </w:t>
      </w:r>
      <w:r w:rsidR="00177FFA">
        <w:t>Australia</w:t>
      </w:r>
      <w:r w:rsidR="00D8390D">
        <w:t>,</w:t>
      </w:r>
      <w:r w:rsidR="00177FFA">
        <w:t xml:space="preserve"> with relatively aggregate zones as the analysis unit, while ours is based on data from a</w:t>
      </w:r>
      <w:r w:rsidR="007F3023">
        <w:t xml:space="preserve"> specific part (Manhattan) </w:t>
      </w:r>
      <w:r w:rsidR="00177FFA">
        <w:t xml:space="preserve">of New York City with much smaller </w:t>
      </w:r>
      <w:r w:rsidR="00725139">
        <w:t>c</w:t>
      </w:r>
      <w:r w:rsidR="00177FFA">
        <w:t xml:space="preserve">ensus tracts as the analysis unit. </w:t>
      </w:r>
      <w:r w:rsidR="00D8390D">
        <w:t>The next variable in Table 1 is an</w:t>
      </w:r>
      <w:r w:rsidR="0029730D">
        <w:t xml:space="preserve"> education</w:t>
      </w:r>
      <w:r w:rsidR="00EB26D5">
        <w:t xml:space="preserve">-related variable </w:t>
      </w:r>
      <w:r w:rsidR="00D8390D">
        <w:t xml:space="preserve">that proxies </w:t>
      </w:r>
      <w:r w:rsidR="0029730D">
        <w:t>low education levels in a tract (captured based on the proportion of adults without a high school degree in the tract)</w:t>
      </w:r>
      <w:r w:rsidR="00D8390D">
        <w:t xml:space="preserve">. The effect of this variable </w:t>
      </w:r>
      <w:r w:rsidR="0029730D">
        <w:t xml:space="preserve">indicates the </w:t>
      </w:r>
      <w:r w:rsidR="00EB26D5">
        <w:t xml:space="preserve">higher risk of incapacitating pedestrian injuries in </w:t>
      </w:r>
      <w:r w:rsidR="0029730D">
        <w:t xml:space="preserve">tracts </w:t>
      </w:r>
      <w:r w:rsidR="00EB26D5">
        <w:t xml:space="preserve">with low education levels. </w:t>
      </w:r>
      <w:r w:rsidR="00F802D8">
        <w:t>This is not surprising, because, as Vaughn et al. (2011) note</w:t>
      </w:r>
      <w:r w:rsidR="0029730D">
        <w:t xml:space="preserve">, </w:t>
      </w:r>
      <w:r w:rsidR="00F50EB3">
        <w:t xml:space="preserve">a </w:t>
      </w:r>
      <w:r w:rsidR="00F802D8">
        <w:t>l</w:t>
      </w:r>
      <w:r w:rsidR="00F50EB3">
        <w:t>ow</w:t>
      </w:r>
      <w:r w:rsidR="00F802D8">
        <w:t xml:space="preserve"> education </w:t>
      </w:r>
      <w:r w:rsidR="00F50EB3">
        <w:t xml:space="preserve">level (specifically less than a high school education) </w:t>
      </w:r>
      <w:r w:rsidR="00F802D8">
        <w:t>is positively correlated with more reckless driving</w:t>
      </w:r>
      <w:r w:rsidR="00F50EB3">
        <w:t xml:space="preserve"> that can put pedestrians in particular at risk</w:t>
      </w:r>
      <w:r w:rsidR="00F802D8">
        <w:t xml:space="preserve">. </w:t>
      </w:r>
      <w:r w:rsidR="001169F8">
        <w:t>In addition</w:t>
      </w:r>
      <w:r w:rsidR="00F50EB3">
        <w:t>, i</w:t>
      </w:r>
      <w:r w:rsidR="00F802D8">
        <w:t>ndividuals with low levels of education seem to face more challenges in understanding traff</w:t>
      </w:r>
      <w:r w:rsidR="00BA6A37">
        <w:t>ic symbols and signs (Al-</w:t>
      </w:r>
      <w:proofErr w:type="spellStart"/>
      <w:r w:rsidR="00BA6A37">
        <w:t>Madani</w:t>
      </w:r>
      <w:proofErr w:type="spellEnd"/>
      <w:r w:rsidR="00F802D8">
        <w:t xml:space="preserve"> and Al-</w:t>
      </w:r>
      <w:proofErr w:type="spellStart"/>
      <w:r w:rsidR="00F802D8">
        <w:t>Janahi</w:t>
      </w:r>
      <w:proofErr w:type="spellEnd"/>
      <w:r w:rsidR="00F802D8">
        <w:t>, 2002).</w:t>
      </w:r>
    </w:p>
    <w:p w:rsidR="00EA2FF8" w:rsidRDefault="0029730D" w:rsidP="00D72ECE">
      <w:r>
        <w:t>T</w:t>
      </w:r>
      <w:r w:rsidR="002B3E67">
        <w:t xml:space="preserve">he next two variable effects </w:t>
      </w:r>
      <w:r w:rsidR="00C70DB0">
        <w:t>on the risk for “</w:t>
      </w:r>
      <w:r w:rsidR="00DE2F53">
        <w:t>i</w:t>
      </w:r>
      <w:r w:rsidR="00C70DB0">
        <w:t>ncapacitating” and “</w:t>
      </w:r>
      <w:r w:rsidR="00DE2F53">
        <w:t>f</w:t>
      </w:r>
      <w:r w:rsidR="00C70DB0">
        <w:t>atal” injury categories in the table</w:t>
      </w:r>
      <w:r w:rsidR="009B3AC4">
        <w:t xml:space="preserve">, </w:t>
      </w:r>
      <w:r w:rsidR="002B3E67">
        <w:t>suggest</w:t>
      </w:r>
      <w:r w:rsidR="00DF3356">
        <w:t>, in general,</w:t>
      </w:r>
      <w:r w:rsidR="002B3E67">
        <w:t xml:space="preserve"> the presence of </w:t>
      </w:r>
      <w:r w:rsidR="00C70DB0">
        <w:t xml:space="preserve">higher exposure effects (more pedestrian </w:t>
      </w:r>
      <w:r w:rsidR="00C70DB0">
        <w:lastRenderedPageBreak/>
        <w:t xml:space="preserve">movements) and </w:t>
      </w:r>
      <w:r w:rsidR="002B3E67">
        <w:t>social deprivation effects</w:t>
      </w:r>
      <w:r w:rsidR="00C70DB0">
        <w:t xml:space="preserve"> in tracts with a high proportion of Hispanic population and low median household income. Similar results have </w:t>
      </w:r>
      <w:r w:rsidR="00D9061A">
        <w:t xml:space="preserve">been found in many other macro-level analyses of pedestrian crashes (see, for example. </w:t>
      </w:r>
      <w:proofErr w:type="spellStart"/>
      <w:r w:rsidR="00D9061A">
        <w:t>Chakravarthy</w:t>
      </w:r>
      <w:proofErr w:type="spellEnd"/>
      <w:r w:rsidR="00D9061A">
        <w:t xml:space="preserve"> et al</w:t>
      </w:r>
      <w:r w:rsidR="008D4E55">
        <w:t xml:space="preserve">., 2010, </w:t>
      </w:r>
      <w:proofErr w:type="spellStart"/>
      <w:r w:rsidR="00564F96">
        <w:t>Cot</w:t>
      </w:r>
      <w:r w:rsidR="00BA6A37">
        <w:t>t</w:t>
      </w:r>
      <w:r w:rsidR="00564F96">
        <w:t>rill</w:t>
      </w:r>
      <w:proofErr w:type="spellEnd"/>
      <w:r w:rsidR="00564F96">
        <w:t xml:space="preserve"> </w:t>
      </w:r>
      <w:r w:rsidR="001169F8">
        <w:t xml:space="preserve">and </w:t>
      </w:r>
      <w:proofErr w:type="spellStart"/>
      <w:r w:rsidR="001169F8">
        <w:t>Thakur</w:t>
      </w:r>
      <w:r w:rsidR="00D9061A">
        <w:t>iah</w:t>
      </w:r>
      <w:proofErr w:type="spellEnd"/>
      <w:r w:rsidR="00D9061A">
        <w:t>, 2010</w:t>
      </w:r>
      <w:r w:rsidR="00DB4E90">
        <w:t xml:space="preserve">, </w:t>
      </w:r>
      <w:proofErr w:type="spellStart"/>
      <w:r w:rsidR="008D4E55">
        <w:t>Karsch</w:t>
      </w:r>
      <w:proofErr w:type="spellEnd"/>
      <w:r w:rsidR="008D4E55">
        <w:t xml:space="preserve"> et al., 2012</w:t>
      </w:r>
      <w:r w:rsidR="001169F8">
        <w:t xml:space="preserve">, and </w:t>
      </w:r>
      <w:proofErr w:type="spellStart"/>
      <w:r w:rsidR="00564F96">
        <w:t>Jerrett</w:t>
      </w:r>
      <w:proofErr w:type="spellEnd"/>
      <w:r w:rsidR="00564F96">
        <w:t xml:space="preserve"> </w:t>
      </w:r>
      <w:r w:rsidR="001169F8">
        <w:t>et al.,</w:t>
      </w:r>
      <w:r w:rsidR="00DB4E90">
        <w:t xml:space="preserve"> 2016</w:t>
      </w:r>
      <w:r w:rsidR="008D4E55">
        <w:t>).</w:t>
      </w:r>
      <w:r w:rsidR="002B3E67">
        <w:t xml:space="preserve"> </w:t>
      </w:r>
      <w:r w:rsidR="00C70DB0">
        <w:t>The</w:t>
      </w:r>
      <w:r w:rsidR="00D9061A">
        <w:t xml:space="preserve"> deprivation effects</w:t>
      </w:r>
      <w:r w:rsidR="00EE57AC">
        <w:t xml:space="preserve"> </w:t>
      </w:r>
      <w:r>
        <w:t xml:space="preserve">(which may be another explanation also for the higher </w:t>
      </w:r>
      <w:r w:rsidR="00E36465">
        <w:t xml:space="preserve">pedestrian risk for incapacitating injuries in tracts with low education) </w:t>
      </w:r>
      <w:r w:rsidR="00EE57AC">
        <w:t>can</w:t>
      </w:r>
      <w:r w:rsidR="00D9061A">
        <w:t xml:space="preserve"> include factors such as the absence of sidewalks, footpaths, and appropriate traffic signage/signals </w:t>
      </w:r>
      <w:r w:rsidR="00EE57AC">
        <w:t>in predominantly Hispanic and/or low income neighborhoods. Further, the absence of pu</w:t>
      </w:r>
      <w:r w:rsidR="008E422C">
        <w:t>b</w:t>
      </w:r>
      <w:r w:rsidR="00EE57AC">
        <w:t>lic spaces such as recreational parks and centers in such neighborhoods appears</w:t>
      </w:r>
      <w:r w:rsidR="001169F8">
        <w:t xml:space="preserve"> to result</w:t>
      </w:r>
      <w:r w:rsidR="00EE57AC">
        <w:t xml:space="preserve"> in the streets being treated</w:t>
      </w:r>
      <w:r w:rsidR="001169F8">
        <w:t xml:space="preserve"> as public spaces, leading to </w:t>
      </w:r>
      <w:r w:rsidR="00EE57AC">
        <w:t xml:space="preserve">more pedestrian exposure to motorized traffic (see </w:t>
      </w:r>
      <w:r w:rsidR="00EE57AC" w:rsidRPr="00947C1B">
        <w:t>Cooper et al., 2015</w:t>
      </w:r>
      <w:r w:rsidR="00EE57AC">
        <w:t xml:space="preserve">). </w:t>
      </w:r>
      <w:proofErr w:type="spellStart"/>
      <w:r w:rsidR="00EE57AC">
        <w:t>Coughenour</w:t>
      </w:r>
      <w:proofErr w:type="spellEnd"/>
      <w:r w:rsidR="00EE57AC">
        <w:t xml:space="preserve"> et al. (2017) also indicate that drivers appear to be racially biased and less likely to yield to </w:t>
      </w:r>
      <w:r w:rsidR="00EA2FF8">
        <w:t xml:space="preserve">a person </w:t>
      </w:r>
      <w:r w:rsidR="00EE57AC">
        <w:t xml:space="preserve">of color </w:t>
      </w:r>
      <w:r w:rsidR="00EA2FF8">
        <w:t xml:space="preserve">compared to a white individual, when the individual </w:t>
      </w:r>
      <w:r w:rsidR="00EE57AC">
        <w:t xml:space="preserve">is already in the roadway crossing a street. </w:t>
      </w:r>
      <w:r w:rsidR="00EA2FF8">
        <w:t>Interestingly</w:t>
      </w:r>
      <w:r w:rsidR="009B3AC4">
        <w:t>, though</w:t>
      </w:r>
      <w:r w:rsidR="00EA2FF8">
        <w:t xml:space="preserve">, our results show </w:t>
      </w:r>
      <w:r w:rsidR="00C70DB0">
        <w:t>no stat</w:t>
      </w:r>
      <w:r w:rsidR="00EA2FF8">
        <w:t>i</w:t>
      </w:r>
      <w:r w:rsidR="00C70DB0">
        <w:t>s</w:t>
      </w:r>
      <w:r w:rsidR="00EA2FF8">
        <w:t>tically significant differences in the specific risk of “possible” pedestrian injury crashes in tracts with a high proportion of Hispanics</w:t>
      </w:r>
      <w:r w:rsidR="009B3AC4">
        <w:t>,</w:t>
      </w:r>
      <w:r w:rsidR="00EA2FF8">
        <w:t xml:space="preserve"> </w:t>
      </w:r>
      <w:r w:rsidR="009B3AC4">
        <w:t xml:space="preserve">and show a mean negative impact </w:t>
      </w:r>
      <w:r w:rsidR="00EA2FF8">
        <w:t xml:space="preserve">of the proportion </w:t>
      </w:r>
      <w:r w:rsidR="009B3AC4">
        <w:t xml:space="preserve">of Hispanic population </w:t>
      </w:r>
      <w:r w:rsidR="00EA2FF8">
        <w:t>on the risk</w:t>
      </w:r>
      <w:r w:rsidR="009B3AC4">
        <w:t xml:space="preserve"> for “</w:t>
      </w:r>
      <w:r w:rsidR="00C70DB0">
        <w:t>non-inca</w:t>
      </w:r>
      <w:r w:rsidR="009B3AC4">
        <w:t>p</w:t>
      </w:r>
      <w:r w:rsidR="00C70DB0">
        <w:t>a</w:t>
      </w:r>
      <w:r w:rsidR="009B3AC4">
        <w:t xml:space="preserve">citating” </w:t>
      </w:r>
      <w:r w:rsidR="00EA2FF8">
        <w:t>pedestrian crashes</w:t>
      </w:r>
      <w:r w:rsidR="009B3AC4">
        <w:t>.</w:t>
      </w:r>
      <w:r w:rsidR="00C70DB0">
        <w:t xml:space="preserve"> This reduction in risk prop</w:t>
      </w:r>
      <w:r w:rsidR="00DF3356">
        <w:t xml:space="preserve">ensity may be attributable to more experience in </w:t>
      </w:r>
      <w:r w:rsidR="00C70DB0">
        <w:t xml:space="preserve">navigating pedestrian-heavy travel environments in relatively </w:t>
      </w:r>
      <w:r w:rsidR="00DF3356">
        <w:t>Hispanic-</w:t>
      </w:r>
      <w:r w:rsidR="00C70DB0">
        <w:t xml:space="preserve">dense living </w:t>
      </w:r>
      <w:r w:rsidR="008D4E55">
        <w:t>neighborh</w:t>
      </w:r>
      <w:r w:rsidR="00C70DB0">
        <w:t xml:space="preserve">oods. </w:t>
      </w:r>
      <w:r w:rsidR="009B3AC4">
        <w:t xml:space="preserve"> </w:t>
      </w:r>
      <w:r w:rsidR="00DF3356">
        <w:t xml:space="preserve">However, there is also considerable heterogeneity in this mean effect with a negative effect of the variable for 55% of </w:t>
      </w:r>
      <w:r w:rsidR="00725139">
        <w:t>c</w:t>
      </w:r>
      <w:r w:rsidR="00DF3356">
        <w:t xml:space="preserve">ensus tracts and positive effect </w:t>
      </w:r>
      <w:r w:rsidR="001169F8">
        <w:t xml:space="preserve">for 45% of the </w:t>
      </w:r>
      <w:r w:rsidR="00725139">
        <w:t>c</w:t>
      </w:r>
      <w:r w:rsidR="001169F8">
        <w:t>ensus tracts.</w:t>
      </w:r>
      <w:r w:rsidR="00DF3356">
        <w:t xml:space="preserve"> Similar substantial heterogeneity is also reflected in the effects for the “incapacitating” and “fatal” injury severity levels, suggesting </w:t>
      </w:r>
      <w:r w:rsidR="00C70DB0">
        <w:t>a mix of experience/awareness of pedestrian movements (resulting in lower risk) and exposure/deprivation effects (resulting in higher risk) in the effect of the “propo</w:t>
      </w:r>
      <w:r w:rsidR="001169F8">
        <w:t>r</w:t>
      </w:r>
      <w:r w:rsidR="00C70DB0">
        <w:t>tion of Hispanic population” variable.</w:t>
      </w:r>
    </w:p>
    <w:p w:rsidR="009426E3" w:rsidRDefault="009426E3" w:rsidP="00D72ECE"/>
    <w:p w:rsidR="009426E3" w:rsidRPr="00D72ECE" w:rsidRDefault="009426E3" w:rsidP="00D72ECE">
      <w:pPr>
        <w:ind w:firstLine="0"/>
        <w:rPr>
          <w:u w:val="single"/>
        </w:rPr>
      </w:pPr>
      <w:r>
        <w:rPr>
          <w:u w:val="single"/>
        </w:rPr>
        <w:t>4.5.1.2</w:t>
      </w:r>
      <w:r w:rsidRPr="00C812F6">
        <w:rPr>
          <w:u w:val="single"/>
        </w:rPr>
        <w:t xml:space="preserve"> </w:t>
      </w:r>
      <w:r>
        <w:rPr>
          <w:u w:val="single"/>
        </w:rPr>
        <w:t>Land-use and Road Network</w:t>
      </w:r>
      <w:r w:rsidRPr="00C812F6">
        <w:rPr>
          <w:u w:val="single"/>
        </w:rPr>
        <w:t xml:space="preserve"> Variables</w:t>
      </w:r>
    </w:p>
    <w:p w:rsidR="00495FCF" w:rsidRDefault="00985A34" w:rsidP="00D72ECE">
      <w:pPr>
        <w:ind w:firstLine="0"/>
      </w:pPr>
      <w:r>
        <w:t xml:space="preserve">Land-use and road network variables also have an impact on the </w:t>
      </w:r>
      <w:r w:rsidR="00411596">
        <w:t>long-term injury propensities</w:t>
      </w:r>
      <w:r>
        <w:t xml:space="preserve">. </w:t>
      </w:r>
      <w:r w:rsidR="00DB4E90">
        <w:t>The increased risk of “incapacitating” pedestrian injuries in tracts with</w:t>
      </w:r>
      <w:r w:rsidR="001169F8">
        <w:t xml:space="preserve"> a higher proportion of commerci</w:t>
      </w:r>
      <w:r w:rsidR="00DB4E90">
        <w:t xml:space="preserve">al and residential land-use </w:t>
      </w:r>
      <w:r w:rsidR="00CF3882">
        <w:t xml:space="preserve">(relative to the industrial and other land-uses) </w:t>
      </w:r>
      <w:r w:rsidR="00DB4E90">
        <w:t>may be traced to</w:t>
      </w:r>
      <w:r w:rsidR="008E422C">
        <w:t xml:space="preserve"> exposure effects, as commercial/residential </w:t>
      </w:r>
      <w:r w:rsidR="00DB4E90">
        <w:t xml:space="preserve">areas </w:t>
      </w:r>
      <w:r w:rsidR="008E422C">
        <w:t>land-uses are associated with high</w:t>
      </w:r>
      <w:r w:rsidR="00DB4E90">
        <w:t xml:space="preserve"> pedestrian movement activity</w:t>
      </w:r>
      <w:r w:rsidR="00A959D8">
        <w:t xml:space="preserve"> and pedestrian-vehicular conflict</w:t>
      </w:r>
      <w:r w:rsidR="001700A6">
        <w:t xml:space="preserve"> (see also </w:t>
      </w:r>
      <w:r w:rsidR="00A959D8">
        <w:t>Yu and Zhu, 201</w:t>
      </w:r>
      <w:r w:rsidR="00847997">
        <w:t>6</w:t>
      </w:r>
      <w:r w:rsidR="00A959D8">
        <w:t xml:space="preserve">, </w:t>
      </w:r>
      <w:proofErr w:type="spellStart"/>
      <w:r w:rsidR="000A35CC">
        <w:t>Quistberg</w:t>
      </w:r>
      <w:proofErr w:type="spellEnd"/>
      <w:r w:rsidR="000A35CC">
        <w:t xml:space="preserve"> et al., 2015, </w:t>
      </w:r>
      <w:r w:rsidR="00A959D8">
        <w:t xml:space="preserve">and </w:t>
      </w:r>
      <w:r w:rsidR="00006E41">
        <w:t>Rothman et al., 2016</w:t>
      </w:r>
      <w:r w:rsidR="001700A6">
        <w:t>)</w:t>
      </w:r>
      <w:r w:rsidR="00DB4E90">
        <w:t xml:space="preserve">. </w:t>
      </w:r>
      <w:r w:rsidR="00722B1E">
        <w:t xml:space="preserve">The effect of the “proportion of </w:t>
      </w:r>
      <w:r w:rsidR="002B7C02" w:rsidRPr="00EC44D2">
        <w:t>l</w:t>
      </w:r>
      <w:r w:rsidR="00495FCF" w:rsidRPr="00B51F81">
        <w:t xml:space="preserve">ocal </w:t>
      </w:r>
      <w:r w:rsidR="002B7C02" w:rsidRPr="00EC44D2">
        <w:t xml:space="preserve">neighborhood roads and </w:t>
      </w:r>
      <w:r w:rsidR="002B7C02" w:rsidRPr="00EC44D2">
        <w:lastRenderedPageBreak/>
        <w:t>city streets</w:t>
      </w:r>
      <w:r w:rsidR="00722B1E">
        <w:t xml:space="preserve">” is to reduce the number of </w:t>
      </w:r>
      <w:r w:rsidR="002B7C02" w:rsidRPr="00EC44D2">
        <w:t>non-incapacitating and fatal injuries</w:t>
      </w:r>
      <w:r w:rsidR="00722B1E">
        <w:t>, potentially because of the lower speed limits on such streets. However, the standa</w:t>
      </w:r>
      <w:r w:rsidR="00091A00">
        <w:t>r</w:t>
      </w:r>
      <w:r w:rsidR="00722B1E">
        <w:t xml:space="preserve">d deviation on this variable for the “fatal” injury level also suggests that, </w:t>
      </w:r>
      <w:r w:rsidR="003E06BF">
        <w:t xml:space="preserve">in 32% of the </w:t>
      </w:r>
      <w:r w:rsidR="00725139">
        <w:t>c</w:t>
      </w:r>
      <w:r w:rsidR="003E06BF">
        <w:t xml:space="preserve">ensus tracts, </w:t>
      </w:r>
      <w:r w:rsidR="00722B1E">
        <w:t xml:space="preserve">a </w:t>
      </w:r>
      <w:r w:rsidR="003E06BF">
        <w:t xml:space="preserve">higher proportion of local neighborhood roads </w:t>
      </w:r>
      <w:r w:rsidR="00722B1E">
        <w:t xml:space="preserve">and streets </w:t>
      </w:r>
      <w:r w:rsidR="003E06BF">
        <w:t xml:space="preserve">actually contribute to an increase </w:t>
      </w:r>
      <w:r w:rsidR="00722B1E">
        <w:t xml:space="preserve">in the risk </w:t>
      </w:r>
      <w:r w:rsidR="003E06BF">
        <w:t>of fatal injuries</w:t>
      </w:r>
      <w:r w:rsidR="00722B1E">
        <w:t>, perhaps again because of the unexpected nature of crashes at such locations</w:t>
      </w:r>
      <w:r w:rsidR="003E06BF">
        <w:t xml:space="preserve">. </w:t>
      </w:r>
    </w:p>
    <w:p w:rsidR="009426E3" w:rsidRDefault="009426E3" w:rsidP="00D72ECE">
      <w:pPr>
        <w:ind w:firstLine="0"/>
      </w:pPr>
    </w:p>
    <w:p w:rsidR="009426E3" w:rsidRPr="00D72ECE" w:rsidRDefault="009426E3" w:rsidP="00D72ECE">
      <w:pPr>
        <w:ind w:firstLine="0"/>
        <w:rPr>
          <w:u w:val="single"/>
        </w:rPr>
      </w:pPr>
      <w:r>
        <w:rPr>
          <w:u w:val="single"/>
        </w:rPr>
        <w:t>4.5.1.3</w:t>
      </w:r>
      <w:r w:rsidRPr="00C812F6">
        <w:rPr>
          <w:u w:val="single"/>
        </w:rPr>
        <w:t xml:space="preserve"> </w:t>
      </w:r>
      <w:r>
        <w:rPr>
          <w:u w:val="single"/>
        </w:rPr>
        <w:t>Activity Intensity</w:t>
      </w:r>
      <w:r w:rsidRPr="00C812F6">
        <w:rPr>
          <w:u w:val="single"/>
        </w:rPr>
        <w:t xml:space="preserve"> Variables</w:t>
      </w:r>
    </w:p>
    <w:p w:rsidR="0073323A" w:rsidRDefault="0073323A" w:rsidP="00D72ECE">
      <w:pPr>
        <w:ind w:firstLine="0"/>
      </w:pPr>
      <w:r>
        <w:t>Among the activity intensity variables, the results generally reflect an exposure effect with an increase in the risk of non-fatal injury crashes. The only exception is the negative effect of the “number of schools” on the incapacitating injury risk propensity, which may be explained by the low speed limits</w:t>
      </w:r>
      <w:r w:rsidR="00006E41">
        <w:t xml:space="preserve"> (and more time for drivers to react to hazards; see Yu and Zhu, 201</w:t>
      </w:r>
      <w:r w:rsidR="00847997">
        <w:t>6</w:t>
      </w:r>
      <w:r w:rsidR="00006E41">
        <w:t xml:space="preserve">) </w:t>
      </w:r>
      <w:r>
        <w:t xml:space="preserve">in the vicinity of schools. </w:t>
      </w:r>
      <w:r w:rsidR="00563A22">
        <w:t>However, as we will n</w:t>
      </w:r>
      <w:r w:rsidR="008E422C">
        <w:t xml:space="preserve">ote later, there is also a </w:t>
      </w:r>
      <w:r w:rsidR="001169F8">
        <w:t>strong risk-to-</w:t>
      </w:r>
      <w:r w:rsidR="00563A22">
        <w:t xml:space="preserve">injury translation represented in the threshold elements (discussed in Section </w:t>
      </w:r>
      <w:r w:rsidR="008E422C">
        <w:t>4.5.3</w:t>
      </w:r>
      <w:r w:rsidR="00563A22">
        <w:t xml:space="preserve">) that, in totality, leads actually to an increase in pedestrian injuries in tracts with a higher number of schools. </w:t>
      </w:r>
    </w:p>
    <w:p w:rsidR="009426E3" w:rsidRDefault="009426E3" w:rsidP="00D72ECE">
      <w:pPr>
        <w:ind w:firstLine="0"/>
      </w:pPr>
    </w:p>
    <w:p w:rsidR="009426E3" w:rsidRPr="00D72ECE" w:rsidRDefault="009426E3" w:rsidP="00D72ECE">
      <w:pPr>
        <w:ind w:firstLine="0"/>
        <w:rPr>
          <w:u w:val="single"/>
        </w:rPr>
      </w:pPr>
      <w:r>
        <w:rPr>
          <w:u w:val="single"/>
        </w:rPr>
        <w:t>4.5.1.4</w:t>
      </w:r>
      <w:r w:rsidRPr="00C812F6">
        <w:rPr>
          <w:u w:val="single"/>
        </w:rPr>
        <w:t xml:space="preserve"> </w:t>
      </w:r>
      <w:r>
        <w:rPr>
          <w:u w:val="single"/>
        </w:rPr>
        <w:t>Commute Mode Shares and Transit Supply</w:t>
      </w:r>
    </w:p>
    <w:p w:rsidR="00907829" w:rsidRDefault="009A7C6E" w:rsidP="00D72ECE">
      <w:pPr>
        <w:ind w:firstLine="0"/>
      </w:pPr>
      <w:r>
        <w:t>In the final set of variables, walk commute mode share has the expected positive effect on the risk propensity for fatal pedestrian injuries</w:t>
      </w:r>
      <w:r w:rsidR="00CE09D9">
        <w:t xml:space="preserve"> not only solely due to an exposure effect, </w:t>
      </w:r>
      <w:r w:rsidR="001169F8">
        <w:t>but also potentially becau</w:t>
      </w:r>
      <w:r w:rsidR="00CE09D9">
        <w:t>se of the social deprivation effects already discussed (the population segments affected by social deprivation have less of a choice to use motorized modes and have to use non-motorized modes in a potentially unsafe walking environment)</w:t>
      </w:r>
      <w:r>
        <w:t xml:space="preserve">. </w:t>
      </w:r>
      <w:r w:rsidR="00CE09D9">
        <w:t xml:space="preserve">Also, </w:t>
      </w:r>
      <w:r w:rsidR="00907829">
        <w:t>the “number of subways</w:t>
      </w:r>
      <w:r w:rsidR="00006E41">
        <w:t xml:space="preserve"> stops</w:t>
      </w:r>
      <w:r w:rsidR="00907829">
        <w:t xml:space="preserve">” </w:t>
      </w:r>
      <w:r w:rsidR="00006E41">
        <w:t xml:space="preserve">tends to increase the risk propensity of crashes with “possible” injury, a reflection of subway stops being focal points of pedestrian activity either to access the transit system or </w:t>
      </w:r>
      <w:r>
        <w:t>one of the many activity locations in the vicinity of subway stops</w:t>
      </w:r>
      <w:r w:rsidR="00006E41">
        <w:t xml:space="preserve"> (</w:t>
      </w:r>
      <w:proofErr w:type="spellStart"/>
      <w:r w:rsidR="00006E41">
        <w:t>Ukkusuri</w:t>
      </w:r>
      <w:proofErr w:type="spellEnd"/>
      <w:r w:rsidR="00006E41">
        <w:t xml:space="preserve"> et al., 2012; Yu and Zhu, 201</w:t>
      </w:r>
      <w:r w:rsidR="00847997">
        <w:t>6</w:t>
      </w:r>
      <w:r w:rsidR="00006E41">
        <w:t xml:space="preserve">). </w:t>
      </w:r>
      <w:r w:rsidRPr="00925CAF">
        <w:t>But</w:t>
      </w:r>
      <w:r>
        <w:t xml:space="preserve"> because subway stops also represent locations of good pedestrian infrastructure, any crashes at these locations tend to be relatively minor. Also, consistent with differences across tracts in the quality of the </w:t>
      </w:r>
      <w:r w:rsidR="00907829">
        <w:t>pedestrian infrastructure</w:t>
      </w:r>
      <w:r>
        <w:t xml:space="preserve"> in and around subway stations, there is a good bit of variation in the effect of this variable on risk propensity.</w:t>
      </w:r>
      <w:r w:rsidR="00907829">
        <w:t xml:space="preserve"> </w:t>
      </w:r>
    </w:p>
    <w:p w:rsidR="009426E3" w:rsidRDefault="009426E3" w:rsidP="00D72ECE">
      <w:pPr>
        <w:ind w:firstLine="0"/>
      </w:pPr>
    </w:p>
    <w:p w:rsidR="009426E3" w:rsidRPr="00D72ECE" w:rsidRDefault="009426E3" w:rsidP="00587CAF">
      <w:pPr>
        <w:keepNext/>
        <w:keepLines/>
        <w:ind w:firstLine="0"/>
        <w:rPr>
          <w:u w:val="single"/>
        </w:rPr>
      </w:pPr>
      <w:r>
        <w:rPr>
          <w:u w:val="single"/>
        </w:rPr>
        <w:lastRenderedPageBreak/>
        <w:t>4.5.1.5</w:t>
      </w:r>
      <w:r w:rsidRPr="00C812F6">
        <w:rPr>
          <w:u w:val="single"/>
        </w:rPr>
        <w:t xml:space="preserve"> </w:t>
      </w:r>
      <w:r>
        <w:rPr>
          <w:u w:val="single"/>
        </w:rPr>
        <w:t>Non-</w:t>
      </w:r>
      <w:r w:rsidRPr="004C4F47">
        <w:rPr>
          <w:u w:val="single"/>
        </w:rPr>
        <w:t xml:space="preserve">diagonal Elements </w:t>
      </w:r>
      <w:r w:rsidRPr="005D3E67">
        <w:rPr>
          <w:u w:val="single"/>
        </w:rPr>
        <w:t xml:space="preserve">of </w:t>
      </w:r>
      <w:r w:rsidR="005D3E67" w:rsidRPr="005D3E67">
        <w:rPr>
          <w:position w:val="-14"/>
        </w:rPr>
        <w:object w:dxaOrig="360" w:dyaOrig="380">
          <v:shape id="_x0000_i1177" type="#_x0000_t75" style="width:18pt;height:18.75pt" o:ole="" o:preferrelative="f">
            <v:imagedata r:id="rId296" o:title=""/>
            <o:lock v:ext="edit" aspectratio="f"/>
          </v:shape>
          <o:OLEObject Type="Embed" ProgID="Equation.3" ShapeID="_x0000_i1177" DrawAspect="Content" ObjectID="_1555512566" r:id="rId297"/>
        </w:object>
      </w:r>
      <w:r w:rsidRPr="005D3E67">
        <w:rPr>
          <w:u w:val="single"/>
        </w:rPr>
        <w:t xml:space="preserve"> </w:t>
      </w:r>
    </w:p>
    <w:p w:rsidR="00CE09D9" w:rsidRPr="00CF3882" w:rsidRDefault="00CE09D9" w:rsidP="00587CAF">
      <w:pPr>
        <w:keepNext/>
        <w:keepLines/>
        <w:ind w:firstLine="0"/>
      </w:pPr>
      <w:r w:rsidRPr="00CF3882">
        <w:t xml:space="preserve">The last set of entries in Table 1 correspond to the non-diagonal elements of the covariance matrix </w:t>
      </w:r>
      <w:r w:rsidR="005D3E67" w:rsidRPr="00521D37">
        <w:rPr>
          <w:position w:val="-14"/>
        </w:rPr>
        <w:object w:dxaOrig="340" w:dyaOrig="380">
          <v:shape id="_x0000_i1178" type="#_x0000_t75" style="width:17.25pt;height:18.75pt" o:ole="" o:preferrelative="f">
            <v:imagedata r:id="rId97" o:title=""/>
            <o:lock v:ext="edit" aspectratio="f"/>
          </v:shape>
          <o:OLEObject Type="Embed" ProgID="Equation.3" ShapeID="_x0000_i1178" DrawAspect="Content" ObjectID="_1555512567" r:id="rId298"/>
        </w:object>
      </w:r>
      <w:r w:rsidR="005D3E67">
        <w:t xml:space="preserve"> </w:t>
      </w:r>
      <w:r w:rsidRPr="008159D4">
        <w:t xml:space="preserve">for each injury severity level (the diagonal elements correspond to the square of the standard deviations of variables provided along with the mean values earlier in the table). Two such </w:t>
      </w:r>
      <w:proofErr w:type="spellStart"/>
      <w:r w:rsidRPr="008159D4">
        <w:t>covariances</w:t>
      </w:r>
      <w:proofErr w:type="spellEnd"/>
      <w:r w:rsidRPr="008159D4">
        <w:t xml:space="preserve"> turned up to be statistically significant. </w:t>
      </w:r>
      <w:r w:rsidR="00590962" w:rsidRPr="008159D4">
        <w:t xml:space="preserve">The first is the positive covariance between the </w:t>
      </w:r>
      <w:r w:rsidR="008E422C" w:rsidRPr="003354F1">
        <w:t xml:space="preserve">effect of </w:t>
      </w:r>
      <w:r w:rsidR="00590962" w:rsidRPr="008159D4">
        <w:t xml:space="preserve">the constant and the </w:t>
      </w:r>
      <w:r w:rsidR="008E422C">
        <w:t xml:space="preserve">effect of the </w:t>
      </w:r>
      <w:r w:rsidR="00590962" w:rsidRPr="008159D4">
        <w:t xml:space="preserve">“number of subway stops” variable for the “possible injury” level. Essentially, this is indication that there are some common set of elements </w:t>
      </w:r>
      <w:r w:rsidR="008E422C">
        <w:t xml:space="preserve">(say, for example, jaywalking, as discussed in the introduction section) </w:t>
      </w:r>
      <w:r w:rsidR="00590962" w:rsidRPr="008159D4">
        <w:t>between unobserved factors that increase the overall risk propensity of “possible injuries” and the unobserved factors that moderate the effect of the “number of subway stops” variable</w:t>
      </w:r>
      <w:r w:rsidR="008E422C">
        <w:t xml:space="preserve"> on the risk propensity of “possible injuries”</w:t>
      </w:r>
      <w:r w:rsidR="00590962" w:rsidRPr="008159D4">
        <w:t xml:space="preserve">. </w:t>
      </w:r>
      <w:r w:rsidR="00705D1F" w:rsidRPr="008159D4">
        <w:t>The second covariance elemen</w:t>
      </w:r>
      <w:r w:rsidR="008E422C" w:rsidRPr="003354F1">
        <w:t>t is that between the effects</w:t>
      </w:r>
      <w:r w:rsidR="00705D1F" w:rsidRPr="008159D4">
        <w:t xml:space="preserve"> on log of po</w:t>
      </w:r>
      <w:r w:rsidR="008E422C">
        <w:t>p</w:t>
      </w:r>
      <w:r w:rsidR="00705D1F" w:rsidRPr="008159D4">
        <w:t>ulation density and intensity of retail activity for the “non-capacitating” injury level. The positive covariance here may represent unobserved fact</w:t>
      </w:r>
      <w:r w:rsidR="008E422C" w:rsidRPr="003354F1">
        <w:t xml:space="preserve">ors (such as poor </w:t>
      </w:r>
      <w:r w:rsidR="00705D1F" w:rsidRPr="008159D4">
        <w:t xml:space="preserve">pedestrian infrastructure) that simultaneously increase the risk associated with the increased pedestrian activity </w:t>
      </w:r>
      <w:r w:rsidR="00364620" w:rsidRPr="008159D4">
        <w:t>associated with high population den</w:t>
      </w:r>
      <w:r w:rsidR="008E422C" w:rsidRPr="003354F1">
        <w:t xml:space="preserve">sity locations and </w:t>
      </w:r>
      <w:r w:rsidR="00364620" w:rsidRPr="008159D4">
        <w:t>high retail intensity</w:t>
      </w:r>
      <w:r w:rsidR="008E422C">
        <w:t xml:space="preserve"> locations</w:t>
      </w:r>
      <w:r w:rsidR="00364620" w:rsidRPr="008159D4">
        <w:t xml:space="preserve">. </w:t>
      </w:r>
      <w:r w:rsidR="00705D1F" w:rsidRPr="008159D4">
        <w:t xml:space="preserve"> </w:t>
      </w:r>
    </w:p>
    <w:p w:rsidR="00063A53" w:rsidRDefault="00063A53" w:rsidP="004C4F47">
      <w:pPr>
        <w:tabs>
          <w:tab w:val="left" w:pos="720"/>
        </w:tabs>
        <w:autoSpaceDE w:val="0"/>
        <w:autoSpaceDN w:val="0"/>
        <w:adjustRightInd w:val="0"/>
        <w:ind w:firstLine="0"/>
        <w:rPr>
          <w:highlight w:val="yellow"/>
        </w:rPr>
      </w:pPr>
    </w:p>
    <w:p w:rsidR="00063A53" w:rsidRPr="00672FFE" w:rsidRDefault="00672FFE" w:rsidP="00D72ECE">
      <w:pPr>
        <w:tabs>
          <w:tab w:val="left" w:pos="720"/>
        </w:tabs>
        <w:autoSpaceDE w:val="0"/>
        <w:autoSpaceDN w:val="0"/>
        <w:adjustRightInd w:val="0"/>
        <w:ind w:firstLine="0"/>
        <w:rPr>
          <w:i/>
        </w:rPr>
      </w:pPr>
      <w:r>
        <w:rPr>
          <w:i/>
        </w:rPr>
        <w:t>4.5.2</w:t>
      </w:r>
      <w:r w:rsidR="006A2D72" w:rsidRPr="00672FFE">
        <w:rPr>
          <w:i/>
        </w:rPr>
        <w:t xml:space="preserve"> </w:t>
      </w:r>
      <w:r w:rsidR="00063A53" w:rsidRPr="00672FFE">
        <w:rPr>
          <w:i/>
        </w:rPr>
        <w:t xml:space="preserve">Multivariate Effects </w:t>
      </w:r>
      <w:proofErr w:type="gramStart"/>
      <w:r w:rsidR="00063A53" w:rsidRPr="00672FFE">
        <w:rPr>
          <w:i/>
        </w:rPr>
        <w:t>Across</w:t>
      </w:r>
      <w:proofErr w:type="gramEnd"/>
      <w:r w:rsidR="00063A53" w:rsidRPr="00672FFE">
        <w:rPr>
          <w:i/>
        </w:rPr>
        <w:t xml:space="preserve"> Severity Levels (the </w:t>
      </w:r>
      <w:r w:rsidR="009D25D9" w:rsidRPr="00672FFE">
        <w:rPr>
          <w:i/>
          <w:position w:val="-12"/>
        </w:rPr>
        <w:object w:dxaOrig="300" w:dyaOrig="360">
          <v:shape id="_x0000_i1179" type="#_x0000_t75" style="width:15pt;height:18pt" o:ole="" o:preferrelative="f">
            <v:imagedata r:id="rId106" o:title=""/>
            <o:lock v:ext="edit" aspectratio="f"/>
          </v:shape>
          <o:OLEObject Type="Embed" ProgID="Equation.3" ShapeID="_x0000_i1179" DrawAspect="Content" ObjectID="_1555512568" r:id="rId299"/>
        </w:object>
      </w:r>
      <w:r w:rsidR="00063A53" w:rsidRPr="00672FFE">
        <w:rPr>
          <w:i/>
        </w:rPr>
        <w:t>elements for each k)</w:t>
      </w:r>
    </w:p>
    <w:p w:rsidR="00063A53" w:rsidRPr="00BF6017" w:rsidRDefault="00063A53" w:rsidP="00D72ECE">
      <w:pPr>
        <w:tabs>
          <w:tab w:val="left" w:pos="720"/>
        </w:tabs>
        <w:autoSpaceDE w:val="0"/>
        <w:autoSpaceDN w:val="0"/>
        <w:adjustRightInd w:val="0"/>
        <w:ind w:firstLine="0"/>
        <w:rPr>
          <w:highlight w:val="yellow"/>
        </w:rPr>
      </w:pPr>
      <w:r w:rsidRPr="008159D4">
        <w:t>In this section, we present the elements that engender a covariance across risk propensities of different injury severity levels</w:t>
      </w:r>
      <w:r w:rsidR="008E422C">
        <w:t xml:space="preserve"> within the same tract</w:t>
      </w:r>
      <w:r w:rsidRPr="008159D4">
        <w:t xml:space="preserve">. The generic </w:t>
      </w:r>
      <w:proofErr w:type="spellStart"/>
      <w:r w:rsidRPr="008159D4">
        <w:t>covariances</w:t>
      </w:r>
      <w:proofErr w:type="spellEnd"/>
      <w:r w:rsidRPr="008159D4">
        <w:t xml:space="preserve"> in the risk propensities (that is, </w:t>
      </w:r>
      <w:proofErr w:type="spellStart"/>
      <w:r w:rsidRPr="008159D4">
        <w:t>covaria</w:t>
      </w:r>
      <w:r w:rsidR="008E422C" w:rsidRPr="003354F1">
        <w:t>nces</w:t>
      </w:r>
      <w:proofErr w:type="spellEnd"/>
      <w:r w:rsidR="008E422C" w:rsidRPr="003354F1">
        <w:t xml:space="preserve"> among the constants) show</w:t>
      </w:r>
      <w:r w:rsidRPr="008159D4">
        <w:t>, as expected,</w:t>
      </w:r>
      <w:r w:rsidR="008E422C" w:rsidRPr="003354F1">
        <w:t xml:space="preserve"> a positive and statistic</w:t>
      </w:r>
      <w:r w:rsidRPr="008159D4">
        <w:t>a</w:t>
      </w:r>
      <w:r w:rsidR="008E422C">
        <w:t>l</w:t>
      </w:r>
      <w:r w:rsidRPr="008159D4">
        <w:t>ly significant covariance across four pairs of constants (but not between the constants of the “possible injury” level with the constants of the “incapacitating” and “fatal” injury levels).</w:t>
      </w:r>
      <w:r w:rsidRPr="008159D4">
        <w:rPr>
          <w:rStyle w:val="FootnoteReference"/>
        </w:rPr>
        <w:footnoteReference w:id="12"/>
      </w:r>
      <w:r w:rsidR="001169F8">
        <w:t xml:space="preserve"> These </w:t>
      </w:r>
      <w:proofErr w:type="spellStart"/>
      <w:r w:rsidR="001169F8">
        <w:t>covar</w:t>
      </w:r>
      <w:r w:rsidRPr="008159D4">
        <w:t>i</w:t>
      </w:r>
      <w:r w:rsidR="001169F8">
        <w:t>a</w:t>
      </w:r>
      <w:r w:rsidRPr="008159D4">
        <w:t>nces</w:t>
      </w:r>
      <w:proofErr w:type="spellEnd"/>
      <w:r w:rsidRPr="008159D4">
        <w:t xml:space="preserve"> likely reflect geometric, design, and other unique unobserved features within a tract that simultaneously move the injury risk up or down for all injury levels. But, in addition, the random coefficients corresponding to three variables also showed covariation in risk across specific pairs of injury severity levels: between the log of population density parameters in the “possible” and “incapacitating” injury levels (value of 0.264</w:t>
      </w:r>
      <w:r w:rsidR="00B5684C">
        <w:t xml:space="preserve">; t-statistic of </w:t>
      </w:r>
      <w:r w:rsidR="00277546">
        <w:t>3.27</w:t>
      </w:r>
      <w:r w:rsidRPr="008159D4">
        <w:t xml:space="preserve">), between the </w:t>
      </w:r>
      <w:r w:rsidRPr="008159D4">
        <w:lastRenderedPageBreak/>
        <w:t>proportion of Hispanic population parameters in the “non-incapacitating” and “incapacitating” levels (0.400</w:t>
      </w:r>
      <w:r w:rsidR="00B5684C">
        <w:t xml:space="preserve">; t-statistic of </w:t>
      </w:r>
      <w:r w:rsidR="00277546">
        <w:t>3.11</w:t>
      </w:r>
      <w:r w:rsidRPr="008159D4">
        <w:t>), and between the proportion of Hispanic population parameters in the “incapacitating” and “fatal” levels (0.192</w:t>
      </w:r>
      <w:r w:rsidR="00B5684C">
        <w:t xml:space="preserve">; t-statistic of </w:t>
      </w:r>
      <w:r w:rsidR="00277546">
        <w:t>2.59</w:t>
      </w:r>
      <w:r w:rsidRPr="008159D4">
        <w:t xml:space="preserve">). These covariation effects may be attributed to, for example, </w:t>
      </w:r>
      <w:r>
        <w:t>factors such as the absence of sidewalks, footpaths, and appropriate traffic signage/signals associated with high density and predominantly Hispanic neighborhoods that simultaneously increase the risk for pedestrian injuries of multiple levels.</w:t>
      </w:r>
    </w:p>
    <w:p w:rsidR="00063A53" w:rsidRPr="00BF6017" w:rsidRDefault="00063A53" w:rsidP="00D72ECE">
      <w:pPr>
        <w:ind w:firstLine="0"/>
        <w:rPr>
          <w:highlight w:val="yellow"/>
        </w:rPr>
      </w:pPr>
    </w:p>
    <w:p w:rsidR="00534734" w:rsidRPr="00672FFE" w:rsidRDefault="00ED2165" w:rsidP="00D72ECE">
      <w:pPr>
        <w:pStyle w:val="Heading3"/>
        <w:numPr>
          <w:ilvl w:val="0"/>
          <w:numId w:val="0"/>
        </w:numPr>
      </w:pPr>
      <w:r w:rsidRPr="00672FFE">
        <w:rPr>
          <w:rFonts w:eastAsia="Calibri" w:cs="Times New Roman"/>
        </w:rPr>
        <w:t>4.</w:t>
      </w:r>
      <w:r w:rsidR="00202819" w:rsidRPr="00672FFE">
        <w:rPr>
          <w:rFonts w:eastAsia="Calibri" w:cs="Times New Roman"/>
        </w:rPr>
        <w:t>5.</w:t>
      </w:r>
      <w:r w:rsidR="00672FFE" w:rsidRPr="00672FFE">
        <w:rPr>
          <w:rFonts w:eastAsia="Calibri" w:cs="Times New Roman"/>
        </w:rPr>
        <w:t>3</w:t>
      </w:r>
      <w:r w:rsidRPr="00672FFE">
        <w:rPr>
          <w:rFonts w:eastAsia="Calibri" w:cs="Times New Roman"/>
        </w:rPr>
        <w:t xml:space="preserve"> </w:t>
      </w:r>
      <w:r w:rsidR="00534734" w:rsidRPr="00672FFE">
        <w:t>Threshold Parameters</w:t>
      </w:r>
    </w:p>
    <w:p w:rsidR="00004055" w:rsidRDefault="00B76710" w:rsidP="00D72ECE">
      <w:pPr>
        <w:tabs>
          <w:tab w:val="left" w:pos="8010"/>
        </w:tabs>
        <w:autoSpaceDE w:val="0"/>
        <w:autoSpaceDN w:val="0"/>
        <w:adjustRightInd w:val="0"/>
        <w:ind w:firstLine="0"/>
      </w:pPr>
      <w:r w:rsidRPr="003B1EA1">
        <w:t>The threshold parameters include</w:t>
      </w:r>
      <w:r>
        <w:t>, for the count model for each injury severity level,</w:t>
      </w:r>
      <w:r w:rsidRPr="003B1EA1">
        <w:t xml:space="preserve"> the threshold specific constants </w:t>
      </w:r>
      <w:r>
        <w:rPr>
          <w:shd w:val="clear" w:color="auto" w:fill="FFFFFF"/>
        </w:rPr>
        <w:t xml:space="preserve">(the </w:t>
      </w:r>
      <w:r w:rsidR="009D25D9" w:rsidRPr="008D374A">
        <w:rPr>
          <w:position w:val="-16"/>
        </w:rPr>
        <w:object w:dxaOrig="620" w:dyaOrig="400">
          <v:shape id="_x0000_i1180" type="#_x0000_t75" style="width:30.75pt;height:20.25pt" o:ole="" o:preferrelative="f">
            <v:imagedata r:id="rId293" o:title=""/>
            <o:lock v:ext="edit" aspectratio="f"/>
          </v:shape>
          <o:OLEObject Type="Embed" ProgID="Equation.3" ShapeID="_x0000_i1180" DrawAspect="Content" ObjectID="_1555512569" r:id="rId300"/>
        </w:object>
      </w:r>
      <w:r>
        <w:t xml:space="preserve">parameters) as well as the </w:t>
      </w:r>
      <w:r w:rsidR="009D25D9" w:rsidRPr="008D374A">
        <w:rPr>
          <w:position w:val="-14"/>
        </w:rPr>
        <w:object w:dxaOrig="260" w:dyaOrig="400">
          <v:shape id="_x0000_i1181" type="#_x0000_t75" style="width:13.5pt;height:20.25pt" o:ole="" o:preferrelative="f">
            <v:imagedata r:id="rId66" o:title=""/>
            <o:lock v:ext="edit" aspectratio="f"/>
          </v:shape>
          <o:OLEObject Type="Embed" ProgID="Equation.3" ShapeID="_x0000_i1181" DrawAspect="Content" ObjectID="_1555512570" r:id="rId301"/>
        </w:object>
      </w:r>
      <w:r w:rsidR="009D25D9">
        <w:t xml:space="preserve"> </w:t>
      </w:r>
      <w:r>
        <w:t xml:space="preserve">parameters. These are provided in </w:t>
      </w:r>
      <w:r w:rsidR="00FD3025" w:rsidRPr="00D16DDB">
        <w:t xml:space="preserve">Table </w:t>
      </w:r>
      <w:r>
        <w:t>2.</w:t>
      </w:r>
      <w:r w:rsidR="00FD3025">
        <w:t xml:space="preserve"> </w:t>
      </w:r>
      <w:r w:rsidR="009D2F9C" w:rsidRPr="009D2F9C">
        <w:t xml:space="preserve">The threshold specific constants do not have any </w:t>
      </w:r>
      <w:r w:rsidR="008E422C">
        <w:t>substantive</w:t>
      </w:r>
      <w:r w:rsidR="009D2F9C" w:rsidRPr="009D2F9C">
        <w:t xml:space="preserve"> interpretations but their presence provides flexibility in the count model to accommodate high or low probability masses for specific outcomes (after controlling for the effect of other exogenous variables)</w:t>
      </w:r>
      <w:r w:rsidR="008E422C">
        <w:t>, as discussed in Section 3.1</w:t>
      </w:r>
      <w:r w:rsidR="008574BB">
        <w:t>.</w:t>
      </w:r>
      <w:r w:rsidR="009D2F9C" w:rsidRPr="009D2F9C">
        <w:t xml:space="preserve"> </w:t>
      </w:r>
      <w:r w:rsidR="008574BB">
        <w:t xml:space="preserve">But the negative value for </w:t>
      </w:r>
      <w:r w:rsidR="009D25D9" w:rsidRPr="00521D37">
        <w:rPr>
          <w:position w:val="-14"/>
        </w:rPr>
        <w:object w:dxaOrig="499" w:dyaOrig="380">
          <v:shape id="_x0000_i1182" type="#_x0000_t75" style="width:25.5pt;height:18.75pt" o:ole="" o:preferrelative="f">
            <v:imagedata r:id="rId302" o:title=""/>
            <o:lock v:ext="edit" aspectratio="f"/>
          </v:shape>
          <o:OLEObject Type="Embed" ProgID="Equation.3" ShapeID="_x0000_i1182" DrawAspect="Content" ObjectID="_1555512571" r:id="rId303"/>
        </w:object>
      </w:r>
      <w:r w:rsidR="008574BB">
        <w:t xml:space="preserve">(labeled in Table 2 simply as </w:t>
      </w:r>
      <w:r w:rsidR="009D25D9" w:rsidRPr="00521D37">
        <w:rPr>
          <w:position w:val="-12"/>
        </w:rPr>
        <w:object w:dxaOrig="420" w:dyaOrig="360">
          <v:shape id="_x0000_i1183" type="#_x0000_t75" style="width:20.25pt;height:18pt" o:ole="" o:preferrelative="f">
            <v:imagedata r:id="rId304" o:title=""/>
            <o:lock v:ext="edit" aspectratio="f"/>
          </v:shape>
          <o:OLEObject Type="Embed" ProgID="Equation.3" ShapeID="_x0000_i1183" DrawAspect="Content" ObjectID="_1555512572" r:id="rId305"/>
        </w:object>
      </w:r>
      <w:r w:rsidR="008574BB">
        <w:t xml:space="preserve">because all the threshold-specific constants are relevant only to the first injury level of </w:t>
      </w:r>
      <w:r w:rsidR="008574BB" w:rsidRPr="008159D4">
        <w:rPr>
          <w:i/>
        </w:rPr>
        <w:t>j</w:t>
      </w:r>
      <w:r w:rsidR="008574BB">
        <w:t xml:space="preserve">=1) has the effect of opening up the window corresponding to the count value of six, thereby increasing the probability mass for a count of six, which is consistent with the discernible spike at this count value for “possible” injury in Figure 1. </w:t>
      </w:r>
    </w:p>
    <w:p w:rsidR="00ED2165" w:rsidRPr="00D26238" w:rsidRDefault="00A72923" w:rsidP="00D72ECE">
      <w:r>
        <w:t xml:space="preserve">The elements of the </w:t>
      </w:r>
      <w:r w:rsidR="009D25D9" w:rsidRPr="008D374A">
        <w:rPr>
          <w:position w:val="-14"/>
        </w:rPr>
        <w:object w:dxaOrig="260" w:dyaOrig="400">
          <v:shape id="_x0000_i1184" type="#_x0000_t75" style="width:13.5pt;height:20.25pt" o:ole="" o:preferrelative="f">
            <v:imagedata r:id="rId66" o:title=""/>
            <o:lock v:ext="edit" aspectratio="f"/>
          </v:shape>
          <o:OLEObject Type="Embed" ProgID="Equation.3" ShapeID="_x0000_i1184" DrawAspect="Content" ObjectID="_1555512573" r:id="rId306"/>
        </w:object>
      </w:r>
      <w:r w:rsidR="009D25D9">
        <w:t xml:space="preserve"> </w:t>
      </w:r>
      <w:r w:rsidR="008E422C">
        <w:t xml:space="preserve">vector </w:t>
      </w:r>
      <w:r>
        <w:t xml:space="preserve">for injury severity level </w:t>
      </w:r>
      <w:r w:rsidRPr="008159D4">
        <w:rPr>
          <w:i/>
        </w:rPr>
        <w:t>j</w:t>
      </w:r>
      <w:r w:rsidR="008E422C">
        <w:t>, as discussed in Section 3.1</w:t>
      </w:r>
      <w:r>
        <w:t xml:space="preserve">, </w:t>
      </w:r>
      <w:r w:rsidR="00F66731">
        <w:t xml:space="preserve">translate the long-term crash risk propensity for injury level </w:t>
      </w:r>
      <w:r w:rsidR="00F66731" w:rsidRPr="008159D4">
        <w:rPr>
          <w:i/>
        </w:rPr>
        <w:t xml:space="preserve">j </w:t>
      </w:r>
      <w:r w:rsidR="003174AB">
        <w:t xml:space="preserve">into the actual </w:t>
      </w:r>
      <w:r w:rsidR="00F66731">
        <w:t xml:space="preserve">occurrence of an injury </w:t>
      </w:r>
      <w:r w:rsidR="003174AB">
        <w:t xml:space="preserve">of that level </w:t>
      </w:r>
      <w:r w:rsidRPr="00456CEF">
        <w:t xml:space="preserve">at any given </w:t>
      </w:r>
      <w:r w:rsidRPr="00456CEF">
        <w:rPr>
          <w:i/>
        </w:rPr>
        <w:t>instant of time</w:t>
      </w:r>
      <w:r>
        <w:t xml:space="preserve">. </w:t>
      </w:r>
      <w:r w:rsidR="00D26238">
        <w:t xml:space="preserve">The constants in the </w:t>
      </w:r>
      <w:r w:rsidR="009D25D9" w:rsidRPr="008D374A">
        <w:rPr>
          <w:position w:val="-14"/>
        </w:rPr>
        <w:object w:dxaOrig="260" w:dyaOrig="400">
          <v:shape id="_x0000_i1185" type="#_x0000_t75" style="width:13.5pt;height:20.25pt" o:ole="" o:preferrelative="f">
            <v:imagedata r:id="rId66" o:title=""/>
            <o:lock v:ext="edit" aspectratio="f"/>
          </v:shape>
          <o:OLEObject Type="Embed" ProgID="Equation.3" ShapeID="_x0000_i1185" DrawAspect="Content" ObjectID="_1555512574" r:id="rId307"/>
        </w:object>
      </w:r>
      <w:r w:rsidR="009D25D9">
        <w:t xml:space="preserve"> </w:t>
      </w:r>
      <w:r w:rsidR="00D26238">
        <w:t xml:space="preserve">vectors </w:t>
      </w:r>
      <w:r w:rsidR="008E422C">
        <w:t xml:space="preserve">in Table 2 </w:t>
      </w:r>
      <w:r w:rsidR="00D26238">
        <w:t>do not have any substantive interpretation, and simply adjust for the values of other exogenous variables impacting the threshold. For other variables, i</w:t>
      </w:r>
      <w:r w:rsidR="00F66731">
        <w:t xml:space="preserve">f an element of the </w:t>
      </w:r>
      <w:r w:rsidR="009D25D9" w:rsidRPr="008D374A">
        <w:rPr>
          <w:position w:val="-14"/>
        </w:rPr>
        <w:object w:dxaOrig="260" w:dyaOrig="400">
          <v:shape id="_x0000_i1186" type="#_x0000_t75" style="width:13.5pt;height:20.25pt" o:ole="" o:preferrelative="f">
            <v:imagedata r:id="rId66" o:title=""/>
            <o:lock v:ext="edit" aspectratio="f"/>
          </v:shape>
          <o:OLEObject Type="Embed" ProgID="Equation.3" ShapeID="_x0000_i1186" DrawAspect="Content" ObjectID="_1555512575" r:id="rId308"/>
        </w:object>
      </w:r>
      <w:r w:rsidR="009D25D9">
        <w:t xml:space="preserve"> </w:t>
      </w:r>
      <w:r w:rsidR="00F66731">
        <w:t xml:space="preserve">is positive, </w:t>
      </w:r>
      <w:r w:rsidR="00D26238">
        <w:t xml:space="preserve">an increase in the corresponding variable </w:t>
      </w:r>
      <w:r w:rsidR="00F66731">
        <w:t xml:space="preserve">has the effect of shifting </w:t>
      </w:r>
      <w:r w:rsidR="00F66731">
        <w:rPr>
          <w:rFonts w:ascii="TimesNewRomanPSMT" w:hAnsi="TimesNewRomanPSMT" w:cs="TimesNewRomanPSMT"/>
        </w:rPr>
        <w:t>the thresholds toward the left on the crash propensity scale and reducing the probability of the zero injury count</w:t>
      </w:r>
      <w:r w:rsidR="003174AB">
        <w:rPr>
          <w:rFonts w:ascii="TimesNewRomanPSMT" w:hAnsi="TimesNewRomanPSMT" w:cs="TimesNewRomanPSMT"/>
        </w:rPr>
        <w:t xml:space="preserve"> for injury level </w:t>
      </w:r>
      <w:r w:rsidR="003174AB" w:rsidRPr="008159D4">
        <w:rPr>
          <w:rFonts w:ascii="TimesNewRomanPSMT" w:hAnsi="TimesNewRomanPSMT" w:cs="TimesNewRomanPSMT"/>
          <w:i/>
        </w:rPr>
        <w:t>j</w:t>
      </w:r>
      <w:r w:rsidR="003174AB">
        <w:rPr>
          <w:rFonts w:ascii="TimesNewRomanPSMT" w:hAnsi="TimesNewRomanPSMT" w:cs="TimesNewRomanPSMT"/>
        </w:rPr>
        <w:t xml:space="preserve"> (see CPB, 2012)</w:t>
      </w:r>
      <w:r w:rsidR="00F66731">
        <w:rPr>
          <w:rFonts w:ascii="TimesNewRomanPSMT" w:hAnsi="TimesNewRomanPSMT" w:cs="TimesNewRomanPSMT"/>
        </w:rPr>
        <w:t>.</w:t>
      </w:r>
      <w:r w:rsidR="00FD3025">
        <w:t xml:space="preserve"> </w:t>
      </w:r>
      <w:r w:rsidR="003174AB">
        <w:t xml:space="preserve">In other words, a positive element implies </w:t>
      </w:r>
      <w:r w:rsidR="004874E8">
        <w:t xml:space="preserve">that local spatial/temporal circumstances preceding a crash </w:t>
      </w:r>
      <w:r w:rsidR="00D26238">
        <w:t xml:space="preserve">(and associated with the variable in question) </w:t>
      </w:r>
      <w:r w:rsidR="004874E8">
        <w:t xml:space="preserve">are such that a given risk is more likely to manifest itself in injuries because of a risk “reinforcing” effect. </w:t>
      </w:r>
      <w:r w:rsidR="00FD3025">
        <w:t xml:space="preserve">On the </w:t>
      </w:r>
      <w:r w:rsidR="003174AB">
        <w:t>other hand</w:t>
      </w:r>
      <w:r w:rsidR="00FD3025">
        <w:t xml:space="preserve">, a negative </w:t>
      </w:r>
      <w:r w:rsidR="004874E8">
        <w:t>element</w:t>
      </w:r>
      <w:r w:rsidR="00FD3025">
        <w:t xml:space="preserve"> </w:t>
      </w:r>
      <w:r w:rsidR="00D26238">
        <w:t xml:space="preserve">implies that an increase in the corresponding variable </w:t>
      </w:r>
      <w:r w:rsidR="00FD3025">
        <w:t xml:space="preserve">increases the probability </w:t>
      </w:r>
      <w:r w:rsidR="00FD3025">
        <w:lastRenderedPageBreak/>
        <w:t xml:space="preserve">of </w:t>
      </w:r>
      <w:r w:rsidR="003174AB">
        <w:t xml:space="preserve">the </w:t>
      </w:r>
      <w:r w:rsidR="00FD3025">
        <w:t xml:space="preserve">zero injury count </w:t>
      </w:r>
      <w:r w:rsidR="00F724DE">
        <w:t xml:space="preserve">for </w:t>
      </w:r>
      <w:r w:rsidR="00FD3025">
        <w:t>injury level</w:t>
      </w:r>
      <w:r w:rsidR="003174AB">
        <w:t xml:space="preserve"> </w:t>
      </w:r>
      <w:r w:rsidR="003174AB" w:rsidRPr="008159D4">
        <w:rPr>
          <w:i/>
        </w:rPr>
        <w:t>j</w:t>
      </w:r>
      <w:r w:rsidR="00FD3025">
        <w:t xml:space="preserve">. </w:t>
      </w:r>
      <w:r w:rsidR="004874E8">
        <w:t xml:space="preserve">That is, a negative element implies that local spatial/temporal circumstances preceding a crash </w:t>
      </w:r>
      <w:r w:rsidR="00D26238">
        <w:t xml:space="preserve">(and associated with the variable in question) </w:t>
      </w:r>
      <w:r w:rsidR="004874E8">
        <w:t xml:space="preserve">are such that a given risk is less likely to manifest itself in injuries because of a “cushioning” effect. </w:t>
      </w:r>
      <w:r w:rsidR="00D26238">
        <w:t xml:space="preserve">With that as a prelude, it is first interesting to note from Table 2 that the number of variables that moderate the translation of risk to injury decrease as we go from the lowest injury severity level to the highest. </w:t>
      </w:r>
      <w:r w:rsidR="00B82325">
        <w:t xml:space="preserve">This is intuitive, as there can only be less of moderating effects as more serious injuries are about to happen. Second, almost all the moderating variables </w:t>
      </w:r>
      <w:r w:rsidR="00D26238">
        <w:t xml:space="preserve">are </w:t>
      </w:r>
      <w:r w:rsidR="00B82325">
        <w:t xml:space="preserve">built environment variables rather than socio-economic variables, </w:t>
      </w:r>
      <w:r w:rsidR="00F724DE">
        <w:t>because the risk-</w:t>
      </w:r>
      <w:r w:rsidR="00B82325">
        <w:t>moderating vari</w:t>
      </w:r>
      <w:r w:rsidR="00D26238">
        <w:t>a</w:t>
      </w:r>
      <w:r w:rsidR="00B82325">
        <w:t xml:space="preserve">bles are likely to be associated with </w:t>
      </w:r>
      <w:r w:rsidR="007F4D34">
        <w:t xml:space="preserve">the environment more so than socio-economics. However, the first variable under the </w:t>
      </w:r>
      <w:r w:rsidR="009D25D9" w:rsidRPr="008D374A">
        <w:rPr>
          <w:position w:val="-14"/>
        </w:rPr>
        <w:object w:dxaOrig="260" w:dyaOrig="380">
          <v:shape id="_x0000_i1187" type="#_x0000_t75" style="width:13.5pt;height:18.75pt" o:ole="" o:preferrelative="f">
            <v:imagedata r:id="rId309" o:title=""/>
            <o:lock v:ext="edit" aspectratio="f"/>
          </v:shape>
          <o:OLEObject Type="Embed" ProgID="Equation.3" ShapeID="_x0000_i1187" DrawAspect="Content" ObjectID="_1555512576" r:id="rId310"/>
        </w:object>
      </w:r>
      <w:r w:rsidR="007F4D34">
        <w:t xml:space="preserve">vector is “median household income”, and the effect of this variable suggests </w:t>
      </w:r>
      <w:r w:rsidR="0021267D">
        <w:t>that, given a certain level of risk propensity for fatal injuries, tracts with higher income (relative to tracts with lower income) are more likely to actually see fatal injuries. Combined with the lower risk propensity to begin with in higher income tracts (see Table 1), the suggestion is that higher income tracts probably have better pedestrian facilities, but motorists are not used to pedestrian-motor vehicle conflicts so that when one starts to develop, they are less experienced in navigating through to avoid fatalities. The net effect of being in a higher income tract on pedestrian fatalities will be a combination of the risk propensity effect and the threshold effect, which shows a strong negative effe</w:t>
      </w:r>
      <w:r w:rsidR="00F724DE">
        <w:t xml:space="preserve">ct on fatalities (see the </w:t>
      </w:r>
      <w:r w:rsidR="0021267D">
        <w:t xml:space="preserve">discussion </w:t>
      </w:r>
      <w:r w:rsidR="00F724DE">
        <w:t>later in Section 4.7</w:t>
      </w:r>
      <w:r w:rsidR="0021267D">
        <w:t>). However, from a policy standpoint, the implication is that there would be value in education and information campaigns for motorists and pedestrians even in high income neighborhoods, even if such neighborhoods have much fewer pedestrian fatalities than low inc</w:t>
      </w:r>
      <w:r w:rsidR="00382800">
        <w:t>o</w:t>
      </w:r>
      <w:r w:rsidR="0021267D">
        <w:t xml:space="preserve">me neighborhoods. </w:t>
      </w:r>
      <w:r w:rsidR="00382800">
        <w:t xml:space="preserve">The other results indicate the </w:t>
      </w:r>
      <w:r w:rsidR="00542AF1">
        <w:t xml:space="preserve">risk </w:t>
      </w:r>
      <w:r w:rsidR="00382800">
        <w:t>reinforcing effect</w:t>
      </w:r>
      <w:r w:rsidR="00F724DE">
        <w:t>s</w:t>
      </w:r>
      <w:r w:rsidR="00382800">
        <w:t xml:space="preserve"> </w:t>
      </w:r>
      <w:r w:rsidR="00542AF1">
        <w:t xml:space="preserve">for the lower injury levels (but not for the “fatal” level) </w:t>
      </w:r>
      <w:r w:rsidR="00382800">
        <w:t xml:space="preserve">of being in dominantly commercial and residential </w:t>
      </w:r>
      <w:r w:rsidR="00542AF1">
        <w:t xml:space="preserve">tracts, as well as in tracts with a number of schools and high walk commute mode share, possibly due to distraction effects as well as less time (due to the density of pedestrian traffic) to avoid </w:t>
      </w:r>
      <w:r w:rsidR="00F724DE">
        <w:t xml:space="preserve">crashes. </w:t>
      </w:r>
      <w:r w:rsidR="00542AF1">
        <w:t xml:space="preserve">On the other hand, there is a cushioning effect of the risk </w:t>
      </w:r>
      <w:r w:rsidR="00EA62E4">
        <w:t xml:space="preserve">in </w:t>
      </w:r>
      <w:r w:rsidR="00542AF1">
        <w:t xml:space="preserve">tracts with high </w:t>
      </w:r>
      <w:r w:rsidR="00EA62E4">
        <w:t>proportion</w:t>
      </w:r>
      <w:r w:rsidR="00542AF1">
        <w:t>s</w:t>
      </w:r>
      <w:r w:rsidR="00EA62E4">
        <w:t xml:space="preserve"> of secondary roads, local neighborhood roads and city streets, a</w:t>
      </w:r>
      <w:r w:rsidR="00542AF1">
        <w:t xml:space="preserve">nd </w:t>
      </w:r>
      <w:r w:rsidR="00EA62E4">
        <w:t>minor roads</w:t>
      </w:r>
      <w:r w:rsidR="00542AF1">
        <w:t>, suggesting that the low speeds on these roads add a layer of safety so that both</w:t>
      </w:r>
      <w:r w:rsidR="00557780">
        <w:t xml:space="preserve"> </w:t>
      </w:r>
      <w:r w:rsidR="00051CEE">
        <w:t xml:space="preserve">pedestrians and </w:t>
      </w:r>
      <w:r w:rsidR="00542AF1">
        <w:t xml:space="preserve">motorists can </w:t>
      </w:r>
      <w:r w:rsidR="00051CEE">
        <w:t xml:space="preserve">identify </w:t>
      </w:r>
      <w:r w:rsidR="00542AF1">
        <w:t xml:space="preserve">an impending collision and have time to take evasive action. </w:t>
      </w:r>
    </w:p>
    <w:p w:rsidR="00063A53" w:rsidRDefault="00063A53" w:rsidP="00D72ECE">
      <w:pPr>
        <w:tabs>
          <w:tab w:val="left" w:pos="8010"/>
        </w:tabs>
        <w:autoSpaceDE w:val="0"/>
        <w:autoSpaceDN w:val="0"/>
        <w:adjustRightInd w:val="0"/>
        <w:ind w:firstLine="0"/>
        <w:rPr>
          <w:b/>
          <w:i/>
        </w:rPr>
      </w:pPr>
    </w:p>
    <w:p w:rsidR="00ED2165" w:rsidRPr="00672FFE" w:rsidRDefault="00202819" w:rsidP="00587CAF">
      <w:pPr>
        <w:keepNext/>
        <w:keepLines/>
        <w:tabs>
          <w:tab w:val="left" w:pos="8010"/>
        </w:tabs>
        <w:autoSpaceDE w:val="0"/>
        <w:autoSpaceDN w:val="0"/>
        <w:adjustRightInd w:val="0"/>
        <w:ind w:firstLine="0"/>
        <w:rPr>
          <w:i/>
        </w:rPr>
      </w:pPr>
      <w:r w:rsidRPr="00672FFE">
        <w:rPr>
          <w:i/>
        </w:rPr>
        <w:lastRenderedPageBreak/>
        <w:t>4.5.</w:t>
      </w:r>
      <w:r w:rsidR="00672FFE" w:rsidRPr="00672FFE">
        <w:rPr>
          <w:i/>
        </w:rPr>
        <w:t>4</w:t>
      </w:r>
      <w:r w:rsidR="00ED2165" w:rsidRPr="00672FFE">
        <w:rPr>
          <w:i/>
        </w:rPr>
        <w:t xml:space="preserve"> Spatial </w:t>
      </w:r>
      <w:r w:rsidR="00514BE2" w:rsidRPr="00672FFE">
        <w:rPr>
          <w:i/>
        </w:rPr>
        <w:t>Dependence</w:t>
      </w:r>
    </w:p>
    <w:p w:rsidR="00534734" w:rsidRDefault="00514BE2" w:rsidP="00587CAF">
      <w:pPr>
        <w:keepNext/>
        <w:keepLines/>
        <w:tabs>
          <w:tab w:val="left" w:pos="8010"/>
        </w:tabs>
        <w:autoSpaceDE w:val="0"/>
        <w:autoSpaceDN w:val="0"/>
        <w:adjustRightInd w:val="0"/>
        <w:ind w:firstLine="0"/>
      </w:pPr>
      <w:r>
        <w:t xml:space="preserve">The spatial dependence parameters lead to inter-relationships </w:t>
      </w:r>
      <w:r w:rsidR="00F87FD1">
        <w:t xml:space="preserve">or spatial spillovers </w:t>
      </w:r>
      <w:r>
        <w:t xml:space="preserve">in the risk propensity across proximal </w:t>
      </w:r>
      <w:r w:rsidR="00725139">
        <w:t>c</w:t>
      </w:r>
      <w:r>
        <w:t>ensus t</w:t>
      </w:r>
      <w:r w:rsidR="00440FDA">
        <w:t>racts. The dependence parameter</w:t>
      </w:r>
      <w:r w:rsidR="001169F8">
        <w:t xml:space="preserve"> for each</w:t>
      </w:r>
      <w:r>
        <w:t xml:space="preserve"> injury severity l</w:t>
      </w:r>
      <w:r w:rsidR="00440FDA">
        <w:t>evel is statistically significan</w:t>
      </w:r>
      <w:r>
        <w:t>t</w:t>
      </w:r>
      <w:r w:rsidR="00440FDA">
        <w:t xml:space="preserve"> and positive</w:t>
      </w:r>
      <w:r w:rsidR="00F724DE">
        <w:t xml:space="preserve"> (see last row of Table 2)</w:t>
      </w:r>
      <w:r w:rsidR="00440FDA">
        <w:t>, indicating a clear “snowballing” effect</w:t>
      </w:r>
      <w:r w:rsidR="00F87FD1">
        <w:t xml:space="preserve"> in our empirical analysis</w:t>
      </w:r>
      <w:r>
        <w:t xml:space="preserve">. </w:t>
      </w:r>
      <w:r w:rsidR="00440FDA">
        <w:t>That is, a change in an independent variable in one tract impacts not only the long-term risk propensity in that tract in a specific direction</w:t>
      </w:r>
      <w:r w:rsidR="00F724DE">
        <w:t>,</w:t>
      </w:r>
      <w:r w:rsidR="00440FDA">
        <w:t xml:space="preserve"> but also affects the long-term risk propensity in </w:t>
      </w:r>
      <w:r w:rsidR="00F87FD1">
        <w:t xml:space="preserve">the same direction in </w:t>
      </w:r>
      <w:r w:rsidR="00440FDA">
        <w:t xml:space="preserve">surrounding tracts </w:t>
      </w:r>
      <w:r w:rsidR="00F87FD1">
        <w:t xml:space="preserve">within a 5-mile distance band.  </w:t>
      </w:r>
      <w:r>
        <w:t xml:space="preserve">Additionally, </w:t>
      </w:r>
      <w:r w:rsidR="00F87FD1">
        <w:t>the intensity of this “snowballing” effect</w:t>
      </w:r>
      <w:r>
        <w:t xml:space="preserve"> increases with an increase in the injury severity level</w:t>
      </w:r>
      <w:r w:rsidR="005C2B1B">
        <w:t xml:space="preserve">. </w:t>
      </w:r>
      <w:r w:rsidR="005C2B1B" w:rsidRPr="00EC44D2">
        <w:t xml:space="preserve">This supports our </w:t>
      </w:r>
      <w:r w:rsidR="005C2B1B">
        <w:t>h</w:t>
      </w:r>
      <w:r w:rsidR="005C2B1B" w:rsidRPr="00EC44D2">
        <w:t>ypothesis that</w:t>
      </w:r>
      <w:r w:rsidR="005C2B1B">
        <w:t xml:space="preserve"> </w:t>
      </w:r>
      <w:r w:rsidR="005C2B1B" w:rsidRPr="00EC44D2">
        <w:t>pedestrian injur</w:t>
      </w:r>
      <w:r w:rsidR="005C2B1B">
        <w:t>y risk</w:t>
      </w:r>
      <w:r w:rsidR="005C2B1B" w:rsidRPr="00EC44D2">
        <w:t xml:space="preserve"> has different spatial dependency </w:t>
      </w:r>
      <w:r w:rsidR="005C2B1B">
        <w:t xml:space="preserve">patterns based on the </w:t>
      </w:r>
      <w:r w:rsidR="005C2B1B" w:rsidRPr="00EC44D2">
        <w:t xml:space="preserve">injury severity level </w:t>
      </w:r>
      <w:r w:rsidR="00CF51A0">
        <w:t>(</w:t>
      </w:r>
      <w:proofErr w:type="spellStart"/>
      <w:r w:rsidR="00CF51A0">
        <w:t>Narayanamoorthy</w:t>
      </w:r>
      <w:proofErr w:type="spellEnd"/>
      <w:r w:rsidR="00CF51A0">
        <w:t xml:space="preserve"> et al.,</w:t>
      </w:r>
      <w:r w:rsidR="008159D4">
        <w:t xml:space="preserve"> 2013,</w:t>
      </w:r>
      <w:r w:rsidR="00CF51A0">
        <w:t xml:space="preserve"> on the other hand, constrained all the dependence parameters to be the same across injury levels). </w:t>
      </w:r>
      <w:r w:rsidR="00D1633F">
        <w:t xml:space="preserve">As we will see later, ignoring spatial dependencies </w:t>
      </w:r>
      <w:r w:rsidR="00F724DE">
        <w:t>or constraining these to be the same across injury severity levels provides</w:t>
      </w:r>
      <w:r w:rsidR="00D1633F">
        <w:t xml:space="preserve"> an inaccurate picture of the effects of socio-economics and built enviro</w:t>
      </w:r>
      <w:r w:rsidR="00F87FD1">
        <w:t>nment variables.</w:t>
      </w:r>
    </w:p>
    <w:p w:rsidR="00147F71" w:rsidRDefault="00147F71" w:rsidP="00D72ECE">
      <w:pPr>
        <w:tabs>
          <w:tab w:val="left" w:pos="720"/>
        </w:tabs>
        <w:autoSpaceDE w:val="0"/>
        <w:autoSpaceDN w:val="0"/>
        <w:adjustRightInd w:val="0"/>
        <w:ind w:firstLine="0"/>
      </w:pPr>
      <w:r>
        <w:tab/>
      </w:r>
      <w:r w:rsidR="00B31A53">
        <w:t>In addition to spatial spillovers, the results indicate the presence of clear spatial dri</w:t>
      </w:r>
      <w:r>
        <w:t xml:space="preserve">ft in the variable coefficients; that is, a spatial pattern in the unobserved variable effects across tracts caused by the combination of unobserved heterogeneity </w:t>
      </w:r>
      <w:r w:rsidR="00A92E1F">
        <w:t xml:space="preserve">across tracts </w:t>
      </w:r>
      <w:r>
        <w:t>and spatial dependence</w:t>
      </w:r>
      <w:r w:rsidR="00A92E1F">
        <w:t xml:space="preserve"> across tracts</w:t>
      </w:r>
      <w:r>
        <w:t xml:space="preserve">. For example, as discussed earlier in the introduction section, there is reason to believe that the unobserved factors (such as MFTP) moderating the effect of the “proportion of local neighborhoods roads and city streets” on fatal injuries will themselves be spatially correlated. Our </w:t>
      </w:r>
      <w:r w:rsidR="00A92E1F">
        <w:t xml:space="preserve">modeling </w:t>
      </w:r>
      <w:r>
        <w:t>approach constitutes a simple, elegant, and intuitive structural mechanism to capture such spatial drift effects</w:t>
      </w:r>
      <w:r w:rsidR="00A92E1F">
        <w:t xml:space="preserve"> in multiple variables at once</w:t>
      </w:r>
      <w:r w:rsidR="00F724DE">
        <w:t>.</w:t>
      </w:r>
      <w:r w:rsidR="00A92E1F">
        <w:t xml:space="preserve"> </w:t>
      </w:r>
    </w:p>
    <w:p w:rsidR="00B5684C" w:rsidRDefault="00B5684C" w:rsidP="00D72ECE">
      <w:pPr>
        <w:tabs>
          <w:tab w:val="left" w:pos="720"/>
        </w:tabs>
        <w:autoSpaceDE w:val="0"/>
        <w:autoSpaceDN w:val="0"/>
        <w:adjustRightInd w:val="0"/>
        <w:ind w:firstLine="0"/>
      </w:pPr>
    </w:p>
    <w:p w:rsidR="00E80719" w:rsidRPr="00D73B66" w:rsidRDefault="00E80719" w:rsidP="00D72ECE">
      <w:pPr>
        <w:ind w:firstLine="0"/>
        <w:rPr>
          <w:b/>
        </w:rPr>
      </w:pPr>
      <w:r>
        <w:rPr>
          <w:b/>
        </w:rPr>
        <w:t>4</w:t>
      </w:r>
      <w:r w:rsidR="00ED2165">
        <w:rPr>
          <w:b/>
        </w:rPr>
        <w:t>.</w:t>
      </w:r>
      <w:r w:rsidR="00202819">
        <w:rPr>
          <w:b/>
        </w:rPr>
        <w:t>6</w:t>
      </w:r>
      <w:r w:rsidRPr="00D73B66">
        <w:rPr>
          <w:b/>
        </w:rPr>
        <w:t xml:space="preserve"> Measures of </w:t>
      </w:r>
      <w:r>
        <w:rPr>
          <w:b/>
        </w:rPr>
        <w:t>Data F</w:t>
      </w:r>
      <w:r w:rsidRPr="00D73B66">
        <w:rPr>
          <w:b/>
        </w:rPr>
        <w:t>it</w:t>
      </w:r>
    </w:p>
    <w:p w:rsidR="00E80719" w:rsidRDefault="00E80719" w:rsidP="00D72ECE">
      <w:pPr>
        <w:ind w:firstLine="0"/>
        <w:contextualSpacing/>
        <w:outlineLvl w:val="0"/>
      </w:pPr>
      <w:r>
        <w:t xml:space="preserve">In this section, we examine the data fit of the proposed </w:t>
      </w:r>
      <w:r w:rsidR="0099055F">
        <w:t xml:space="preserve">multivariate unconstrained spatial count model (MUSC) </w:t>
      </w:r>
      <w:r>
        <w:t>with its more restricted versions</w:t>
      </w:r>
      <w:r w:rsidR="0099055F">
        <w:t>, as discussed in Section 3.3</w:t>
      </w:r>
      <w:r>
        <w:t xml:space="preserve">: (1) the </w:t>
      </w:r>
      <w:r w:rsidR="0099055F">
        <w:t xml:space="preserve">independent </w:t>
      </w:r>
      <w:proofErr w:type="spellStart"/>
      <w:r w:rsidR="0099055F">
        <w:t>aspatial</w:t>
      </w:r>
      <w:proofErr w:type="spellEnd"/>
      <w:r w:rsidR="0099055F">
        <w:t xml:space="preserve"> count (IAC) model, (2) the independent constrained spatial count (ICSC) model, (3) the independent unconstrained spatial count (IUSC) model, (4) the multivariate </w:t>
      </w:r>
      <w:proofErr w:type="spellStart"/>
      <w:r w:rsidR="0099055F">
        <w:t>aspatial</w:t>
      </w:r>
      <w:proofErr w:type="spellEnd"/>
      <w:r w:rsidR="0099055F">
        <w:t xml:space="preserve"> count (MAC) model, and (5) the multivariate constrained spatial count (MCSC) model.  These models </w:t>
      </w:r>
      <w:r>
        <w:t>ma</w:t>
      </w:r>
      <w:r w:rsidR="0099055F">
        <w:t xml:space="preserve">y be tested against the MUSC </w:t>
      </w:r>
      <w:r>
        <w:t xml:space="preserve">model using </w:t>
      </w:r>
      <w:r w:rsidRPr="00CB2244">
        <w:t xml:space="preserve">the adjusted composite likelihood ratio test </w:t>
      </w:r>
      <w:r>
        <w:t>(ADCLRT)</w:t>
      </w:r>
      <w:r w:rsidRPr="00CB2244">
        <w:t xml:space="preserve"> statistic</w:t>
      </w:r>
      <w:r>
        <w:t>,</w:t>
      </w:r>
      <w:r w:rsidRPr="00CB2244">
        <w:t xml:space="preserve"> which is asymptotically chi-squared distributed </w:t>
      </w:r>
      <w:r w:rsidR="001169F8">
        <w:t>(</w:t>
      </w:r>
      <w:r w:rsidRPr="00CB2244">
        <w:t xml:space="preserve">similar to the likelihood ratio test statistic </w:t>
      </w:r>
      <w:r w:rsidRPr="00CB2244">
        <w:lastRenderedPageBreak/>
        <w:t>for the maximum likelihood approach</w:t>
      </w:r>
      <w:r w:rsidR="00E40466">
        <w:rPr>
          <w:rStyle w:val="FootnoteReference"/>
        </w:rPr>
        <w:footnoteReference w:id="13"/>
      </w:r>
      <w:r w:rsidR="001169F8">
        <w:t>).</w:t>
      </w:r>
      <w:r>
        <w:t xml:space="preserve"> In addition to testing the models using the </w:t>
      </w:r>
      <w:r w:rsidR="0093563D">
        <w:t xml:space="preserve">disaggregate </w:t>
      </w:r>
      <w:r>
        <w:t xml:space="preserve">ADCLRT statistic, we also predict the </w:t>
      </w:r>
      <w:r w:rsidR="00A850B3">
        <w:t>expected</w:t>
      </w:r>
      <w:r w:rsidR="00F724DE">
        <w:t xml:space="preserve"> </w:t>
      </w:r>
      <w:r w:rsidR="00A850B3">
        <w:t xml:space="preserve">count of injuries at each severity level at each </w:t>
      </w:r>
      <w:r w:rsidR="00725139">
        <w:t>c</w:t>
      </w:r>
      <w:r w:rsidR="00A850B3">
        <w:t>ensus tract</w:t>
      </w:r>
      <w:r w:rsidR="00ED2165">
        <w:t xml:space="preserve"> (the procedure is discussed in Appendix A)</w:t>
      </w:r>
      <w:r w:rsidR="00A850B3">
        <w:t xml:space="preserve">, aggregate these expected counts at each injury severity level across all </w:t>
      </w:r>
      <w:r w:rsidR="00725139">
        <w:t>c</w:t>
      </w:r>
      <w:r w:rsidR="00A850B3">
        <w:t xml:space="preserve">ensus tracts, and compare these aggregate prediction counts with the actual counts of injuries at each severity level for the entire Manhattan region </w:t>
      </w:r>
      <w:r>
        <w:t xml:space="preserve">using the </w:t>
      </w:r>
      <w:r w:rsidRPr="000833BD">
        <w:t>Mean Absolute Percentage Error</w:t>
      </w:r>
      <w:r>
        <w:t xml:space="preserve"> (MAPE) measure.</w:t>
      </w:r>
      <w:r w:rsidR="00F657EE">
        <w:t xml:space="preserve"> </w:t>
      </w:r>
      <w:r w:rsidR="00A850B3">
        <w:t>This provides an</w:t>
      </w:r>
      <w:r w:rsidR="00F724DE">
        <w:t>other</w:t>
      </w:r>
      <w:r w:rsidR="00A850B3">
        <w:t xml:space="preserve"> intuitive way of </w:t>
      </w:r>
      <w:r w:rsidR="0093563D">
        <w:t xml:space="preserve">assessing model performance. </w:t>
      </w:r>
    </w:p>
    <w:p w:rsidR="00ED2165" w:rsidRDefault="001169F8" w:rsidP="0070440D">
      <w:r>
        <w:t>Table 3 presents t</w:t>
      </w:r>
      <w:r w:rsidR="00E80719" w:rsidRPr="00C84020">
        <w:t>he re</w:t>
      </w:r>
      <w:r w:rsidR="00E80719">
        <w:t>sults of the data fit comparisons</w:t>
      </w:r>
      <w:r w:rsidR="00985A34" w:rsidRPr="00C84020">
        <w:t xml:space="preserve">. </w:t>
      </w:r>
      <w:r w:rsidR="00E80719">
        <w:t xml:space="preserve">For completeness, we note that the composite log-likelihood (CLL) value of the naïve model with </w:t>
      </w:r>
      <w:r w:rsidR="004B1D87">
        <w:t>no variables</w:t>
      </w:r>
      <w:r w:rsidR="00E80719">
        <w:t xml:space="preserve"> in the </w:t>
      </w:r>
      <w:r w:rsidR="00F657EE">
        <w:t>injury risk propensity of each s</w:t>
      </w:r>
      <w:r w:rsidR="00097187">
        <w:t xml:space="preserve">everity level and only a constant in the threshold (that is, only a constant in the </w:t>
      </w:r>
      <w:r w:rsidR="009D25D9" w:rsidRPr="00340283">
        <w:rPr>
          <w:position w:val="-14"/>
        </w:rPr>
        <w:object w:dxaOrig="260" w:dyaOrig="380">
          <v:shape id="_x0000_i1188" type="#_x0000_t75" style="width:13.5pt;height:18.75pt" o:ole="" o:preferrelative="f">
            <v:imagedata r:id="rId311" o:title=""/>
            <o:lock v:ext="edit" aspectratio="f"/>
          </v:shape>
          <o:OLEObject Type="Embed" ProgID="Equation.3" ShapeID="_x0000_i1188" DrawAspect="Content" ObjectID="_1555512577" r:id="rId312"/>
        </w:object>
      </w:r>
      <w:r w:rsidR="00097187">
        <w:t xml:space="preserve"> vector) is </w:t>
      </w:r>
      <w:r w:rsidR="00315529" w:rsidRPr="00315529">
        <w:t>-2,962,001.29</w:t>
      </w:r>
      <w:r w:rsidR="00E80719">
        <w:t xml:space="preserve"> (the second numeric row). The number of parameters and the CLL values for the five models (from the simplest </w:t>
      </w:r>
      <w:r w:rsidR="00097187">
        <w:t xml:space="preserve">IAC </w:t>
      </w:r>
      <w:r w:rsidR="00E80719">
        <w:t>model to the</w:t>
      </w:r>
      <w:r w:rsidR="00097187">
        <w:t xml:space="preserve"> proposed MUSC </w:t>
      </w:r>
      <w:r w:rsidR="00E80719">
        <w:t>model) are provided in the third and fourth numeric rows, respectively,</w:t>
      </w:r>
      <w:r w:rsidR="00097187">
        <w:t xml:space="preserve"> of Table </w:t>
      </w:r>
      <w:r w:rsidR="00985A34">
        <w:t xml:space="preserve">3. </w:t>
      </w:r>
      <w:r w:rsidR="00934D97">
        <w:t xml:space="preserve">The fifth numeric </w:t>
      </w:r>
      <w:r w:rsidR="00934D97" w:rsidRPr="00C84020">
        <w:t xml:space="preserve">row </w:t>
      </w:r>
      <w:r w:rsidR="00934D97">
        <w:t xml:space="preserve">compares the MUSC model with its restrictive versions using ADCLRT tests, which clearly demonstrate the </w:t>
      </w:r>
      <w:r w:rsidR="00934D97" w:rsidRPr="00C84020">
        <w:t>sup</w:t>
      </w:r>
      <w:r w:rsidR="00934D97">
        <w:t xml:space="preserve">erior performance of the MUSC </w:t>
      </w:r>
      <w:r w:rsidR="00934D97" w:rsidRPr="00C84020">
        <w:t>mode</w:t>
      </w:r>
      <w:r w:rsidR="00934D97">
        <w:t xml:space="preserve">l relative to other models. While not shown in the table, an ADCLRT of the IAC model and ICSC model (the first and second models in Table 3) clearly rejects the IAC model, supporting the notion of the presence of spatial effects (spillover, error correlation, and drift effects). A similar result is obtained when comparing the MCSC model with the MAC model.  Between the ICSC and IUSC models, and the MCSC and MUSC models, the unconstrained versions come out to be the clear winners, implying that it is not only important to accommodate for spatial dependencies, but also allow the dependencies to vary across injury severity levels. This is also reflected in the next </w:t>
      </w:r>
      <w:r w:rsidR="0005030A">
        <w:t xml:space="preserve">numeric row </w:t>
      </w:r>
      <w:r w:rsidR="00934D97">
        <w:t xml:space="preserve">that </w:t>
      </w:r>
      <w:r w:rsidR="0005030A">
        <w:t>pr</w:t>
      </w:r>
      <w:r w:rsidR="00934D97">
        <w:t>esents</w:t>
      </w:r>
      <w:r w:rsidR="0005030A">
        <w:t xml:space="preserve"> the estimated spatial autoregressive lag parameters for the many models. The reader will note that these parameters are set to zero for the IAC and MAC models, and constrained to be equal across the injury severity levels for the ICSC and MCSC models. </w:t>
      </w:r>
      <w:r w:rsidR="00934D97">
        <w:t xml:space="preserve">Finally, </w:t>
      </w:r>
      <w:r w:rsidR="00AB790D">
        <w:t xml:space="preserve">the </w:t>
      </w:r>
      <w:r w:rsidR="00A850B3">
        <w:t>last row panel of the tabl</w:t>
      </w:r>
      <w:r w:rsidR="00934D97">
        <w:t xml:space="preserve">e </w:t>
      </w:r>
      <w:r w:rsidR="0093563D">
        <w:t>com</w:t>
      </w:r>
      <w:r w:rsidR="00A850B3">
        <w:t>p</w:t>
      </w:r>
      <w:r w:rsidR="0093563D">
        <w:t>a</w:t>
      </w:r>
      <w:r w:rsidR="00A850B3">
        <w:t xml:space="preserve">res the predicted and actual counts at each injury severity level over the entire Manhattan region. </w:t>
      </w:r>
      <w:r w:rsidR="0093563D">
        <w:t xml:space="preserve">The </w:t>
      </w:r>
      <w:r w:rsidR="00AB790D">
        <w:t xml:space="preserve">last row indicates substantial MAPE differences not only between the IAC and ICSC (and MAC and MCSC models), but also between the ICSC and IUSC (and MCSC and MUSC) </w:t>
      </w:r>
      <w:r w:rsidR="00AB790D">
        <w:lastRenderedPageBreak/>
        <w:t>models.</w:t>
      </w:r>
      <w:r w:rsidR="0093563D">
        <w:t xml:space="preserve"> Indeed, the MUSC </w:t>
      </w:r>
      <w:r w:rsidR="00E80719">
        <w:t>model rejects all other models based on not only the disaggregate ADCLRT test (as discussed earlier), but also based on the aggregate MAPE statistic.</w:t>
      </w:r>
    </w:p>
    <w:p w:rsidR="0070440D" w:rsidRDefault="0070440D" w:rsidP="0070440D"/>
    <w:p w:rsidR="00ED2165" w:rsidRPr="00EC44D2" w:rsidRDefault="00202819" w:rsidP="0070440D">
      <w:pPr>
        <w:pStyle w:val="Heading2"/>
        <w:numPr>
          <w:ilvl w:val="0"/>
          <w:numId w:val="0"/>
        </w:numPr>
        <w:spacing w:before="0" w:beforeAutospacing="0" w:after="0" w:afterAutospacing="0"/>
        <w:ind w:left="360" w:hanging="360"/>
      </w:pPr>
      <w:r w:rsidRPr="00EC44D2">
        <w:rPr>
          <w:lang w:val="en-US"/>
        </w:rPr>
        <w:t xml:space="preserve">4.7 </w:t>
      </w:r>
      <w:r w:rsidR="00ED2165" w:rsidRPr="00EC44D2">
        <w:t>Aggregate Elasticity Effects</w:t>
      </w:r>
    </w:p>
    <w:p w:rsidR="004805DE" w:rsidRDefault="008B7900" w:rsidP="00D72ECE">
      <w:pPr>
        <w:ind w:firstLine="0"/>
        <w:contextualSpacing/>
      </w:pPr>
      <w:r>
        <w:t xml:space="preserve">The model fit comparisons in the previous section show the benefits of our proposed MUSC formulation for modeling the count of pedestrian injuries by severity level. But to examine if the MUSC model also predicts quite different effects of the risk factors, </w:t>
      </w:r>
      <w:r w:rsidR="00D24D23">
        <w:t>we compute the aggregate-level “elasticity effects” from the many different models. To focus the presentation</w:t>
      </w:r>
      <w:r w:rsidR="00563A22">
        <w:t xml:space="preserve"> and avoid clutter</w:t>
      </w:r>
      <w:r w:rsidR="00D24D23">
        <w:t>, we provide the elasticity results for only the three multivariate models: the MAC, the MCSC, and the MUSC</w:t>
      </w:r>
      <w:r w:rsidR="00563A22">
        <w:t>, and for only the two more serious “incapacitating” and “fatal” injury levels</w:t>
      </w:r>
      <w:r w:rsidR="00D24D23">
        <w:t xml:space="preserve">. For each variable, the “elasticity” computed is a measure of the percentage change in total injury count (for each injury severity level) across the entire study region </w:t>
      </w:r>
      <w:r w:rsidR="0070295E">
        <w:t xml:space="preserve">due to a change in the variable value </w:t>
      </w:r>
      <w:r w:rsidR="00563A22">
        <w:t xml:space="preserve">in each tract </w:t>
      </w:r>
      <w:r w:rsidR="0070295E">
        <w:t>(the procedure is the same as that used to compute the aggregate prediction counts in the data fit section for the entire Manhattan region)</w:t>
      </w:r>
      <w:r w:rsidR="00D24D23">
        <w:t xml:space="preserve">. To compute the aggregate level “elasticity effect” of </w:t>
      </w:r>
      <w:r w:rsidR="00D00042">
        <w:t>the socio-demographic and land use and road network variables that appear in the final specification (all of which, except median household income</w:t>
      </w:r>
      <w:r w:rsidR="00423F15">
        <w:t xml:space="preserve"> and population density</w:t>
      </w:r>
      <w:r w:rsidR="00D00042">
        <w:t xml:space="preserve">, are in the form of proportions), </w:t>
      </w:r>
      <w:r w:rsidR="00D24D23">
        <w:t>we increas</w:t>
      </w:r>
      <w:r w:rsidR="00D00042">
        <w:t xml:space="preserve">e the proportion </w:t>
      </w:r>
      <w:r w:rsidR="0070295E">
        <w:t xml:space="preserve">of each variable </w:t>
      </w:r>
      <w:r w:rsidR="00D00042">
        <w:t xml:space="preserve">in </w:t>
      </w:r>
      <w:r w:rsidR="00D24D23">
        <w:t xml:space="preserve">each tract </w:t>
      </w:r>
      <w:r w:rsidR="00D00042">
        <w:t>by 0.2</w:t>
      </w:r>
      <w:r w:rsidR="00D24D23">
        <w:t xml:space="preserve">. </w:t>
      </w:r>
      <w:r w:rsidR="00D00042">
        <w:t>For the median household income variable</w:t>
      </w:r>
      <w:r w:rsidR="00423F15">
        <w:t xml:space="preserve"> and the population density variable</w:t>
      </w:r>
      <w:r w:rsidR="00D00042">
        <w:t>,</w:t>
      </w:r>
      <w:r w:rsidR="004805DE">
        <w:t xml:space="preserve"> we increase</w:t>
      </w:r>
      <w:r w:rsidR="00D00042">
        <w:t xml:space="preserve"> the value by 20% in each tract. </w:t>
      </w:r>
      <w:r w:rsidR="004805DE">
        <w:t xml:space="preserve">For the activity intensity variables, the count variables (number of schools and Universities) are increased by one for every tract, while the intensity of office/retail activity are inflated by 20%. In the group of commute mode share and transit supply variables, the walk commute mode share is increased by 0.2 for each tract (with a cap again at 1.00), and the number of subway stops is increased by a value of one for each tract.  </w:t>
      </w:r>
    </w:p>
    <w:p w:rsidR="0070440D" w:rsidRDefault="00D24D23" w:rsidP="0070440D">
      <w:pPr>
        <w:contextualSpacing/>
      </w:pPr>
      <w:r>
        <w:t>T</w:t>
      </w:r>
      <w:r w:rsidR="001169F8">
        <w:t>able 4 presents t</w:t>
      </w:r>
      <w:r>
        <w:t xml:space="preserve">he </w:t>
      </w:r>
      <w:r w:rsidR="004805DE">
        <w:t xml:space="preserve">elasticity effects for the three </w:t>
      </w:r>
      <w:r>
        <w:t>model</w:t>
      </w:r>
      <w:r w:rsidR="004805DE">
        <w:t>s</w:t>
      </w:r>
      <w:r>
        <w:t xml:space="preserve"> (along with their t-statistics) </w:t>
      </w:r>
      <w:r w:rsidR="00563A22">
        <w:t>for the “incapacitating” and “fatal” levels</w:t>
      </w:r>
      <w:r w:rsidR="00985A34">
        <w:t xml:space="preserve">. </w:t>
      </w:r>
      <w:r w:rsidR="0015033F" w:rsidRPr="0015033F">
        <w:t xml:space="preserve">The </w:t>
      </w:r>
      <w:r w:rsidR="00CF58DD">
        <w:t xml:space="preserve">first two row </w:t>
      </w:r>
      <w:r w:rsidR="0015033F" w:rsidRPr="0015033F">
        <w:t>entr</w:t>
      </w:r>
      <w:r w:rsidR="00CF58DD">
        <w:t>ies</w:t>
      </w:r>
      <w:r w:rsidR="0015033F" w:rsidRPr="0015033F">
        <w:t xml:space="preserve"> in the first numeric row of the table</w:t>
      </w:r>
      <w:r w:rsidR="0015033F">
        <w:t xml:space="preserve"> indicate that an increase in population density by 20% in </w:t>
      </w:r>
      <w:r w:rsidR="00CF58DD">
        <w:t>each</w:t>
      </w:r>
      <w:r w:rsidR="0015033F">
        <w:t xml:space="preserve"> tract would</w:t>
      </w:r>
      <w:r w:rsidR="00CF58DD">
        <w:t xml:space="preserve"> </w:t>
      </w:r>
      <w:r w:rsidR="0015033F">
        <w:t>result in a</w:t>
      </w:r>
      <w:r w:rsidR="00CF58DD">
        <w:t xml:space="preserve"> 5.7% and 25.7% </w:t>
      </w:r>
      <w:r w:rsidR="0015033F">
        <w:t>increase in the annual count of “</w:t>
      </w:r>
      <w:r w:rsidR="001169F8">
        <w:t>incapac</w:t>
      </w:r>
      <w:r w:rsidR="00CF58DD">
        <w:t>itating</w:t>
      </w:r>
      <w:r w:rsidR="0015033F">
        <w:t xml:space="preserve">” </w:t>
      </w:r>
      <w:r w:rsidR="00CF58DD">
        <w:t xml:space="preserve">and “fatal” </w:t>
      </w:r>
      <w:r w:rsidR="0015033F">
        <w:t>pedestrian injuries</w:t>
      </w:r>
      <w:r w:rsidR="00CF58DD">
        <w:t>, respectively,</w:t>
      </w:r>
      <w:r w:rsidR="0015033F">
        <w:t xml:space="preserve"> in the </w:t>
      </w:r>
      <w:r w:rsidR="00CF58DD">
        <w:t>entire study region</w:t>
      </w:r>
      <w:r w:rsidR="00756810">
        <w:t>, according to the predictions of the MAC model</w:t>
      </w:r>
      <w:r w:rsidR="0015033F">
        <w:t>. Other entries may be similarly interpreted.</w:t>
      </w:r>
      <w:r w:rsidR="00756810">
        <w:t xml:space="preserve"> As a general comment, </w:t>
      </w:r>
      <w:r w:rsidR="00CF58DD">
        <w:t xml:space="preserve">all </w:t>
      </w:r>
      <w:r w:rsidR="001367A8">
        <w:t>the elasticity</w:t>
      </w:r>
      <w:r w:rsidR="0072182E">
        <w:t xml:space="preserve"> effects are statistically significant </w:t>
      </w:r>
      <w:r w:rsidR="00810C2D">
        <w:t xml:space="preserve">at </w:t>
      </w:r>
      <w:r w:rsidR="00E94C5D">
        <w:t>the</w:t>
      </w:r>
      <w:r w:rsidR="00810C2D">
        <w:t xml:space="preserve"> 95% level of confidence, except for </w:t>
      </w:r>
      <w:r w:rsidR="0072182E">
        <w:t>the elasticity effect of population density on incapacitating injuries</w:t>
      </w:r>
      <w:r w:rsidR="00934D97">
        <w:t xml:space="preserve"> </w:t>
      </w:r>
      <w:r w:rsidR="00810C2D">
        <w:t>for the three models</w:t>
      </w:r>
      <w:r w:rsidR="00934D97">
        <w:t xml:space="preserve"> (these are </w:t>
      </w:r>
      <w:r w:rsidR="0072182E">
        <w:t xml:space="preserve">significant only at </w:t>
      </w:r>
      <w:r w:rsidR="00E94C5D">
        <w:t>the</w:t>
      </w:r>
      <w:r w:rsidR="00810C2D">
        <w:t xml:space="preserve"> 90% level of </w:t>
      </w:r>
      <w:r w:rsidR="00810C2D">
        <w:lastRenderedPageBreak/>
        <w:t>confidence</w:t>
      </w:r>
      <w:r w:rsidR="00934D97">
        <w:t>)</w:t>
      </w:r>
      <w:r w:rsidR="007B788D">
        <w:t xml:space="preserve">. </w:t>
      </w:r>
      <w:r w:rsidR="00E94C5D">
        <w:t>In addition</w:t>
      </w:r>
      <w:r w:rsidR="00CF58DD">
        <w:t xml:space="preserve">, except for the population density effect on incapacitating injuries, there is a clear pattern of increasing elasticities as one goes from the MAC model to the MUSC model. This is because the </w:t>
      </w:r>
      <w:proofErr w:type="spellStart"/>
      <w:r w:rsidR="00CF58DD">
        <w:t>aspatial</w:t>
      </w:r>
      <w:proofErr w:type="spellEnd"/>
      <w:r w:rsidR="00CF58DD">
        <w:t xml:space="preserve"> model completely ignores the </w:t>
      </w:r>
      <w:r w:rsidR="00440FDA">
        <w:t xml:space="preserve">spatial spillover </w:t>
      </w:r>
      <w:r w:rsidR="00F87FD1">
        <w:t>(</w:t>
      </w:r>
      <w:r w:rsidR="00CF58DD">
        <w:t xml:space="preserve">“snowballing” effect </w:t>
      </w:r>
      <w:r w:rsidR="00F87FD1">
        <w:t xml:space="preserve">in our case) </w:t>
      </w:r>
      <w:r w:rsidR="00CF58DD">
        <w:t>due to spatial dependence</w:t>
      </w:r>
      <w:r w:rsidR="00440FDA">
        <w:t>. The MCSC model accom</w:t>
      </w:r>
      <w:r w:rsidR="00E94C5D">
        <w:t>m</w:t>
      </w:r>
      <w:r w:rsidR="00440FDA">
        <w:t xml:space="preserve">odates the </w:t>
      </w:r>
      <w:r w:rsidR="00F87FD1">
        <w:t xml:space="preserve">“snowballing”, but </w:t>
      </w:r>
      <w:r w:rsidR="00440FDA">
        <w:t>constrai</w:t>
      </w:r>
      <w:r w:rsidR="00F87FD1">
        <w:t xml:space="preserve">ns </w:t>
      </w:r>
      <w:r w:rsidR="00A92E1F">
        <w:t xml:space="preserve">this effect </w:t>
      </w:r>
      <w:r w:rsidR="00440FDA">
        <w:t xml:space="preserve">to be the same across all injury severity levels (and, as </w:t>
      </w:r>
      <w:r w:rsidR="00934D97">
        <w:t>already discussed in Section 4.5.</w:t>
      </w:r>
      <w:r w:rsidR="00D83357">
        <w:t>4</w:t>
      </w:r>
      <w:r w:rsidR="00F87FD1">
        <w:t xml:space="preserve">, the snowballing effect actually increases with pedestrian injury severity level, as correctly reflected in the MUSC model). Overall, the </w:t>
      </w:r>
      <w:r w:rsidR="00756810">
        <w:t xml:space="preserve">MAC and MCSC models </w:t>
      </w:r>
      <w:r w:rsidR="00E94C5D">
        <w:t xml:space="preserve">underestimate the elasticity effects </w:t>
      </w:r>
      <w:r w:rsidR="00F87FD1">
        <w:t xml:space="preserve">relative to </w:t>
      </w:r>
      <w:r w:rsidR="00756810">
        <w:t>the MUSC model</w:t>
      </w:r>
      <w:r w:rsidR="00F87FD1">
        <w:t xml:space="preserve">. </w:t>
      </w:r>
      <w:r w:rsidR="00E94C5D">
        <w:t>The</w:t>
      </w:r>
      <w:r w:rsidR="00F87FD1">
        <w:t xml:space="preserve"> underestimations are particularly evident for the critical “fatal” injury severity level, because it is in this category that the “snowballing” effect is the highest. </w:t>
      </w:r>
      <w:r w:rsidR="00947C39">
        <w:t xml:space="preserve">Thus, for </w:t>
      </w:r>
      <w:r w:rsidR="00B77218">
        <w:t>example</w:t>
      </w:r>
      <w:r w:rsidR="00947C39">
        <w:t xml:space="preserve">, according to the MUSC model, </w:t>
      </w:r>
      <w:r w:rsidR="00B77218">
        <w:t xml:space="preserve">an increase in </w:t>
      </w:r>
      <w:r w:rsidR="00BD30C1">
        <w:t xml:space="preserve">the </w:t>
      </w:r>
      <w:r w:rsidR="00B77218">
        <w:t>proportion</w:t>
      </w:r>
      <w:r w:rsidR="002137A4">
        <w:t xml:space="preserve"> of Hispanic population by 0.2 in </w:t>
      </w:r>
      <w:r w:rsidR="00947C39">
        <w:t xml:space="preserve">each </w:t>
      </w:r>
      <w:r w:rsidR="002137A4">
        <w:t xml:space="preserve">tract would result in a </w:t>
      </w:r>
      <w:r w:rsidR="004B1D87">
        <w:t>46</w:t>
      </w:r>
      <w:r w:rsidR="002137A4">
        <w:t>.</w:t>
      </w:r>
      <w:r w:rsidR="004B1D87">
        <w:t>1</w:t>
      </w:r>
      <w:r w:rsidR="002137A4">
        <w:t>% increase in the annual count of fatal pedestrian injuries</w:t>
      </w:r>
      <w:r w:rsidR="00947C39">
        <w:t>. In the same situation, the MAC model predicts only a 21.8% increase and the MCSC model predicts only a 33.8% increase</w:t>
      </w:r>
      <w:r w:rsidR="005551D1">
        <w:t>. A</w:t>
      </w:r>
      <w:r w:rsidR="00A92E1F">
        <w:t>nother way to view this is that the “direct elasticity effect” is 21.8%</w:t>
      </w:r>
      <w:r w:rsidR="005551D1">
        <w:t xml:space="preserve"> (from the MAC model that ignores spatial dependence)</w:t>
      </w:r>
      <w:r w:rsidR="00A92E1F">
        <w:t xml:space="preserve">, while the “indirect elasticity effect” due to </w:t>
      </w:r>
      <w:r w:rsidR="005551D1">
        <w:t xml:space="preserve">spillovers (the snowballing effect) </w:t>
      </w:r>
      <w:r w:rsidR="00A92E1F">
        <w:t xml:space="preserve">is </w:t>
      </w:r>
      <w:r w:rsidR="005551D1">
        <w:t xml:space="preserve">estimated to be 12.0% (=33.8-21.8) from the MCSC model and 24.3% </w:t>
      </w:r>
      <w:r w:rsidR="00A92E1F">
        <w:t>(</w:t>
      </w:r>
      <w:r w:rsidR="005551D1">
        <w:t>=</w:t>
      </w:r>
      <w:r w:rsidR="00A92E1F">
        <w:t>46.1-21.8</w:t>
      </w:r>
      <w:r w:rsidR="005551D1">
        <w:t>) from the MUSC model</w:t>
      </w:r>
      <w:r w:rsidR="00947C39">
        <w:t>.</w:t>
      </w:r>
      <w:r w:rsidR="005551D1">
        <w:t xml:space="preserve"> Indeed, the spillover effect is very substantial.</w:t>
      </w:r>
      <w:r w:rsidR="00947C39">
        <w:t xml:space="preserve"> </w:t>
      </w:r>
      <w:r w:rsidR="00B92DFA">
        <w:t xml:space="preserve">Thus, in this case, not accounting for spatial dependence (and in a flexible manner as in our proposed MUSC model) would substantially underestimate (and ill-inform) the importance of focusing in on tracts with high Hispanic population proportions </w:t>
      </w:r>
      <w:r w:rsidR="00B325CA">
        <w:t xml:space="preserve">as “hot spots” </w:t>
      </w:r>
      <w:r w:rsidR="00B92DFA">
        <w:t>for targeted countermeasures.</w:t>
      </w:r>
      <w:r w:rsidR="00A93928">
        <w:t xml:space="preserve"> </w:t>
      </w:r>
      <w:r w:rsidR="005551D1">
        <w:t xml:space="preserve">Similar conclusions may be drawn for other variables. </w:t>
      </w:r>
      <w:r w:rsidR="00A93928">
        <w:t>Another</w:t>
      </w:r>
      <w:r w:rsidR="00934D97">
        <w:t xml:space="preserve"> intriguing result from Table 4</w:t>
      </w:r>
      <w:r w:rsidR="00A93928">
        <w:t xml:space="preserve"> is the suggestion that, while the risk propensity for “incapacitating” injuries is lower in school areas, distractions and the unexpectedness of crashes in these areas actually lead to an overall increase in pedestrian “incapacitating” injuries.</w:t>
      </w:r>
    </w:p>
    <w:p w:rsidR="00B92DFA" w:rsidRDefault="00A93928" w:rsidP="0070440D">
      <w:pPr>
        <w:contextualSpacing/>
      </w:pPr>
      <w:r>
        <w:t xml:space="preserve"> </w:t>
      </w:r>
    </w:p>
    <w:p w:rsidR="00FD1045" w:rsidRDefault="00FD1045" w:rsidP="0070440D">
      <w:pPr>
        <w:pStyle w:val="Heading2"/>
        <w:numPr>
          <w:ilvl w:val="0"/>
          <w:numId w:val="0"/>
        </w:numPr>
        <w:spacing w:before="0" w:beforeAutospacing="0" w:after="0" w:afterAutospacing="0"/>
        <w:ind w:left="360" w:hanging="360"/>
        <w:rPr>
          <w:lang w:val="en-US"/>
        </w:rPr>
      </w:pPr>
      <w:r w:rsidRPr="005C36CE">
        <w:rPr>
          <w:lang w:val="en-US"/>
        </w:rPr>
        <w:t>4.</w:t>
      </w:r>
      <w:r>
        <w:rPr>
          <w:lang w:val="en-US"/>
        </w:rPr>
        <w:t>8</w:t>
      </w:r>
      <w:r w:rsidRPr="005C36CE">
        <w:rPr>
          <w:lang w:val="en-US"/>
        </w:rPr>
        <w:t xml:space="preserve"> </w:t>
      </w:r>
      <w:r>
        <w:rPr>
          <w:lang w:val="en-US"/>
        </w:rPr>
        <w:t>Policy Implications</w:t>
      </w:r>
    </w:p>
    <w:p w:rsidR="005244C6" w:rsidRDefault="001367A8" w:rsidP="0070440D">
      <w:pPr>
        <w:autoSpaceDE w:val="0"/>
        <w:autoSpaceDN w:val="0"/>
        <w:adjustRightInd w:val="0"/>
        <w:ind w:firstLine="0"/>
      </w:pPr>
      <w:r>
        <w:t xml:space="preserve">Our </w:t>
      </w:r>
      <w:r w:rsidR="00725139">
        <w:t>c</w:t>
      </w:r>
      <w:r w:rsidR="0056280B">
        <w:t xml:space="preserve">ensus tract-level </w:t>
      </w:r>
      <w:r w:rsidR="00A61B21">
        <w:t xml:space="preserve">analysis can provide important information for pedestrian crash countermeasures and interventions. </w:t>
      </w:r>
      <w:r w:rsidR="00D2272D" w:rsidRPr="008159D4">
        <w:rPr>
          <w:u w:val="single"/>
        </w:rPr>
        <w:t>First</w:t>
      </w:r>
      <w:r w:rsidR="00934D97">
        <w:t xml:space="preserve">, </w:t>
      </w:r>
      <w:r w:rsidR="00D2272D">
        <w:t xml:space="preserve">our analysis emphasizes the importance of identifying “hot spots” based on </w:t>
      </w:r>
      <w:r w:rsidR="006F253A">
        <w:t xml:space="preserve">the socioeconomic status (SES) of tracts, as quantified by such measures as </w:t>
      </w:r>
      <w:r w:rsidR="00D2272D">
        <w:t>high p</w:t>
      </w:r>
      <w:r w:rsidR="001F1E6E">
        <w:t xml:space="preserve">opulation density, </w:t>
      </w:r>
      <w:r w:rsidR="00D2272D">
        <w:t>high Hispanic proportion in the pop</w:t>
      </w:r>
      <w:r w:rsidR="00970EEC">
        <w:t xml:space="preserve">ulation, </w:t>
      </w:r>
      <w:r w:rsidR="001F1E6E">
        <w:t>low education levels, low income earnings</w:t>
      </w:r>
      <w:r w:rsidR="00E94C5D">
        <w:t xml:space="preserve">, </w:t>
      </w:r>
      <w:r w:rsidR="001F1E6E">
        <w:t xml:space="preserve">and high walk commute mode shares. </w:t>
      </w:r>
      <w:r w:rsidR="006F253A">
        <w:t xml:space="preserve">Further, the aggregate elasticity effects from the previous section suggest that the differences in pedestrian injury counts across low SES </w:t>
      </w:r>
      <w:r w:rsidR="006F253A">
        <w:lastRenderedPageBreak/>
        <w:t xml:space="preserve">neighborhoods and other neighborhoods is much more stark than what traditional models suggest. </w:t>
      </w:r>
      <w:r w:rsidR="00CB7C7A">
        <w:t xml:space="preserve">This further </w:t>
      </w:r>
      <w:r w:rsidR="005D3E67">
        <w:t>re</w:t>
      </w:r>
      <w:r w:rsidR="006F253A">
        <w:t xml:space="preserve">inforces the need to identify </w:t>
      </w:r>
      <w:r w:rsidR="00CB7C7A">
        <w:t xml:space="preserve">“hot spots” based on SES. </w:t>
      </w:r>
      <w:r w:rsidR="001F1E6E">
        <w:t xml:space="preserve">Many countermeasures may be </w:t>
      </w:r>
      <w:r w:rsidR="007F6417">
        <w:t xml:space="preserve">implemented, some based on engineering approaches and others on behavioral approaches. Engineering approaches may include measures such as better lighting, cross-walks, continuous footpaths, traffic signage/signals, and also good recreational/open spaces </w:t>
      </w:r>
      <w:r w:rsidR="00BB0CE6">
        <w:t xml:space="preserve">so that streets do not </w:t>
      </w:r>
      <w:r w:rsidR="00934D97">
        <w:t xml:space="preserve">get </w:t>
      </w:r>
      <w:r w:rsidR="00BB0CE6">
        <w:t>treated as public spaces. Behavioral countermeasures may include campaigns that r</w:t>
      </w:r>
      <w:r w:rsidR="00E94C5D">
        <w:t>educe reckless driving, improve</w:t>
      </w:r>
      <w:r w:rsidR="00BB0CE6">
        <w:t xml:space="preserve"> </w:t>
      </w:r>
      <w:r w:rsidR="00A245E5">
        <w:t xml:space="preserve">pictorial </w:t>
      </w:r>
      <w:r w:rsidR="00E94C5D">
        <w:t xml:space="preserve">symbols/signs to </w:t>
      </w:r>
      <w:r w:rsidR="00A245E5">
        <w:t xml:space="preserve">make </w:t>
      </w:r>
      <w:r w:rsidR="00E94C5D">
        <w:t xml:space="preserve">their </w:t>
      </w:r>
      <w:r w:rsidR="00A245E5">
        <w:t>recognition an</w:t>
      </w:r>
      <w:r w:rsidR="00E94C5D">
        <w:t>d understanding easier, and promote</w:t>
      </w:r>
      <w:r w:rsidR="00A245E5">
        <w:t xml:space="preserve"> racial tolerance so that motorists treat all pedestrians in the same way as opposed to yield</w:t>
      </w:r>
      <w:r w:rsidR="00934D97">
        <w:t>ing</w:t>
      </w:r>
      <w:r w:rsidR="00A245E5">
        <w:t xml:space="preserve"> less to people of color. Of course, additio</w:t>
      </w:r>
      <w:r w:rsidR="003C656F">
        <w:t>nal research investigating</w:t>
      </w:r>
      <w:r w:rsidR="00A245E5">
        <w:t xml:space="preserve"> the relative reasons for our area-level analysis results of social deprivation </w:t>
      </w:r>
      <w:r w:rsidR="003C656F">
        <w:t xml:space="preserve">and higher pedestrian fatalities in </w:t>
      </w:r>
      <w:r w:rsidR="00934D97">
        <w:t xml:space="preserve">low SES </w:t>
      </w:r>
      <w:r w:rsidR="003C656F">
        <w:t xml:space="preserve">communities would assist in determining more concrete thrust mechanisms for the countermeasures. </w:t>
      </w:r>
      <w:r w:rsidR="00202D5F">
        <w:t>Further, a better understanding of the precise reasons for the substantial unobserved heterogeneity in risk across di</w:t>
      </w:r>
      <w:r w:rsidR="00E94C5D">
        <w:t>fferent Hispanic</w:t>
      </w:r>
      <w:r w:rsidR="00202D5F">
        <w:t xml:space="preserve">-dense tracts would be helpful, and can inform factors and contexts that do not lead to a degradation of safety (and actually can increase safety) in minority-dense tracts. </w:t>
      </w:r>
      <w:r w:rsidR="003C656F" w:rsidRPr="008159D4">
        <w:rPr>
          <w:u w:val="single"/>
        </w:rPr>
        <w:t>Second</w:t>
      </w:r>
      <w:r w:rsidR="003C656F">
        <w:t>,</w:t>
      </w:r>
      <w:r w:rsidR="00CE453A">
        <w:t xml:space="preserve"> the </w:t>
      </w:r>
      <w:r w:rsidR="00777F27">
        <w:t xml:space="preserve">positive </w:t>
      </w:r>
      <w:r w:rsidR="00CE453A">
        <w:t xml:space="preserve">effects of the land-use variables (proportion </w:t>
      </w:r>
      <w:r w:rsidR="00E94C5D">
        <w:t>of commer</w:t>
      </w:r>
      <w:r w:rsidR="00CE453A">
        <w:t>c</w:t>
      </w:r>
      <w:r w:rsidR="00E94C5D">
        <w:t>i</w:t>
      </w:r>
      <w:r w:rsidR="00CE453A">
        <w:t>al</w:t>
      </w:r>
      <w:r w:rsidR="00777F27">
        <w:t xml:space="preserve"> and residential land-use, and intensity of retail activity) on the number of incapacitating pedestrian injuries suggest </w:t>
      </w:r>
      <w:r w:rsidR="00FF4AE5">
        <w:t xml:space="preserve">engineering </w:t>
      </w:r>
      <w:r w:rsidR="00777F27">
        <w:t xml:space="preserve">countermeasures </w:t>
      </w:r>
      <w:r w:rsidR="00EA4C78">
        <w:t xml:space="preserve">that reduce vehicular-pedestrian conflicts </w:t>
      </w:r>
      <w:r w:rsidR="00FF4AE5">
        <w:t xml:space="preserve">(through </w:t>
      </w:r>
      <w:r w:rsidR="00885DB0">
        <w:t>more ped</w:t>
      </w:r>
      <w:r w:rsidR="00FF4AE5">
        <w:t>e</w:t>
      </w:r>
      <w:r w:rsidR="00885DB0">
        <w:t xml:space="preserve">strian-friendly </w:t>
      </w:r>
      <w:r w:rsidR="00FF4AE5">
        <w:t xml:space="preserve">design rather than the typical auto-oriented design) </w:t>
      </w:r>
      <w:r w:rsidR="00EA4C78">
        <w:t xml:space="preserve">as well as </w:t>
      </w:r>
      <w:r w:rsidR="00093FE8">
        <w:t xml:space="preserve">behavioral countermeasures such as </w:t>
      </w:r>
      <w:r w:rsidR="00EA4C78">
        <w:t xml:space="preserve">espousing less distracted driving. </w:t>
      </w:r>
      <w:r w:rsidR="00CB7C7A">
        <w:t xml:space="preserve">Again, our proposed model suggests that policy analysts may be underestimating the need for such countermeasures based on an incorrect and downward-biased assessment of the magnitude of increased pedestrian injuries at high activity intensity locations. </w:t>
      </w:r>
      <w:r w:rsidR="00EA4C78" w:rsidRPr="008159D4">
        <w:rPr>
          <w:u w:val="single"/>
        </w:rPr>
        <w:t>Third</w:t>
      </w:r>
      <w:r w:rsidR="00EA4C78">
        <w:t>,</w:t>
      </w:r>
      <w:r w:rsidR="009269BE">
        <w:t xml:space="preserve"> there appears to be a need for information campaigns regarding driving </w:t>
      </w:r>
      <w:r w:rsidR="005A2A71">
        <w:t xml:space="preserve">(and walking) </w:t>
      </w:r>
      <w:r w:rsidR="009269BE">
        <w:t>in and around schools that emphasizes</w:t>
      </w:r>
      <w:r w:rsidR="00E94C5D">
        <w:t xml:space="preserve"> vigilance</w:t>
      </w:r>
      <w:r w:rsidR="002712D9">
        <w:t xml:space="preserve"> in the face of a seemingly safe</w:t>
      </w:r>
      <w:r w:rsidR="009269BE">
        <w:t xml:space="preserve"> enviro</w:t>
      </w:r>
      <w:r w:rsidR="002712D9">
        <w:t>n</w:t>
      </w:r>
      <w:r w:rsidR="009269BE">
        <w:t xml:space="preserve">ment that </w:t>
      </w:r>
      <w:r w:rsidR="00B946EC">
        <w:t xml:space="preserve">may </w:t>
      </w:r>
      <w:r w:rsidR="00117921">
        <w:t>lull</w:t>
      </w:r>
      <w:r w:rsidR="009269BE">
        <w:t xml:space="preserve"> </w:t>
      </w:r>
      <w:r w:rsidR="002712D9">
        <w:t xml:space="preserve">people into complacency. </w:t>
      </w:r>
      <w:r w:rsidR="00B946EC">
        <w:t xml:space="preserve">This is because the low risk propensity for serious injuries in and around schools is more than compensated by the risk-to-injury translation effect, as discussed in the previous section. </w:t>
      </w:r>
      <w:r w:rsidR="00CB7C7A">
        <w:t>This kind of disentangling between long-term risk propensity and short-term risk-to-injury translation would not have been possible if not for the modeling</w:t>
      </w:r>
      <w:r w:rsidR="000A2A79">
        <w:t xml:space="preserve"> framework </w:t>
      </w:r>
      <w:r w:rsidR="00CB7C7A">
        <w:t xml:space="preserve">in this paper. The upshot is that the methodology proposed </w:t>
      </w:r>
      <w:r w:rsidR="000A2A79">
        <w:t xml:space="preserve">here </w:t>
      </w:r>
      <w:r w:rsidR="00CB7C7A">
        <w:t xml:space="preserve">indicates </w:t>
      </w:r>
      <w:r w:rsidR="00444FB9">
        <w:t xml:space="preserve">a </w:t>
      </w:r>
      <w:r w:rsidR="00CB7C7A">
        <w:t xml:space="preserve">continued </w:t>
      </w:r>
      <w:r w:rsidR="00444FB9">
        <w:t xml:space="preserve">need for implementation (or </w:t>
      </w:r>
      <w:r w:rsidR="00444FB9" w:rsidRPr="00FE097D">
        <w:t>continuation</w:t>
      </w:r>
      <w:r w:rsidR="00444FB9">
        <w:t>)</w:t>
      </w:r>
      <w:r w:rsidR="00444FB9" w:rsidRPr="00FE097D">
        <w:t xml:space="preserve"> of programs such as the </w:t>
      </w:r>
      <w:r w:rsidR="00CB7C7A">
        <w:t>“</w:t>
      </w:r>
      <w:r w:rsidR="00444FB9" w:rsidRPr="00FE097D">
        <w:t>Safe Routes to School</w:t>
      </w:r>
      <w:r w:rsidR="00CB7C7A">
        <w:t>” initiative</w:t>
      </w:r>
      <w:r w:rsidR="00444FB9" w:rsidRPr="00FE097D">
        <w:t>.</w:t>
      </w:r>
      <w:r w:rsidR="00444FB9">
        <w:t xml:space="preserve"> </w:t>
      </w:r>
      <w:r w:rsidR="002712D9">
        <w:t xml:space="preserve">Further, our results recommend </w:t>
      </w:r>
      <w:r w:rsidR="00FF4AE5">
        <w:t xml:space="preserve">that </w:t>
      </w:r>
      <w:r w:rsidR="002712D9">
        <w:t>policy make</w:t>
      </w:r>
      <w:r w:rsidR="00885DB0">
        <w:t>r</w:t>
      </w:r>
      <w:r w:rsidR="002712D9">
        <w:t xml:space="preserve">s </w:t>
      </w:r>
      <w:r w:rsidR="00885DB0">
        <w:t xml:space="preserve">should </w:t>
      </w:r>
      <w:r w:rsidR="002712D9">
        <w:t xml:space="preserve">avoid school </w:t>
      </w:r>
      <w:r w:rsidR="00885DB0">
        <w:t xml:space="preserve">siting and commercial/retail land use in close proximity. </w:t>
      </w:r>
      <w:r w:rsidR="00FF4AE5" w:rsidRPr="008159D4">
        <w:rPr>
          <w:u w:val="single"/>
        </w:rPr>
        <w:t>Finally</w:t>
      </w:r>
      <w:r w:rsidR="00FF4AE5">
        <w:t xml:space="preserve">, </w:t>
      </w:r>
      <w:r w:rsidR="00117921">
        <w:t xml:space="preserve">our </w:t>
      </w:r>
      <w:r w:rsidR="00117921">
        <w:lastRenderedPageBreak/>
        <w:t xml:space="preserve">results </w:t>
      </w:r>
      <w:r w:rsidR="00B47EFC">
        <w:t xml:space="preserve">based on the model proposed in this paper </w:t>
      </w:r>
      <w:r w:rsidR="00117921">
        <w:t>indicate that behavioral countermeasure campaigns should not simply target areas with currently low levels of pedestrian injuries,</w:t>
      </w:r>
      <w:r w:rsidR="00B946EC">
        <w:t xml:space="preserve"> which is </w:t>
      </w:r>
      <w:r w:rsidR="004B0C8A">
        <w:t xml:space="preserve">the </w:t>
      </w:r>
      <w:r w:rsidR="00117921">
        <w:t xml:space="preserve">underlying concept of “hot spot” detection. </w:t>
      </w:r>
      <w:r w:rsidR="00775754">
        <w:t xml:space="preserve">For example, </w:t>
      </w:r>
      <w:r w:rsidR="00117921">
        <w:t xml:space="preserve">even </w:t>
      </w:r>
      <w:r w:rsidR="00775754">
        <w:t xml:space="preserve">though there are much fewer “fatal” pedestrian injuries in high income areas, our </w:t>
      </w:r>
      <w:r w:rsidR="00B47EFC">
        <w:t>proposed model</w:t>
      </w:r>
      <w:r w:rsidR="00775754">
        <w:t xml:space="preserve"> indicate</w:t>
      </w:r>
      <w:r w:rsidR="00B47EFC">
        <w:t>s</w:t>
      </w:r>
      <w:r w:rsidR="00775754">
        <w:t xml:space="preserve"> that </w:t>
      </w:r>
      <w:r w:rsidR="00EA2F8E">
        <w:t xml:space="preserve">the risk-to-injury translation is high in these areas, perhaps because, just as around schools, drivers (and pedestrians) are not used to vehicular-pedestrian conflict and are not experienced enough to navigate </w:t>
      </w:r>
      <w:r w:rsidR="00444FB9">
        <w:t xml:space="preserve">those occasional instances </w:t>
      </w:r>
      <w:r w:rsidR="00B946EC">
        <w:t xml:space="preserve">of </w:t>
      </w:r>
      <w:r w:rsidR="00444FB9">
        <w:t>conflict.</w:t>
      </w:r>
    </w:p>
    <w:p w:rsidR="00DE2F53" w:rsidRDefault="00444FB9" w:rsidP="00D72ECE">
      <w:pPr>
        <w:autoSpaceDE w:val="0"/>
        <w:autoSpaceDN w:val="0"/>
        <w:adjustRightInd w:val="0"/>
        <w:ind w:firstLine="0"/>
      </w:pPr>
      <w:r>
        <w:t xml:space="preserve"> </w:t>
      </w:r>
    </w:p>
    <w:p w:rsidR="005548A3" w:rsidRPr="00F8678B" w:rsidRDefault="000E5E4C" w:rsidP="00405575">
      <w:pPr>
        <w:keepNext/>
        <w:keepLines/>
        <w:ind w:left="360" w:hanging="360"/>
      </w:pPr>
      <w:r w:rsidRPr="00C7214B">
        <w:rPr>
          <w:b/>
        </w:rPr>
        <w:t>5</w:t>
      </w:r>
      <w:r w:rsidR="00672FFE">
        <w:t xml:space="preserve">    </w:t>
      </w:r>
      <w:r w:rsidR="005548A3" w:rsidRPr="008159D4">
        <w:rPr>
          <w:b/>
        </w:rPr>
        <w:t>CONCLUSIONS</w:t>
      </w:r>
    </w:p>
    <w:p w:rsidR="00921ED2" w:rsidRDefault="00921ED2" w:rsidP="00405575">
      <w:pPr>
        <w:keepNext/>
        <w:keepLines/>
        <w:ind w:firstLine="0"/>
      </w:pPr>
      <w:r>
        <w:t>In this paper, we contribute to the pedestrian crash literature by formulating a macro-level (</w:t>
      </w:r>
      <w:r w:rsidRPr="006D0744">
        <w:rPr>
          <w:i/>
        </w:rPr>
        <w:t>i.e.</w:t>
      </w:r>
      <w:r>
        <w:t xml:space="preserve"> </w:t>
      </w:r>
      <w:r w:rsidR="00725139">
        <w:t>c</w:t>
      </w:r>
      <w:r>
        <w:t xml:space="preserve">ensus tract level as opposed to roadway street segment level) multivariate model to jointly analyze the count of pedestrians involved in traffic crashes by </w:t>
      </w:r>
      <w:r w:rsidR="006C05F8">
        <w:t xml:space="preserve">different </w:t>
      </w:r>
      <w:r>
        <w:t>injury severity level</w:t>
      </w:r>
      <w:r w:rsidR="006C05F8">
        <w:t>s</w:t>
      </w:r>
      <w:r>
        <w:t xml:space="preserve">. </w:t>
      </w:r>
      <w:r w:rsidR="006C05F8">
        <w:t>Specifically, w</w:t>
      </w:r>
      <w:r>
        <w:t>e propose a comprehensive spatial random coefficients multivariate count model that recognizes many issues at once: (a) It addresses excess zeros within a multivariate count setting through a recast of the traditional count model as a special case of a generalized ordered-response model</w:t>
      </w:r>
      <w:r w:rsidR="009D25D9">
        <w:t>,</w:t>
      </w:r>
      <w:r>
        <w:t xml:space="preserve"> (b) It allows variation in the effects of determinant exogenous variables because of unobserved location-specific factors</w:t>
      </w:r>
      <w:r w:rsidR="009D25D9">
        <w:t>,</w:t>
      </w:r>
      <w:r>
        <w:t xml:space="preserve"> (c) It accommodates spatial dependency in the count of pedestrian injuries based on location proximity, and (d) It captures spatial drift effects through the spatial structure on constant and slope heterogeneity effects. </w:t>
      </w:r>
    </w:p>
    <w:p w:rsidR="004805DE" w:rsidRPr="00175230" w:rsidRDefault="00921ED2" w:rsidP="00D72ECE">
      <w:pPr>
        <w:contextualSpacing/>
      </w:pPr>
      <w:r>
        <w:t xml:space="preserve">The proposed model is applied to examine, at the spatial level of a </w:t>
      </w:r>
      <w:r w:rsidR="00725139">
        <w:t>c</w:t>
      </w:r>
      <w:r>
        <w:t xml:space="preserve">ensus tract, all pedestrian crashes in the year 2009 in the Manhattan area of New York City. </w:t>
      </w:r>
      <w:r w:rsidR="006C05F8">
        <w:t xml:space="preserve">The results reinforce the need for studying pedestrian injuries by severity level, and accommodating unobserved heterogeneity, </w:t>
      </w:r>
      <w:proofErr w:type="spellStart"/>
      <w:r w:rsidR="006C05F8">
        <w:t>multivariateness</w:t>
      </w:r>
      <w:proofErr w:type="spellEnd"/>
      <w:r w:rsidR="006C05F8">
        <w:t xml:space="preserve">, and spatial dependence. In particular, the determinants of different levels of injury severity do vary, as do the intensity of exogenous variables.  As identified in the introduction section of this paper, </w:t>
      </w:r>
      <w:r w:rsidR="006C05F8" w:rsidRPr="00323AA9">
        <w:t xml:space="preserve">the </w:t>
      </w:r>
      <w:r w:rsidR="006C05F8">
        <w:t>economic</w:t>
      </w:r>
      <w:r w:rsidR="006C05F8" w:rsidRPr="00323AA9">
        <w:t xml:space="preserve"> and </w:t>
      </w:r>
      <w:r w:rsidR="006C05F8">
        <w:t>societal cost</w:t>
      </w:r>
      <w:r w:rsidR="006C05F8" w:rsidRPr="00323AA9">
        <w:t xml:space="preserve"> of crashes vary substantially based on the nature and exte</w:t>
      </w:r>
      <w:r w:rsidR="006C05F8">
        <w:t>nt of injuries sustained</w:t>
      </w:r>
      <w:r w:rsidR="00B946EC">
        <w:t>, and so it is imperative to consider injury counts by severity level</w:t>
      </w:r>
      <w:r w:rsidR="006C05F8">
        <w:t xml:space="preserve">. </w:t>
      </w:r>
      <w:r>
        <w:t xml:space="preserve">The empirical analysis </w:t>
      </w:r>
      <w:r w:rsidR="00C071CB">
        <w:t>shed</w:t>
      </w:r>
      <w:r w:rsidR="00A235BF">
        <w:t>s</w:t>
      </w:r>
      <w:r>
        <w:t xml:space="preserve"> light on </w:t>
      </w:r>
      <w:r w:rsidR="006C05F8">
        <w:t xml:space="preserve">possible </w:t>
      </w:r>
      <w:r>
        <w:t>engineering as well as behavioral countermeasures to reduce the number of pedestrian-vehicle crashes and the severity of these crashes.</w:t>
      </w:r>
      <w:r w:rsidR="009C4D17">
        <w:t xml:space="preserve"> </w:t>
      </w:r>
      <w:r w:rsidR="0037768A">
        <w:t>Of cou</w:t>
      </w:r>
      <w:r w:rsidR="00E94C5D">
        <w:t>rse, with any macro-level quan</w:t>
      </w:r>
      <w:r w:rsidR="0037768A">
        <w:t>ti</w:t>
      </w:r>
      <w:r w:rsidR="00E94C5D">
        <w:t>t</w:t>
      </w:r>
      <w:r w:rsidR="0037768A">
        <w:t xml:space="preserve">ative analysis of the type in this paper, estimated relationships provide more of correlational rather than causal connections. Future research needs to consider and combine </w:t>
      </w:r>
      <w:r w:rsidR="00E94C5D">
        <w:t>additional micro-level qualit</w:t>
      </w:r>
      <w:r w:rsidR="0037768A">
        <w:t>ative</w:t>
      </w:r>
      <w:r w:rsidR="00E94C5D">
        <w:t xml:space="preserve"> and quantit</w:t>
      </w:r>
      <w:r w:rsidR="0037768A">
        <w:t>ative analyses</w:t>
      </w:r>
      <w:r w:rsidR="00B946EC">
        <w:t xml:space="preserve"> to identify </w:t>
      </w:r>
      <w:r w:rsidR="0037768A">
        <w:lastRenderedPageBreak/>
        <w:t xml:space="preserve">precise causation pathways and countermeasures. </w:t>
      </w:r>
      <w:r w:rsidR="00BF5B99">
        <w:t xml:space="preserve">The inclusion of better pedestrian infrastructure variables, whether at a macro-level or a micro-level, is also important in this regard, and calls for more concerted efforts to capture this type of data. </w:t>
      </w:r>
    </w:p>
    <w:p w:rsidR="0037768A" w:rsidRDefault="0037768A" w:rsidP="00D72ECE">
      <w:pPr>
        <w:ind w:firstLine="0"/>
        <w:rPr>
          <w:b/>
          <w:lang w:eastAsia="x-none"/>
        </w:rPr>
      </w:pPr>
    </w:p>
    <w:p w:rsidR="00294DF1" w:rsidRPr="00576B82" w:rsidRDefault="00294DF1" w:rsidP="00D72ECE">
      <w:pPr>
        <w:ind w:firstLine="0"/>
        <w:rPr>
          <w:b/>
        </w:rPr>
      </w:pPr>
      <w:r w:rsidRPr="00576B82">
        <w:rPr>
          <w:b/>
        </w:rPr>
        <w:t>ACKNOWLEDGMENTS</w:t>
      </w:r>
    </w:p>
    <w:p w:rsidR="00294DF1" w:rsidRDefault="00294DF1" w:rsidP="00D72ECE">
      <w:pPr>
        <w:ind w:firstLine="0"/>
        <w:rPr>
          <w:lang w:eastAsia="x-none"/>
        </w:rPr>
      </w:pPr>
      <w:r w:rsidRPr="00576B82">
        <w:t xml:space="preserve">This research was partially supported by the U.S. Department of Transportation through the Data-Supported Transportation Operations and Planning (D-STOP) Tier 1 University Transportation Center. The </w:t>
      </w:r>
      <w:r>
        <w:t xml:space="preserve">first </w:t>
      </w:r>
      <w:r w:rsidRPr="00576B82">
        <w:t>author would like to acknowledge support from a Humboldt Research Award from the Alexander von Humboldt Foundation, Germany.</w:t>
      </w:r>
      <w:r>
        <w:t xml:space="preserve"> The authors are grateful to Lisa Macias for her help in formatting this document</w:t>
      </w:r>
      <w:r w:rsidR="00FD5B73">
        <w:t xml:space="preserve">, </w:t>
      </w:r>
      <w:r w:rsidR="00FD5B73" w:rsidRPr="00923E87">
        <w:t xml:space="preserve">and to </w:t>
      </w:r>
      <w:r w:rsidR="00FD5B73">
        <w:t>two</w:t>
      </w:r>
      <w:r w:rsidR="00FD5B73" w:rsidRPr="00923E87">
        <w:t xml:space="preserve"> anonymous referees who provided useful comments on </w:t>
      </w:r>
      <w:r w:rsidR="00FD5B73">
        <w:t>an earlier version of the paper</w:t>
      </w:r>
      <w:r w:rsidRPr="00050A27">
        <w:rPr>
          <w:color w:val="000000"/>
        </w:rPr>
        <w:t>.</w:t>
      </w:r>
    </w:p>
    <w:p w:rsidR="00294DF1" w:rsidRPr="00294DF1" w:rsidRDefault="00294DF1" w:rsidP="00D72ECE">
      <w:pPr>
        <w:ind w:firstLine="0"/>
        <w:rPr>
          <w:lang w:eastAsia="x-none"/>
        </w:rPr>
      </w:pPr>
    </w:p>
    <w:p w:rsidR="002C6097" w:rsidRDefault="002C6097" w:rsidP="00D72ECE">
      <w:pPr>
        <w:ind w:firstLine="0"/>
        <w:rPr>
          <w:b/>
          <w:lang w:val="es-CL" w:eastAsia="x-none"/>
        </w:rPr>
        <w:sectPr w:rsidR="002C6097" w:rsidSect="00BA6025">
          <w:footerReference w:type="default" r:id="rId313"/>
          <w:type w:val="continuous"/>
          <w:pgSz w:w="12240" w:h="15840"/>
          <w:pgMar w:top="1440" w:right="1440" w:bottom="1440" w:left="1440" w:header="720" w:footer="720" w:gutter="0"/>
          <w:pgNumType w:start="1"/>
          <w:cols w:space="720"/>
          <w:docGrid w:linePitch="360"/>
        </w:sectPr>
      </w:pPr>
    </w:p>
    <w:p w:rsidR="002C66EE" w:rsidRPr="00EC44D2" w:rsidRDefault="002C66EE" w:rsidP="00D72ECE">
      <w:pPr>
        <w:ind w:firstLine="0"/>
        <w:rPr>
          <w:b/>
          <w:lang w:val="es-CL" w:eastAsia="x-none"/>
        </w:rPr>
      </w:pPr>
      <w:r w:rsidRPr="00EC44D2">
        <w:rPr>
          <w:b/>
          <w:lang w:val="es-CL" w:eastAsia="x-none"/>
        </w:rPr>
        <w:t>REFERENCES</w:t>
      </w:r>
    </w:p>
    <w:p w:rsidR="002C66EE" w:rsidRPr="00011EC4" w:rsidRDefault="002C66EE" w:rsidP="00D72ECE">
      <w:pPr>
        <w:spacing w:after="120" w:line="240" w:lineRule="auto"/>
        <w:ind w:left="360" w:hanging="360"/>
      </w:pPr>
      <w:proofErr w:type="spellStart"/>
      <w:r w:rsidRPr="00011EC4">
        <w:rPr>
          <w:lang w:val="es-CL"/>
        </w:rPr>
        <w:t>Aguero-Valvarde</w:t>
      </w:r>
      <w:proofErr w:type="spellEnd"/>
      <w:r w:rsidRPr="00011EC4">
        <w:rPr>
          <w:lang w:val="es-CL"/>
        </w:rPr>
        <w:t xml:space="preserve">, J., </w:t>
      </w:r>
      <w:proofErr w:type="spellStart"/>
      <w:r w:rsidRPr="00011EC4">
        <w:rPr>
          <w:lang w:val="es-CL"/>
        </w:rPr>
        <w:t>Jovanis</w:t>
      </w:r>
      <w:proofErr w:type="spellEnd"/>
      <w:r w:rsidRPr="00011EC4">
        <w:rPr>
          <w:lang w:val="es-CL"/>
        </w:rPr>
        <w:t xml:space="preserve"> P., 2006. </w:t>
      </w:r>
      <w:r w:rsidRPr="00011EC4">
        <w:t xml:space="preserve">Spatial analysis of fatal and injury crashes in Pennsylvania, </w:t>
      </w:r>
      <w:r w:rsidRPr="00011EC4">
        <w:rPr>
          <w:i/>
        </w:rPr>
        <w:t xml:space="preserve">Accident Analysis </w:t>
      </w:r>
      <w:r w:rsidR="000A3725">
        <w:rPr>
          <w:i/>
        </w:rPr>
        <w:t>&amp;</w:t>
      </w:r>
      <w:r w:rsidR="009E492C">
        <w:rPr>
          <w:i/>
        </w:rPr>
        <w:t xml:space="preserve"> </w:t>
      </w:r>
      <w:r w:rsidRPr="00011EC4">
        <w:rPr>
          <w:i/>
        </w:rPr>
        <w:t xml:space="preserve">Prevention </w:t>
      </w:r>
      <w:r w:rsidRPr="00011EC4">
        <w:t>38(3), 618-625.</w:t>
      </w:r>
    </w:p>
    <w:p w:rsidR="00684060" w:rsidRPr="00011EC4" w:rsidRDefault="00684060" w:rsidP="00D72ECE">
      <w:pPr>
        <w:spacing w:after="120" w:line="240" w:lineRule="auto"/>
        <w:ind w:left="360" w:hanging="360"/>
      </w:pPr>
      <w:r w:rsidRPr="00011EC4">
        <w:rPr>
          <w:lang w:val="pt-BR"/>
        </w:rPr>
        <w:t xml:space="preserve">Amoh-Gyimah, R., Saberi, M., Sarvi, M., 2016. </w:t>
      </w:r>
      <w:r w:rsidRPr="00011EC4">
        <w:t xml:space="preserve">Macroscopic modeling of pedestrian and bicycle crashes: </w:t>
      </w:r>
      <w:r w:rsidR="009E492C">
        <w:t>A</w:t>
      </w:r>
      <w:r w:rsidRPr="00011EC4">
        <w:t xml:space="preserve"> cross-comparison of estimation methods. </w:t>
      </w:r>
      <w:r w:rsidRPr="00011EC4">
        <w:rPr>
          <w:i/>
        </w:rPr>
        <w:t>Accident Analysis &amp; Prevention</w:t>
      </w:r>
      <w:r w:rsidRPr="00011EC4">
        <w:t xml:space="preserve"> 93, 147-159.</w:t>
      </w:r>
    </w:p>
    <w:p w:rsidR="008159D4" w:rsidRPr="00011EC4" w:rsidRDefault="008159D4" w:rsidP="00D72ECE">
      <w:pPr>
        <w:spacing w:after="120" w:line="240" w:lineRule="auto"/>
        <w:ind w:left="360" w:hanging="360"/>
      </w:pPr>
      <w:proofErr w:type="spellStart"/>
      <w:r w:rsidRPr="00011EC4">
        <w:t>Amoh-Gyimah</w:t>
      </w:r>
      <w:proofErr w:type="spellEnd"/>
      <w:r w:rsidRPr="00011EC4">
        <w:t xml:space="preserve">, R., </w:t>
      </w:r>
      <w:proofErr w:type="spellStart"/>
      <w:r w:rsidRPr="00011EC4">
        <w:t>Saberi</w:t>
      </w:r>
      <w:proofErr w:type="spellEnd"/>
      <w:r w:rsidRPr="00011EC4">
        <w:t>, M.</w:t>
      </w:r>
      <w:r w:rsidR="000E5E4C" w:rsidRPr="00011EC4">
        <w:t>,</w:t>
      </w:r>
      <w:r w:rsidRPr="00011EC4">
        <w:t xml:space="preserve"> </w:t>
      </w:r>
      <w:proofErr w:type="spellStart"/>
      <w:r w:rsidRPr="00011EC4">
        <w:t>Sarvi</w:t>
      </w:r>
      <w:proofErr w:type="spellEnd"/>
      <w:r w:rsidRPr="00011EC4">
        <w:t xml:space="preserve">, M., 2017. The effect of variations in spatial units on unobserved heterogeneity in macroscopic crash models. </w:t>
      </w:r>
      <w:r w:rsidRPr="00011EC4">
        <w:rPr>
          <w:i/>
        </w:rPr>
        <w:t xml:space="preserve">Analytic </w:t>
      </w:r>
      <w:r w:rsidR="00B14B41" w:rsidRPr="00011EC4">
        <w:rPr>
          <w:i/>
        </w:rPr>
        <w:t>M</w:t>
      </w:r>
      <w:r w:rsidRPr="00011EC4">
        <w:rPr>
          <w:i/>
        </w:rPr>
        <w:t xml:space="preserve">ethods in </w:t>
      </w:r>
      <w:r w:rsidR="00B14B41" w:rsidRPr="00011EC4">
        <w:rPr>
          <w:i/>
        </w:rPr>
        <w:t>A</w:t>
      </w:r>
      <w:r w:rsidRPr="00011EC4">
        <w:rPr>
          <w:i/>
        </w:rPr>
        <w:t xml:space="preserve">ccident </w:t>
      </w:r>
      <w:r w:rsidR="00B14B41" w:rsidRPr="00011EC4">
        <w:rPr>
          <w:i/>
        </w:rPr>
        <w:t>R</w:t>
      </w:r>
      <w:r w:rsidRPr="00011EC4">
        <w:rPr>
          <w:i/>
        </w:rPr>
        <w:t>esearch</w:t>
      </w:r>
      <w:r w:rsidRPr="00011EC4">
        <w:t xml:space="preserve"> 13, 28-51.</w:t>
      </w:r>
    </w:p>
    <w:p w:rsidR="00256F35" w:rsidRPr="00011EC4" w:rsidRDefault="00256F35" w:rsidP="00D72ECE">
      <w:pPr>
        <w:spacing w:after="120" w:line="240" w:lineRule="auto"/>
        <w:ind w:left="360" w:hanging="360"/>
      </w:pPr>
      <w:r w:rsidRPr="00BA6A37">
        <w:t>Al-</w:t>
      </w:r>
      <w:proofErr w:type="spellStart"/>
      <w:r w:rsidRPr="00BA6A37">
        <w:t>Madani</w:t>
      </w:r>
      <w:proofErr w:type="spellEnd"/>
      <w:r w:rsidRPr="00BA6A37">
        <w:t xml:space="preserve">, </w:t>
      </w:r>
      <w:r w:rsidRPr="00011EC4">
        <w:t>H., Al-</w:t>
      </w:r>
      <w:proofErr w:type="spellStart"/>
      <w:r w:rsidRPr="00011EC4">
        <w:t>Janahi</w:t>
      </w:r>
      <w:proofErr w:type="spellEnd"/>
      <w:r w:rsidRPr="00011EC4">
        <w:t xml:space="preserve">, A. R., 2002. Role of drivers’ personal characteristics in understanding traffic sign symbols. </w:t>
      </w:r>
      <w:r w:rsidRPr="00011EC4">
        <w:rPr>
          <w:i/>
        </w:rPr>
        <w:t xml:space="preserve">Accident </w:t>
      </w:r>
      <w:r w:rsidR="00FA5C41">
        <w:rPr>
          <w:i/>
        </w:rPr>
        <w:t>A</w:t>
      </w:r>
      <w:r w:rsidRPr="00011EC4">
        <w:rPr>
          <w:i/>
        </w:rPr>
        <w:t xml:space="preserve">nalysis &amp; </w:t>
      </w:r>
      <w:r w:rsidR="00FA5C41">
        <w:rPr>
          <w:i/>
        </w:rPr>
        <w:t>P</w:t>
      </w:r>
      <w:r w:rsidRPr="00011EC4">
        <w:rPr>
          <w:i/>
        </w:rPr>
        <w:t>revention</w:t>
      </w:r>
      <w:r w:rsidRPr="00011EC4">
        <w:t xml:space="preserve"> 34(2), 185-196.</w:t>
      </w:r>
    </w:p>
    <w:p w:rsidR="00B14B41" w:rsidRPr="00011EC4" w:rsidRDefault="00B14B41" w:rsidP="00D72ECE">
      <w:pPr>
        <w:spacing w:after="120" w:line="240" w:lineRule="auto"/>
        <w:ind w:left="360" w:hanging="360"/>
      </w:pPr>
      <w:r w:rsidRPr="00011EC4">
        <w:t xml:space="preserve">Anastasopoulos, P.C., 2016. Random parameters multivariate </w:t>
      </w:r>
      <w:proofErr w:type="spellStart"/>
      <w:r w:rsidRPr="00011EC4">
        <w:t>tobit</w:t>
      </w:r>
      <w:proofErr w:type="spellEnd"/>
      <w:r w:rsidRPr="00011EC4">
        <w:t xml:space="preserve"> and zero-inflated count data models: Addressing unobserved and zero-state heterogeneity in accident injury-severity rate and frequency analysis. </w:t>
      </w:r>
      <w:r w:rsidRPr="00011EC4">
        <w:rPr>
          <w:i/>
        </w:rPr>
        <w:t>Analytic Methods in Accident Research</w:t>
      </w:r>
      <w:r w:rsidRPr="00011EC4">
        <w:t xml:space="preserve"> 11, 17-32.</w:t>
      </w:r>
    </w:p>
    <w:p w:rsidR="002C66EE" w:rsidRPr="00011EC4" w:rsidRDefault="0061296F" w:rsidP="00D72ECE">
      <w:pPr>
        <w:spacing w:after="120" w:line="240" w:lineRule="auto"/>
        <w:ind w:left="360" w:hanging="360"/>
      </w:pPr>
      <w:proofErr w:type="spellStart"/>
      <w:r w:rsidRPr="00011EC4">
        <w:t>Barua</w:t>
      </w:r>
      <w:proofErr w:type="spellEnd"/>
      <w:r w:rsidRPr="00011EC4">
        <w:t>, S., El-</w:t>
      </w:r>
      <w:proofErr w:type="spellStart"/>
      <w:r w:rsidRPr="00011EC4">
        <w:t>Basyouny</w:t>
      </w:r>
      <w:proofErr w:type="spellEnd"/>
      <w:r w:rsidRPr="00011EC4">
        <w:t xml:space="preserve">, K., </w:t>
      </w:r>
      <w:r w:rsidR="002C66EE" w:rsidRPr="00011EC4">
        <w:t xml:space="preserve">Islam, M.T., 2015. Effects of spatial correlation in random parameters collision count-data models. </w:t>
      </w:r>
      <w:r w:rsidR="002C66EE" w:rsidRPr="00011EC4">
        <w:rPr>
          <w:i/>
        </w:rPr>
        <w:t>Analyt</w:t>
      </w:r>
      <w:r w:rsidRPr="00011EC4">
        <w:rPr>
          <w:i/>
        </w:rPr>
        <w:t>ic Methods in Accident Research</w:t>
      </w:r>
      <w:r w:rsidRPr="00011EC4">
        <w:t xml:space="preserve"> 5, </w:t>
      </w:r>
      <w:r w:rsidR="002C66EE" w:rsidRPr="00011EC4">
        <w:t>28-42.</w:t>
      </w:r>
    </w:p>
    <w:p w:rsidR="002C66EE" w:rsidRPr="00011EC4" w:rsidRDefault="002C66EE" w:rsidP="00D72ECE">
      <w:pPr>
        <w:spacing w:after="120" w:line="240" w:lineRule="auto"/>
        <w:ind w:left="360" w:hanging="360"/>
      </w:pPr>
      <w:proofErr w:type="spellStart"/>
      <w:r w:rsidRPr="00011EC4">
        <w:t>Barua</w:t>
      </w:r>
      <w:proofErr w:type="spellEnd"/>
      <w:r w:rsidRPr="00011EC4">
        <w:t>, S</w:t>
      </w:r>
      <w:r w:rsidR="00902D0D" w:rsidRPr="00011EC4">
        <w:t>., El-</w:t>
      </w:r>
      <w:proofErr w:type="spellStart"/>
      <w:r w:rsidR="00902D0D" w:rsidRPr="00011EC4">
        <w:t>Basyouny</w:t>
      </w:r>
      <w:proofErr w:type="spellEnd"/>
      <w:r w:rsidR="00902D0D" w:rsidRPr="00011EC4">
        <w:t>, K.,</w:t>
      </w:r>
      <w:r w:rsidRPr="00011EC4">
        <w:t xml:space="preserve"> Islam, M.T., 2016. Multivariate random parameters collision count data models with spatial heterogeneity. </w:t>
      </w:r>
      <w:r w:rsidRPr="00011EC4">
        <w:rPr>
          <w:i/>
        </w:rPr>
        <w:t xml:space="preserve">Analytic </w:t>
      </w:r>
      <w:r w:rsidR="00902D0D" w:rsidRPr="00011EC4">
        <w:rPr>
          <w:i/>
        </w:rPr>
        <w:t>M</w:t>
      </w:r>
      <w:r w:rsidRPr="00011EC4">
        <w:rPr>
          <w:i/>
        </w:rPr>
        <w:t>eth</w:t>
      </w:r>
      <w:r w:rsidR="00902D0D" w:rsidRPr="00011EC4">
        <w:rPr>
          <w:i/>
        </w:rPr>
        <w:t>ods in Accident Research</w:t>
      </w:r>
      <w:r w:rsidR="00902D0D" w:rsidRPr="00011EC4">
        <w:t xml:space="preserve"> 9, </w:t>
      </w:r>
      <w:r w:rsidRPr="00011EC4">
        <w:t>1-15.</w:t>
      </w:r>
    </w:p>
    <w:p w:rsidR="009D2F9C" w:rsidRPr="00011EC4" w:rsidRDefault="009D2F9C" w:rsidP="00D72ECE">
      <w:pPr>
        <w:spacing w:after="120" w:line="240" w:lineRule="auto"/>
        <w:ind w:left="360" w:hanging="360"/>
      </w:pPr>
      <w:r w:rsidRPr="00011EC4">
        <w:t xml:space="preserve">Beck, N., </w:t>
      </w:r>
      <w:proofErr w:type="spellStart"/>
      <w:r w:rsidRPr="00011EC4">
        <w:t>Gleditsch</w:t>
      </w:r>
      <w:proofErr w:type="spellEnd"/>
      <w:r w:rsidRPr="00011EC4">
        <w:t xml:space="preserve">, K.S., Beardsley, K., 2006. Space is more than geography: Using spatial econometrics in the study of political economy. </w:t>
      </w:r>
      <w:r w:rsidRPr="00011EC4">
        <w:rPr>
          <w:i/>
        </w:rPr>
        <w:t>International Studies Quarterly</w:t>
      </w:r>
      <w:r w:rsidRPr="00011EC4">
        <w:t xml:space="preserve"> 50(1), 27-44.</w:t>
      </w:r>
    </w:p>
    <w:p w:rsidR="002C66EE" w:rsidRPr="00011EC4" w:rsidRDefault="002C66EE" w:rsidP="00D72ECE">
      <w:pPr>
        <w:spacing w:after="120" w:line="240" w:lineRule="auto"/>
        <w:ind w:left="360" w:hanging="360"/>
      </w:pPr>
      <w:r w:rsidRPr="00011EC4">
        <w:t>BITRE (The Bureau of Infrastructure, Transport and Regional Economics), 2013.</w:t>
      </w:r>
      <w:r w:rsidR="00902D0D" w:rsidRPr="00011EC4">
        <w:t xml:space="preserve"> </w:t>
      </w:r>
      <w:r w:rsidRPr="00011EC4">
        <w:t>Road Deaths Australia, 2012 Statistical Summary. Canberra ACT.</w:t>
      </w:r>
    </w:p>
    <w:p w:rsidR="002C66EE" w:rsidRPr="00011EC4" w:rsidRDefault="002C66EE" w:rsidP="00D72ECE">
      <w:pPr>
        <w:spacing w:after="120" w:line="240" w:lineRule="auto"/>
        <w:ind w:left="360" w:hanging="360"/>
      </w:pPr>
      <w:r w:rsidRPr="00011EC4">
        <w:lastRenderedPageBreak/>
        <w:t xml:space="preserve">Bhat, C.R., 2011. The maximum approximate composite marginal likelihood (MACML) estimation of multinomial </w:t>
      </w:r>
      <w:proofErr w:type="spellStart"/>
      <w:r w:rsidRPr="00011EC4">
        <w:t>probit</w:t>
      </w:r>
      <w:proofErr w:type="spellEnd"/>
      <w:r w:rsidRPr="00011EC4">
        <w:t xml:space="preserve">-based unordered response choice models. </w:t>
      </w:r>
      <w:r w:rsidRPr="00011EC4">
        <w:rPr>
          <w:i/>
        </w:rPr>
        <w:t>Transportation Research Part B</w:t>
      </w:r>
      <w:r w:rsidR="00902D0D" w:rsidRPr="00011EC4">
        <w:t xml:space="preserve"> 45(7), </w:t>
      </w:r>
      <w:r w:rsidRPr="00011EC4">
        <w:t>923-939.</w:t>
      </w:r>
    </w:p>
    <w:p w:rsidR="00684060" w:rsidRPr="00011EC4" w:rsidRDefault="00684060" w:rsidP="00D72ECE">
      <w:pPr>
        <w:spacing w:after="120" w:line="240" w:lineRule="auto"/>
        <w:ind w:left="360" w:hanging="360"/>
      </w:pPr>
      <w:r w:rsidRPr="00011EC4">
        <w:t xml:space="preserve">Bhat, C.R., 2014. The Composite Marginal Likelihood (CML) inference approach with applications to discrete and mixed dependent variable models. </w:t>
      </w:r>
      <w:r w:rsidRPr="00011EC4">
        <w:rPr>
          <w:i/>
        </w:rPr>
        <w:t>Foundations and Trends (R) in Econometrics</w:t>
      </w:r>
      <w:r w:rsidRPr="00011EC4">
        <w:t xml:space="preserve"> 7(1), 1-117.</w:t>
      </w:r>
    </w:p>
    <w:p w:rsidR="001F443A" w:rsidRDefault="001F443A" w:rsidP="00D72ECE">
      <w:pPr>
        <w:spacing w:after="120" w:line="240" w:lineRule="auto"/>
        <w:ind w:left="360" w:hanging="360"/>
      </w:pPr>
      <w:r w:rsidRPr="00011EC4">
        <w:t>Bhat, C.R., 2015</w:t>
      </w:r>
      <w:r w:rsidR="00105786">
        <w:t>a</w:t>
      </w:r>
      <w:r w:rsidRPr="00011EC4">
        <w:t xml:space="preserve">. A new spatial (social) interaction discrete choice model accommodating for unobserved effects due to endogenous network formation. </w:t>
      </w:r>
      <w:r w:rsidRPr="00011EC4">
        <w:rPr>
          <w:i/>
        </w:rPr>
        <w:t>Transportation</w:t>
      </w:r>
      <w:r w:rsidRPr="00011EC4">
        <w:t xml:space="preserve"> 42(5), 879-914.</w:t>
      </w:r>
    </w:p>
    <w:p w:rsidR="00105786" w:rsidRDefault="00105786" w:rsidP="00105786">
      <w:pPr>
        <w:spacing w:after="120" w:line="240" w:lineRule="auto"/>
        <w:ind w:left="360" w:hanging="360"/>
      </w:pPr>
      <w:r w:rsidRPr="005B1DF1">
        <w:rPr>
          <w:rFonts w:ascii="TimesNewRomanPSMT" w:hAnsi="TimesNewRomanPSMT"/>
        </w:rPr>
        <w:t>Bhat, C.R</w:t>
      </w:r>
      <w:r>
        <w:rPr>
          <w:rFonts w:ascii="TimesNewRomanPSMT" w:hAnsi="TimesNewRomanPSMT" w:cs="TimesNewRomanPSMT"/>
        </w:rPr>
        <w:t xml:space="preserve">. 2015b. A new generalized heterogeneous data model (GHDM) to jointly model mixed types of dependent variables. </w:t>
      </w:r>
      <w:r>
        <w:rPr>
          <w:rFonts w:ascii="TimesNewRomanPS-ItalicMT" w:hAnsi="TimesNewRomanPS-ItalicMT" w:cs="TimesNewRomanPS-ItalicMT"/>
          <w:i/>
          <w:iCs/>
        </w:rPr>
        <w:t>Transportation Research Part B</w:t>
      </w:r>
      <w:r>
        <w:rPr>
          <w:rFonts w:ascii="TimesNewRomanPSMT" w:hAnsi="TimesNewRomanPSMT" w:cs="TimesNewRomanPSMT"/>
        </w:rPr>
        <w:t xml:space="preserve"> 79, 50-77.</w:t>
      </w:r>
      <w:r w:rsidRPr="00105786">
        <w:t xml:space="preserve"> </w:t>
      </w:r>
    </w:p>
    <w:p w:rsidR="002C66EE" w:rsidRPr="00105786" w:rsidRDefault="00345563" w:rsidP="00105786">
      <w:pPr>
        <w:spacing w:after="120" w:line="240" w:lineRule="auto"/>
        <w:ind w:left="360" w:hanging="360"/>
      </w:pPr>
      <w:r w:rsidRPr="00011EC4">
        <w:t xml:space="preserve">Bhat, C.R., Sener, I.N., </w:t>
      </w:r>
      <w:proofErr w:type="spellStart"/>
      <w:r w:rsidR="002C66EE" w:rsidRPr="00011EC4">
        <w:t>Eluru</w:t>
      </w:r>
      <w:proofErr w:type="spellEnd"/>
      <w:r w:rsidR="002C66EE" w:rsidRPr="00011EC4">
        <w:t xml:space="preserve">, N., 2010. A flexible spatially dependent discrete choice model: formulation and application to teenagers’ weekday recreational activity participation. </w:t>
      </w:r>
      <w:r w:rsidR="002C66EE" w:rsidRPr="00011EC4">
        <w:rPr>
          <w:i/>
        </w:rPr>
        <w:t xml:space="preserve">Transportation </w:t>
      </w:r>
      <w:r w:rsidRPr="00011EC4">
        <w:rPr>
          <w:i/>
        </w:rPr>
        <w:t>Research Part B</w:t>
      </w:r>
      <w:r w:rsidRPr="00011EC4">
        <w:t xml:space="preserve"> </w:t>
      </w:r>
      <w:r w:rsidR="002C66EE" w:rsidRPr="00011EC4">
        <w:t>44(8), 903-921.</w:t>
      </w:r>
      <w:r w:rsidR="00105786" w:rsidRPr="00105786">
        <w:t xml:space="preserve"> </w:t>
      </w:r>
    </w:p>
    <w:p w:rsidR="00256F35" w:rsidRPr="00011EC4" w:rsidRDefault="00256F35" w:rsidP="00D72ECE">
      <w:pPr>
        <w:spacing w:after="120" w:line="240" w:lineRule="auto"/>
        <w:ind w:left="360" w:hanging="360"/>
      </w:pPr>
      <w:r w:rsidRPr="00011EC4">
        <w:t xml:space="preserve">Bhat, C.R., </w:t>
      </w:r>
      <w:proofErr w:type="spellStart"/>
      <w:r w:rsidRPr="00011EC4">
        <w:t>Paleti</w:t>
      </w:r>
      <w:proofErr w:type="spellEnd"/>
      <w:r w:rsidRPr="00011EC4">
        <w:t>, R., Singh, P., 2014</w:t>
      </w:r>
      <w:r w:rsidR="0087756C">
        <w:t>a</w:t>
      </w:r>
      <w:r w:rsidRPr="00011EC4">
        <w:t xml:space="preserve">. A spatial multivariate count model for firm location decisions, </w:t>
      </w:r>
      <w:r w:rsidRPr="00011EC4">
        <w:rPr>
          <w:i/>
        </w:rPr>
        <w:t>Journal of Regional Science</w:t>
      </w:r>
      <w:r w:rsidRPr="00011EC4">
        <w:t xml:space="preserve"> 54(3), 462-502.</w:t>
      </w:r>
    </w:p>
    <w:p w:rsidR="00B662D4" w:rsidRPr="00C26D67" w:rsidRDefault="00B662D4" w:rsidP="00B662D4">
      <w:pPr>
        <w:spacing w:after="120" w:line="240" w:lineRule="auto"/>
        <w:ind w:left="360" w:hanging="360"/>
      </w:pPr>
      <w:r>
        <w:t xml:space="preserve">Bhat, C.R., Born, K., </w:t>
      </w:r>
      <w:r w:rsidRPr="00C26D67">
        <w:t>Sid</w:t>
      </w:r>
      <w:r>
        <w:t>harthan, R., and Bhat. P.C., 2014</w:t>
      </w:r>
      <w:r w:rsidR="0087756C">
        <w:t>b</w:t>
      </w:r>
      <w:r>
        <w:t xml:space="preserve">. </w:t>
      </w:r>
      <w:r>
        <w:rPr>
          <w:bCs/>
        </w:rPr>
        <w:t>A count data model with endogenous covariates: formulation and application to roadway crash frequency at i</w:t>
      </w:r>
      <w:r w:rsidRPr="00C26D67">
        <w:rPr>
          <w:bCs/>
        </w:rPr>
        <w:t>ntersections</w:t>
      </w:r>
      <w:r>
        <w:t>.</w:t>
      </w:r>
      <w:r w:rsidRPr="00C26D67">
        <w:t xml:space="preserve"> </w:t>
      </w:r>
      <w:r w:rsidRPr="00C26D67">
        <w:rPr>
          <w:i/>
          <w:iCs/>
        </w:rPr>
        <w:t>Analyt</w:t>
      </w:r>
      <w:r w:rsidR="00E429FF">
        <w:rPr>
          <w:i/>
          <w:iCs/>
        </w:rPr>
        <w:t>ic Methods in Accident Research</w:t>
      </w:r>
      <w:r w:rsidRPr="00C26D67">
        <w:rPr>
          <w:i/>
          <w:iCs/>
        </w:rPr>
        <w:t xml:space="preserve"> </w:t>
      </w:r>
      <w:r>
        <w:t xml:space="preserve">1, </w:t>
      </w:r>
      <w:r w:rsidRPr="00C26D67">
        <w:t>53-71</w:t>
      </w:r>
      <w:r>
        <w:t>.</w:t>
      </w:r>
      <w:r w:rsidRPr="00C26D67">
        <w:t xml:space="preserve"> </w:t>
      </w:r>
    </w:p>
    <w:p w:rsidR="00256F35" w:rsidRPr="00011EC4" w:rsidRDefault="00256F35" w:rsidP="00D72ECE">
      <w:pPr>
        <w:spacing w:after="120" w:line="240" w:lineRule="auto"/>
        <w:ind w:left="360" w:hanging="360"/>
      </w:pPr>
      <w:r w:rsidRPr="00011EC4">
        <w:t xml:space="preserve">Bhat, C.R., Pinjari, A.R., Dubey, S.K., </w:t>
      </w:r>
      <w:proofErr w:type="spellStart"/>
      <w:r w:rsidRPr="00011EC4">
        <w:t>Hamdi</w:t>
      </w:r>
      <w:proofErr w:type="spellEnd"/>
      <w:r w:rsidRPr="00011EC4">
        <w:t xml:space="preserve">, A.S., 2016. On </w:t>
      </w:r>
      <w:r w:rsidR="009E492C">
        <w:t>a</w:t>
      </w:r>
      <w:r w:rsidRPr="00011EC4">
        <w:t xml:space="preserve">ccommodating </w:t>
      </w:r>
      <w:r w:rsidR="009E492C">
        <w:t>s</w:t>
      </w:r>
      <w:r w:rsidRPr="00011EC4">
        <w:t xml:space="preserve">patial </w:t>
      </w:r>
      <w:r w:rsidR="009E492C">
        <w:t>i</w:t>
      </w:r>
      <w:r w:rsidRPr="00011EC4">
        <w:t xml:space="preserve">nteractions in a </w:t>
      </w:r>
      <w:r w:rsidR="009E492C">
        <w:t>g</w:t>
      </w:r>
      <w:r w:rsidRPr="00011EC4">
        <w:t xml:space="preserve">eneralized </w:t>
      </w:r>
      <w:r w:rsidR="009E492C">
        <w:t>h</w:t>
      </w:r>
      <w:r w:rsidRPr="00011EC4">
        <w:t xml:space="preserve">eterogeneous </w:t>
      </w:r>
      <w:r w:rsidR="009E492C">
        <w:t>d</w:t>
      </w:r>
      <w:r w:rsidRPr="00011EC4">
        <w:t xml:space="preserve">ata </w:t>
      </w:r>
      <w:r w:rsidR="009E492C">
        <w:t>m</w:t>
      </w:r>
      <w:r w:rsidRPr="00011EC4">
        <w:t xml:space="preserve">odel (GHDM) of </w:t>
      </w:r>
      <w:r w:rsidR="009E492C">
        <w:t>m</w:t>
      </w:r>
      <w:r w:rsidRPr="00011EC4">
        <w:t xml:space="preserve">ixed </w:t>
      </w:r>
      <w:r w:rsidR="009E492C">
        <w:t>t</w:t>
      </w:r>
      <w:r w:rsidRPr="00011EC4">
        <w:t xml:space="preserve">ypes of </w:t>
      </w:r>
      <w:r w:rsidR="009E492C">
        <w:t>d</w:t>
      </w:r>
      <w:r w:rsidRPr="00011EC4">
        <w:t xml:space="preserve">ependent </w:t>
      </w:r>
      <w:r w:rsidR="009E492C">
        <w:t>v</w:t>
      </w:r>
      <w:r w:rsidRPr="00011EC4">
        <w:t xml:space="preserve">ariables. </w:t>
      </w:r>
      <w:r w:rsidRPr="00011EC4">
        <w:rPr>
          <w:i/>
        </w:rPr>
        <w:t>Transportation Research Part B</w:t>
      </w:r>
      <w:r w:rsidRPr="00011EC4">
        <w:t xml:space="preserve"> 94, 240-263.</w:t>
      </w:r>
    </w:p>
    <w:p w:rsidR="002C66EE" w:rsidRPr="00011EC4" w:rsidRDefault="002C66EE" w:rsidP="00D72ECE">
      <w:pPr>
        <w:spacing w:after="120" w:line="240" w:lineRule="auto"/>
        <w:ind w:left="360" w:hanging="360"/>
      </w:pPr>
      <w:proofErr w:type="spellStart"/>
      <w:r w:rsidRPr="00011EC4">
        <w:t>Blincoe</w:t>
      </w:r>
      <w:proofErr w:type="spellEnd"/>
      <w:r w:rsidRPr="00011EC4">
        <w:t xml:space="preserve">, L. J., Miller, T. R., </w:t>
      </w:r>
      <w:proofErr w:type="spellStart"/>
      <w:r w:rsidRPr="00011EC4">
        <w:t>Zaloshnja</w:t>
      </w:r>
      <w:proofErr w:type="spellEnd"/>
      <w:r w:rsidRPr="00011EC4">
        <w:t xml:space="preserve">, </w:t>
      </w:r>
      <w:r w:rsidR="00345563" w:rsidRPr="00011EC4">
        <w:t>E., Lawrence, B. A., 2015</w:t>
      </w:r>
      <w:r w:rsidRPr="00011EC4">
        <w:t>. The economic and societal impact of motor ve</w:t>
      </w:r>
      <w:r w:rsidR="009E492C">
        <w:t xml:space="preserve">hicle crashes, 2010 (Revised), </w:t>
      </w:r>
      <w:r w:rsidRPr="00011EC4">
        <w:t>Report No. DOT HS</w:t>
      </w:r>
      <w:r w:rsidR="009E492C">
        <w:t xml:space="preserve"> 812 013,</w:t>
      </w:r>
      <w:r w:rsidRPr="00011EC4">
        <w:t xml:space="preserve"> National Highway Traffic Safety Administration</w:t>
      </w:r>
      <w:r w:rsidR="009E492C">
        <w:t xml:space="preserve">, </w:t>
      </w:r>
      <w:r w:rsidR="009E492C" w:rsidRPr="00011EC4">
        <w:t>Washington, DC</w:t>
      </w:r>
      <w:r w:rsidRPr="00011EC4">
        <w:t>.</w:t>
      </w:r>
    </w:p>
    <w:p w:rsidR="002A1750" w:rsidRPr="00011EC4" w:rsidRDefault="002A1750" w:rsidP="00D72ECE">
      <w:pPr>
        <w:spacing w:after="120" w:line="240" w:lineRule="auto"/>
        <w:ind w:left="360" w:hanging="360"/>
      </w:pPr>
      <w:proofErr w:type="spellStart"/>
      <w:r w:rsidRPr="00011EC4">
        <w:t>Bradlow</w:t>
      </w:r>
      <w:proofErr w:type="spellEnd"/>
      <w:r w:rsidRPr="00011EC4">
        <w:t xml:space="preserve">, E.T., </w:t>
      </w:r>
      <w:proofErr w:type="spellStart"/>
      <w:r w:rsidRPr="00011EC4">
        <w:t>Bronnenberg</w:t>
      </w:r>
      <w:proofErr w:type="spellEnd"/>
      <w:r w:rsidRPr="00011EC4">
        <w:t xml:space="preserve">, B., Russell, G.J., Arora, N., Bell, D.R., </w:t>
      </w:r>
      <w:proofErr w:type="spellStart"/>
      <w:r w:rsidRPr="00011EC4">
        <w:t>Duvvuri</w:t>
      </w:r>
      <w:proofErr w:type="spellEnd"/>
      <w:r w:rsidRPr="00011EC4">
        <w:t xml:space="preserve">, S.D., Hofstede, F.T., </w:t>
      </w:r>
      <w:proofErr w:type="spellStart"/>
      <w:r w:rsidRPr="00011EC4">
        <w:t>Sismeiro</w:t>
      </w:r>
      <w:proofErr w:type="spellEnd"/>
      <w:r w:rsidRPr="00011EC4">
        <w:t xml:space="preserve">, C., </w:t>
      </w:r>
      <w:proofErr w:type="spellStart"/>
      <w:r w:rsidRPr="00011EC4">
        <w:t>Thomadsen</w:t>
      </w:r>
      <w:proofErr w:type="spellEnd"/>
      <w:r w:rsidRPr="00011EC4">
        <w:t xml:space="preserve">, R., Yang, S., 2005. Spatial models in marketing. </w:t>
      </w:r>
      <w:r w:rsidRPr="00011EC4">
        <w:rPr>
          <w:i/>
        </w:rPr>
        <w:t xml:space="preserve">Marketing Letters </w:t>
      </w:r>
      <w:r w:rsidRPr="00011EC4">
        <w:t>16(3), 267-278.</w:t>
      </w:r>
    </w:p>
    <w:p w:rsidR="002A1750" w:rsidRPr="00011EC4" w:rsidRDefault="002A1750" w:rsidP="00D72ECE">
      <w:pPr>
        <w:spacing w:after="120" w:line="240" w:lineRule="auto"/>
        <w:ind w:left="360" w:hanging="360"/>
      </w:pPr>
      <w:proofErr w:type="spellStart"/>
      <w:r w:rsidRPr="00011EC4">
        <w:t>Brunsdon</w:t>
      </w:r>
      <w:proofErr w:type="spellEnd"/>
      <w:r w:rsidRPr="00011EC4">
        <w:t xml:space="preserve">, C., Fotheringham, S., Charlton, M., 1998. Geographically weighted regression. </w:t>
      </w:r>
      <w:r w:rsidRPr="00011EC4">
        <w:rPr>
          <w:i/>
        </w:rPr>
        <w:t xml:space="preserve">Journal of the Royal Statistical Society: Series D (The Statistician) </w:t>
      </w:r>
      <w:r w:rsidRPr="00011EC4">
        <w:t>47(3), 431-443.</w:t>
      </w:r>
    </w:p>
    <w:p w:rsidR="008159D4" w:rsidRPr="00011EC4" w:rsidRDefault="008159D4" w:rsidP="00D72ECE">
      <w:pPr>
        <w:spacing w:after="120" w:line="240" w:lineRule="auto"/>
        <w:ind w:left="360" w:hanging="360"/>
      </w:pPr>
      <w:proofErr w:type="spellStart"/>
      <w:r w:rsidRPr="00011EC4">
        <w:t>Buddhavarapu</w:t>
      </w:r>
      <w:proofErr w:type="spellEnd"/>
      <w:r w:rsidRPr="00011EC4">
        <w:t>, P., Scott, J.G.</w:t>
      </w:r>
      <w:r w:rsidR="00297175" w:rsidRPr="00011EC4">
        <w:t xml:space="preserve">, </w:t>
      </w:r>
      <w:r w:rsidRPr="00011EC4">
        <w:t xml:space="preserve">Prozzi, J.A., 2016. Modeling unobserved heterogeneity using finite mixture random parameters for spatially correlated discrete count data. </w:t>
      </w:r>
      <w:r w:rsidR="009E492C">
        <w:rPr>
          <w:i/>
        </w:rPr>
        <w:t xml:space="preserve">Transportation Research Part B </w:t>
      </w:r>
      <w:r w:rsidRPr="00011EC4">
        <w:t>91, 492-510.</w:t>
      </w:r>
    </w:p>
    <w:p w:rsidR="00EA49FD" w:rsidRPr="00011EC4" w:rsidRDefault="00EA49FD" w:rsidP="00D72ECE">
      <w:pPr>
        <w:spacing w:after="120" w:line="240" w:lineRule="auto"/>
        <w:ind w:left="360" w:hanging="360"/>
      </w:pPr>
      <w:proofErr w:type="spellStart"/>
      <w:r w:rsidRPr="00011EC4">
        <w:t>Cai</w:t>
      </w:r>
      <w:proofErr w:type="spellEnd"/>
      <w:r w:rsidRPr="00011EC4">
        <w:t xml:space="preserve">, Q., Lee, J., </w:t>
      </w:r>
      <w:proofErr w:type="spellStart"/>
      <w:r w:rsidRPr="00011EC4">
        <w:t>Eluru</w:t>
      </w:r>
      <w:proofErr w:type="spellEnd"/>
      <w:r w:rsidRPr="00011EC4">
        <w:t>, N., Abdel-</w:t>
      </w:r>
      <w:proofErr w:type="spellStart"/>
      <w:r w:rsidRPr="00011EC4">
        <w:t>Aty</w:t>
      </w:r>
      <w:proofErr w:type="spellEnd"/>
      <w:r w:rsidRPr="00011EC4">
        <w:t xml:space="preserve">, M., 2016. Macro-level pedestrian and bicycle crash analysis: </w:t>
      </w:r>
      <w:r w:rsidR="009E492C">
        <w:t>I</w:t>
      </w:r>
      <w:r w:rsidRPr="00011EC4">
        <w:t xml:space="preserve">ncorporating spatial spillover effects in dual state count models. </w:t>
      </w:r>
      <w:r w:rsidRPr="00011EC4">
        <w:rPr>
          <w:i/>
        </w:rPr>
        <w:t>Accident Analysis &amp; Prevention</w:t>
      </w:r>
      <w:r w:rsidRPr="00011EC4">
        <w:t xml:space="preserve"> 93, 14-22.</w:t>
      </w:r>
    </w:p>
    <w:p w:rsidR="002C66EE" w:rsidRPr="00011EC4" w:rsidRDefault="00345563" w:rsidP="00D72ECE">
      <w:pPr>
        <w:spacing w:after="120" w:line="240" w:lineRule="auto"/>
        <w:ind w:left="360" w:hanging="360"/>
      </w:pPr>
      <w:r w:rsidRPr="00011EC4">
        <w:t xml:space="preserve">Castro, M., </w:t>
      </w:r>
      <w:proofErr w:type="spellStart"/>
      <w:r w:rsidRPr="00011EC4">
        <w:t>Paleti</w:t>
      </w:r>
      <w:proofErr w:type="spellEnd"/>
      <w:r w:rsidRPr="00011EC4">
        <w:t xml:space="preserve">, R., </w:t>
      </w:r>
      <w:r w:rsidR="002C66EE" w:rsidRPr="00011EC4">
        <w:t xml:space="preserve">Bhat, C.R., 2012. A latent variable representation of count data models to accommodate spatial and temporal dependence: Application to predicting crash frequency at intersections. </w:t>
      </w:r>
      <w:r w:rsidR="002C66EE" w:rsidRPr="00011EC4">
        <w:rPr>
          <w:i/>
        </w:rPr>
        <w:t xml:space="preserve">Transportation </w:t>
      </w:r>
      <w:r w:rsidRPr="00011EC4">
        <w:rPr>
          <w:i/>
        </w:rPr>
        <w:t>Research Part B</w:t>
      </w:r>
      <w:r w:rsidRPr="00011EC4">
        <w:t xml:space="preserve"> 46(1), </w:t>
      </w:r>
      <w:r w:rsidR="002C66EE" w:rsidRPr="00011EC4">
        <w:t>253-272.</w:t>
      </w:r>
    </w:p>
    <w:p w:rsidR="002C66EE" w:rsidRPr="00011EC4" w:rsidRDefault="002C66EE" w:rsidP="00D72ECE">
      <w:pPr>
        <w:spacing w:after="120" w:line="240" w:lineRule="auto"/>
        <w:ind w:left="360" w:hanging="360"/>
      </w:pPr>
      <w:r w:rsidRPr="00011EC4">
        <w:t xml:space="preserve">Castro, M., </w:t>
      </w:r>
      <w:proofErr w:type="spellStart"/>
      <w:r w:rsidRPr="00011EC4">
        <w:t>Paleti</w:t>
      </w:r>
      <w:proofErr w:type="spellEnd"/>
      <w:r w:rsidRPr="00011EC4">
        <w:t xml:space="preserve">, R., Bhat, C., 2013. A spatial generalized ordered response model to examine highway crash injury severity. </w:t>
      </w:r>
      <w:r w:rsidRPr="00011EC4">
        <w:rPr>
          <w:i/>
        </w:rPr>
        <w:t xml:space="preserve">Accident Analysis </w:t>
      </w:r>
      <w:r w:rsidR="009E492C">
        <w:rPr>
          <w:i/>
        </w:rPr>
        <w:t>&amp;</w:t>
      </w:r>
      <w:r w:rsidRPr="00011EC4">
        <w:rPr>
          <w:i/>
        </w:rPr>
        <w:t xml:space="preserve"> Prevention</w:t>
      </w:r>
      <w:r w:rsidRPr="00011EC4">
        <w:t xml:space="preserve"> 52, 188-203.</w:t>
      </w:r>
    </w:p>
    <w:p w:rsidR="00EF0FF9" w:rsidRPr="00011EC4" w:rsidRDefault="00EF0FF9" w:rsidP="00D72ECE">
      <w:pPr>
        <w:spacing w:after="120" w:line="240" w:lineRule="auto"/>
        <w:ind w:left="360" w:hanging="360"/>
      </w:pPr>
      <w:proofErr w:type="spellStart"/>
      <w:r w:rsidRPr="00011EC4">
        <w:lastRenderedPageBreak/>
        <w:t>Chakravarthy</w:t>
      </w:r>
      <w:proofErr w:type="spellEnd"/>
      <w:r w:rsidRPr="00011EC4">
        <w:t xml:space="preserve">, B., Anderson, C.L., Ludlow, J., </w:t>
      </w:r>
      <w:proofErr w:type="spellStart"/>
      <w:r w:rsidRPr="00011EC4">
        <w:t>Lotfipour</w:t>
      </w:r>
      <w:proofErr w:type="spellEnd"/>
      <w:r w:rsidRPr="00011EC4">
        <w:t>, S.</w:t>
      </w:r>
      <w:r w:rsidR="00297175" w:rsidRPr="00011EC4">
        <w:t xml:space="preserve">, </w:t>
      </w:r>
      <w:proofErr w:type="spellStart"/>
      <w:r w:rsidRPr="00011EC4">
        <w:t>Vaca</w:t>
      </w:r>
      <w:proofErr w:type="spellEnd"/>
      <w:r w:rsidRPr="00011EC4">
        <w:t xml:space="preserve">, F.E., 2010. The relationship of pedestrian injuries to socioeconomic characteristics in a large Southern California County. </w:t>
      </w:r>
      <w:r w:rsidRPr="00011EC4">
        <w:rPr>
          <w:i/>
        </w:rPr>
        <w:t>Traffic Injury Prevention</w:t>
      </w:r>
      <w:r w:rsidRPr="00011EC4">
        <w:t xml:space="preserve"> 11(5), 508-513.</w:t>
      </w:r>
    </w:p>
    <w:p w:rsidR="005B33DF" w:rsidRPr="00011EC4" w:rsidRDefault="005B33DF" w:rsidP="00D72ECE">
      <w:pPr>
        <w:spacing w:after="120" w:line="240" w:lineRule="auto"/>
        <w:ind w:left="360" w:hanging="360"/>
      </w:pPr>
      <w:r w:rsidRPr="00011EC4">
        <w:t xml:space="preserve">Cooper, J. F., Wilder, T. R., </w:t>
      </w:r>
      <w:proofErr w:type="spellStart"/>
      <w:r w:rsidRPr="00011EC4">
        <w:t>Lankina</w:t>
      </w:r>
      <w:proofErr w:type="spellEnd"/>
      <w:r w:rsidRPr="00011EC4">
        <w:t xml:space="preserve">, E., Geyer, J. A., Ragland, D. R., 2015. Traffic safety among </w:t>
      </w:r>
      <w:r w:rsidR="009E492C">
        <w:t>L</w:t>
      </w:r>
      <w:r w:rsidRPr="00011EC4">
        <w:t xml:space="preserve">atino populations in California: Current status and policy recommendations. </w:t>
      </w:r>
      <w:r w:rsidRPr="00011EC4">
        <w:rPr>
          <w:i/>
        </w:rPr>
        <w:t>Safe Transportation Research &amp; Education Center</w:t>
      </w:r>
      <w:r w:rsidRPr="00011EC4">
        <w:t>.</w:t>
      </w:r>
    </w:p>
    <w:p w:rsidR="00EF0FF9" w:rsidRPr="00011EC4" w:rsidRDefault="00EF0FF9" w:rsidP="00D72ECE">
      <w:pPr>
        <w:spacing w:after="120" w:line="240" w:lineRule="auto"/>
        <w:ind w:left="360" w:hanging="360"/>
      </w:pPr>
      <w:proofErr w:type="spellStart"/>
      <w:r w:rsidRPr="00011EC4">
        <w:t>Cottrill</w:t>
      </w:r>
      <w:proofErr w:type="spellEnd"/>
      <w:r w:rsidRPr="00011EC4">
        <w:t>, C.D.</w:t>
      </w:r>
      <w:r w:rsidR="00297175" w:rsidRPr="00011EC4">
        <w:t xml:space="preserve">, </w:t>
      </w:r>
      <w:proofErr w:type="spellStart"/>
      <w:r w:rsidRPr="00011EC4">
        <w:t>Thakuriah</w:t>
      </w:r>
      <w:proofErr w:type="spellEnd"/>
      <w:r w:rsidRPr="00011EC4">
        <w:t xml:space="preserve">, P.V., 2010. Evaluating pedestrian crashes in areas with high low-income or minority populations. </w:t>
      </w:r>
      <w:r w:rsidRPr="00011EC4">
        <w:rPr>
          <w:i/>
        </w:rPr>
        <w:t>Accident Analysis &amp; Prevention</w:t>
      </w:r>
      <w:r w:rsidRPr="00011EC4">
        <w:t xml:space="preserve"> 42(6), 1718-1728.</w:t>
      </w:r>
    </w:p>
    <w:p w:rsidR="00EF0FF9" w:rsidRPr="00011EC4" w:rsidRDefault="00EF0FF9" w:rsidP="00D72ECE">
      <w:pPr>
        <w:spacing w:after="120" w:line="240" w:lineRule="auto"/>
        <w:ind w:left="360" w:hanging="360"/>
      </w:pPr>
      <w:proofErr w:type="spellStart"/>
      <w:r w:rsidRPr="00011EC4">
        <w:t>Coughenour</w:t>
      </w:r>
      <w:proofErr w:type="spellEnd"/>
      <w:r w:rsidRPr="00011EC4">
        <w:t xml:space="preserve">, C., Clark, S., Singh, A., Claw, E., </w:t>
      </w:r>
      <w:proofErr w:type="spellStart"/>
      <w:r w:rsidRPr="00011EC4">
        <w:t>Abelar</w:t>
      </w:r>
      <w:proofErr w:type="spellEnd"/>
      <w:r w:rsidRPr="00011EC4">
        <w:t>, J.</w:t>
      </w:r>
      <w:r w:rsidR="00297175" w:rsidRPr="00011EC4">
        <w:t xml:space="preserve">, </w:t>
      </w:r>
      <w:r w:rsidRPr="00011EC4">
        <w:t xml:space="preserve">Huebner, J., 2017. Examining racial bias as a potential factor in pedestrian crashes. </w:t>
      </w:r>
      <w:r w:rsidRPr="00011EC4">
        <w:rPr>
          <w:i/>
        </w:rPr>
        <w:t>Accident Analysis &amp; Prevention</w:t>
      </w:r>
      <w:r w:rsidRPr="00011EC4">
        <w:t xml:space="preserve"> 98,</w:t>
      </w:r>
      <w:r w:rsidR="00297175" w:rsidRPr="00011EC4">
        <w:t xml:space="preserve"> </w:t>
      </w:r>
      <w:r w:rsidRPr="00011EC4">
        <w:t>96-100.</w:t>
      </w:r>
    </w:p>
    <w:p w:rsidR="000C0297" w:rsidRPr="00011EC4" w:rsidRDefault="000C0297" w:rsidP="00D72ECE">
      <w:pPr>
        <w:spacing w:after="120" w:line="240" w:lineRule="auto"/>
        <w:ind w:left="360" w:hanging="360"/>
      </w:pPr>
      <w:proofErr w:type="spellStart"/>
      <w:r w:rsidRPr="00011EC4">
        <w:t>Delmelle</w:t>
      </w:r>
      <w:proofErr w:type="spellEnd"/>
      <w:r w:rsidRPr="00011EC4">
        <w:t xml:space="preserve">, E.C., Thill, J.-C., Ha, H.-H., 2011. Spatial epidemiologic analysis of relative collision risk factors among urban bicyclists and pedestrians. </w:t>
      </w:r>
      <w:r w:rsidRPr="00011EC4">
        <w:rPr>
          <w:i/>
        </w:rPr>
        <w:t>Transportation</w:t>
      </w:r>
      <w:r w:rsidRPr="00011EC4">
        <w:t xml:space="preserve"> 39(2), 433-448.</w:t>
      </w:r>
    </w:p>
    <w:p w:rsidR="009E492C" w:rsidRDefault="00345563" w:rsidP="00D72ECE">
      <w:pPr>
        <w:spacing w:after="120" w:line="240" w:lineRule="auto"/>
        <w:ind w:left="360" w:hanging="360"/>
      </w:pPr>
      <w:proofErr w:type="spellStart"/>
      <w:r w:rsidRPr="00011EC4">
        <w:t>Eluru</w:t>
      </w:r>
      <w:proofErr w:type="spellEnd"/>
      <w:r w:rsidRPr="00011EC4">
        <w:t>, N., Bhat, C.R.,</w:t>
      </w:r>
      <w:r w:rsidR="002C66EE" w:rsidRPr="00011EC4">
        <w:t xml:space="preserve"> </w:t>
      </w:r>
      <w:proofErr w:type="spellStart"/>
      <w:r w:rsidR="002C66EE" w:rsidRPr="00011EC4">
        <w:t>Hensher</w:t>
      </w:r>
      <w:proofErr w:type="spellEnd"/>
      <w:r w:rsidR="002C66EE" w:rsidRPr="00011EC4">
        <w:t xml:space="preserve">, D.A., 2008. A mixed generalized ordered response model for examining pedestrian and bicyclist injury severity level in traffic crashes. </w:t>
      </w:r>
      <w:r w:rsidR="002C66EE" w:rsidRPr="00011EC4">
        <w:rPr>
          <w:i/>
        </w:rPr>
        <w:t>Accident A</w:t>
      </w:r>
      <w:r w:rsidRPr="00011EC4">
        <w:rPr>
          <w:i/>
        </w:rPr>
        <w:t>nalysis &amp; Prevention</w:t>
      </w:r>
      <w:r w:rsidRPr="00011EC4">
        <w:t xml:space="preserve"> 40(3), </w:t>
      </w:r>
      <w:r w:rsidR="002C66EE" w:rsidRPr="00011EC4">
        <w:t>1033-1054</w:t>
      </w:r>
      <w:r w:rsidR="00691474" w:rsidRPr="00011EC4">
        <w:t>.</w:t>
      </w:r>
    </w:p>
    <w:p w:rsidR="002C66EE" w:rsidRPr="009E492C" w:rsidRDefault="002C66EE" w:rsidP="00D72ECE">
      <w:pPr>
        <w:spacing w:after="120" w:line="240" w:lineRule="auto"/>
        <w:ind w:left="360" w:hanging="360"/>
      </w:pPr>
      <w:proofErr w:type="spellStart"/>
      <w:r w:rsidRPr="00011EC4">
        <w:t>Godambe</w:t>
      </w:r>
      <w:proofErr w:type="spellEnd"/>
      <w:r w:rsidRPr="00011EC4">
        <w:t xml:space="preserve">, V.P., 1960. An optimum property of regular maximum likelihood estimation. </w:t>
      </w:r>
      <w:r w:rsidR="009E492C">
        <w:rPr>
          <w:i/>
        </w:rPr>
        <w:t xml:space="preserve">The </w:t>
      </w:r>
      <w:r w:rsidRPr="00011EC4">
        <w:rPr>
          <w:i/>
        </w:rPr>
        <w:t xml:space="preserve">Annals of Mathematical Statistics </w:t>
      </w:r>
      <w:r w:rsidRPr="00011EC4">
        <w:t>31(4), 1208-1211.</w:t>
      </w:r>
    </w:p>
    <w:p w:rsidR="002C66EE" w:rsidRPr="00011EC4" w:rsidRDefault="00691474" w:rsidP="00D72ECE">
      <w:pPr>
        <w:spacing w:after="120" w:line="240" w:lineRule="auto"/>
        <w:ind w:left="360" w:hanging="360"/>
      </w:pPr>
      <w:r w:rsidRPr="00011EC4">
        <w:t xml:space="preserve">Greene, W.H., </w:t>
      </w:r>
      <w:proofErr w:type="spellStart"/>
      <w:r w:rsidR="002C66EE" w:rsidRPr="00011EC4">
        <w:t>Hensher</w:t>
      </w:r>
      <w:proofErr w:type="spellEnd"/>
      <w:r w:rsidR="002C66EE" w:rsidRPr="00011EC4">
        <w:t xml:space="preserve">, D.A., 2010. </w:t>
      </w:r>
      <w:r w:rsidR="002C66EE" w:rsidRPr="00E429FF">
        <w:rPr>
          <w:i/>
        </w:rPr>
        <w:t>Modeling ordered choices: A primer</w:t>
      </w:r>
      <w:r w:rsidR="002C66EE" w:rsidRPr="00011EC4">
        <w:t>. Cambridge University Press.</w:t>
      </w:r>
    </w:p>
    <w:p w:rsidR="00EF0FF9" w:rsidRPr="00011EC4" w:rsidRDefault="00EF0FF9" w:rsidP="00D72ECE">
      <w:pPr>
        <w:spacing w:after="120" w:line="240" w:lineRule="auto"/>
        <w:ind w:left="360" w:hanging="360"/>
      </w:pPr>
      <w:r w:rsidRPr="00011EC4">
        <w:t>Ha, H.H.</w:t>
      </w:r>
      <w:r w:rsidR="00297175" w:rsidRPr="00011EC4">
        <w:t xml:space="preserve">, </w:t>
      </w:r>
      <w:r w:rsidRPr="00011EC4">
        <w:t xml:space="preserve">Thill, J.C., 2011. Analysis of traffic hazard intensity: A spatial epidemiology case study of urban pedestrians. </w:t>
      </w:r>
      <w:r w:rsidRPr="009E492C">
        <w:rPr>
          <w:i/>
        </w:rPr>
        <w:t>Computers,</w:t>
      </w:r>
      <w:r w:rsidRPr="00011EC4">
        <w:t xml:space="preserve"> </w:t>
      </w:r>
      <w:r w:rsidRPr="00011EC4">
        <w:rPr>
          <w:i/>
        </w:rPr>
        <w:t>Environment and Urban Systems</w:t>
      </w:r>
      <w:r w:rsidRPr="00011EC4">
        <w:t>, 35(3), 230-240.</w:t>
      </w:r>
    </w:p>
    <w:p w:rsidR="008159D4" w:rsidRPr="00011EC4" w:rsidRDefault="008159D4" w:rsidP="00D72ECE">
      <w:pPr>
        <w:spacing w:after="120" w:line="240" w:lineRule="auto"/>
        <w:ind w:left="360" w:hanging="360"/>
      </w:pPr>
      <w:proofErr w:type="spellStart"/>
      <w:r w:rsidRPr="00011EC4">
        <w:t>Heydari</w:t>
      </w:r>
      <w:proofErr w:type="spellEnd"/>
      <w:r w:rsidRPr="00011EC4">
        <w:t>, S</w:t>
      </w:r>
      <w:r w:rsidR="00011EC4">
        <w:t>., Fu, L., Miranda-Moreno, L.F.,</w:t>
      </w:r>
      <w:r w:rsidR="00297175" w:rsidRPr="00011EC4">
        <w:t xml:space="preserve"> </w:t>
      </w:r>
      <w:r w:rsidRPr="00011EC4">
        <w:t xml:space="preserve">Joseph, L., 2017. Using a flexible multivariate latent class approach to model correlated outcomes: A joint analysis of pedestrian and cyclist injuries. </w:t>
      </w:r>
      <w:r w:rsidRPr="00011EC4">
        <w:rPr>
          <w:i/>
        </w:rPr>
        <w:t>Analytic Methods in Accident Research</w:t>
      </w:r>
      <w:r w:rsidRPr="00011EC4">
        <w:t xml:space="preserve"> 13, 16-27.</w:t>
      </w:r>
    </w:p>
    <w:p w:rsidR="002C66EE" w:rsidRPr="00011EC4" w:rsidRDefault="0047278B" w:rsidP="00D72ECE">
      <w:pPr>
        <w:spacing w:after="120" w:line="240" w:lineRule="auto"/>
        <w:ind w:left="360" w:hanging="360"/>
      </w:pPr>
      <w:r w:rsidRPr="00011EC4">
        <w:t>Hu</w:t>
      </w:r>
      <w:r w:rsidR="002C66EE" w:rsidRPr="00011EC4">
        <w:t>a</w:t>
      </w:r>
      <w:r w:rsidRPr="00011EC4">
        <w:t>n</w:t>
      </w:r>
      <w:r w:rsidR="002C66EE" w:rsidRPr="00011EC4">
        <w:t>g</w:t>
      </w:r>
      <w:r w:rsidR="00BA6A37">
        <w:t>,</w:t>
      </w:r>
      <w:r w:rsidR="002C66EE" w:rsidRPr="00011EC4">
        <w:t xml:space="preserve"> H., Abdel-</w:t>
      </w:r>
      <w:proofErr w:type="spellStart"/>
      <w:r w:rsidR="002C66EE" w:rsidRPr="00011EC4">
        <w:t>Aty</w:t>
      </w:r>
      <w:proofErr w:type="spellEnd"/>
      <w:r w:rsidR="002C66EE" w:rsidRPr="00011EC4">
        <w:t xml:space="preserve"> M., </w:t>
      </w:r>
      <w:proofErr w:type="spellStart"/>
      <w:r w:rsidR="002C66EE" w:rsidRPr="00011EC4">
        <w:t>Darwiche</w:t>
      </w:r>
      <w:proofErr w:type="spellEnd"/>
      <w:r w:rsidR="002C66EE" w:rsidRPr="00011EC4">
        <w:t xml:space="preserve"> A., 2014. </w:t>
      </w:r>
      <w:r w:rsidR="00590B46" w:rsidRPr="00011EC4">
        <w:t>C</w:t>
      </w:r>
      <w:r w:rsidR="002C66EE" w:rsidRPr="00011EC4">
        <w:t>ounty-</w:t>
      </w:r>
      <w:r w:rsidR="00590B46" w:rsidRPr="00011EC4">
        <w:t>l</w:t>
      </w:r>
      <w:r w:rsidR="002C66EE" w:rsidRPr="00011EC4">
        <w:t xml:space="preserve">evel </w:t>
      </w:r>
      <w:r w:rsidR="00590B46" w:rsidRPr="00011EC4">
        <w:t>c</w:t>
      </w:r>
      <w:r w:rsidR="002C66EE" w:rsidRPr="00011EC4">
        <w:t xml:space="preserve">rash </w:t>
      </w:r>
      <w:r w:rsidR="00590B46" w:rsidRPr="00011EC4">
        <w:t>r</w:t>
      </w:r>
      <w:r w:rsidR="002C66EE" w:rsidRPr="00011EC4">
        <w:t xml:space="preserve">isk </w:t>
      </w:r>
      <w:r w:rsidR="00590B46" w:rsidRPr="00011EC4">
        <w:t>a</w:t>
      </w:r>
      <w:r w:rsidR="002C66EE" w:rsidRPr="00011EC4">
        <w:t xml:space="preserve">nalysis in Florida. </w:t>
      </w:r>
      <w:r w:rsidR="009E492C" w:rsidRPr="00011EC4">
        <w:rPr>
          <w:i/>
        </w:rPr>
        <w:t>Transportation Research Record: Journal of the Transportation Research Board</w:t>
      </w:r>
      <w:r w:rsidR="009E492C" w:rsidRPr="00011EC4">
        <w:t xml:space="preserve"> </w:t>
      </w:r>
      <w:r w:rsidR="002C66EE" w:rsidRPr="00011EC4">
        <w:t>2148(4), 27-37.</w:t>
      </w:r>
    </w:p>
    <w:p w:rsidR="00B14B41" w:rsidRPr="00011EC4" w:rsidRDefault="00B14B41" w:rsidP="00D72ECE">
      <w:pPr>
        <w:spacing w:after="120" w:line="240" w:lineRule="auto"/>
        <w:ind w:left="360" w:hanging="360"/>
      </w:pPr>
      <w:r w:rsidRPr="00011EC4">
        <w:t>Huang, H., Zhou, H., Wang, J., Chang, F.</w:t>
      </w:r>
      <w:r w:rsidR="00297175" w:rsidRPr="00011EC4">
        <w:t>,</w:t>
      </w:r>
      <w:r w:rsidRPr="00011EC4">
        <w:t xml:space="preserve"> Ma, M., 2017. A multivariate spatial model of crash frequency by transportation modes for urban intersections. </w:t>
      </w:r>
      <w:r w:rsidRPr="00011EC4">
        <w:rPr>
          <w:i/>
        </w:rPr>
        <w:t>Analytic Methods in Accident Research</w:t>
      </w:r>
      <w:r w:rsidRPr="00011EC4">
        <w:t xml:space="preserve"> 14, 10-21.</w:t>
      </w:r>
    </w:p>
    <w:p w:rsidR="00BC7629" w:rsidRPr="00011EC4" w:rsidRDefault="00BC7629" w:rsidP="00D72ECE">
      <w:pPr>
        <w:spacing w:after="120" w:line="240" w:lineRule="auto"/>
        <w:ind w:left="360" w:hanging="360"/>
      </w:pPr>
      <w:proofErr w:type="spellStart"/>
      <w:r w:rsidRPr="00011EC4">
        <w:t>Humes</w:t>
      </w:r>
      <w:proofErr w:type="spellEnd"/>
      <w:r w:rsidRPr="00011EC4">
        <w:t>, K., Jones, N.A., Ramirez, R.R., 2011. Overview of race and Hispanic origin, 2010. US Department of Commerce, Economics and Statistics Administration, US Census Bureau.</w:t>
      </w:r>
    </w:p>
    <w:p w:rsidR="00EF0FF9" w:rsidRPr="00011EC4" w:rsidRDefault="00EF0FF9" w:rsidP="00D72ECE">
      <w:pPr>
        <w:spacing w:after="120" w:line="240" w:lineRule="auto"/>
        <w:ind w:left="360" w:hanging="360"/>
      </w:pPr>
      <w:proofErr w:type="spellStart"/>
      <w:r w:rsidRPr="00011EC4">
        <w:t>Jermprapai</w:t>
      </w:r>
      <w:proofErr w:type="spellEnd"/>
      <w:r w:rsidRPr="00011EC4">
        <w:t>, K.</w:t>
      </w:r>
      <w:r w:rsidR="00297175" w:rsidRPr="00011EC4">
        <w:t xml:space="preserve">, </w:t>
      </w:r>
      <w:r w:rsidRPr="00011EC4">
        <w:t>Srinivasan, S., 2014. Planning-</w:t>
      </w:r>
      <w:r w:rsidR="006D57C1">
        <w:t>l</w:t>
      </w:r>
      <w:r w:rsidRPr="00011EC4">
        <w:t xml:space="preserve">evel </w:t>
      </w:r>
      <w:r w:rsidR="006D57C1">
        <w:t>m</w:t>
      </w:r>
      <w:r w:rsidRPr="00011EC4">
        <w:t xml:space="preserve">odel for </w:t>
      </w:r>
      <w:r w:rsidR="006D57C1">
        <w:t>a</w:t>
      </w:r>
      <w:r w:rsidRPr="00011EC4">
        <w:t xml:space="preserve">ssessing </w:t>
      </w:r>
      <w:r w:rsidR="006D57C1">
        <w:t>p</w:t>
      </w:r>
      <w:r w:rsidRPr="00011EC4">
        <w:t xml:space="preserve">edestrian </w:t>
      </w:r>
      <w:r w:rsidR="006D57C1">
        <w:t>s</w:t>
      </w:r>
      <w:r w:rsidRPr="00011EC4">
        <w:t xml:space="preserve">afety. </w:t>
      </w:r>
      <w:r w:rsidRPr="00011EC4">
        <w:rPr>
          <w:i/>
        </w:rPr>
        <w:t>Transportation Research Record: Journal of the Transportation Research Board</w:t>
      </w:r>
      <w:r w:rsidRPr="00011EC4">
        <w:t xml:space="preserve"> 2464, 109-117.</w:t>
      </w:r>
    </w:p>
    <w:p w:rsidR="00EF0FF9" w:rsidRDefault="00EF0FF9" w:rsidP="00D72ECE">
      <w:pPr>
        <w:spacing w:after="120" w:line="240" w:lineRule="auto"/>
        <w:ind w:left="360" w:hanging="360"/>
      </w:pPr>
      <w:proofErr w:type="spellStart"/>
      <w:r w:rsidRPr="00011EC4">
        <w:t>Jerrett</w:t>
      </w:r>
      <w:proofErr w:type="spellEnd"/>
      <w:r w:rsidRPr="00011EC4">
        <w:t xml:space="preserve">, M., Su, J.G., Macleod, K.E., </w:t>
      </w:r>
      <w:proofErr w:type="spellStart"/>
      <w:r w:rsidRPr="00011EC4">
        <w:t>Hanning</w:t>
      </w:r>
      <w:proofErr w:type="spellEnd"/>
      <w:r w:rsidRPr="00011EC4">
        <w:t>, C., Houston, D.</w:t>
      </w:r>
      <w:r w:rsidR="00297175" w:rsidRPr="00011EC4">
        <w:t xml:space="preserve">, </w:t>
      </w:r>
      <w:proofErr w:type="spellStart"/>
      <w:r w:rsidRPr="00011EC4">
        <w:t>Wolch</w:t>
      </w:r>
      <w:proofErr w:type="spellEnd"/>
      <w:r w:rsidRPr="00011EC4">
        <w:t xml:space="preserve">, J., 2016. Safe routes to play? Pedestrian and bicyclist crashes near parks in Los Angeles. </w:t>
      </w:r>
      <w:r w:rsidRPr="00011EC4">
        <w:rPr>
          <w:i/>
        </w:rPr>
        <w:t>Environmental Research</w:t>
      </w:r>
      <w:r w:rsidRPr="00011EC4">
        <w:t xml:space="preserve"> 151, 742-755.</w:t>
      </w:r>
    </w:p>
    <w:p w:rsidR="003856AE" w:rsidRPr="00011EC4" w:rsidRDefault="003856AE" w:rsidP="00D72ECE">
      <w:pPr>
        <w:spacing w:after="120" w:line="240" w:lineRule="auto"/>
        <w:ind w:left="360" w:hanging="360"/>
      </w:pPr>
      <w:proofErr w:type="spellStart"/>
      <w:r>
        <w:lastRenderedPageBreak/>
        <w:t>Kamargianni</w:t>
      </w:r>
      <w:proofErr w:type="spellEnd"/>
      <w:r>
        <w:t xml:space="preserve">, M., Dubey, S.K., </w:t>
      </w:r>
      <w:proofErr w:type="spellStart"/>
      <w:r>
        <w:t>Polydoropoulou</w:t>
      </w:r>
      <w:proofErr w:type="spellEnd"/>
      <w:r>
        <w:t xml:space="preserve">, A., Bhat, C.R., 2015. </w:t>
      </w:r>
      <w:r w:rsidRPr="003856AE">
        <w:t xml:space="preserve">Investigating the </w:t>
      </w:r>
      <w:r w:rsidR="00C6286F">
        <w:t>s</w:t>
      </w:r>
      <w:r w:rsidRPr="003856AE">
        <w:t xml:space="preserve">ubjective and </w:t>
      </w:r>
      <w:r w:rsidR="00C6286F">
        <w:t>o</w:t>
      </w:r>
      <w:r w:rsidRPr="003856AE">
        <w:t xml:space="preserve">bjective </w:t>
      </w:r>
      <w:r w:rsidR="00C6286F">
        <w:t>f</w:t>
      </w:r>
      <w:r w:rsidRPr="003856AE">
        <w:t xml:space="preserve">actors </w:t>
      </w:r>
      <w:r w:rsidR="00C6286F">
        <w:t>i</w:t>
      </w:r>
      <w:r w:rsidRPr="003856AE">
        <w:t xml:space="preserve">nfluencing </w:t>
      </w:r>
      <w:r w:rsidR="00C6286F">
        <w:t>t</w:t>
      </w:r>
      <w:r w:rsidRPr="003856AE">
        <w:t xml:space="preserve">eenagers' </w:t>
      </w:r>
      <w:r w:rsidR="00C6286F">
        <w:t>s</w:t>
      </w:r>
      <w:r w:rsidRPr="003856AE">
        <w:t xml:space="preserve">chool </w:t>
      </w:r>
      <w:r w:rsidR="00C6286F">
        <w:t>t</w:t>
      </w:r>
      <w:r w:rsidRPr="003856AE">
        <w:t xml:space="preserve">ravel </w:t>
      </w:r>
      <w:r w:rsidR="00C6286F">
        <w:t>m</w:t>
      </w:r>
      <w:r w:rsidRPr="003856AE">
        <w:t xml:space="preserve">ode </w:t>
      </w:r>
      <w:r w:rsidR="00C6286F">
        <w:t>c</w:t>
      </w:r>
      <w:r w:rsidRPr="003856AE">
        <w:t xml:space="preserve">hoice - An </w:t>
      </w:r>
      <w:r w:rsidR="00C6286F">
        <w:t>i</w:t>
      </w:r>
      <w:r w:rsidRPr="003856AE">
        <w:t xml:space="preserve">ntegrated </w:t>
      </w:r>
      <w:r w:rsidR="00C6286F">
        <w:t>c</w:t>
      </w:r>
      <w:r w:rsidRPr="003856AE">
        <w:t>h</w:t>
      </w:r>
      <w:r>
        <w:t xml:space="preserve">oice and </w:t>
      </w:r>
      <w:r w:rsidR="00C6286F">
        <w:t>l</w:t>
      </w:r>
      <w:r>
        <w:t xml:space="preserve">atent </w:t>
      </w:r>
      <w:r w:rsidR="00C6286F">
        <w:t>v</w:t>
      </w:r>
      <w:r>
        <w:t xml:space="preserve">ariable </w:t>
      </w:r>
      <w:r w:rsidR="00C6286F">
        <w:t>m</w:t>
      </w:r>
      <w:r>
        <w:t>odel.</w:t>
      </w:r>
      <w:r w:rsidRPr="003856AE">
        <w:t xml:space="preserve"> </w:t>
      </w:r>
      <w:r w:rsidRPr="00656052">
        <w:rPr>
          <w:i/>
        </w:rPr>
        <w:t>Transportation Research Part A</w:t>
      </w:r>
      <w:r>
        <w:t xml:space="preserve"> 78, </w:t>
      </w:r>
      <w:r w:rsidRPr="003856AE">
        <w:t>473-488</w:t>
      </w:r>
      <w:r>
        <w:t>.</w:t>
      </w:r>
    </w:p>
    <w:p w:rsidR="00256F35" w:rsidRPr="00011EC4" w:rsidRDefault="00256F35" w:rsidP="00D72ECE">
      <w:pPr>
        <w:spacing w:after="120" w:line="240" w:lineRule="auto"/>
        <w:ind w:left="360" w:hanging="360"/>
      </w:pPr>
      <w:proofErr w:type="spellStart"/>
      <w:r w:rsidRPr="00011EC4">
        <w:t>Karsch</w:t>
      </w:r>
      <w:proofErr w:type="spellEnd"/>
      <w:r w:rsidRPr="00011EC4">
        <w:t xml:space="preserve">, H.M., </w:t>
      </w:r>
      <w:proofErr w:type="spellStart"/>
      <w:r w:rsidRPr="00011EC4">
        <w:t>Hedlund</w:t>
      </w:r>
      <w:proofErr w:type="spellEnd"/>
      <w:r w:rsidRPr="00011EC4">
        <w:t xml:space="preserve">, J.H., </w:t>
      </w:r>
      <w:proofErr w:type="spellStart"/>
      <w:r w:rsidRPr="00011EC4">
        <w:t>Tison</w:t>
      </w:r>
      <w:proofErr w:type="spellEnd"/>
      <w:r w:rsidRPr="00011EC4">
        <w:t>, J., Leaf, W.A., 2012. Review of Studies on Pedestrian and Bicyclist Safety. National Highway Traffic Safety Administration, Washington, DC, 1991–2007, Report No. DOT HS 811 614.</w:t>
      </w:r>
    </w:p>
    <w:p w:rsidR="002C66EE" w:rsidRPr="00011EC4" w:rsidRDefault="00691474" w:rsidP="00D72ECE">
      <w:pPr>
        <w:spacing w:after="120" w:line="240" w:lineRule="auto"/>
        <w:ind w:left="360" w:hanging="360"/>
      </w:pPr>
      <w:r w:rsidRPr="00011EC4">
        <w:t xml:space="preserve">Mannering, F.L., </w:t>
      </w:r>
      <w:r w:rsidR="002C66EE" w:rsidRPr="00011EC4">
        <w:t xml:space="preserve">Bhat, C.R., 2014. Analytic methods in accident research: </w:t>
      </w:r>
      <w:r w:rsidR="006D57C1">
        <w:t>M</w:t>
      </w:r>
      <w:r w:rsidR="002C66EE" w:rsidRPr="00011EC4">
        <w:t xml:space="preserve">ethodological frontier and future directions. </w:t>
      </w:r>
      <w:r w:rsidR="002C66EE" w:rsidRPr="00011EC4">
        <w:rPr>
          <w:i/>
        </w:rPr>
        <w:t>Analytic M</w:t>
      </w:r>
      <w:r w:rsidRPr="00011EC4">
        <w:rPr>
          <w:i/>
        </w:rPr>
        <w:t>ethods in Accident Research</w:t>
      </w:r>
      <w:r w:rsidRPr="00011EC4">
        <w:t xml:space="preserve"> 1, </w:t>
      </w:r>
      <w:r w:rsidR="002C66EE" w:rsidRPr="00011EC4">
        <w:t>1-22.</w:t>
      </w:r>
    </w:p>
    <w:p w:rsidR="002C66EE" w:rsidRPr="00011EC4" w:rsidRDefault="00691474" w:rsidP="00D72ECE">
      <w:pPr>
        <w:spacing w:after="120" w:line="240" w:lineRule="auto"/>
        <w:ind w:left="360" w:hanging="360"/>
      </w:pPr>
      <w:r w:rsidRPr="00011EC4">
        <w:t>Mannering, F.L., Shankar, V.,</w:t>
      </w:r>
      <w:r w:rsidR="002C66EE" w:rsidRPr="00011EC4">
        <w:t xml:space="preserve"> Bhat, C.R., 2016. Unobserved heterogeneity and the statistical analysis of h</w:t>
      </w:r>
      <w:r w:rsidRPr="00011EC4">
        <w:t xml:space="preserve">ighway accident data. </w:t>
      </w:r>
      <w:r w:rsidRPr="00011EC4">
        <w:rPr>
          <w:i/>
        </w:rPr>
        <w:t>Analytic M</w:t>
      </w:r>
      <w:r w:rsidR="002C66EE" w:rsidRPr="00011EC4">
        <w:rPr>
          <w:i/>
        </w:rPr>
        <w:t>etho</w:t>
      </w:r>
      <w:r w:rsidRPr="00011EC4">
        <w:rPr>
          <w:i/>
        </w:rPr>
        <w:t xml:space="preserve">ds in Accident Research </w:t>
      </w:r>
      <w:r w:rsidRPr="00011EC4">
        <w:t xml:space="preserve">11, </w:t>
      </w:r>
      <w:r w:rsidR="002C66EE" w:rsidRPr="00011EC4">
        <w:t>1-16.</w:t>
      </w:r>
    </w:p>
    <w:p w:rsidR="0046353E" w:rsidRPr="00011EC4" w:rsidRDefault="0046353E" w:rsidP="00D72ECE">
      <w:pPr>
        <w:spacing w:after="120" w:line="240" w:lineRule="auto"/>
        <w:ind w:left="360" w:hanging="360"/>
      </w:pPr>
      <w:r w:rsidRPr="00011EC4">
        <w:t xml:space="preserve">McMillen, D.P., 2010. Issues in spatial data analysis. </w:t>
      </w:r>
      <w:r w:rsidRPr="00011EC4">
        <w:rPr>
          <w:i/>
        </w:rPr>
        <w:t>Journal of Regional Science</w:t>
      </w:r>
      <w:r w:rsidRPr="00011EC4">
        <w:t xml:space="preserve"> 50(1), 119-141.</w:t>
      </w:r>
    </w:p>
    <w:p w:rsidR="002C66EE" w:rsidRPr="00011EC4" w:rsidRDefault="002C66EE" w:rsidP="00D72ECE">
      <w:pPr>
        <w:spacing w:after="120" w:line="240" w:lineRule="auto"/>
        <w:ind w:left="360" w:hanging="360"/>
      </w:pPr>
      <w:proofErr w:type="spellStart"/>
      <w:r w:rsidRPr="00011EC4">
        <w:t>Moudon</w:t>
      </w:r>
      <w:proofErr w:type="spellEnd"/>
      <w:r w:rsidRPr="00011EC4">
        <w:t xml:space="preserve">, A., Lin, L., Jiao, J., </w:t>
      </w:r>
      <w:proofErr w:type="spellStart"/>
      <w:r w:rsidRPr="00011EC4">
        <w:t>Hurvitz</w:t>
      </w:r>
      <w:proofErr w:type="spellEnd"/>
      <w:r w:rsidRPr="00011EC4">
        <w:t>, P., Reeves, P., 2011. The risk of pedestrian injury</w:t>
      </w:r>
      <w:r w:rsidR="00590B46" w:rsidRPr="00011EC4">
        <w:t xml:space="preserve"> </w:t>
      </w:r>
      <w:r w:rsidRPr="00011EC4">
        <w:t>and fatality in collisions with motor vehicles, a social ecological study of state</w:t>
      </w:r>
      <w:r w:rsidR="00590B46" w:rsidRPr="00011EC4">
        <w:t xml:space="preserve"> </w:t>
      </w:r>
      <w:r w:rsidRPr="00011EC4">
        <w:t xml:space="preserve">routes and city streets in King County Accident Washington. </w:t>
      </w:r>
      <w:r w:rsidRPr="00011EC4">
        <w:rPr>
          <w:i/>
        </w:rPr>
        <w:t xml:space="preserve">Accident Analysis </w:t>
      </w:r>
      <w:r w:rsidR="009E492C">
        <w:rPr>
          <w:i/>
        </w:rPr>
        <w:t>&amp;</w:t>
      </w:r>
      <w:r w:rsidRPr="00011EC4">
        <w:rPr>
          <w:i/>
        </w:rPr>
        <w:t xml:space="preserve"> Prevention</w:t>
      </w:r>
      <w:r w:rsidR="00691474" w:rsidRPr="00011EC4">
        <w:t xml:space="preserve"> </w:t>
      </w:r>
      <w:r w:rsidRPr="00011EC4">
        <w:t>43(1), 11–24.</w:t>
      </w:r>
    </w:p>
    <w:p w:rsidR="002C66EE" w:rsidRPr="00011EC4" w:rsidRDefault="002C66EE" w:rsidP="00D72ECE">
      <w:pPr>
        <w:spacing w:after="120" w:line="240" w:lineRule="auto"/>
        <w:ind w:left="360" w:hanging="360"/>
        <w:rPr>
          <w:lang w:eastAsia="x-none"/>
        </w:rPr>
      </w:pPr>
      <w:proofErr w:type="spellStart"/>
      <w:r w:rsidRPr="00011EC4">
        <w:rPr>
          <w:lang w:eastAsia="x-none"/>
        </w:rPr>
        <w:t>Nara</w:t>
      </w:r>
      <w:r w:rsidR="00691474" w:rsidRPr="00011EC4">
        <w:rPr>
          <w:lang w:eastAsia="x-none"/>
        </w:rPr>
        <w:t>yanamoorthy</w:t>
      </w:r>
      <w:proofErr w:type="spellEnd"/>
      <w:r w:rsidR="00691474" w:rsidRPr="00011EC4">
        <w:rPr>
          <w:lang w:eastAsia="x-none"/>
        </w:rPr>
        <w:t xml:space="preserve">, S., </w:t>
      </w:r>
      <w:proofErr w:type="spellStart"/>
      <w:r w:rsidR="00691474" w:rsidRPr="00011EC4">
        <w:rPr>
          <w:lang w:eastAsia="x-none"/>
        </w:rPr>
        <w:t>Paleti</w:t>
      </w:r>
      <w:proofErr w:type="spellEnd"/>
      <w:r w:rsidR="00691474" w:rsidRPr="00011EC4">
        <w:rPr>
          <w:lang w:eastAsia="x-none"/>
        </w:rPr>
        <w:t xml:space="preserve">, R., </w:t>
      </w:r>
      <w:r w:rsidRPr="00011EC4">
        <w:rPr>
          <w:lang w:eastAsia="x-none"/>
        </w:rPr>
        <w:t xml:space="preserve">Bhat, C.R., 2013. On accommodating spatial dependence in bicycle and pedestrian injury counts by severity level. </w:t>
      </w:r>
      <w:r w:rsidRPr="00011EC4">
        <w:rPr>
          <w:i/>
          <w:lang w:eastAsia="x-none"/>
        </w:rPr>
        <w:t xml:space="preserve">Transportation </w:t>
      </w:r>
      <w:r w:rsidR="00691474" w:rsidRPr="00011EC4">
        <w:rPr>
          <w:i/>
          <w:lang w:eastAsia="x-none"/>
        </w:rPr>
        <w:t>R</w:t>
      </w:r>
      <w:r w:rsidRPr="00011EC4">
        <w:rPr>
          <w:i/>
          <w:lang w:eastAsia="x-none"/>
        </w:rPr>
        <w:t>esearch</w:t>
      </w:r>
      <w:r w:rsidR="00691474" w:rsidRPr="00011EC4">
        <w:rPr>
          <w:i/>
          <w:lang w:eastAsia="x-none"/>
        </w:rPr>
        <w:t xml:space="preserve"> Part B</w:t>
      </w:r>
      <w:r w:rsidR="00691474" w:rsidRPr="00011EC4">
        <w:rPr>
          <w:lang w:eastAsia="x-none"/>
        </w:rPr>
        <w:t xml:space="preserve"> 55, </w:t>
      </w:r>
      <w:r w:rsidRPr="00011EC4">
        <w:rPr>
          <w:lang w:eastAsia="x-none"/>
        </w:rPr>
        <w:t>245-264.</w:t>
      </w:r>
    </w:p>
    <w:p w:rsidR="008710BB" w:rsidRPr="00011EC4" w:rsidRDefault="003E281F" w:rsidP="00D72ECE">
      <w:pPr>
        <w:spacing w:after="120" w:line="240" w:lineRule="auto"/>
        <w:ind w:left="360" w:hanging="360"/>
        <w:rPr>
          <w:lang w:eastAsia="x-none"/>
        </w:rPr>
      </w:pPr>
      <w:r w:rsidRPr="00B56152">
        <w:rPr>
          <w:lang w:eastAsia="x-none"/>
        </w:rPr>
        <w:t>NHTSA</w:t>
      </w:r>
      <w:r w:rsidR="008710BB" w:rsidRPr="00B56152">
        <w:rPr>
          <w:lang w:eastAsia="x-none"/>
        </w:rPr>
        <w:t xml:space="preserve"> (National Highway Traffic Safety Administration), 201</w:t>
      </w:r>
      <w:r w:rsidR="00B56152">
        <w:rPr>
          <w:lang w:eastAsia="x-none"/>
        </w:rPr>
        <w:t>6</w:t>
      </w:r>
      <w:r w:rsidR="00AD552C">
        <w:rPr>
          <w:lang w:eastAsia="x-none"/>
        </w:rPr>
        <w:t>a</w:t>
      </w:r>
      <w:r w:rsidR="008710BB" w:rsidRPr="00B56152">
        <w:rPr>
          <w:lang w:eastAsia="x-none"/>
        </w:rPr>
        <w:t>.</w:t>
      </w:r>
      <w:r w:rsidR="00B56152">
        <w:rPr>
          <w:lang w:eastAsia="x-none"/>
        </w:rPr>
        <w:t xml:space="preserve"> Traffic Safety Facts Research Note - 2015 Motor Vehicle Crashes: Overview</w:t>
      </w:r>
      <w:r w:rsidRPr="00B56152">
        <w:rPr>
          <w:lang w:eastAsia="x-none"/>
        </w:rPr>
        <w:t>.</w:t>
      </w:r>
      <w:r w:rsidR="00B56152">
        <w:rPr>
          <w:lang w:eastAsia="x-none"/>
        </w:rPr>
        <w:t xml:space="preserve"> </w:t>
      </w:r>
      <w:r w:rsidR="00B56152">
        <w:t>Report No. DOT HS 812 318, National Center for Statistics and Analysis, U.S. Department of Transportation, Washington, DC.</w:t>
      </w:r>
      <w:r w:rsidR="008710BB" w:rsidRPr="00B56152">
        <w:rPr>
          <w:lang w:eastAsia="x-none"/>
        </w:rPr>
        <w:t xml:space="preserve"> Available at: </w:t>
      </w:r>
      <w:hyperlink r:id="rId314" w:history="1">
        <w:r w:rsidR="00B56152" w:rsidRPr="004E3C29">
          <w:rPr>
            <w:rStyle w:val="Hyperlink"/>
            <w:lang w:eastAsia="x-none"/>
          </w:rPr>
          <w:t>https://crashstats.nhtsa.dot.gov/Api/Public/ViewPublication/812318</w:t>
        </w:r>
      </w:hyperlink>
      <w:r w:rsidR="00B56152">
        <w:rPr>
          <w:lang w:eastAsia="x-none"/>
        </w:rPr>
        <w:t xml:space="preserve">. </w:t>
      </w:r>
    </w:p>
    <w:p w:rsidR="00AD552C" w:rsidRPr="00011EC4" w:rsidRDefault="00AD552C" w:rsidP="00D72ECE">
      <w:pPr>
        <w:spacing w:after="120" w:line="240" w:lineRule="auto"/>
        <w:ind w:left="360" w:hanging="360"/>
        <w:rPr>
          <w:lang w:eastAsia="x-none"/>
        </w:rPr>
      </w:pPr>
      <w:r w:rsidRPr="00AD552C">
        <w:rPr>
          <w:lang w:eastAsia="x-none"/>
        </w:rPr>
        <w:t>NHTSA (National Highway Traffic Safety Administration), 2016</w:t>
      </w:r>
      <w:r>
        <w:rPr>
          <w:lang w:eastAsia="x-none"/>
        </w:rPr>
        <w:t>b</w:t>
      </w:r>
      <w:r w:rsidRPr="00AD552C">
        <w:rPr>
          <w:lang w:eastAsia="x-none"/>
        </w:rPr>
        <w:t xml:space="preserve">. Traffic Safety Facts 2014 Data - Pedestrians. </w:t>
      </w:r>
      <w:r w:rsidRPr="00AD552C">
        <w:t xml:space="preserve">Report No. DOT HS 812 270, National Center for Statistics and Analysis, U.S. Department of Transportation, Washington, DC. </w:t>
      </w:r>
      <w:r w:rsidRPr="00AD552C">
        <w:rPr>
          <w:lang w:eastAsia="x-none"/>
        </w:rPr>
        <w:t xml:space="preserve">Available at: </w:t>
      </w:r>
      <w:hyperlink r:id="rId315" w:history="1">
        <w:r w:rsidRPr="004E3C29">
          <w:rPr>
            <w:rStyle w:val="Hyperlink"/>
            <w:lang w:eastAsia="x-none"/>
          </w:rPr>
          <w:t>https://crashstats.nhtsa.dot.gov/Api/Public/ViewPublication/812270</w:t>
        </w:r>
      </w:hyperlink>
      <w:r>
        <w:rPr>
          <w:lang w:eastAsia="x-none"/>
        </w:rPr>
        <w:t xml:space="preserve">. </w:t>
      </w:r>
    </w:p>
    <w:p w:rsidR="003E281F" w:rsidRPr="00011EC4" w:rsidRDefault="00011EC4" w:rsidP="00D72ECE">
      <w:pPr>
        <w:spacing w:after="120" w:line="240" w:lineRule="auto"/>
        <w:ind w:left="360" w:hanging="360"/>
        <w:rPr>
          <w:lang w:eastAsia="x-none"/>
        </w:rPr>
      </w:pPr>
      <w:r w:rsidRPr="00011EC4">
        <w:rPr>
          <w:lang w:eastAsia="x-none"/>
        </w:rPr>
        <w:t xml:space="preserve">Pharr, </w:t>
      </w:r>
      <w:r>
        <w:rPr>
          <w:lang w:eastAsia="x-none"/>
        </w:rPr>
        <w:t xml:space="preserve">J., </w:t>
      </w:r>
      <w:proofErr w:type="spellStart"/>
      <w:r>
        <w:rPr>
          <w:lang w:eastAsia="x-none"/>
        </w:rPr>
        <w:t>Coughenour</w:t>
      </w:r>
      <w:proofErr w:type="spellEnd"/>
      <w:r>
        <w:rPr>
          <w:lang w:eastAsia="x-none"/>
        </w:rPr>
        <w:t xml:space="preserve">, C., </w:t>
      </w:r>
      <w:proofErr w:type="spellStart"/>
      <w:r>
        <w:rPr>
          <w:lang w:eastAsia="x-none"/>
        </w:rPr>
        <w:t>Bungum</w:t>
      </w:r>
      <w:proofErr w:type="spellEnd"/>
      <w:r>
        <w:rPr>
          <w:lang w:eastAsia="x-none"/>
        </w:rPr>
        <w:t xml:space="preserve">, T., </w:t>
      </w:r>
      <w:r w:rsidR="003E281F" w:rsidRPr="00011EC4">
        <w:rPr>
          <w:lang w:eastAsia="x-none"/>
        </w:rPr>
        <w:t xml:space="preserve">2013.  Environmental,  human  and socioeconomic  characteristics  of  pedestrian  </w:t>
      </w:r>
      <w:r w:rsidR="006D57C1">
        <w:rPr>
          <w:lang w:eastAsia="x-none"/>
        </w:rPr>
        <w:t>i</w:t>
      </w:r>
      <w:r w:rsidR="003E281F" w:rsidRPr="00011EC4">
        <w:rPr>
          <w:lang w:eastAsia="x-none"/>
        </w:rPr>
        <w:t xml:space="preserve">njury  and  death  in  Las  Vegas,  NV. </w:t>
      </w:r>
      <w:r w:rsidR="008710BB" w:rsidRPr="00011EC4">
        <w:rPr>
          <w:i/>
          <w:lang w:eastAsia="x-none"/>
        </w:rPr>
        <w:t>International Journal of Science</w:t>
      </w:r>
      <w:r w:rsidR="009D2F9C" w:rsidRPr="00011EC4">
        <w:rPr>
          <w:i/>
          <w:lang w:eastAsia="x-none"/>
        </w:rPr>
        <w:t xml:space="preserve">s </w:t>
      </w:r>
      <w:r w:rsidR="009D2F9C" w:rsidRPr="00011EC4">
        <w:rPr>
          <w:lang w:eastAsia="x-none"/>
        </w:rPr>
        <w:t>2(10), 31-39.</w:t>
      </w:r>
    </w:p>
    <w:p w:rsidR="00EF0FF9" w:rsidRPr="00011EC4" w:rsidRDefault="00EF0FF9" w:rsidP="00D72ECE">
      <w:pPr>
        <w:spacing w:after="120" w:line="240" w:lineRule="auto"/>
        <w:ind w:left="360" w:hanging="360"/>
        <w:rPr>
          <w:lang w:eastAsia="x-none"/>
        </w:rPr>
      </w:pPr>
      <w:proofErr w:type="spellStart"/>
      <w:r w:rsidRPr="00011EC4">
        <w:rPr>
          <w:lang w:eastAsia="x-none"/>
        </w:rPr>
        <w:t>Quistberg</w:t>
      </w:r>
      <w:proofErr w:type="spellEnd"/>
      <w:r w:rsidRPr="00011EC4">
        <w:rPr>
          <w:lang w:eastAsia="x-none"/>
        </w:rPr>
        <w:t xml:space="preserve">, D.A., </w:t>
      </w:r>
      <w:proofErr w:type="spellStart"/>
      <w:r w:rsidRPr="00011EC4">
        <w:rPr>
          <w:lang w:eastAsia="x-none"/>
        </w:rPr>
        <w:t>Koepsell</w:t>
      </w:r>
      <w:proofErr w:type="spellEnd"/>
      <w:r w:rsidRPr="00011EC4">
        <w:rPr>
          <w:lang w:eastAsia="x-none"/>
        </w:rPr>
        <w:t>, T.D., Johnston, B.D., Boyle, L.N., Miranda, J.J.</w:t>
      </w:r>
      <w:r w:rsidR="00297175" w:rsidRPr="00011EC4">
        <w:rPr>
          <w:lang w:eastAsia="x-none"/>
        </w:rPr>
        <w:t xml:space="preserve">, </w:t>
      </w:r>
      <w:proofErr w:type="spellStart"/>
      <w:r w:rsidRPr="00011EC4">
        <w:rPr>
          <w:lang w:eastAsia="x-none"/>
        </w:rPr>
        <w:t>Ebel</w:t>
      </w:r>
      <w:proofErr w:type="spellEnd"/>
      <w:r w:rsidRPr="00011EC4">
        <w:rPr>
          <w:lang w:eastAsia="x-none"/>
        </w:rPr>
        <w:t>, B.E.,</w:t>
      </w:r>
      <w:r w:rsidR="006D57C1">
        <w:rPr>
          <w:lang w:eastAsia="x-none"/>
        </w:rPr>
        <w:t xml:space="preserve"> 2015. Bus stops and pedestrian-</w:t>
      </w:r>
      <w:r w:rsidRPr="00011EC4">
        <w:rPr>
          <w:lang w:eastAsia="x-none"/>
        </w:rPr>
        <w:t xml:space="preserve">motor vehicle collisions in Lima, Peru: </w:t>
      </w:r>
      <w:r w:rsidR="006D57C1">
        <w:rPr>
          <w:lang w:eastAsia="x-none"/>
        </w:rPr>
        <w:t>A matched case-</w:t>
      </w:r>
      <w:r w:rsidRPr="00011EC4">
        <w:rPr>
          <w:lang w:eastAsia="x-none"/>
        </w:rPr>
        <w:t xml:space="preserve">control study. </w:t>
      </w:r>
      <w:r w:rsidRPr="00011EC4">
        <w:rPr>
          <w:i/>
          <w:lang w:eastAsia="x-none"/>
        </w:rPr>
        <w:t xml:space="preserve">Injury </w:t>
      </w:r>
      <w:r w:rsidR="009E492C">
        <w:rPr>
          <w:i/>
          <w:lang w:eastAsia="x-none"/>
        </w:rPr>
        <w:t>P</w:t>
      </w:r>
      <w:r w:rsidRPr="00011EC4">
        <w:rPr>
          <w:i/>
          <w:lang w:eastAsia="x-none"/>
        </w:rPr>
        <w:t>revention</w:t>
      </w:r>
      <w:r w:rsidRPr="00011EC4">
        <w:rPr>
          <w:lang w:eastAsia="x-none"/>
        </w:rPr>
        <w:t xml:space="preserve"> 21(e1), e15-e22.</w:t>
      </w:r>
    </w:p>
    <w:p w:rsidR="002C66EE" w:rsidRPr="00011EC4" w:rsidRDefault="002C66EE" w:rsidP="00D72ECE">
      <w:pPr>
        <w:spacing w:after="120" w:line="240" w:lineRule="auto"/>
        <w:ind w:left="360" w:hanging="360"/>
        <w:rPr>
          <w:bCs/>
        </w:rPr>
      </w:pPr>
      <w:proofErr w:type="spellStart"/>
      <w:r w:rsidRPr="00011EC4">
        <w:rPr>
          <w:lang w:eastAsia="x-none"/>
        </w:rPr>
        <w:t>Rasciute</w:t>
      </w:r>
      <w:proofErr w:type="spellEnd"/>
      <w:r w:rsidR="00847997">
        <w:rPr>
          <w:lang w:eastAsia="x-none"/>
        </w:rPr>
        <w:t>,</w:t>
      </w:r>
      <w:r w:rsidRPr="00011EC4">
        <w:rPr>
          <w:lang w:eastAsia="x-none"/>
        </w:rPr>
        <w:t xml:space="preserve"> S., Downward</w:t>
      </w:r>
      <w:r w:rsidR="00847997">
        <w:rPr>
          <w:lang w:eastAsia="x-none"/>
        </w:rPr>
        <w:t>,</w:t>
      </w:r>
      <w:r w:rsidRPr="00011EC4">
        <w:rPr>
          <w:lang w:eastAsia="x-none"/>
        </w:rPr>
        <w:t xml:space="preserve"> P., 2010. </w:t>
      </w:r>
      <w:r w:rsidRPr="00011EC4">
        <w:rPr>
          <w:bCs/>
        </w:rPr>
        <w:t xml:space="preserve">Health or </w:t>
      </w:r>
      <w:r w:rsidR="00F472DA" w:rsidRPr="00011EC4">
        <w:rPr>
          <w:bCs/>
        </w:rPr>
        <w:t>h</w:t>
      </w:r>
      <w:r w:rsidRPr="00011EC4">
        <w:rPr>
          <w:bCs/>
        </w:rPr>
        <w:t xml:space="preserve">appiness? What </w:t>
      </w:r>
      <w:r w:rsidR="00F472DA" w:rsidRPr="00011EC4">
        <w:rPr>
          <w:bCs/>
        </w:rPr>
        <w:t>i</w:t>
      </w:r>
      <w:r w:rsidRPr="00011EC4">
        <w:rPr>
          <w:bCs/>
        </w:rPr>
        <w:t xml:space="preserve">s the </w:t>
      </w:r>
      <w:r w:rsidR="00F472DA" w:rsidRPr="00011EC4">
        <w:rPr>
          <w:bCs/>
        </w:rPr>
        <w:t>i</w:t>
      </w:r>
      <w:r w:rsidRPr="00011EC4">
        <w:rPr>
          <w:bCs/>
        </w:rPr>
        <w:t xml:space="preserve">mpact of </w:t>
      </w:r>
      <w:r w:rsidR="00F472DA" w:rsidRPr="00011EC4">
        <w:rPr>
          <w:bCs/>
        </w:rPr>
        <w:t>p</w:t>
      </w:r>
      <w:r w:rsidRPr="00011EC4">
        <w:rPr>
          <w:bCs/>
        </w:rPr>
        <w:t xml:space="preserve">hysical </w:t>
      </w:r>
      <w:r w:rsidR="00F472DA" w:rsidRPr="00011EC4">
        <w:rPr>
          <w:bCs/>
        </w:rPr>
        <w:t>a</w:t>
      </w:r>
      <w:r w:rsidRPr="00011EC4">
        <w:rPr>
          <w:bCs/>
        </w:rPr>
        <w:t xml:space="preserve">ctivity on the </w:t>
      </w:r>
      <w:r w:rsidR="00F472DA" w:rsidRPr="00011EC4">
        <w:rPr>
          <w:bCs/>
        </w:rPr>
        <w:t>i</w:t>
      </w:r>
      <w:r w:rsidRPr="00011EC4">
        <w:rPr>
          <w:bCs/>
        </w:rPr>
        <w:t>ndividual?</w:t>
      </w:r>
      <w:r w:rsidR="00F472DA" w:rsidRPr="00011EC4">
        <w:rPr>
          <w:bCs/>
        </w:rPr>
        <w:t xml:space="preserve"> </w:t>
      </w:r>
      <w:proofErr w:type="spellStart"/>
      <w:r w:rsidR="00F472DA" w:rsidRPr="00011EC4">
        <w:rPr>
          <w:bCs/>
          <w:i/>
        </w:rPr>
        <w:t>Kyklos</w:t>
      </w:r>
      <w:proofErr w:type="spellEnd"/>
      <w:r w:rsidRPr="00011EC4">
        <w:rPr>
          <w:bCs/>
        </w:rPr>
        <w:t xml:space="preserve"> 63(2)</w:t>
      </w:r>
      <w:r w:rsidR="00F472DA" w:rsidRPr="00011EC4">
        <w:rPr>
          <w:bCs/>
        </w:rPr>
        <w:t>,</w:t>
      </w:r>
      <w:r w:rsidRPr="00011EC4">
        <w:rPr>
          <w:bCs/>
        </w:rPr>
        <w:t xml:space="preserve"> 256-270</w:t>
      </w:r>
      <w:r w:rsidR="000C0297" w:rsidRPr="00011EC4">
        <w:rPr>
          <w:bCs/>
        </w:rPr>
        <w:t>.</w:t>
      </w:r>
    </w:p>
    <w:p w:rsidR="00BB62D4" w:rsidRPr="00011EC4" w:rsidRDefault="00BB62D4" w:rsidP="00D72ECE">
      <w:pPr>
        <w:spacing w:after="120" w:line="240" w:lineRule="auto"/>
        <w:ind w:left="360" w:hanging="360"/>
        <w:rPr>
          <w:bCs/>
        </w:rPr>
      </w:pPr>
      <w:r w:rsidRPr="00011EC4">
        <w:rPr>
          <w:bCs/>
        </w:rPr>
        <w:t xml:space="preserve">Rothman, L., Howard, A., </w:t>
      </w:r>
      <w:proofErr w:type="spellStart"/>
      <w:r w:rsidRPr="00011EC4">
        <w:rPr>
          <w:bCs/>
        </w:rPr>
        <w:t>Buliung</w:t>
      </w:r>
      <w:proofErr w:type="spellEnd"/>
      <w:r w:rsidRPr="00011EC4">
        <w:rPr>
          <w:bCs/>
        </w:rPr>
        <w:t>, R., Richmond, S.A., Macarthur, C.</w:t>
      </w:r>
      <w:r w:rsidR="00297175" w:rsidRPr="00011EC4">
        <w:rPr>
          <w:bCs/>
        </w:rPr>
        <w:t>,</w:t>
      </w:r>
      <w:r w:rsidRPr="00011EC4">
        <w:rPr>
          <w:bCs/>
        </w:rPr>
        <w:t xml:space="preserve"> Macpherson, A., 2016. 72 </w:t>
      </w:r>
      <w:r w:rsidR="000E5625">
        <w:rPr>
          <w:bCs/>
        </w:rPr>
        <w:t>d</w:t>
      </w:r>
      <w:r w:rsidRPr="00011EC4">
        <w:rPr>
          <w:bCs/>
        </w:rPr>
        <w:t xml:space="preserve">angerous student passenger drop-off, pedestrian </w:t>
      </w:r>
      <w:proofErr w:type="spellStart"/>
      <w:r w:rsidRPr="00011EC4">
        <w:rPr>
          <w:bCs/>
        </w:rPr>
        <w:t>behaviours</w:t>
      </w:r>
      <w:proofErr w:type="spellEnd"/>
      <w:r w:rsidRPr="00011EC4">
        <w:rPr>
          <w:bCs/>
        </w:rPr>
        <w:t xml:space="preserve"> and the built environment near schools. </w:t>
      </w:r>
      <w:r w:rsidRPr="00011EC4">
        <w:rPr>
          <w:bCs/>
          <w:i/>
        </w:rPr>
        <w:t>Injury Prevention</w:t>
      </w:r>
      <w:r w:rsidRPr="00011EC4">
        <w:rPr>
          <w:bCs/>
        </w:rPr>
        <w:t xml:space="preserve"> 22(2), A28-A28.</w:t>
      </w:r>
    </w:p>
    <w:p w:rsidR="00BB62D4" w:rsidRPr="00011EC4" w:rsidRDefault="00BB62D4" w:rsidP="00D72ECE">
      <w:pPr>
        <w:spacing w:after="120" w:line="240" w:lineRule="auto"/>
        <w:ind w:left="360" w:hanging="360"/>
        <w:rPr>
          <w:bCs/>
          <w:lang w:val="es-CL"/>
        </w:rPr>
      </w:pPr>
      <w:r w:rsidRPr="00011EC4">
        <w:rPr>
          <w:bCs/>
        </w:rPr>
        <w:t xml:space="preserve">Stoker, P., </w:t>
      </w:r>
      <w:proofErr w:type="spellStart"/>
      <w:r w:rsidRPr="00011EC4">
        <w:rPr>
          <w:bCs/>
        </w:rPr>
        <w:t>Garfinkel</w:t>
      </w:r>
      <w:proofErr w:type="spellEnd"/>
      <w:r w:rsidRPr="00011EC4">
        <w:rPr>
          <w:bCs/>
        </w:rPr>
        <w:t xml:space="preserve">-Castro, A., </w:t>
      </w:r>
      <w:proofErr w:type="spellStart"/>
      <w:r w:rsidRPr="00011EC4">
        <w:rPr>
          <w:bCs/>
        </w:rPr>
        <w:t>Khayesi</w:t>
      </w:r>
      <w:proofErr w:type="spellEnd"/>
      <w:r w:rsidRPr="00011EC4">
        <w:rPr>
          <w:bCs/>
        </w:rPr>
        <w:t xml:space="preserve">, M., </w:t>
      </w:r>
      <w:proofErr w:type="spellStart"/>
      <w:r w:rsidRPr="00011EC4">
        <w:rPr>
          <w:bCs/>
        </w:rPr>
        <w:t>Odero</w:t>
      </w:r>
      <w:proofErr w:type="spellEnd"/>
      <w:r w:rsidRPr="00011EC4">
        <w:rPr>
          <w:bCs/>
        </w:rPr>
        <w:t xml:space="preserve">, W., </w:t>
      </w:r>
      <w:proofErr w:type="spellStart"/>
      <w:r w:rsidRPr="00011EC4">
        <w:rPr>
          <w:bCs/>
        </w:rPr>
        <w:t>Mwangi</w:t>
      </w:r>
      <w:proofErr w:type="spellEnd"/>
      <w:r w:rsidRPr="00011EC4">
        <w:rPr>
          <w:bCs/>
        </w:rPr>
        <w:t xml:space="preserve">, M.N., </w:t>
      </w:r>
      <w:proofErr w:type="spellStart"/>
      <w:r w:rsidRPr="00011EC4">
        <w:rPr>
          <w:bCs/>
        </w:rPr>
        <w:t>Peden</w:t>
      </w:r>
      <w:proofErr w:type="spellEnd"/>
      <w:r w:rsidRPr="00011EC4">
        <w:rPr>
          <w:bCs/>
        </w:rPr>
        <w:t>, M.</w:t>
      </w:r>
      <w:r w:rsidR="00297175" w:rsidRPr="00011EC4">
        <w:rPr>
          <w:bCs/>
        </w:rPr>
        <w:t xml:space="preserve">, </w:t>
      </w:r>
      <w:r w:rsidRPr="00011EC4">
        <w:rPr>
          <w:bCs/>
        </w:rPr>
        <w:t xml:space="preserve">Ewing, R., 2015. Pedestrian safety and the built environment: </w:t>
      </w:r>
      <w:r w:rsidR="006D57C1">
        <w:rPr>
          <w:bCs/>
        </w:rPr>
        <w:t>A</w:t>
      </w:r>
      <w:r w:rsidRPr="00011EC4">
        <w:rPr>
          <w:bCs/>
        </w:rPr>
        <w:t xml:space="preserve"> review of the risk factors. </w:t>
      </w:r>
      <w:r w:rsidRPr="00011EC4">
        <w:rPr>
          <w:bCs/>
          <w:i/>
          <w:lang w:val="es-CL"/>
        </w:rPr>
        <w:t xml:space="preserve">CPL </w:t>
      </w:r>
      <w:proofErr w:type="spellStart"/>
      <w:r w:rsidR="009E492C">
        <w:rPr>
          <w:bCs/>
          <w:i/>
          <w:lang w:val="es-CL"/>
        </w:rPr>
        <w:t>B</w:t>
      </w:r>
      <w:r w:rsidRPr="00011EC4">
        <w:rPr>
          <w:bCs/>
          <w:i/>
          <w:lang w:val="es-CL"/>
        </w:rPr>
        <w:t>ibliography</w:t>
      </w:r>
      <w:proofErr w:type="spellEnd"/>
      <w:r w:rsidRPr="00011EC4">
        <w:rPr>
          <w:bCs/>
          <w:lang w:val="es-CL"/>
        </w:rPr>
        <w:t xml:space="preserve"> 30(4), 377-392.</w:t>
      </w:r>
    </w:p>
    <w:p w:rsidR="00BB62D4" w:rsidRPr="00011EC4" w:rsidRDefault="00BB62D4" w:rsidP="00D72ECE">
      <w:pPr>
        <w:spacing w:after="120" w:line="240" w:lineRule="auto"/>
        <w:ind w:left="360" w:hanging="360"/>
        <w:rPr>
          <w:bCs/>
        </w:rPr>
      </w:pPr>
      <w:proofErr w:type="spellStart"/>
      <w:r w:rsidRPr="00011EC4">
        <w:rPr>
          <w:bCs/>
          <w:lang w:val="es-CL"/>
        </w:rPr>
        <w:lastRenderedPageBreak/>
        <w:t>Ukkusuri</w:t>
      </w:r>
      <w:proofErr w:type="spellEnd"/>
      <w:r w:rsidRPr="00011EC4">
        <w:rPr>
          <w:bCs/>
          <w:lang w:val="es-CL"/>
        </w:rPr>
        <w:t xml:space="preserve">, S., Miranda-Moreno, L.F., </w:t>
      </w:r>
      <w:proofErr w:type="spellStart"/>
      <w:r w:rsidRPr="00011EC4">
        <w:rPr>
          <w:bCs/>
          <w:lang w:val="es-CL"/>
        </w:rPr>
        <w:t>Ramadurai</w:t>
      </w:r>
      <w:proofErr w:type="spellEnd"/>
      <w:r w:rsidRPr="00011EC4">
        <w:rPr>
          <w:bCs/>
          <w:lang w:val="es-CL"/>
        </w:rPr>
        <w:t>, G.</w:t>
      </w:r>
      <w:r w:rsidR="00297175" w:rsidRPr="00011EC4">
        <w:rPr>
          <w:bCs/>
          <w:lang w:val="es-CL"/>
        </w:rPr>
        <w:t xml:space="preserve">, </w:t>
      </w:r>
      <w:r w:rsidRPr="00011EC4">
        <w:rPr>
          <w:bCs/>
          <w:lang w:val="es-CL"/>
        </w:rPr>
        <w:t>Isa-</w:t>
      </w:r>
      <w:proofErr w:type="spellStart"/>
      <w:r w:rsidRPr="00011EC4">
        <w:rPr>
          <w:bCs/>
          <w:lang w:val="es-CL"/>
        </w:rPr>
        <w:t>Tavarez</w:t>
      </w:r>
      <w:proofErr w:type="spellEnd"/>
      <w:r w:rsidRPr="00011EC4">
        <w:rPr>
          <w:bCs/>
          <w:lang w:val="es-CL"/>
        </w:rPr>
        <w:t xml:space="preserve">, J., 2012. </w:t>
      </w:r>
      <w:r w:rsidRPr="00011EC4">
        <w:rPr>
          <w:bCs/>
        </w:rPr>
        <w:t xml:space="preserve">The role of built environment on pedestrian crash frequency. </w:t>
      </w:r>
      <w:r w:rsidRPr="00011EC4">
        <w:rPr>
          <w:bCs/>
          <w:i/>
        </w:rPr>
        <w:t xml:space="preserve">Safety </w:t>
      </w:r>
      <w:r w:rsidR="009E492C">
        <w:rPr>
          <w:bCs/>
          <w:i/>
        </w:rPr>
        <w:t>S</w:t>
      </w:r>
      <w:r w:rsidRPr="00011EC4">
        <w:rPr>
          <w:bCs/>
          <w:i/>
        </w:rPr>
        <w:t>cience</w:t>
      </w:r>
      <w:r w:rsidRPr="00011EC4">
        <w:rPr>
          <w:bCs/>
        </w:rPr>
        <w:t xml:space="preserve"> 50(4), 1141-1151.</w:t>
      </w:r>
    </w:p>
    <w:p w:rsidR="00BC7629" w:rsidRPr="00011EC4" w:rsidRDefault="00BC7629" w:rsidP="00D72ECE">
      <w:pPr>
        <w:spacing w:after="120" w:line="240" w:lineRule="auto"/>
        <w:ind w:left="360" w:hanging="360"/>
        <w:rPr>
          <w:bCs/>
        </w:rPr>
      </w:pPr>
      <w:proofErr w:type="spellStart"/>
      <w:r w:rsidRPr="00011EC4">
        <w:rPr>
          <w:bCs/>
        </w:rPr>
        <w:t>Varin</w:t>
      </w:r>
      <w:proofErr w:type="spellEnd"/>
      <w:r w:rsidRPr="00011EC4">
        <w:rPr>
          <w:bCs/>
        </w:rPr>
        <w:t xml:space="preserve">, C., </w:t>
      </w:r>
      <w:proofErr w:type="spellStart"/>
      <w:r w:rsidRPr="00011EC4">
        <w:rPr>
          <w:bCs/>
        </w:rPr>
        <w:t>Vidoni</w:t>
      </w:r>
      <w:proofErr w:type="spellEnd"/>
      <w:r w:rsidRPr="00011EC4">
        <w:rPr>
          <w:bCs/>
        </w:rPr>
        <w:t xml:space="preserve">, P., 2005. A note on composite likelihood inference and model selection. </w:t>
      </w:r>
      <w:proofErr w:type="spellStart"/>
      <w:r w:rsidRPr="00011EC4">
        <w:rPr>
          <w:bCs/>
          <w:i/>
        </w:rPr>
        <w:t>Biometrika</w:t>
      </w:r>
      <w:proofErr w:type="spellEnd"/>
      <w:r w:rsidRPr="00011EC4">
        <w:rPr>
          <w:bCs/>
        </w:rPr>
        <w:t xml:space="preserve"> 92(3), 519-528.</w:t>
      </w:r>
    </w:p>
    <w:p w:rsidR="003E281F" w:rsidRPr="00011EC4" w:rsidRDefault="003E281F" w:rsidP="00D72ECE">
      <w:pPr>
        <w:spacing w:after="120" w:line="240" w:lineRule="auto"/>
        <w:ind w:left="360" w:hanging="360"/>
        <w:rPr>
          <w:bCs/>
        </w:rPr>
      </w:pPr>
      <w:r w:rsidRPr="00011EC4">
        <w:rPr>
          <w:bCs/>
        </w:rPr>
        <w:t xml:space="preserve">Vaughn, M.G., Define, R.S., </w:t>
      </w:r>
      <w:proofErr w:type="spellStart"/>
      <w:r w:rsidRPr="00011EC4">
        <w:rPr>
          <w:bCs/>
        </w:rPr>
        <w:t>DeLisi</w:t>
      </w:r>
      <w:proofErr w:type="spellEnd"/>
      <w:r w:rsidRPr="00011EC4">
        <w:rPr>
          <w:bCs/>
        </w:rPr>
        <w:t xml:space="preserve">, M., </w:t>
      </w:r>
      <w:proofErr w:type="spellStart"/>
      <w:r w:rsidRPr="00011EC4">
        <w:rPr>
          <w:bCs/>
        </w:rPr>
        <w:t>Perron</w:t>
      </w:r>
      <w:proofErr w:type="spellEnd"/>
      <w:r w:rsidRPr="00011EC4">
        <w:rPr>
          <w:bCs/>
        </w:rPr>
        <w:t xml:space="preserve">, B.E., Beaver, K.M., Fu, Q., Howard, M.O., 2011. Sociodemographic, behavioral, and substance use correlates of reckless driving in the United States: Findings from a national sample. </w:t>
      </w:r>
      <w:r w:rsidRPr="00011EC4">
        <w:rPr>
          <w:bCs/>
          <w:i/>
        </w:rPr>
        <w:t>Journal of Psychiatric Research</w:t>
      </w:r>
      <w:r w:rsidRPr="00011EC4">
        <w:rPr>
          <w:bCs/>
        </w:rPr>
        <w:t xml:space="preserve"> 45(3), 347-353.</w:t>
      </w:r>
    </w:p>
    <w:p w:rsidR="000C0297" w:rsidRPr="00011EC4" w:rsidRDefault="000C0297" w:rsidP="00D72ECE">
      <w:pPr>
        <w:spacing w:after="120" w:line="240" w:lineRule="auto"/>
        <w:ind w:left="360" w:hanging="360"/>
        <w:rPr>
          <w:bCs/>
        </w:rPr>
      </w:pPr>
      <w:r w:rsidRPr="00011EC4">
        <w:rPr>
          <w:bCs/>
        </w:rPr>
        <w:t xml:space="preserve">Wang, C., </w:t>
      </w:r>
      <w:proofErr w:type="spellStart"/>
      <w:r w:rsidRPr="00011EC4">
        <w:rPr>
          <w:bCs/>
        </w:rPr>
        <w:t>Quddus</w:t>
      </w:r>
      <w:proofErr w:type="spellEnd"/>
      <w:r w:rsidRPr="00011EC4">
        <w:rPr>
          <w:bCs/>
        </w:rPr>
        <w:t xml:space="preserve">, M.A., </w:t>
      </w:r>
      <w:proofErr w:type="spellStart"/>
      <w:r w:rsidRPr="00011EC4">
        <w:rPr>
          <w:bCs/>
        </w:rPr>
        <w:t>Ison</w:t>
      </w:r>
      <w:proofErr w:type="spellEnd"/>
      <w:r w:rsidRPr="00011EC4">
        <w:rPr>
          <w:bCs/>
        </w:rPr>
        <w:t xml:space="preserve">, S.G., 2011. Predicting accident frequency at their severity levels and its application in site ranking using a two-stage mixed multivariate model. </w:t>
      </w:r>
      <w:r w:rsidRPr="00011EC4">
        <w:rPr>
          <w:bCs/>
          <w:i/>
        </w:rPr>
        <w:t xml:space="preserve">Accident Analysis &amp; Prevention </w:t>
      </w:r>
      <w:r w:rsidRPr="00011EC4">
        <w:rPr>
          <w:bCs/>
        </w:rPr>
        <w:t>43(6), 1979-1990.</w:t>
      </w:r>
    </w:p>
    <w:p w:rsidR="002C66EE" w:rsidRPr="00011EC4" w:rsidRDefault="002C66EE" w:rsidP="00D72ECE">
      <w:pPr>
        <w:spacing w:after="120" w:line="240" w:lineRule="auto"/>
        <w:ind w:left="360" w:hanging="360"/>
        <w:rPr>
          <w:lang w:eastAsia="x-none"/>
        </w:rPr>
      </w:pPr>
      <w:r w:rsidRPr="00011EC4">
        <w:rPr>
          <w:lang w:eastAsia="x-none"/>
        </w:rPr>
        <w:t>Weinstein</w:t>
      </w:r>
      <w:r w:rsidR="00BB62D4" w:rsidRPr="00011EC4">
        <w:rPr>
          <w:lang w:eastAsia="x-none"/>
        </w:rPr>
        <w:t>-</w:t>
      </w:r>
      <w:r w:rsidRPr="00011EC4">
        <w:rPr>
          <w:lang w:eastAsia="x-none"/>
        </w:rPr>
        <w:t>Agarwal</w:t>
      </w:r>
      <w:r w:rsidR="00847997">
        <w:rPr>
          <w:lang w:eastAsia="x-none"/>
        </w:rPr>
        <w:t>,</w:t>
      </w:r>
      <w:r w:rsidRPr="00011EC4">
        <w:rPr>
          <w:lang w:eastAsia="x-none"/>
        </w:rPr>
        <w:t xml:space="preserve"> A., Schlossberg</w:t>
      </w:r>
      <w:r w:rsidR="00847997">
        <w:rPr>
          <w:lang w:eastAsia="x-none"/>
        </w:rPr>
        <w:t>,</w:t>
      </w:r>
      <w:r w:rsidRPr="00011EC4">
        <w:rPr>
          <w:lang w:eastAsia="x-none"/>
        </w:rPr>
        <w:t xml:space="preserve"> M., Irvin</w:t>
      </w:r>
      <w:r w:rsidR="00847997">
        <w:rPr>
          <w:lang w:eastAsia="x-none"/>
        </w:rPr>
        <w:t>,</w:t>
      </w:r>
      <w:r w:rsidRPr="00011EC4">
        <w:rPr>
          <w:lang w:eastAsia="x-none"/>
        </w:rPr>
        <w:t xml:space="preserve"> K., 2008. How </w:t>
      </w:r>
      <w:r w:rsidR="00F472DA" w:rsidRPr="00011EC4">
        <w:rPr>
          <w:lang w:eastAsia="x-none"/>
        </w:rPr>
        <w:t>f</w:t>
      </w:r>
      <w:r w:rsidRPr="00011EC4">
        <w:rPr>
          <w:lang w:eastAsia="x-none"/>
        </w:rPr>
        <w:t xml:space="preserve">ar, </w:t>
      </w:r>
      <w:r w:rsidR="00F472DA" w:rsidRPr="00011EC4">
        <w:rPr>
          <w:lang w:eastAsia="x-none"/>
        </w:rPr>
        <w:t>b</w:t>
      </w:r>
      <w:r w:rsidRPr="00011EC4">
        <w:rPr>
          <w:lang w:eastAsia="x-none"/>
        </w:rPr>
        <w:t xml:space="preserve">y </w:t>
      </w:r>
      <w:r w:rsidR="00F472DA" w:rsidRPr="00011EC4">
        <w:rPr>
          <w:lang w:eastAsia="x-none"/>
        </w:rPr>
        <w:t>w</w:t>
      </w:r>
      <w:r w:rsidRPr="00011EC4">
        <w:rPr>
          <w:lang w:eastAsia="x-none"/>
        </w:rPr>
        <w:t xml:space="preserve">hich </w:t>
      </w:r>
      <w:r w:rsidR="00F472DA" w:rsidRPr="00011EC4">
        <w:rPr>
          <w:lang w:eastAsia="x-none"/>
        </w:rPr>
        <w:t>r</w:t>
      </w:r>
      <w:r w:rsidRPr="00011EC4">
        <w:rPr>
          <w:lang w:eastAsia="x-none"/>
        </w:rPr>
        <w:t xml:space="preserve">oute and </w:t>
      </w:r>
      <w:r w:rsidR="00F472DA" w:rsidRPr="00011EC4">
        <w:rPr>
          <w:lang w:eastAsia="x-none"/>
        </w:rPr>
        <w:t>w</w:t>
      </w:r>
      <w:r w:rsidRPr="00011EC4">
        <w:rPr>
          <w:lang w:eastAsia="x-none"/>
        </w:rPr>
        <w:t xml:space="preserve">hy? A </w:t>
      </w:r>
      <w:r w:rsidR="00F472DA" w:rsidRPr="00011EC4">
        <w:rPr>
          <w:lang w:eastAsia="x-none"/>
        </w:rPr>
        <w:t>s</w:t>
      </w:r>
      <w:r w:rsidRPr="00011EC4">
        <w:rPr>
          <w:lang w:eastAsia="x-none"/>
        </w:rPr>
        <w:t xml:space="preserve">patial </w:t>
      </w:r>
      <w:r w:rsidR="00F472DA" w:rsidRPr="00011EC4">
        <w:rPr>
          <w:lang w:eastAsia="x-none"/>
        </w:rPr>
        <w:t>a</w:t>
      </w:r>
      <w:r w:rsidRPr="00011EC4">
        <w:rPr>
          <w:lang w:eastAsia="x-none"/>
        </w:rPr>
        <w:t xml:space="preserve">nalysis of </w:t>
      </w:r>
      <w:r w:rsidR="00F472DA" w:rsidRPr="00011EC4">
        <w:rPr>
          <w:lang w:eastAsia="x-none"/>
        </w:rPr>
        <w:t>p</w:t>
      </w:r>
      <w:r w:rsidRPr="00011EC4">
        <w:rPr>
          <w:lang w:eastAsia="x-none"/>
        </w:rPr>
        <w:t xml:space="preserve">edestrian </w:t>
      </w:r>
      <w:r w:rsidR="00F472DA" w:rsidRPr="00011EC4">
        <w:rPr>
          <w:lang w:eastAsia="x-none"/>
        </w:rPr>
        <w:t>p</w:t>
      </w:r>
      <w:r w:rsidR="00847997">
        <w:rPr>
          <w:lang w:eastAsia="x-none"/>
        </w:rPr>
        <w:t>reference.</w:t>
      </w:r>
      <w:r w:rsidRPr="00011EC4">
        <w:rPr>
          <w:lang w:eastAsia="x-none"/>
        </w:rPr>
        <w:t xml:space="preserve"> </w:t>
      </w:r>
      <w:r w:rsidRPr="00011EC4">
        <w:rPr>
          <w:i/>
          <w:lang w:eastAsia="x-none"/>
        </w:rPr>
        <w:t xml:space="preserve">Journal of Urban Design </w:t>
      </w:r>
      <w:r w:rsidRPr="00011EC4">
        <w:rPr>
          <w:lang w:eastAsia="x-none"/>
        </w:rPr>
        <w:t>13(1), 81-98.</w:t>
      </w:r>
    </w:p>
    <w:p w:rsidR="00EA49FD" w:rsidRPr="00011EC4" w:rsidRDefault="00EA49FD" w:rsidP="00D72ECE">
      <w:pPr>
        <w:spacing w:after="120" w:line="240" w:lineRule="auto"/>
        <w:ind w:left="360" w:hanging="360"/>
        <w:rPr>
          <w:lang w:eastAsia="x-none"/>
        </w:rPr>
      </w:pPr>
      <w:proofErr w:type="spellStart"/>
      <w:r w:rsidRPr="00011EC4">
        <w:rPr>
          <w:lang w:eastAsia="x-none"/>
        </w:rPr>
        <w:t>Wier</w:t>
      </w:r>
      <w:proofErr w:type="spellEnd"/>
      <w:r w:rsidRPr="00011EC4">
        <w:rPr>
          <w:lang w:eastAsia="x-none"/>
        </w:rPr>
        <w:t xml:space="preserve">, M., Weintraub, J., Humphreys, E.H., </w:t>
      </w:r>
      <w:proofErr w:type="spellStart"/>
      <w:r w:rsidRPr="00011EC4">
        <w:rPr>
          <w:lang w:eastAsia="x-none"/>
        </w:rPr>
        <w:t>Seto</w:t>
      </w:r>
      <w:proofErr w:type="spellEnd"/>
      <w:r w:rsidRPr="00011EC4">
        <w:rPr>
          <w:lang w:eastAsia="x-none"/>
        </w:rPr>
        <w:t xml:space="preserve">, E., Bhatia, R., 2009. An area-level model of vehicle-pedestrian injury collisions with implications for land use and transportation planning. </w:t>
      </w:r>
      <w:r w:rsidRPr="00011EC4">
        <w:rPr>
          <w:i/>
          <w:lang w:eastAsia="x-none"/>
        </w:rPr>
        <w:t>Accident Analysis &amp; Prevention</w:t>
      </w:r>
      <w:r w:rsidRPr="00011EC4">
        <w:rPr>
          <w:lang w:eastAsia="x-none"/>
        </w:rPr>
        <w:t xml:space="preserve"> 41(1), 137-145.</w:t>
      </w:r>
    </w:p>
    <w:p w:rsidR="00684060" w:rsidRPr="00011EC4" w:rsidRDefault="00684060" w:rsidP="00D72ECE">
      <w:pPr>
        <w:spacing w:after="120" w:line="240" w:lineRule="auto"/>
        <w:ind w:left="360" w:hanging="360"/>
        <w:rPr>
          <w:lang w:eastAsia="x-none"/>
        </w:rPr>
      </w:pPr>
      <w:r w:rsidRPr="00011EC4">
        <w:rPr>
          <w:lang w:eastAsia="x-none"/>
        </w:rPr>
        <w:t xml:space="preserve">Xu, P., Huang, H., 2015. Modeling crash spatial heterogeneity: Random parameter versus geographically weighting. </w:t>
      </w:r>
      <w:r w:rsidRPr="00011EC4">
        <w:rPr>
          <w:i/>
          <w:lang w:eastAsia="x-none"/>
        </w:rPr>
        <w:t>Accident Analysis &amp; Prevention</w:t>
      </w:r>
      <w:r w:rsidRPr="00011EC4">
        <w:rPr>
          <w:lang w:eastAsia="x-none"/>
        </w:rPr>
        <w:t xml:space="preserve"> 75, 16-25.</w:t>
      </w:r>
    </w:p>
    <w:p w:rsidR="00BB62D4" w:rsidRPr="00011EC4" w:rsidRDefault="00BB62D4" w:rsidP="00D72ECE">
      <w:pPr>
        <w:spacing w:after="120" w:line="240" w:lineRule="auto"/>
        <w:ind w:left="360" w:hanging="360"/>
        <w:rPr>
          <w:lang w:eastAsia="x-none"/>
        </w:rPr>
      </w:pPr>
      <w:r w:rsidRPr="00011EC4">
        <w:rPr>
          <w:lang w:eastAsia="x-none"/>
        </w:rPr>
        <w:t>Yu, C.Y.</w:t>
      </w:r>
      <w:r w:rsidR="00297175" w:rsidRPr="00011EC4">
        <w:rPr>
          <w:lang w:eastAsia="x-none"/>
        </w:rPr>
        <w:t xml:space="preserve">, </w:t>
      </w:r>
      <w:r w:rsidRPr="00011EC4">
        <w:rPr>
          <w:lang w:eastAsia="x-none"/>
        </w:rPr>
        <w:t xml:space="preserve">Zhu, X., 2016. Planning for </w:t>
      </w:r>
      <w:r w:rsidR="006D57C1">
        <w:rPr>
          <w:lang w:eastAsia="x-none"/>
        </w:rPr>
        <w:t>s</w:t>
      </w:r>
      <w:r w:rsidRPr="00011EC4">
        <w:rPr>
          <w:lang w:eastAsia="x-none"/>
        </w:rPr>
        <w:t xml:space="preserve">afe </w:t>
      </w:r>
      <w:r w:rsidR="006D57C1">
        <w:rPr>
          <w:lang w:eastAsia="x-none"/>
        </w:rPr>
        <w:t>s</w:t>
      </w:r>
      <w:r w:rsidRPr="00011EC4">
        <w:rPr>
          <w:lang w:eastAsia="x-none"/>
        </w:rPr>
        <w:t xml:space="preserve">chools </w:t>
      </w:r>
      <w:r w:rsidR="006D57C1">
        <w:rPr>
          <w:lang w:eastAsia="x-none"/>
        </w:rPr>
        <w:t>i</w:t>
      </w:r>
      <w:r w:rsidRPr="00011EC4">
        <w:rPr>
          <w:lang w:eastAsia="x-none"/>
        </w:rPr>
        <w:t xml:space="preserve">mpacts of </w:t>
      </w:r>
      <w:r w:rsidR="006D57C1">
        <w:rPr>
          <w:lang w:eastAsia="x-none"/>
        </w:rPr>
        <w:t>s</w:t>
      </w:r>
      <w:r w:rsidRPr="00011EC4">
        <w:rPr>
          <w:lang w:eastAsia="x-none"/>
        </w:rPr>
        <w:t xml:space="preserve">chool </w:t>
      </w:r>
      <w:r w:rsidR="006D57C1">
        <w:rPr>
          <w:lang w:eastAsia="x-none"/>
        </w:rPr>
        <w:t>s</w:t>
      </w:r>
      <w:r w:rsidRPr="00011EC4">
        <w:rPr>
          <w:lang w:eastAsia="x-none"/>
        </w:rPr>
        <w:t xml:space="preserve">iting and </w:t>
      </w:r>
      <w:r w:rsidR="006D57C1">
        <w:rPr>
          <w:lang w:eastAsia="x-none"/>
        </w:rPr>
        <w:t>s</w:t>
      </w:r>
      <w:r w:rsidRPr="00011EC4">
        <w:rPr>
          <w:lang w:eastAsia="x-none"/>
        </w:rPr>
        <w:t xml:space="preserve">urrounding </w:t>
      </w:r>
      <w:r w:rsidR="006D57C1">
        <w:rPr>
          <w:lang w:eastAsia="x-none"/>
        </w:rPr>
        <w:t>e</w:t>
      </w:r>
      <w:r w:rsidRPr="00011EC4">
        <w:rPr>
          <w:lang w:eastAsia="x-none"/>
        </w:rPr>
        <w:t xml:space="preserve">nvironments on </w:t>
      </w:r>
      <w:r w:rsidR="006D57C1">
        <w:rPr>
          <w:lang w:eastAsia="x-none"/>
        </w:rPr>
        <w:t>t</w:t>
      </w:r>
      <w:r w:rsidRPr="00011EC4">
        <w:rPr>
          <w:lang w:eastAsia="x-none"/>
        </w:rPr>
        <w:t xml:space="preserve">raffic </w:t>
      </w:r>
      <w:r w:rsidR="006D57C1">
        <w:rPr>
          <w:lang w:eastAsia="x-none"/>
        </w:rPr>
        <w:t>s</w:t>
      </w:r>
      <w:r w:rsidRPr="00011EC4">
        <w:rPr>
          <w:lang w:eastAsia="x-none"/>
        </w:rPr>
        <w:t xml:space="preserve">afety. </w:t>
      </w:r>
      <w:r w:rsidRPr="00011EC4">
        <w:rPr>
          <w:i/>
          <w:lang w:eastAsia="x-none"/>
        </w:rPr>
        <w:t>Journal of Planning Education and Research</w:t>
      </w:r>
      <w:r w:rsidRPr="00011EC4">
        <w:rPr>
          <w:lang w:eastAsia="x-none"/>
        </w:rPr>
        <w:t xml:space="preserve"> 36(4), 476-486.</w:t>
      </w:r>
    </w:p>
    <w:p w:rsidR="002C66EE" w:rsidRPr="00011EC4" w:rsidRDefault="002C66EE" w:rsidP="00D72ECE">
      <w:pPr>
        <w:spacing w:after="120" w:line="240" w:lineRule="auto"/>
        <w:ind w:left="360" w:hanging="360"/>
        <w:rPr>
          <w:lang w:eastAsia="x-none"/>
        </w:rPr>
      </w:pPr>
      <w:r w:rsidRPr="00011EC4">
        <w:rPr>
          <w:lang w:eastAsia="x-none"/>
        </w:rPr>
        <w:t xml:space="preserve">Zhao, Y., Joe, H., 2005. Composite likelihood estimation in multivariate data analysis. </w:t>
      </w:r>
      <w:r w:rsidRPr="00011EC4">
        <w:rPr>
          <w:i/>
          <w:lang w:eastAsia="x-none"/>
        </w:rPr>
        <w:t xml:space="preserve">The Canadian Journal of Statistics </w:t>
      </w:r>
      <w:r w:rsidRPr="00011EC4">
        <w:rPr>
          <w:lang w:eastAsia="x-none"/>
        </w:rPr>
        <w:t>33(3), 335-356.</w:t>
      </w:r>
    </w:p>
    <w:p w:rsidR="00AF6E2D" w:rsidRDefault="00BB21B7" w:rsidP="00D72ECE">
      <w:pPr>
        <w:spacing w:line="240" w:lineRule="auto"/>
        <w:ind w:firstLine="0"/>
        <w:rPr>
          <w:lang w:eastAsia="x-none"/>
        </w:rPr>
      </w:pPr>
      <w:r>
        <w:rPr>
          <w:lang w:eastAsia="x-none"/>
        </w:rPr>
        <w:br w:type="page"/>
      </w:r>
    </w:p>
    <w:p w:rsidR="00A040FE" w:rsidRDefault="00A040FE" w:rsidP="00D72ECE">
      <w:pPr>
        <w:spacing w:line="240" w:lineRule="auto"/>
        <w:ind w:firstLine="0"/>
        <w:jc w:val="center"/>
        <w:rPr>
          <w:lang w:eastAsia="x-none"/>
        </w:rPr>
        <w:sectPr w:rsidR="00A040FE" w:rsidSect="00BA6025">
          <w:type w:val="continuous"/>
          <w:pgSz w:w="12240" w:h="15840"/>
          <w:pgMar w:top="1440" w:right="1440" w:bottom="1440" w:left="1440" w:header="720" w:footer="720" w:gutter="0"/>
          <w:cols w:space="720"/>
          <w:docGrid w:linePitch="360"/>
        </w:sectPr>
      </w:pPr>
    </w:p>
    <w:p w:rsidR="00AF6E2D" w:rsidRDefault="00DC7B45" w:rsidP="00D72ECE">
      <w:pPr>
        <w:spacing w:line="240" w:lineRule="auto"/>
        <w:ind w:firstLine="0"/>
        <w:jc w:val="center"/>
        <w:rPr>
          <w:lang w:eastAsia="x-none"/>
        </w:rPr>
      </w:pPr>
      <w:r>
        <w:rPr>
          <w:noProof/>
        </w:rPr>
        <w:lastRenderedPageBreak/>
        <w:drawing>
          <wp:inline distT="0" distB="0" distL="0" distR="0" wp14:anchorId="27DEBFD7" wp14:editId="4277ED0E">
            <wp:extent cx="8632825" cy="5142586"/>
            <wp:effectExtent l="0" t="0" r="15875"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6"/>
              </a:graphicData>
            </a:graphic>
          </wp:inline>
        </w:drawing>
      </w:r>
    </w:p>
    <w:p w:rsidR="00F472DA" w:rsidRDefault="00F472DA" w:rsidP="00D72ECE">
      <w:pPr>
        <w:spacing w:line="240" w:lineRule="auto"/>
        <w:ind w:firstLine="0"/>
        <w:jc w:val="center"/>
        <w:rPr>
          <w:b/>
          <w:sz w:val="22"/>
          <w:szCs w:val="22"/>
        </w:rPr>
      </w:pPr>
    </w:p>
    <w:p w:rsidR="00BF6017" w:rsidRDefault="00F472DA" w:rsidP="00D72ECE">
      <w:pPr>
        <w:spacing w:line="240" w:lineRule="auto"/>
        <w:ind w:firstLine="0"/>
        <w:jc w:val="center"/>
        <w:rPr>
          <w:lang w:eastAsia="x-none"/>
        </w:rPr>
      </w:pPr>
      <w:r>
        <w:rPr>
          <w:b/>
          <w:sz w:val="22"/>
          <w:szCs w:val="22"/>
        </w:rPr>
        <w:t xml:space="preserve">Figure 1: </w:t>
      </w:r>
      <w:r w:rsidR="00DA4C53">
        <w:rPr>
          <w:b/>
          <w:sz w:val="22"/>
          <w:szCs w:val="22"/>
        </w:rPr>
        <w:t>Distribution of Percentage of Census Tracts Associated with Each Count of Pedestrian Injuries by Severity Level</w:t>
      </w:r>
    </w:p>
    <w:p w:rsidR="00A040FE" w:rsidRDefault="00A040FE" w:rsidP="00D72ECE">
      <w:pPr>
        <w:spacing w:line="240" w:lineRule="auto"/>
        <w:ind w:firstLine="0"/>
        <w:jc w:val="center"/>
        <w:rPr>
          <w:lang w:eastAsia="x-none"/>
        </w:rPr>
        <w:sectPr w:rsidR="00A040FE" w:rsidSect="00BA6025">
          <w:pgSz w:w="15840" w:h="12240" w:orient="landscape"/>
          <w:pgMar w:top="1440" w:right="1440" w:bottom="1440" w:left="1440" w:header="720" w:footer="720" w:gutter="0"/>
          <w:cols w:space="720"/>
          <w:docGrid w:linePitch="360"/>
        </w:sectPr>
      </w:pPr>
    </w:p>
    <w:p w:rsidR="00BF6017" w:rsidRDefault="00BF6017" w:rsidP="00D72ECE">
      <w:pPr>
        <w:spacing w:line="240" w:lineRule="auto"/>
        <w:ind w:firstLine="0"/>
        <w:jc w:val="center"/>
        <w:rPr>
          <w:lang w:eastAsia="x-none"/>
        </w:rPr>
      </w:pPr>
      <w:r w:rsidRPr="00BF6017">
        <w:rPr>
          <w:noProof/>
        </w:rPr>
        <w:lastRenderedPageBreak/>
        <w:drawing>
          <wp:inline distT="0" distB="0" distL="0" distR="0" wp14:anchorId="37A65326" wp14:editId="02D0B8B8">
            <wp:extent cx="4837813" cy="6581551"/>
            <wp:effectExtent l="0" t="0" r="1270" b="0"/>
            <wp:docPr id="3" name="Picture 3" descr="C:\Users\psl433\AppData\Local\Temp\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 descr="C:\Users\psl433\AppData\Local\Temp\Figure 2.jpg"/>
                    <pic:cNvPicPr>
                      <a:picLocks noChangeAspect="1" noChangeArrowheads="1"/>
                    </pic:cNvPicPr>
                  </pic:nvPicPr>
                  <pic:blipFill rotWithShape="1">
                    <a:blip r:embed="rId317" cstate="print">
                      <a:extLst>
                        <a:ext uri="{28A0092B-C50C-407E-A947-70E740481C1C}">
                          <a14:useLocalDpi xmlns:a14="http://schemas.microsoft.com/office/drawing/2010/main" val="0"/>
                        </a:ext>
                      </a:extLst>
                    </a:blip>
                    <a:srcRect l="9487" t="7326" r="9068" b="7054"/>
                    <a:stretch/>
                  </pic:blipFill>
                  <pic:spPr bwMode="auto">
                    <a:xfrm>
                      <a:off x="0" y="0"/>
                      <a:ext cx="4840788" cy="6585598"/>
                    </a:xfrm>
                    <a:prstGeom prst="rect">
                      <a:avLst/>
                    </a:prstGeom>
                    <a:noFill/>
                    <a:ln>
                      <a:noFill/>
                    </a:ln>
                    <a:extLst>
                      <a:ext uri="{53640926-AAD7-44D8-BBD7-CCE9431645EC}">
                        <a14:shadowObscured xmlns:a14="http://schemas.microsoft.com/office/drawing/2010/main"/>
                      </a:ext>
                    </a:extLst>
                  </pic:spPr>
                </pic:pic>
              </a:graphicData>
            </a:graphic>
          </wp:inline>
        </w:drawing>
      </w:r>
    </w:p>
    <w:p w:rsidR="00BF6017" w:rsidRDefault="00BF6017" w:rsidP="00D72ECE">
      <w:pPr>
        <w:spacing w:line="240" w:lineRule="auto"/>
        <w:ind w:firstLine="0"/>
        <w:jc w:val="center"/>
        <w:rPr>
          <w:b/>
          <w:sz w:val="22"/>
          <w:szCs w:val="22"/>
        </w:rPr>
      </w:pPr>
    </w:p>
    <w:p w:rsidR="00BF6017" w:rsidRDefault="00BF6017" w:rsidP="00D72ECE">
      <w:pPr>
        <w:spacing w:line="240" w:lineRule="auto"/>
        <w:ind w:firstLine="0"/>
        <w:jc w:val="center"/>
        <w:rPr>
          <w:b/>
          <w:sz w:val="22"/>
          <w:szCs w:val="22"/>
        </w:rPr>
      </w:pPr>
    </w:p>
    <w:p w:rsidR="00BF6017" w:rsidRDefault="00CF72DF" w:rsidP="00D72ECE">
      <w:pPr>
        <w:spacing w:line="240" w:lineRule="auto"/>
        <w:ind w:firstLine="0"/>
        <w:jc w:val="center"/>
        <w:rPr>
          <w:b/>
          <w:sz w:val="22"/>
          <w:szCs w:val="22"/>
        </w:rPr>
      </w:pPr>
      <w:r>
        <w:rPr>
          <w:b/>
          <w:sz w:val="22"/>
          <w:szCs w:val="22"/>
        </w:rPr>
        <w:t>Figure 2: Thematic Map of Pedestrian Injuries in Manhattan by Census Tract</w:t>
      </w:r>
    </w:p>
    <w:p w:rsidR="00CF72DF" w:rsidRDefault="00CF72DF" w:rsidP="00D72ECE">
      <w:pPr>
        <w:spacing w:line="240" w:lineRule="auto"/>
        <w:ind w:firstLine="0"/>
        <w:jc w:val="center"/>
        <w:rPr>
          <w:b/>
          <w:sz w:val="22"/>
          <w:szCs w:val="22"/>
        </w:rPr>
      </w:pPr>
    </w:p>
    <w:p w:rsidR="00CF72DF" w:rsidRDefault="00CF72DF" w:rsidP="00D72ECE">
      <w:pPr>
        <w:spacing w:line="240" w:lineRule="auto"/>
        <w:ind w:firstLine="0"/>
        <w:jc w:val="center"/>
        <w:rPr>
          <w:b/>
          <w:sz w:val="22"/>
          <w:szCs w:val="22"/>
        </w:rPr>
      </w:pPr>
    </w:p>
    <w:p w:rsidR="00CF72DF" w:rsidRDefault="00CF72DF" w:rsidP="00D72ECE">
      <w:pPr>
        <w:spacing w:line="240" w:lineRule="auto"/>
        <w:ind w:firstLine="0"/>
        <w:jc w:val="center"/>
        <w:rPr>
          <w:b/>
          <w:sz w:val="22"/>
          <w:szCs w:val="22"/>
        </w:rPr>
      </w:pPr>
    </w:p>
    <w:p w:rsidR="00CF72DF" w:rsidRDefault="00CF72DF" w:rsidP="00D72ECE">
      <w:pPr>
        <w:spacing w:line="240" w:lineRule="auto"/>
        <w:ind w:firstLine="0"/>
        <w:jc w:val="center"/>
        <w:rPr>
          <w:b/>
          <w:sz w:val="22"/>
          <w:szCs w:val="22"/>
        </w:rPr>
      </w:pPr>
    </w:p>
    <w:p w:rsidR="00CF72DF" w:rsidRDefault="00CF72DF" w:rsidP="00D72ECE">
      <w:pPr>
        <w:spacing w:line="240" w:lineRule="auto"/>
        <w:ind w:firstLine="0"/>
        <w:jc w:val="center"/>
        <w:rPr>
          <w:b/>
          <w:sz w:val="22"/>
          <w:szCs w:val="22"/>
        </w:rPr>
      </w:pPr>
    </w:p>
    <w:p w:rsidR="00FF501D" w:rsidRDefault="00FF501D" w:rsidP="00D72ECE">
      <w:pPr>
        <w:spacing w:line="240" w:lineRule="auto"/>
        <w:ind w:firstLine="0"/>
        <w:jc w:val="center"/>
        <w:rPr>
          <w:b/>
          <w:sz w:val="22"/>
          <w:szCs w:val="22"/>
        </w:rPr>
      </w:pPr>
    </w:p>
    <w:p w:rsidR="00FF501D" w:rsidRDefault="00FF501D" w:rsidP="00D72ECE">
      <w:pPr>
        <w:spacing w:line="240" w:lineRule="auto"/>
        <w:ind w:firstLine="0"/>
        <w:jc w:val="center"/>
        <w:rPr>
          <w:b/>
          <w:sz w:val="22"/>
          <w:szCs w:val="22"/>
        </w:rPr>
      </w:pPr>
    </w:p>
    <w:p w:rsidR="00FF501D" w:rsidRPr="00BB21B7" w:rsidRDefault="00FF501D" w:rsidP="00D72ECE">
      <w:pPr>
        <w:spacing w:line="240" w:lineRule="auto"/>
        <w:ind w:firstLine="0"/>
        <w:jc w:val="center"/>
        <w:rPr>
          <w:b/>
          <w:sz w:val="22"/>
          <w:szCs w:val="22"/>
        </w:rPr>
      </w:pPr>
      <w:r w:rsidRPr="00BB21B7">
        <w:rPr>
          <w:b/>
          <w:sz w:val="22"/>
          <w:szCs w:val="22"/>
        </w:rPr>
        <w:lastRenderedPageBreak/>
        <w:t xml:space="preserve">Table </w:t>
      </w:r>
      <w:r>
        <w:rPr>
          <w:b/>
          <w:sz w:val="22"/>
          <w:szCs w:val="22"/>
        </w:rPr>
        <w:t>1</w:t>
      </w:r>
      <w:r w:rsidRPr="00BB21B7">
        <w:rPr>
          <w:b/>
          <w:sz w:val="22"/>
          <w:szCs w:val="22"/>
        </w:rPr>
        <w:t xml:space="preserve">: </w:t>
      </w:r>
      <w:r w:rsidR="00B946EC">
        <w:rPr>
          <w:b/>
          <w:sz w:val="22"/>
          <w:szCs w:val="22"/>
        </w:rPr>
        <w:t>Effects of Variables on Long-Term Risk Propensity</w:t>
      </w:r>
    </w:p>
    <w:tbl>
      <w:tblPr>
        <w:tblStyle w:val="TableGrid1"/>
        <w:tblW w:w="10515" w:type="dxa"/>
        <w:jc w:val="center"/>
        <w:tblLayout w:type="fixed"/>
        <w:tblLook w:val="04A0" w:firstRow="1" w:lastRow="0" w:firstColumn="1" w:lastColumn="0" w:noHBand="0" w:noVBand="1"/>
      </w:tblPr>
      <w:tblGrid>
        <w:gridCol w:w="3585"/>
        <w:gridCol w:w="900"/>
        <w:gridCol w:w="810"/>
        <w:gridCol w:w="900"/>
        <w:gridCol w:w="900"/>
        <w:gridCol w:w="900"/>
        <w:gridCol w:w="810"/>
        <w:gridCol w:w="900"/>
        <w:gridCol w:w="810"/>
      </w:tblGrid>
      <w:tr w:rsidR="00FF501D" w:rsidRPr="00BB21B7" w:rsidTr="008F2F54">
        <w:trPr>
          <w:jc w:val="center"/>
        </w:trPr>
        <w:tc>
          <w:tcPr>
            <w:tcW w:w="3585" w:type="dxa"/>
            <w:tcBorders>
              <w:top w:val="double" w:sz="4" w:space="0" w:color="auto"/>
              <w:left w:val="double" w:sz="4" w:space="0" w:color="auto"/>
              <w:bottom w:val="double" w:sz="4" w:space="0" w:color="auto"/>
              <w:right w:val="double" w:sz="4" w:space="0" w:color="auto"/>
            </w:tcBorders>
            <w:tcMar>
              <w:left w:w="43" w:type="dxa"/>
              <w:right w:w="43" w:type="dxa"/>
            </w:tcMar>
            <w:vAlign w:val="center"/>
          </w:tcPr>
          <w:p w:rsidR="00FF501D" w:rsidRPr="00BB21B7" w:rsidRDefault="00FF501D" w:rsidP="00D72ECE">
            <w:pPr>
              <w:spacing w:line="240" w:lineRule="auto"/>
              <w:ind w:firstLine="0"/>
              <w:jc w:val="center"/>
              <w:rPr>
                <w:b/>
                <w:sz w:val="20"/>
                <w:szCs w:val="20"/>
              </w:rPr>
            </w:pPr>
            <w:r w:rsidRPr="00BB21B7">
              <w:rPr>
                <w:b/>
                <w:sz w:val="20"/>
                <w:szCs w:val="20"/>
              </w:rPr>
              <w:t>Injury Severity</w:t>
            </w:r>
          </w:p>
        </w:tc>
        <w:tc>
          <w:tcPr>
            <w:tcW w:w="1710" w:type="dxa"/>
            <w:gridSpan w:val="2"/>
            <w:tcBorders>
              <w:top w:val="double" w:sz="4" w:space="0" w:color="auto"/>
              <w:left w:val="double" w:sz="4" w:space="0" w:color="auto"/>
              <w:bottom w:val="double" w:sz="4" w:space="0" w:color="auto"/>
              <w:right w:val="double" w:sz="4" w:space="0" w:color="auto"/>
            </w:tcBorders>
            <w:tcMar>
              <w:left w:w="43" w:type="dxa"/>
              <w:right w:w="43" w:type="dxa"/>
            </w:tcMar>
            <w:vAlign w:val="center"/>
          </w:tcPr>
          <w:p w:rsidR="00FF501D" w:rsidRPr="00BB21B7" w:rsidRDefault="00FF501D" w:rsidP="00D72ECE">
            <w:pPr>
              <w:spacing w:line="240" w:lineRule="auto"/>
              <w:ind w:firstLine="0"/>
              <w:jc w:val="center"/>
              <w:rPr>
                <w:b/>
                <w:sz w:val="20"/>
                <w:szCs w:val="20"/>
              </w:rPr>
            </w:pPr>
            <w:r w:rsidRPr="00BB21B7">
              <w:rPr>
                <w:b/>
                <w:sz w:val="20"/>
                <w:szCs w:val="20"/>
              </w:rPr>
              <w:t>Possible</w:t>
            </w:r>
          </w:p>
        </w:tc>
        <w:tc>
          <w:tcPr>
            <w:tcW w:w="1800" w:type="dxa"/>
            <w:gridSpan w:val="2"/>
            <w:tcBorders>
              <w:top w:val="double" w:sz="4" w:space="0" w:color="auto"/>
              <w:left w:val="double" w:sz="4" w:space="0" w:color="auto"/>
              <w:bottom w:val="double" w:sz="4" w:space="0" w:color="auto"/>
              <w:right w:val="double" w:sz="4" w:space="0" w:color="auto"/>
            </w:tcBorders>
            <w:tcMar>
              <w:left w:w="43" w:type="dxa"/>
              <w:right w:w="43" w:type="dxa"/>
            </w:tcMar>
            <w:vAlign w:val="center"/>
          </w:tcPr>
          <w:p w:rsidR="00FF501D" w:rsidRPr="00BB21B7" w:rsidRDefault="00FF501D" w:rsidP="00D72ECE">
            <w:pPr>
              <w:spacing w:line="240" w:lineRule="auto"/>
              <w:ind w:firstLine="0"/>
              <w:jc w:val="center"/>
              <w:rPr>
                <w:b/>
                <w:sz w:val="20"/>
                <w:szCs w:val="20"/>
              </w:rPr>
            </w:pPr>
            <w:r w:rsidRPr="00BB21B7">
              <w:rPr>
                <w:b/>
                <w:sz w:val="20"/>
                <w:szCs w:val="20"/>
              </w:rPr>
              <w:t>Non-Incapacitating</w:t>
            </w:r>
          </w:p>
        </w:tc>
        <w:tc>
          <w:tcPr>
            <w:tcW w:w="1710" w:type="dxa"/>
            <w:gridSpan w:val="2"/>
            <w:tcBorders>
              <w:top w:val="double" w:sz="4" w:space="0" w:color="auto"/>
              <w:left w:val="double" w:sz="4" w:space="0" w:color="auto"/>
              <w:bottom w:val="double" w:sz="4" w:space="0" w:color="auto"/>
              <w:right w:val="double" w:sz="4" w:space="0" w:color="auto"/>
            </w:tcBorders>
            <w:tcMar>
              <w:left w:w="43" w:type="dxa"/>
              <w:right w:w="43" w:type="dxa"/>
            </w:tcMar>
            <w:vAlign w:val="center"/>
          </w:tcPr>
          <w:p w:rsidR="00FF501D" w:rsidRPr="00BB21B7" w:rsidRDefault="00FF501D" w:rsidP="00D72ECE">
            <w:pPr>
              <w:spacing w:line="240" w:lineRule="auto"/>
              <w:ind w:firstLine="0"/>
              <w:jc w:val="center"/>
              <w:rPr>
                <w:b/>
                <w:sz w:val="20"/>
                <w:szCs w:val="20"/>
              </w:rPr>
            </w:pPr>
            <w:r w:rsidRPr="00BB21B7">
              <w:rPr>
                <w:b/>
                <w:sz w:val="20"/>
                <w:szCs w:val="20"/>
              </w:rPr>
              <w:t>Incapacitating</w:t>
            </w:r>
          </w:p>
        </w:tc>
        <w:tc>
          <w:tcPr>
            <w:tcW w:w="1710" w:type="dxa"/>
            <w:gridSpan w:val="2"/>
            <w:tcBorders>
              <w:top w:val="double" w:sz="4" w:space="0" w:color="auto"/>
              <w:left w:val="double" w:sz="4" w:space="0" w:color="auto"/>
              <w:bottom w:val="double" w:sz="4" w:space="0" w:color="auto"/>
              <w:right w:val="double" w:sz="4" w:space="0" w:color="auto"/>
            </w:tcBorders>
            <w:tcMar>
              <w:left w:w="43" w:type="dxa"/>
              <w:right w:w="43" w:type="dxa"/>
            </w:tcMar>
            <w:vAlign w:val="center"/>
          </w:tcPr>
          <w:p w:rsidR="00FF501D" w:rsidRPr="00BB21B7" w:rsidRDefault="00FF501D" w:rsidP="00D72ECE">
            <w:pPr>
              <w:spacing w:line="240" w:lineRule="auto"/>
              <w:ind w:firstLine="0"/>
              <w:jc w:val="center"/>
              <w:rPr>
                <w:b/>
                <w:sz w:val="20"/>
                <w:szCs w:val="20"/>
              </w:rPr>
            </w:pPr>
            <w:r w:rsidRPr="00BB21B7">
              <w:rPr>
                <w:b/>
                <w:sz w:val="20"/>
                <w:szCs w:val="20"/>
              </w:rPr>
              <w:t>Fatal</w:t>
            </w:r>
          </w:p>
        </w:tc>
      </w:tr>
      <w:tr w:rsidR="00FF501D" w:rsidRPr="00BB21B7" w:rsidTr="008F2F54">
        <w:trPr>
          <w:jc w:val="center"/>
        </w:trPr>
        <w:tc>
          <w:tcPr>
            <w:tcW w:w="3585" w:type="dxa"/>
            <w:tcBorders>
              <w:top w:val="double" w:sz="4" w:space="0" w:color="auto"/>
              <w:left w:val="double" w:sz="4" w:space="0" w:color="auto"/>
              <w:bottom w:val="double" w:sz="4" w:space="0" w:color="auto"/>
              <w:right w:val="double" w:sz="4" w:space="0" w:color="auto"/>
            </w:tcBorders>
            <w:tcMar>
              <w:left w:w="43" w:type="dxa"/>
              <w:right w:w="43" w:type="dxa"/>
            </w:tcMar>
            <w:vAlign w:val="center"/>
          </w:tcPr>
          <w:p w:rsidR="00FF501D" w:rsidRPr="00BB21B7" w:rsidRDefault="00FF501D" w:rsidP="004C4F47">
            <w:pPr>
              <w:spacing w:line="240" w:lineRule="auto"/>
              <w:ind w:firstLine="0"/>
              <w:jc w:val="center"/>
              <w:rPr>
                <w:b/>
                <w:sz w:val="20"/>
                <w:szCs w:val="20"/>
              </w:rPr>
            </w:pPr>
            <w:r w:rsidRPr="00BB21B7">
              <w:rPr>
                <w:b/>
                <w:sz w:val="20"/>
                <w:szCs w:val="20"/>
              </w:rPr>
              <w:t>Parameters</w:t>
            </w:r>
          </w:p>
        </w:tc>
        <w:tc>
          <w:tcPr>
            <w:tcW w:w="900" w:type="dxa"/>
            <w:tcBorders>
              <w:top w:val="double" w:sz="4" w:space="0" w:color="auto"/>
              <w:left w:val="double" w:sz="4" w:space="0" w:color="auto"/>
              <w:bottom w:val="double" w:sz="4" w:space="0" w:color="auto"/>
            </w:tcBorders>
            <w:tcMar>
              <w:left w:w="43" w:type="dxa"/>
              <w:right w:w="43" w:type="dxa"/>
            </w:tcMar>
            <w:vAlign w:val="center"/>
          </w:tcPr>
          <w:p w:rsidR="00FF501D" w:rsidRPr="00BB21B7" w:rsidRDefault="00FF501D" w:rsidP="00D72ECE">
            <w:pPr>
              <w:spacing w:line="240" w:lineRule="auto"/>
              <w:ind w:firstLine="0"/>
              <w:jc w:val="center"/>
              <w:rPr>
                <w:b/>
                <w:sz w:val="20"/>
                <w:szCs w:val="20"/>
              </w:rPr>
            </w:pPr>
            <w:r w:rsidRPr="00BB21B7">
              <w:rPr>
                <w:b/>
                <w:sz w:val="20"/>
                <w:szCs w:val="20"/>
              </w:rPr>
              <w:t>Estimate</w:t>
            </w:r>
          </w:p>
        </w:tc>
        <w:tc>
          <w:tcPr>
            <w:tcW w:w="810" w:type="dxa"/>
            <w:tcBorders>
              <w:top w:val="double" w:sz="4" w:space="0" w:color="auto"/>
              <w:bottom w:val="double" w:sz="4" w:space="0" w:color="auto"/>
              <w:right w:val="double" w:sz="4" w:space="0" w:color="auto"/>
            </w:tcBorders>
            <w:tcMar>
              <w:left w:w="43" w:type="dxa"/>
              <w:right w:w="43" w:type="dxa"/>
            </w:tcMar>
            <w:vAlign w:val="center"/>
          </w:tcPr>
          <w:p w:rsidR="00FF501D" w:rsidRPr="00BB21B7" w:rsidRDefault="00FF501D" w:rsidP="00D72ECE">
            <w:pPr>
              <w:spacing w:line="240" w:lineRule="auto"/>
              <w:ind w:firstLine="0"/>
              <w:jc w:val="center"/>
              <w:rPr>
                <w:b/>
                <w:sz w:val="20"/>
                <w:szCs w:val="20"/>
              </w:rPr>
            </w:pPr>
            <w:r w:rsidRPr="00BB21B7">
              <w:rPr>
                <w:b/>
                <w:sz w:val="20"/>
                <w:szCs w:val="20"/>
              </w:rPr>
              <w:t>T-Stat</w:t>
            </w:r>
          </w:p>
        </w:tc>
        <w:tc>
          <w:tcPr>
            <w:tcW w:w="900" w:type="dxa"/>
            <w:tcBorders>
              <w:top w:val="double" w:sz="4" w:space="0" w:color="auto"/>
              <w:left w:val="double" w:sz="4" w:space="0" w:color="auto"/>
              <w:bottom w:val="double" w:sz="4" w:space="0" w:color="auto"/>
            </w:tcBorders>
            <w:tcMar>
              <w:left w:w="43" w:type="dxa"/>
              <w:right w:w="43" w:type="dxa"/>
            </w:tcMar>
            <w:vAlign w:val="center"/>
          </w:tcPr>
          <w:p w:rsidR="00FF501D" w:rsidRPr="00BB21B7" w:rsidRDefault="00FF501D" w:rsidP="00D72ECE">
            <w:pPr>
              <w:spacing w:line="240" w:lineRule="auto"/>
              <w:ind w:firstLine="0"/>
              <w:jc w:val="center"/>
              <w:rPr>
                <w:b/>
                <w:sz w:val="20"/>
                <w:szCs w:val="20"/>
              </w:rPr>
            </w:pPr>
            <w:r w:rsidRPr="00BB21B7">
              <w:rPr>
                <w:b/>
                <w:sz w:val="20"/>
                <w:szCs w:val="20"/>
              </w:rPr>
              <w:t>Estimate</w:t>
            </w:r>
          </w:p>
        </w:tc>
        <w:tc>
          <w:tcPr>
            <w:tcW w:w="900" w:type="dxa"/>
            <w:tcBorders>
              <w:top w:val="double" w:sz="4" w:space="0" w:color="auto"/>
              <w:bottom w:val="double" w:sz="4" w:space="0" w:color="auto"/>
              <w:right w:val="double" w:sz="4" w:space="0" w:color="auto"/>
            </w:tcBorders>
            <w:tcMar>
              <w:left w:w="43" w:type="dxa"/>
              <w:right w:w="43" w:type="dxa"/>
            </w:tcMar>
            <w:vAlign w:val="center"/>
          </w:tcPr>
          <w:p w:rsidR="00FF501D" w:rsidRPr="00BB21B7" w:rsidRDefault="00FF501D" w:rsidP="00D72ECE">
            <w:pPr>
              <w:spacing w:line="240" w:lineRule="auto"/>
              <w:ind w:firstLine="0"/>
              <w:jc w:val="center"/>
              <w:rPr>
                <w:b/>
                <w:sz w:val="20"/>
                <w:szCs w:val="20"/>
              </w:rPr>
            </w:pPr>
            <w:r w:rsidRPr="00BB21B7">
              <w:rPr>
                <w:b/>
                <w:sz w:val="20"/>
                <w:szCs w:val="20"/>
              </w:rPr>
              <w:t>T-Stat</w:t>
            </w:r>
          </w:p>
        </w:tc>
        <w:tc>
          <w:tcPr>
            <w:tcW w:w="900" w:type="dxa"/>
            <w:tcBorders>
              <w:top w:val="double" w:sz="4" w:space="0" w:color="auto"/>
              <w:left w:val="double" w:sz="4" w:space="0" w:color="auto"/>
              <w:bottom w:val="double" w:sz="4" w:space="0" w:color="auto"/>
            </w:tcBorders>
            <w:tcMar>
              <w:left w:w="43" w:type="dxa"/>
              <w:right w:w="43" w:type="dxa"/>
            </w:tcMar>
            <w:vAlign w:val="center"/>
          </w:tcPr>
          <w:p w:rsidR="00FF501D" w:rsidRPr="00BB21B7" w:rsidRDefault="00FF501D" w:rsidP="00D72ECE">
            <w:pPr>
              <w:spacing w:line="240" w:lineRule="auto"/>
              <w:ind w:firstLine="0"/>
              <w:jc w:val="center"/>
              <w:rPr>
                <w:b/>
                <w:sz w:val="20"/>
                <w:szCs w:val="20"/>
              </w:rPr>
            </w:pPr>
            <w:r w:rsidRPr="00BB21B7">
              <w:rPr>
                <w:b/>
                <w:sz w:val="20"/>
                <w:szCs w:val="20"/>
              </w:rPr>
              <w:t>Estimate</w:t>
            </w:r>
          </w:p>
        </w:tc>
        <w:tc>
          <w:tcPr>
            <w:tcW w:w="810" w:type="dxa"/>
            <w:tcBorders>
              <w:top w:val="double" w:sz="4" w:space="0" w:color="auto"/>
              <w:bottom w:val="double" w:sz="4" w:space="0" w:color="auto"/>
              <w:right w:val="double" w:sz="4" w:space="0" w:color="auto"/>
            </w:tcBorders>
            <w:tcMar>
              <w:left w:w="43" w:type="dxa"/>
              <w:right w:w="43" w:type="dxa"/>
            </w:tcMar>
            <w:vAlign w:val="center"/>
          </w:tcPr>
          <w:p w:rsidR="00FF501D" w:rsidRPr="00BB21B7" w:rsidRDefault="00FF501D" w:rsidP="00D72ECE">
            <w:pPr>
              <w:spacing w:line="240" w:lineRule="auto"/>
              <w:ind w:firstLine="0"/>
              <w:jc w:val="center"/>
              <w:rPr>
                <w:b/>
                <w:sz w:val="20"/>
                <w:szCs w:val="20"/>
              </w:rPr>
            </w:pPr>
            <w:r w:rsidRPr="00BB21B7">
              <w:rPr>
                <w:b/>
                <w:sz w:val="20"/>
                <w:szCs w:val="20"/>
              </w:rPr>
              <w:t>T-Stat</w:t>
            </w:r>
          </w:p>
        </w:tc>
        <w:tc>
          <w:tcPr>
            <w:tcW w:w="900" w:type="dxa"/>
            <w:tcBorders>
              <w:top w:val="double" w:sz="4" w:space="0" w:color="auto"/>
              <w:left w:val="double" w:sz="4" w:space="0" w:color="auto"/>
              <w:bottom w:val="double" w:sz="4" w:space="0" w:color="auto"/>
            </w:tcBorders>
            <w:tcMar>
              <w:left w:w="43" w:type="dxa"/>
              <w:right w:w="43" w:type="dxa"/>
            </w:tcMar>
            <w:vAlign w:val="center"/>
          </w:tcPr>
          <w:p w:rsidR="00FF501D" w:rsidRPr="00BB21B7" w:rsidRDefault="00FF501D" w:rsidP="00D72ECE">
            <w:pPr>
              <w:spacing w:line="240" w:lineRule="auto"/>
              <w:ind w:firstLine="0"/>
              <w:jc w:val="center"/>
              <w:rPr>
                <w:b/>
                <w:sz w:val="20"/>
                <w:szCs w:val="20"/>
              </w:rPr>
            </w:pPr>
            <w:r w:rsidRPr="00BB21B7">
              <w:rPr>
                <w:b/>
                <w:sz w:val="20"/>
                <w:szCs w:val="20"/>
              </w:rPr>
              <w:t>Estimate</w:t>
            </w:r>
          </w:p>
        </w:tc>
        <w:tc>
          <w:tcPr>
            <w:tcW w:w="810" w:type="dxa"/>
            <w:tcBorders>
              <w:top w:val="double" w:sz="4" w:space="0" w:color="auto"/>
              <w:bottom w:val="double" w:sz="4" w:space="0" w:color="auto"/>
              <w:right w:val="double" w:sz="4" w:space="0" w:color="auto"/>
            </w:tcBorders>
            <w:tcMar>
              <w:left w:w="43" w:type="dxa"/>
              <w:right w:w="43" w:type="dxa"/>
            </w:tcMar>
            <w:vAlign w:val="center"/>
          </w:tcPr>
          <w:p w:rsidR="00FF501D" w:rsidRPr="00BB21B7" w:rsidRDefault="00FF501D" w:rsidP="00D72ECE">
            <w:pPr>
              <w:spacing w:line="240" w:lineRule="auto"/>
              <w:ind w:firstLine="0"/>
              <w:jc w:val="center"/>
              <w:rPr>
                <w:b/>
                <w:sz w:val="20"/>
                <w:szCs w:val="20"/>
              </w:rPr>
            </w:pPr>
            <w:r w:rsidRPr="00BB21B7">
              <w:rPr>
                <w:b/>
                <w:sz w:val="20"/>
                <w:szCs w:val="20"/>
              </w:rPr>
              <w:t>T-Stat</w:t>
            </w:r>
          </w:p>
        </w:tc>
      </w:tr>
      <w:tr w:rsidR="00FF501D" w:rsidRPr="00BB21B7" w:rsidTr="008F2F54">
        <w:trPr>
          <w:jc w:val="center"/>
        </w:trPr>
        <w:tc>
          <w:tcPr>
            <w:tcW w:w="3585" w:type="dxa"/>
            <w:tcBorders>
              <w:top w:val="double" w:sz="4" w:space="0" w:color="auto"/>
              <w:left w:val="double" w:sz="4" w:space="0" w:color="auto"/>
              <w:bottom w:val="nil"/>
              <w:right w:val="double" w:sz="4" w:space="0" w:color="auto"/>
            </w:tcBorders>
            <w:tcMar>
              <w:left w:w="43" w:type="dxa"/>
              <w:right w:w="43" w:type="dxa"/>
            </w:tcMar>
            <w:vAlign w:val="center"/>
          </w:tcPr>
          <w:p w:rsidR="00FF501D" w:rsidRPr="00BB21B7" w:rsidRDefault="00FF501D" w:rsidP="004C4F47">
            <w:pPr>
              <w:spacing w:line="240" w:lineRule="auto"/>
              <w:ind w:firstLine="0"/>
              <w:jc w:val="left"/>
              <w:rPr>
                <w:b/>
                <w:sz w:val="20"/>
                <w:szCs w:val="20"/>
              </w:rPr>
            </w:pPr>
            <w:r w:rsidRPr="00BB21B7">
              <w:rPr>
                <w:b/>
                <w:sz w:val="20"/>
                <w:szCs w:val="20"/>
              </w:rPr>
              <w:t>Long term risk propensity</w:t>
            </w:r>
          </w:p>
        </w:tc>
        <w:tc>
          <w:tcPr>
            <w:tcW w:w="900" w:type="dxa"/>
            <w:tcBorders>
              <w:top w:val="double" w:sz="4" w:space="0" w:color="auto"/>
              <w:left w:val="double" w:sz="4" w:space="0" w:color="auto"/>
              <w:bottom w:val="nil"/>
            </w:tcBorders>
          </w:tcPr>
          <w:p w:rsidR="00FF501D" w:rsidRPr="00BB21B7" w:rsidRDefault="00FF501D" w:rsidP="00D72ECE">
            <w:pPr>
              <w:tabs>
                <w:tab w:val="decimal" w:pos="204"/>
              </w:tabs>
              <w:spacing w:line="240" w:lineRule="auto"/>
              <w:ind w:firstLine="0"/>
              <w:jc w:val="center"/>
              <w:rPr>
                <w:b/>
                <w:sz w:val="22"/>
                <w:szCs w:val="22"/>
              </w:rPr>
            </w:pPr>
          </w:p>
        </w:tc>
        <w:tc>
          <w:tcPr>
            <w:tcW w:w="810" w:type="dxa"/>
            <w:tcBorders>
              <w:top w:val="double" w:sz="4" w:space="0" w:color="auto"/>
              <w:bottom w:val="nil"/>
              <w:right w:val="double" w:sz="4" w:space="0" w:color="auto"/>
            </w:tcBorders>
          </w:tcPr>
          <w:p w:rsidR="00FF501D" w:rsidRPr="00BB21B7" w:rsidRDefault="00FF501D" w:rsidP="00D72ECE">
            <w:pPr>
              <w:tabs>
                <w:tab w:val="decimal" w:pos="147"/>
              </w:tabs>
              <w:spacing w:line="240" w:lineRule="auto"/>
              <w:ind w:firstLine="0"/>
              <w:jc w:val="center"/>
              <w:rPr>
                <w:b/>
                <w:sz w:val="22"/>
                <w:szCs w:val="22"/>
              </w:rPr>
            </w:pPr>
          </w:p>
        </w:tc>
        <w:tc>
          <w:tcPr>
            <w:tcW w:w="900" w:type="dxa"/>
            <w:tcBorders>
              <w:top w:val="double" w:sz="4" w:space="0" w:color="auto"/>
              <w:left w:val="double" w:sz="4" w:space="0" w:color="auto"/>
              <w:bottom w:val="nil"/>
            </w:tcBorders>
          </w:tcPr>
          <w:p w:rsidR="00FF501D" w:rsidRPr="00BB21B7" w:rsidRDefault="00FF501D" w:rsidP="00D72ECE">
            <w:pPr>
              <w:tabs>
                <w:tab w:val="decimal" w:pos="188"/>
              </w:tabs>
              <w:spacing w:line="240" w:lineRule="auto"/>
              <w:ind w:firstLine="0"/>
              <w:jc w:val="center"/>
              <w:rPr>
                <w:b/>
                <w:sz w:val="22"/>
                <w:szCs w:val="22"/>
              </w:rPr>
            </w:pPr>
          </w:p>
        </w:tc>
        <w:tc>
          <w:tcPr>
            <w:tcW w:w="900" w:type="dxa"/>
            <w:tcBorders>
              <w:top w:val="double" w:sz="4" w:space="0" w:color="auto"/>
              <w:bottom w:val="nil"/>
              <w:right w:val="double" w:sz="4" w:space="0" w:color="auto"/>
            </w:tcBorders>
          </w:tcPr>
          <w:p w:rsidR="00FF501D" w:rsidRPr="00BB21B7" w:rsidRDefault="00FF501D" w:rsidP="00D72ECE">
            <w:pPr>
              <w:tabs>
                <w:tab w:val="decimal" w:pos="221"/>
              </w:tabs>
              <w:spacing w:line="240" w:lineRule="auto"/>
              <w:ind w:firstLine="0"/>
              <w:jc w:val="center"/>
              <w:rPr>
                <w:b/>
                <w:sz w:val="22"/>
                <w:szCs w:val="22"/>
              </w:rPr>
            </w:pPr>
          </w:p>
        </w:tc>
        <w:tc>
          <w:tcPr>
            <w:tcW w:w="900" w:type="dxa"/>
            <w:tcBorders>
              <w:top w:val="double" w:sz="4" w:space="0" w:color="auto"/>
              <w:left w:val="double" w:sz="4" w:space="0" w:color="auto"/>
              <w:bottom w:val="nil"/>
            </w:tcBorders>
          </w:tcPr>
          <w:p w:rsidR="00FF501D" w:rsidRPr="00BB21B7" w:rsidRDefault="00FF501D" w:rsidP="00D72ECE">
            <w:pPr>
              <w:spacing w:line="240" w:lineRule="auto"/>
              <w:ind w:firstLine="0"/>
              <w:jc w:val="center"/>
              <w:rPr>
                <w:b/>
                <w:sz w:val="22"/>
                <w:szCs w:val="22"/>
              </w:rPr>
            </w:pPr>
          </w:p>
        </w:tc>
        <w:tc>
          <w:tcPr>
            <w:tcW w:w="810" w:type="dxa"/>
            <w:tcBorders>
              <w:top w:val="double" w:sz="4" w:space="0" w:color="auto"/>
              <w:bottom w:val="nil"/>
              <w:right w:val="double" w:sz="4" w:space="0" w:color="auto"/>
            </w:tcBorders>
          </w:tcPr>
          <w:p w:rsidR="00FF501D" w:rsidRPr="00BB21B7" w:rsidRDefault="00FF501D" w:rsidP="00D72ECE">
            <w:pPr>
              <w:tabs>
                <w:tab w:val="decimal" w:pos="275"/>
              </w:tabs>
              <w:spacing w:line="240" w:lineRule="auto"/>
              <w:ind w:firstLine="0"/>
              <w:jc w:val="center"/>
              <w:rPr>
                <w:b/>
                <w:sz w:val="22"/>
                <w:szCs w:val="22"/>
              </w:rPr>
            </w:pPr>
          </w:p>
        </w:tc>
        <w:tc>
          <w:tcPr>
            <w:tcW w:w="900" w:type="dxa"/>
            <w:tcBorders>
              <w:top w:val="double" w:sz="4" w:space="0" w:color="auto"/>
              <w:left w:val="double" w:sz="4" w:space="0" w:color="auto"/>
              <w:bottom w:val="nil"/>
            </w:tcBorders>
          </w:tcPr>
          <w:p w:rsidR="00FF501D" w:rsidRPr="00BB21B7" w:rsidRDefault="00FF501D" w:rsidP="00D72ECE">
            <w:pPr>
              <w:tabs>
                <w:tab w:val="decimal" w:pos="222"/>
              </w:tabs>
              <w:spacing w:line="240" w:lineRule="auto"/>
              <w:ind w:firstLine="0"/>
              <w:jc w:val="center"/>
              <w:rPr>
                <w:b/>
                <w:sz w:val="22"/>
                <w:szCs w:val="22"/>
              </w:rPr>
            </w:pPr>
          </w:p>
        </w:tc>
        <w:tc>
          <w:tcPr>
            <w:tcW w:w="810" w:type="dxa"/>
            <w:tcBorders>
              <w:top w:val="double" w:sz="4" w:space="0" w:color="auto"/>
              <w:bottom w:val="nil"/>
              <w:right w:val="double" w:sz="4" w:space="0" w:color="auto"/>
            </w:tcBorders>
          </w:tcPr>
          <w:p w:rsidR="00FF501D" w:rsidRPr="00BB21B7" w:rsidRDefault="00FF501D" w:rsidP="00D72ECE">
            <w:pPr>
              <w:tabs>
                <w:tab w:val="decimal" w:pos="255"/>
              </w:tabs>
              <w:spacing w:line="240" w:lineRule="auto"/>
              <w:ind w:firstLine="0"/>
              <w:jc w:val="center"/>
              <w:rPr>
                <w:b/>
                <w:sz w:val="22"/>
                <w:szCs w:val="22"/>
              </w:rPr>
            </w:pPr>
          </w:p>
        </w:tc>
      </w:tr>
      <w:tr w:rsidR="00261C1B"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261C1B" w:rsidRPr="009445EA" w:rsidRDefault="00261C1B" w:rsidP="004C4F47">
            <w:pPr>
              <w:spacing w:line="240" w:lineRule="auto"/>
              <w:ind w:firstLine="0"/>
              <w:jc w:val="left"/>
              <w:rPr>
                <w:sz w:val="20"/>
                <w:szCs w:val="20"/>
              </w:rPr>
            </w:pPr>
            <w:r w:rsidRPr="00BB21B7">
              <w:rPr>
                <w:i/>
                <w:sz w:val="20"/>
                <w:szCs w:val="20"/>
              </w:rPr>
              <w:t>Socio-Demographic Variables</w:t>
            </w:r>
          </w:p>
        </w:tc>
        <w:tc>
          <w:tcPr>
            <w:tcW w:w="900" w:type="dxa"/>
            <w:tcBorders>
              <w:top w:val="nil"/>
              <w:left w:val="double" w:sz="4" w:space="0" w:color="auto"/>
              <w:bottom w:val="nil"/>
            </w:tcBorders>
            <w:vAlign w:val="center"/>
          </w:tcPr>
          <w:p w:rsidR="00261C1B" w:rsidRPr="005F095C" w:rsidRDefault="00261C1B"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261C1B" w:rsidRPr="00BB21B7" w:rsidRDefault="00261C1B"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261C1B" w:rsidRPr="005F095C" w:rsidRDefault="00261C1B" w:rsidP="00D72ECE">
            <w:pPr>
              <w:tabs>
                <w:tab w:val="decimal" w:pos="188"/>
              </w:tabs>
              <w:spacing w:line="240" w:lineRule="auto"/>
              <w:ind w:firstLine="0"/>
              <w:jc w:val="center"/>
              <w:rPr>
                <w:sz w:val="20"/>
                <w:szCs w:val="20"/>
              </w:rPr>
            </w:pPr>
          </w:p>
        </w:tc>
        <w:tc>
          <w:tcPr>
            <w:tcW w:w="900" w:type="dxa"/>
            <w:tcBorders>
              <w:top w:val="nil"/>
              <w:bottom w:val="nil"/>
              <w:right w:val="double" w:sz="4" w:space="0" w:color="auto"/>
            </w:tcBorders>
            <w:vAlign w:val="center"/>
          </w:tcPr>
          <w:p w:rsidR="00261C1B" w:rsidRPr="00BB21B7" w:rsidRDefault="00261C1B" w:rsidP="00D72ECE">
            <w:pPr>
              <w:tabs>
                <w:tab w:val="decimal" w:pos="221"/>
              </w:tabs>
              <w:spacing w:line="240" w:lineRule="auto"/>
              <w:ind w:firstLine="0"/>
              <w:jc w:val="center"/>
              <w:rPr>
                <w:sz w:val="20"/>
                <w:szCs w:val="20"/>
              </w:rPr>
            </w:pPr>
          </w:p>
        </w:tc>
        <w:tc>
          <w:tcPr>
            <w:tcW w:w="900" w:type="dxa"/>
            <w:tcBorders>
              <w:top w:val="nil"/>
              <w:left w:val="double" w:sz="4" w:space="0" w:color="auto"/>
              <w:bottom w:val="nil"/>
            </w:tcBorders>
            <w:vAlign w:val="center"/>
          </w:tcPr>
          <w:p w:rsidR="00261C1B" w:rsidRPr="005F095C" w:rsidRDefault="00261C1B" w:rsidP="00D72ECE">
            <w:pPr>
              <w:tabs>
                <w:tab w:val="decimal" w:pos="170"/>
              </w:tabs>
              <w:spacing w:line="240" w:lineRule="auto"/>
              <w:ind w:firstLine="0"/>
              <w:jc w:val="center"/>
              <w:rPr>
                <w:sz w:val="20"/>
                <w:szCs w:val="20"/>
              </w:rPr>
            </w:pPr>
          </w:p>
        </w:tc>
        <w:tc>
          <w:tcPr>
            <w:tcW w:w="810" w:type="dxa"/>
            <w:tcBorders>
              <w:top w:val="nil"/>
              <w:bottom w:val="nil"/>
              <w:right w:val="double" w:sz="4" w:space="0" w:color="auto"/>
            </w:tcBorders>
            <w:vAlign w:val="center"/>
          </w:tcPr>
          <w:p w:rsidR="00261C1B" w:rsidRPr="00BB21B7" w:rsidRDefault="00261C1B" w:rsidP="00D72ECE">
            <w:pPr>
              <w:tabs>
                <w:tab w:val="decimal" w:pos="275"/>
              </w:tabs>
              <w:spacing w:line="240" w:lineRule="auto"/>
              <w:ind w:firstLine="0"/>
              <w:jc w:val="center"/>
              <w:rPr>
                <w:sz w:val="20"/>
                <w:szCs w:val="20"/>
              </w:rPr>
            </w:pPr>
          </w:p>
        </w:tc>
        <w:tc>
          <w:tcPr>
            <w:tcW w:w="900" w:type="dxa"/>
            <w:tcBorders>
              <w:top w:val="nil"/>
              <w:left w:val="double" w:sz="4" w:space="0" w:color="auto"/>
              <w:bottom w:val="nil"/>
            </w:tcBorders>
            <w:vAlign w:val="center"/>
          </w:tcPr>
          <w:p w:rsidR="00261C1B" w:rsidRPr="00BB21B7" w:rsidRDefault="00261C1B" w:rsidP="00D72ECE">
            <w:pPr>
              <w:tabs>
                <w:tab w:val="decimal" w:pos="222"/>
              </w:tabs>
              <w:spacing w:line="240" w:lineRule="auto"/>
              <w:ind w:firstLine="0"/>
              <w:jc w:val="center"/>
              <w:rPr>
                <w:sz w:val="20"/>
                <w:szCs w:val="20"/>
              </w:rPr>
            </w:pPr>
          </w:p>
        </w:tc>
        <w:tc>
          <w:tcPr>
            <w:tcW w:w="810" w:type="dxa"/>
            <w:tcBorders>
              <w:top w:val="nil"/>
              <w:bottom w:val="nil"/>
              <w:right w:val="double" w:sz="4" w:space="0" w:color="auto"/>
            </w:tcBorders>
            <w:vAlign w:val="center"/>
          </w:tcPr>
          <w:p w:rsidR="00261C1B" w:rsidRPr="00BB21B7" w:rsidRDefault="00261C1B" w:rsidP="00D72ECE">
            <w:pPr>
              <w:tabs>
                <w:tab w:val="decimal" w:pos="255"/>
              </w:tabs>
              <w:spacing w:line="240" w:lineRule="auto"/>
              <w:ind w:firstLine="0"/>
              <w:jc w:val="center"/>
              <w:rPr>
                <w:sz w:val="20"/>
                <w:szCs w:val="20"/>
              </w:rPr>
            </w:pPr>
          </w:p>
        </w:tc>
      </w:tr>
      <w:tr w:rsidR="00FF501D"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FF501D" w:rsidRPr="009445EA" w:rsidRDefault="00261C1B" w:rsidP="004C4F47">
            <w:pPr>
              <w:spacing w:line="240" w:lineRule="auto"/>
              <w:ind w:firstLine="0"/>
              <w:jc w:val="left"/>
              <w:rPr>
                <w:sz w:val="20"/>
                <w:szCs w:val="20"/>
              </w:rPr>
            </w:pPr>
            <w:r>
              <w:rPr>
                <w:sz w:val="20"/>
                <w:szCs w:val="20"/>
              </w:rPr>
              <w:t xml:space="preserve">    </w:t>
            </w:r>
            <w:r w:rsidR="00FF501D" w:rsidRPr="009445EA">
              <w:rPr>
                <w:sz w:val="20"/>
                <w:szCs w:val="20"/>
              </w:rPr>
              <w:t>Log of Population Density</w:t>
            </w:r>
          </w:p>
        </w:tc>
        <w:tc>
          <w:tcPr>
            <w:tcW w:w="900" w:type="dxa"/>
            <w:tcBorders>
              <w:top w:val="nil"/>
              <w:left w:val="double" w:sz="4" w:space="0" w:color="auto"/>
              <w:bottom w:val="nil"/>
            </w:tcBorders>
            <w:vAlign w:val="center"/>
          </w:tcPr>
          <w:p w:rsidR="00FF501D" w:rsidRPr="005F095C" w:rsidRDefault="00FF501D"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FF501D" w:rsidRPr="00BB21B7" w:rsidRDefault="00FF501D"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FF501D" w:rsidRPr="005F095C" w:rsidRDefault="00FF501D" w:rsidP="00D72ECE">
            <w:pPr>
              <w:tabs>
                <w:tab w:val="decimal" w:pos="188"/>
              </w:tabs>
              <w:spacing w:line="240" w:lineRule="auto"/>
              <w:ind w:firstLine="0"/>
              <w:jc w:val="center"/>
              <w:rPr>
                <w:sz w:val="20"/>
                <w:szCs w:val="20"/>
              </w:rPr>
            </w:pPr>
          </w:p>
        </w:tc>
        <w:tc>
          <w:tcPr>
            <w:tcW w:w="900" w:type="dxa"/>
            <w:tcBorders>
              <w:top w:val="nil"/>
              <w:bottom w:val="nil"/>
              <w:right w:val="double" w:sz="4" w:space="0" w:color="auto"/>
            </w:tcBorders>
            <w:vAlign w:val="center"/>
          </w:tcPr>
          <w:p w:rsidR="00FF501D" w:rsidRPr="00BB21B7" w:rsidRDefault="00FF501D" w:rsidP="00D72ECE">
            <w:pPr>
              <w:tabs>
                <w:tab w:val="decimal" w:pos="221"/>
              </w:tabs>
              <w:spacing w:line="240" w:lineRule="auto"/>
              <w:ind w:firstLine="0"/>
              <w:jc w:val="center"/>
              <w:rPr>
                <w:sz w:val="20"/>
                <w:szCs w:val="20"/>
              </w:rPr>
            </w:pPr>
          </w:p>
        </w:tc>
        <w:tc>
          <w:tcPr>
            <w:tcW w:w="900" w:type="dxa"/>
            <w:tcBorders>
              <w:top w:val="nil"/>
              <w:left w:val="double" w:sz="4" w:space="0" w:color="auto"/>
              <w:bottom w:val="nil"/>
            </w:tcBorders>
            <w:vAlign w:val="center"/>
          </w:tcPr>
          <w:p w:rsidR="00FF501D" w:rsidRPr="005F095C" w:rsidRDefault="00FF501D" w:rsidP="00D72ECE">
            <w:pPr>
              <w:tabs>
                <w:tab w:val="decimal" w:pos="170"/>
              </w:tabs>
              <w:spacing w:line="240" w:lineRule="auto"/>
              <w:ind w:firstLine="0"/>
              <w:jc w:val="center"/>
              <w:rPr>
                <w:sz w:val="20"/>
                <w:szCs w:val="20"/>
              </w:rPr>
            </w:pPr>
          </w:p>
        </w:tc>
        <w:tc>
          <w:tcPr>
            <w:tcW w:w="810" w:type="dxa"/>
            <w:tcBorders>
              <w:top w:val="nil"/>
              <w:bottom w:val="nil"/>
              <w:right w:val="double" w:sz="4" w:space="0" w:color="auto"/>
            </w:tcBorders>
            <w:vAlign w:val="center"/>
          </w:tcPr>
          <w:p w:rsidR="00FF501D" w:rsidRPr="00BB21B7" w:rsidRDefault="00FF501D" w:rsidP="00D72ECE">
            <w:pPr>
              <w:tabs>
                <w:tab w:val="decimal" w:pos="275"/>
              </w:tabs>
              <w:spacing w:line="240" w:lineRule="auto"/>
              <w:ind w:firstLine="0"/>
              <w:jc w:val="center"/>
              <w:rPr>
                <w:sz w:val="20"/>
                <w:szCs w:val="20"/>
              </w:rPr>
            </w:pPr>
          </w:p>
        </w:tc>
        <w:tc>
          <w:tcPr>
            <w:tcW w:w="900" w:type="dxa"/>
            <w:tcBorders>
              <w:top w:val="nil"/>
              <w:left w:val="double" w:sz="4" w:space="0" w:color="auto"/>
              <w:bottom w:val="nil"/>
            </w:tcBorders>
            <w:vAlign w:val="center"/>
          </w:tcPr>
          <w:p w:rsidR="00FF501D" w:rsidRPr="00BB21B7" w:rsidRDefault="00FF501D" w:rsidP="00D72ECE">
            <w:pPr>
              <w:tabs>
                <w:tab w:val="decimal" w:pos="222"/>
              </w:tabs>
              <w:spacing w:line="240" w:lineRule="auto"/>
              <w:ind w:firstLine="0"/>
              <w:jc w:val="center"/>
              <w:rPr>
                <w:sz w:val="20"/>
                <w:szCs w:val="20"/>
              </w:rPr>
            </w:pPr>
          </w:p>
        </w:tc>
        <w:tc>
          <w:tcPr>
            <w:tcW w:w="810" w:type="dxa"/>
            <w:tcBorders>
              <w:top w:val="nil"/>
              <w:bottom w:val="nil"/>
              <w:right w:val="double" w:sz="4" w:space="0" w:color="auto"/>
            </w:tcBorders>
            <w:vAlign w:val="center"/>
          </w:tcPr>
          <w:p w:rsidR="00FF501D" w:rsidRPr="00BB21B7" w:rsidRDefault="00FF501D" w:rsidP="00D72ECE">
            <w:pPr>
              <w:tabs>
                <w:tab w:val="decimal" w:pos="255"/>
              </w:tabs>
              <w:spacing w:line="240" w:lineRule="auto"/>
              <w:ind w:firstLine="0"/>
              <w:jc w:val="center"/>
              <w:rPr>
                <w:sz w:val="20"/>
                <w:szCs w:val="20"/>
              </w:rPr>
            </w:pPr>
          </w:p>
        </w:tc>
      </w:tr>
      <w:tr w:rsidR="00FF501D"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FF501D" w:rsidRPr="00BB21B7" w:rsidRDefault="00FF501D" w:rsidP="004C4F47">
            <w:pPr>
              <w:spacing w:line="240" w:lineRule="auto"/>
              <w:ind w:firstLine="0"/>
              <w:jc w:val="left"/>
              <w:rPr>
                <w:sz w:val="20"/>
                <w:szCs w:val="20"/>
              </w:rPr>
            </w:pPr>
            <w:r w:rsidRPr="00BB21B7">
              <w:rPr>
                <w:sz w:val="20"/>
                <w:szCs w:val="20"/>
              </w:rPr>
              <w:t xml:space="preserve">         </w:t>
            </w:r>
            <w:r w:rsidR="008F2F54">
              <w:rPr>
                <w:sz w:val="20"/>
                <w:szCs w:val="20"/>
              </w:rPr>
              <w:t xml:space="preserve">                       </w:t>
            </w:r>
            <w:r w:rsidRPr="00BB21B7">
              <w:rPr>
                <w:sz w:val="20"/>
                <w:szCs w:val="20"/>
              </w:rPr>
              <w:t>Mean</w:t>
            </w:r>
          </w:p>
        </w:tc>
        <w:tc>
          <w:tcPr>
            <w:tcW w:w="900" w:type="dxa"/>
            <w:tcBorders>
              <w:top w:val="nil"/>
              <w:left w:val="double" w:sz="4" w:space="0" w:color="auto"/>
              <w:bottom w:val="nil"/>
            </w:tcBorders>
            <w:vAlign w:val="center"/>
          </w:tcPr>
          <w:p w:rsidR="00FF501D" w:rsidRPr="005F095C" w:rsidRDefault="00FF501D" w:rsidP="00D72ECE">
            <w:pPr>
              <w:tabs>
                <w:tab w:val="decimal" w:pos="204"/>
              </w:tabs>
              <w:spacing w:line="240" w:lineRule="auto"/>
              <w:ind w:firstLine="0"/>
              <w:rPr>
                <w:sz w:val="20"/>
                <w:szCs w:val="20"/>
              </w:rPr>
            </w:pPr>
            <w:r w:rsidRPr="005F095C">
              <w:rPr>
                <w:sz w:val="20"/>
                <w:szCs w:val="20"/>
              </w:rPr>
              <w:t>0.</w:t>
            </w:r>
            <w:r>
              <w:rPr>
                <w:sz w:val="20"/>
                <w:szCs w:val="20"/>
              </w:rPr>
              <w:t>550</w:t>
            </w:r>
          </w:p>
        </w:tc>
        <w:tc>
          <w:tcPr>
            <w:tcW w:w="810" w:type="dxa"/>
            <w:tcBorders>
              <w:top w:val="nil"/>
              <w:bottom w:val="nil"/>
              <w:right w:val="double" w:sz="4" w:space="0" w:color="auto"/>
            </w:tcBorders>
            <w:vAlign w:val="center"/>
          </w:tcPr>
          <w:p w:rsidR="00FF501D" w:rsidRPr="00BB21B7" w:rsidRDefault="00FF501D" w:rsidP="00D72ECE">
            <w:pPr>
              <w:tabs>
                <w:tab w:val="decimal" w:pos="147"/>
              </w:tabs>
              <w:spacing w:line="240" w:lineRule="auto"/>
              <w:ind w:firstLine="0"/>
              <w:jc w:val="center"/>
              <w:rPr>
                <w:sz w:val="20"/>
                <w:szCs w:val="20"/>
              </w:rPr>
            </w:pPr>
            <w:r>
              <w:rPr>
                <w:sz w:val="20"/>
                <w:szCs w:val="20"/>
              </w:rPr>
              <w:t>11.23</w:t>
            </w:r>
          </w:p>
        </w:tc>
        <w:tc>
          <w:tcPr>
            <w:tcW w:w="900" w:type="dxa"/>
            <w:tcBorders>
              <w:top w:val="nil"/>
              <w:left w:val="double" w:sz="4" w:space="0" w:color="auto"/>
              <w:bottom w:val="nil"/>
            </w:tcBorders>
            <w:vAlign w:val="center"/>
          </w:tcPr>
          <w:p w:rsidR="00FF501D" w:rsidRPr="005F095C" w:rsidRDefault="00FF501D" w:rsidP="00D72ECE">
            <w:pPr>
              <w:tabs>
                <w:tab w:val="decimal" w:pos="188"/>
              </w:tabs>
              <w:spacing w:line="240" w:lineRule="auto"/>
              <w:ind w:firstLine="0"/>
              <w:jc w:val="center"/>
              <w:rPr>
                <w:sz w:val="20"/>
                <w:szCs w:val="20"/>
              </w:rPr>
            </w:pPr>
            <w:r w:rsidRPr="005F095C">
              <w:rPr>
                <w:sz w:val="20"/>
                <w:szCs w:val="20"/>
              </w:rPr>
              <w:t>0.</w:t>
            </w:r>
            <w:r>
              <w:rPr>
                <w:sz w:val="20"/>
                <w:szCs w:val="20"/>
              </w:rPr>
              <w:t>650</w:t>
            </w:r>
          </w:p>
        </w:tc>
        <w:tc>
          <w:tcPr>
            <w:tcW w:w="900" w:type="dxa"/>
            <w:tcBorders>
              <w:top w:val="nil"/>
              <w:bottom w:val="nil"/>
              <w:right w:val="double" w:sz="4" w:space="0" w:color="auto"/>
            </w:tcBorders>
            <w:vAlign w:val="center"/>
          </w:tcPr>
          <w:p w:rsidR="00FF501D" w:rsidRPr="00BB21B7" w:rsidRDefault="00FF501D" w:rsidP="00D72ECE">
            <w:pPr>
              <w:tabs>
                <w:tab w:val="decimal" w:pos="221"/>
              </w:tabs>
              <w:spacing w:line="240" w:lineRule="auto"/>
              <w:ind w:firstLine="0"/>
              <w:jc w:val="center"/>
              <w:rPr>
                <w:sz w:val="20"/>
                <w:szCs w:val="20"/>
              </w:rPr>
            </w:pPr>
            <w:r>
              <w:rPr>
                <w:sz w:val="20"/>
                <w:szCs w:val="20"/>
              </w:rPr>
              <w:t>11.49</w:t>
            </w:r>
          </w:p>
        </w:tc>
        <w:tc>
          <w:tcPr>
            <w:tcW w:w="900" w:type="dxa"/>
            <w:tcBorders>
              <w:top w:val="nil"/>
              <w:left w:val="double" w:sz="4" w:space="0" w:color="auto"/>
              <w:bottom w:val="nil"/>
            </w:tcBorders>
            <w:vAlign w:val="center"/>
          </w:tcPr>
          <w:p w:rsidR="00FF501D" w:rsidRPr="005F095C" w:rsidRDefault="00FF501D" w:rsidP="00D72ECE">
            <w:pPr>
              <w:tabs>
                <w:tab w:val="decimal" w:pos="170"/>
              </w:tabs>
              <w:spacing w:line="240" w:lineRule="auto"/>
              <w:ind w:firstLine="0"/>
              <w:jc w:val="center"/>
              <w:rPr>
                <w:sz w:val="20"/>
                <w:szCs w:val="20"/>
              </w:rPr>
            </w:pPr>
            <w:r w:rsidRPr="005F095C">
              <w:rPr>
                <w:sz w:val="20"/>
                <w:szCs w:val="20"/>
              </w:rPr>
              <w:t>0.0</w:t>
            </w:r>
            <w:r>
              <w:rPr>
                <w:sz w:val="20"/>
                <w:szCs w:val="20"/>
              </w:rPr>
              <w:t>58</w:t>
            </w:r>
          </w:p>
        </w:tc>
        <w:tc>
          <w:tcPr>
            <w:tcW w:w="810" w:type="dxa"/>
            <w:tcBorders>
              <w:top w:val="nil"/>
              <w:bottom w:val="nil"/>
              <w:right w:val="double" w:sz="4" w:space="0" w:color="auto"/>
            </w:tcBorders>
            <w:vAlign w:val="center"/>
          </w:tcPr>
          <w:p w:rsidR="00FF501D" w:rsidRPr="00BB21B7" w:rsidRDefault="00FF501D" w:rsidP="00D72ECE">
            <w:pPr>
              <w:tabs>
                <w:tab w:val="decimal" w:pos="275"/>
              </w:tabs>
              <w:spacing w:line="240" w:lineRule="auto"/>
              <w:ind w:firstLine="0"/>
              <w:jc w:val="center"/>
              <w:rPr>
                <w:sz w:val="20"/>
                <w:szCs w:val="20"/>
              </w:rPr>
            </w:pPr>
            <w:r>
              <w:rPr>
                <w:sz w:val="20"/>
                <w:szCs w:val="20"/>
              </w:rPr>
              <w:t>14.35</w:t>
            </w:r>
          </w:p>
        </w:tc>
        <w:tc>
          <w:tcPr>
            <w:tcW w:w="900" w:type="dxa"/>
            <w:tcBorders>
              <w:top w:val="nil"/>
              <w:left w:val="double" w:sz="4" w:space="0" w:color="auto"/>
              <w:bottom w:val="nil"/>
            </w:tcBorders>
            <w:vAlign w:val="center"/>
          </w:tcPr>
          <w:p w:rsidR="00FF501D" w:rsidRPr="00BB21B7" w:rsidRDefault="00FF501D" w:rsidP="00D72ECE">
            <w:pPr>
              <w:tabs>
                <w:tab w:val="decimal" w:pos="222"/>
              </w:tabs>
              <w:spacing w:line="240" w:lineRule="auto"/>
              <w:ind w:firstLine="0"/>
              <w:jc w:val="center"/>
              <w:rPr>
                <w:sz w:val="20"/>
                <w:szCs w:val="20"/>
              </w:rPr>
            </w:pPr>
            <w:r>
              <w:rPr>
                <w:sz w:val="20"/>
                <w:szCs w:val="20"/>
              </w:rPr>
              <w:t>0.287</w:t>
            </w:r>
          </w:p>
        </w:tc>
        <w:tc>
          <w:tcPr>
            <w:tcW w:w="810" w:type="dxa"/>
            <w:tcBorders>
              <w:top w:val="nil"/>
              <w:bottom w:val="nil"/>
              <w:right w:val="double" w:sz="4" w:space="0" w:color="auto"/>
            </w:tcBorders>
            <w:vAlign w:val="center"/>
          </w:tcPr>
          <w:p w:rsidR="00FF501D" w:rsidRPr="00BB21B7" w:rsidRDefault="00FF501D" w:rsidP="00D72ECE">
            <w:pPr>
              <w:tabs>
                <w:tab w:val="decimal" w:pos="255"/>
              </w:tabs>
              <w:spacing w:line="240" w:lineRule="auto"/>
              <w:ind w:firstLine="0"/>
              <w:jc w:val="center"/>
              <w:rPr>
                <w:sz w:val="20"/>
                <w:szCs w:val="20"/>
              </w:rPr>
            </w:pPr>
            <w:r>
              <w:rPr>
                <w:sz w:val="20"/>
                <w:szCs w:val="20"/>
              </w:rPr>
              <w:t>13.21</w:t>
            </w:r>
          </w:p>
        </w:tc>
      </w:tr>
      <w:tr w:rsidR="00FF501D"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FF501D" w:rsidRPr="00BB21B7" w:rsidRDefault="00FF501D" w:rsidP="004C4F47">
            <w:pPr>
              <w:spacing w:line="240" w:lineRule="auto"/>
              <w:ind w:firstLine="0"/>
              <w:jc w:val="left"/>
              <w:rPr>
                <w:sz w:val="20"/>
                <w:szCs w:val="20"/>
              </w:rPr>
            </w:pPr>
            <w:r w:rsidRPr="00BB21B7">
              <w:rPr>
                <w:sz w:val="20"/>
                <w:szCs w:val="20"/>
              </w:rPr>
              <w:t xml:space="preserve">         </w:t>
            </w:r>
            <w:r w:rsidR="008F2F54">
              <w:rPr>
                <w:sz w:val="20"/>
                <w:szCs w:val="20"/>
              </w:rPr>
              <w:t xml:space="preserve">                       </w:t>
            </w:r>
            <w:r>
              <w:rPr>
                <w:sz w:val="20"/>
                <w:szCs w:val="20"/>
              </w:rPr>
              <w:t>Standard Deviation</w:t>
            </w:r>
          </w:p>
        </w:tc>
        <w:tc>
          <w:tcPr>
            <w:tcW w:w="900" w:type="dxa"/>
            <w:tcBorders>
              <w:top w:val="nil"/>
              <w:left w:val="double" w:sz="4" w:space="0" w:color="auto"/>
              <w:bottom w:val="nil"/>
            </w:tcBorders>
            <w:vAlign w:val="center"/>
          </w:tcPr>
          <w:p w:rsidR="00FF501D" w:rsidRPr="009F45C2" w:rsidRDefault="00FF501D" w:rsidP="00D72ECE">
            <w:pPr>
              <w:tabs>
                <w:tab w:val="decimal" w:pos="204"/>
              </w:tabs>
              <w:spacing w:line="240" w:lineRule="auto"/>
              <w:ind w:firstLine="0"/>
              <w:rPr>
                <w:sz w:val="20"/>
                <w:szCs w:val="20"/>
              </w:rPr>
            </w:pPr>
            <w:r w:rsidRPr="009F45C2">
              <w:rPr>
                <w:sz w:val="20"/>
                <w:szCs w:val="20"/>
              </w:rPr>
              <w:t>0.217</w:t>
            </w:r>
          </w:p>
        </w:tc>
        <w:tc>
          <w:tcPr>
            <w:tcW w:w="810" w:type="dxa"/>
            <w:tcBorders>
              <w:top w:val="nil"/>
              <w:bottom w:val="nil"/>
              <w:right w:val="double" w:sz="4" w:space="0" w:color="auto"/>
            </w:tcBorders>
            <w:vAlign w:val="center"/>
          </w:tcPr>
          <w:p w:rsidR="00FF501D" w:rsidRPr="009F45C2" w:rsidRDefault="00FF501D" w:rsidP="00D72ECE">
            <w:pPr>
              <w:tabs>
                <w:tab w:val="decimal" w:pos="147"/>
              </w:tabs>
              <w:spacing w:line="240" w:lineRule="auto"/>
              <w:ind w:firstLine="0"/>
              <w:jc w:val="center"/>
              <w:rPr>
                <w:sz w:val="20"/>
                <w:szCs w:val="20"/>
              </w:rPr>
            </w:pPr>
            <w:r w:rsidRPr="009F45C2">
              <w:rPr>
                <w:sz w:val="20"/>
                <w:szCs w:val="20"/>
              </w:rPr>
              <w:t>4.34</w:t>
            </w:r>
          </w:p>
        </w:tc>
        <w:tc>
          <w:tcPr>
            <w:tcW w:w="900" w:type="dxa"/>
            <w:tcBorders>
              <w:top w:val="nil"/>
              <w:left w:val="double" w:sz="4" w:space="0" w:color="auto"/>
              <w:bottom w:val="nil"/>
            </w:tcBorders>
            <w:vAlign w:val="center"/>
          </w:tcPr>
          <w:p w:rsidR="00FF501D" w:rsidRPr="009F45C2" w:rsidRDefault="00FF501D" w:rsidP="00D72ECE">
            <w:pPr>
              <w:tabs>
                <w:tab w:val="decimal" w:pos="188"/>
              </w:tabs>
              <w:spacing w:line="240" w:lineRule="auto"/>
              <w:ind w:firstLine="0"/>
              <w:jc w:val="center"/>
              <w:rPr>
                <w:sz w:val="20"/>
                <w:szCs w:val="20"/>
              </w:rPr>
            </w:pPr>
            <w:r w:rsidRPr="009F45C2">
              <w:rPr>
                <w:sz w:val="20"/>
                <w:szCs w:val="20"/>
              </w:rPr>
              <w:t>0.398</w:t>
            </w:r>
          </w:p>
        </w:tc>
        <w:tc>
          <w:tcPr>
            <w:tcW w:w="900" w:type="dxa"/>
            <w:tcBorders>
              <w:top w:val="nil"/>
              <w:bottom w:val="nil"/>
              <w:right w:val="double" w:sz="4" w:space="0" w:color="auto"/>
            </w:tcBorders>
            <w:vAlign w:val="center"/>
          </w:tcPr>
          <w:p w:rsidR="00FF501D" w:rsidRPr="009F45C2" w:rsidRDefault="00FF501D" w:rsidP="00D72ECE">
            <w:pPr>
              <w:tabs>
                <w:tab w:val="decimal" w:pos="221"/>
              </w:tabs>
              <w:spacing w:line="240" w:lineRule="auto"/>
              <w:ind w:firstLine="0"/>
              <w:jc w:val="center"/>
              <w:rPr>
                <w:sz w:val="20"/>
                <w:szCs w:val="20"/>
              </w:rPr>
            </w:pPr>
            <w:r w:rsidRPr="009F45C2">
              <w:rPr>
                <w:sz w:val="20"/>
                <w:szCs w:val="20"/>
              </w:rPr>
              <w:t>2.43</w:t>
            </w:r>
          </w:p>
        </w:tc>
        <w:tc>
          <w:tcPr>
            <w:tcW w:w="900" w:type="dxa"/>
            <w:tcBorders>
              <w:top w:val="nil"/>
              <w:left w:val="double" w:sz="4" w:space="0" w:color="auto"/>
              <w:bottom w:val="nil"/>
            </w:tcBorders>
            <w:vAlign w:val="center"/>
          </w:tcPr>
          <w:p w:rsidR="00FF501D" w:rsidRPr="00226535" w:rsidRDefault="00FF501D" w:rsidP="00D72ECE">
            <w:pPr>
              <w:tabs>
                <w:tab w:val="decimal" w:pos="170"/>
              </w:tabs>
              <w:spacing w:line="240" w:lineRule="auto"/>
              <w:ind w:firstLine="0"/>
              <w:jc w:val="center"/>
              <w:rPr>
                <w:sz w:val="20"/>
                <w:szCs w:val="20"/>
              </w:rPr>
            </w:pPr>
          </w:p>
        </w:tc>
        <w:tc>
          <w:tcPr>
            <w:tcW w:w="810" w:type="dxa"/>
            <w:tcBorders>
              <w:top w:val="nil"/>
              <w:bottom w:val="nil"/>
              <w:right w:val="double" w:sz="4" w:space="0" w:color="auto"/>
            </w:tcBorders>
            <w:vAlign w:val="center"/>
          </w:tcPr>
          <w:p w:rsidR="00FF501D" w:rsidRPr="00226535" w:rsidRDefault="00FF501D" w:rsidP="00D72ECE">
            <w:pPr>
              <w:tabs>
                <w:tab w:val="decimal" w:pos="275"/>
              </w:tabs>
              <w:spacing w:line="240" w:lineRule="auto"/>
              <w:ind w:firstLine="0"/>
              <w:jc w:val="center"/>
              <w:rPr>
                <w:sz w:val="20"/>
                <w:szCs w:val="20"/>
              </w:rPr>
            </w:pPr>
          </w:p>
        </w:tc>
        <w:tc>
          <w:tcPr>
            <w:tcW w:w="900" w:type="dxa"/>
            <w:tcBorders>
              <w:top w:val="nil"/>
              <w:left w:val="double" w:sz="4" w:space="0" w:color="auto"/>
              <w:bottom w:val="nil"/>
            </w:tcBorders>
            <w:vAlign w:val="center"/>
          </w:tcPr>
          <w:p w:rsidR="00FF501D" w:rsidRPr="00226535" w:rsidRDefault="00FF501D" w:rsidP="00D72ECE">
            <w:pPr>
              <w:tabs>
                <w:tab w:val="decimal" w:pos="222"/>
              </w:tabs>
              <w:spacing w:line="240" w:lineRule="auto"/>
              <w:ind w:firstLine="0"/>
              <w:jc w:val="center"/>
              <w:rPr>
                <w:sz w:val="20"/>
                <w:szCs w:val="20"/>
              </w:rPr>
            </w:pPr>
          </w:p>
        </w:tc>
        <w:tc>
          <w:tcPr>
            <w:tcW w:w="810" w:type="dxa"/>
            <w:tcBorders>
              <w:top w:val="nil"/>
              <w:bottom w:val="nil"/>
              <w:right w:val="double" w:sz="4" w:space="0" w:color="auto"/>
            </w:tcBorders>
            <w:vAlign w:val="center"/>
          </w:tcPr>
          <w:p w:rsidR="00FF501D" w:rsidRPr="00226535" w:rsidRDefault="00FF501D" w:rsidP="00D72ECE">
            <w:pPr>
              <w:tabs>
                <w:tab w:val="decimal" w:pos="255"/>
              </w:tabs>
              <w:spacing w:line="240" w:lineRule="auto"/>
              <w:ind w:firstLine="0"/>
              <w:jc w:val="center"/>
              <w:rPr>
                <w:sz w:val="20"/>
                <w:szCs w:val="20"/>
              </w:rPr>
            </w:pPr>
          </w:p>
        </w:tc>
      </w:tr>
      <w:tr w:rsidR="00FF501D"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FF501D" w:rsidRPr="00BB21B7" w:rsidRDefault="00FF501D" w:rsidP="004C4F47">
            <w:pPr>
              <w:spacing w:line="240" w:lineRule="auto"/>
              <w:ind w:left="187" w:hanging="187"/>
              <w:jc w:val="left"/>
              <w:rPr>
                <w:sz w:val="20"/>
                <w:szCs w:val="20"/>
              </w:rPr>
            </w:pPr>
            <w:r w:rsidRPr="00BB21B7">
              <w:rPr>
                <w:sz w:val="20"/>
                <w:szCs w:val="20"/>
              </w:rPr>
              <w:t xml:space="preserve">    Proportion of population </w:t>
            </w:r>
            <w:r w:rsidR="00B946EC">
              <w:rPr>
                <w:sz w:val="20"/>
                <w:szCs w:val="20"/>
              </w:rPr>
              <w:t>&lt;=</w:t>
            </w:r>
            <w:r w:rsidRPr="00BB21B7">
              <w:rPr>
                <w:sz w:val="20"/>
                <w:szCs w:val="20"/>
              </w:rPr>
              <w:t xml:space="preserve">19 </w:t>
            </w:r>
            <w:r w:rsidR="00B946EC">
              <w:rPr>
                <w:sz w:val="20"/>
                <w:szCs w:val="20"/>
              </w:rPr>
              <w:t>years</w:t>
            </w:r>
          </w:p>
        </w:tc>
        <w:tc>
          <w:tcPr>
            <w:tcW w:w="900" w:type="dxa"/>
            <w:tcBorders>
              <w:top w:val="nil"/>
              <w:left w:val="double" w:sz="4" w:space="0" w:color="auto"/>
              <w:bottom w:val="nil"/>
            </w:tcBorders>
            <w:vAlign w:val="center"/>
          </w:tcPr>
          <w:p w:rsidR="00FF501D" w:rsidRPr="00226535" w:rsidRDefault="00FF501D"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FF501D" w:rsidRPr="00226535" w:rsidRDefault="00FF501D"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FF501D" w:rsidRPr="00226535" w:rsidRDefault="00FF501D" w:rsidP="00D72ECE">
            <w:pPr>
              <w:tabs>
                <w:tab w:val="decimal" w:pos="188"/>
              </w:tabs>
              <w:spacing w:line="240" w:lineRule="auto"/>
              <w:ind w:firstLine="0"/>
              <w:jc w:val="center"/>
              <w:rPr>
                <w:sz w:val="20"/>
                <w:szCs w:val="20"/>
              </w:rPr>
            </w:pPr>
          </w:p>
        </w:tc>
        <w:tc>
          <w:tcPr>
            <w:tcW w:w="900" w:type="dxa"/>
            <w:tcBorders>
              <w:top w:val="nil"/>
              <w:bottom w:val="nil"/>
              <w:right w:val="double" w:sz="4" w:space="0" w:color="auto"/>
            </w:tcBorders>
            <w:vAlign w:val="center"/>
          </w:tcPr>
          <w:p w:rsidR="00FF501D" w:rsidRPr="00226535" w:rsidRDefault="00FF501D" w:rsidP="00D72ECE">
            <w:pPr>
              <w:tabs>
                <w:tab w:val="decimal" w:pos="221"/>
              </w:tabs>
              <w:spacing w:line="240" w:lineRule="auto"/>
              <w:ind w:firstLine="0"/>
              <w:jc w:val="center"/>
              <w:rPr>
                <w:sz w:val="20"/>
                <w:szCs w:val="20"/>
              </w:rPr>
            </w:pPr>
          </w:p>
        </w:tc>
        <w:tc>
          <w:tcPr>
            <w:tcW w:w="900" w:type="dxa"/>
            <w:tcBorders>
              <w:top w:val="nil"/>
              <w:left w:val="double" w:sz="4" w:space="0" w:color="auto"/>
              <w:bottom w:val="nil"/>
            </w:tcBorders>
            <w:vAlign w:val="center"/>
          </w:tcPr>
          <w:p w:rsidR="00FF501D" w:rsidRPr="00226535" w:rsidRDefault="00FF501D" w:rsidP="00D72ECE">
            <w:pPr>
              <w:tabs>
                <w:tab w:val="decimal" w:pos="170"/>
              </w:tabs>
              <w:spacing w:line="240" w:lineRule="auto"/>
              <w:ind w:firstLine="0"/>
              <w:jc w:val="center"/>
              <w:rPr>
                <w:sz w:val="20"/>
                <w:szCs w:val="20"/>
              </w:rPr>
            </w:pPr>
          </w:p>
        </w:tc>
        <w:tc>
          <w:tcPr>
            <w:tcW w:w="810" w:type="dxa"/>
            <w:tcBorders>
              <w:top w:val="nil"/>
              <w:bottom w:val="nil"/>
              <w:right w:val="double" w:sz="4" w:space="0" w:color="auto"/>
            </w:tcBorders>
            <w:vAlign w:val="center"/>
          </w:tcPr>
          <w:p w:rsidR="00FF501D" w:rsidRPr="00226535" w:rsidRDefault="00FF501D" w:rsidP="00D72ECE">
            <w:pPr>
              <w:tabs>
                <w:tab w:val="decimal" w:pos="275"/>
              </w:tabs>
              <w:spacing w:line="240" w:lineRule="auto"/>
              <w:ind w:firstLine="0"/>
              <w:jc w:val="center"/>
              <w:rPr>
                <w:sz w:val="20"/>
                <w:szCs w:val="20"/>
              </w:rPr>
            </w:pPr>
          </w:p>
        </w:tc>
        <w:tc>
          <w:tcPr>
            <w:tcW w:w="900" w:type="dxa"/>
            <w:tcBorders>
              <w:top w:val="nil"/>
              <w:left w:val="double" w:sz="4" w:space="0" w:color="auto"/>
              <w:bottom w:val="nil"/>
            </w:tcBorders>
            <w:vAlign w:val="center"/>
          </w:tcPr>
          <w:p w:rsidR="00FF501D" w:rsidRPr="00226535" w:rsidRDefault="00FF501D" w:rsidP="00D72ECE">
            <w:pPr>
              <w:tabs>
                <w:tab w:val="decimal" w:pos="222"/>
              </w:tabs>
              <w:spacing w:line="240" w:lineRule="auto"/>
              <w:ind w:firstLine="0"/>
              <w:jc w:val="center"/>
              <w:rPr>
                <w:sz w:val="20"/>
                <w:szCs w:val="20"/>
              </w:rPr>
            </w:pPr>
          </w:p>
        </w:tc>
        <w:tc>
          <w:tcPr>
            <w:tcW w:w="810" w:type="dxa"/>
            <w:tcBorders>
              <w:top w:val="nil"/>
              <w:bottom w:val="nil"/>
              <w:right w:val="double" w:sz="4" w:space="0" w:color="auto"/>
            </w:tcBorders>
            <w:vAlign w:val="center"/>
          </w:tcPr>
          <w:p w:rsidR="00FF501D" w:rsidRPr="00226535" w:rsidRDefault="00FF501D" w:rsidP="00D72ECE">
            <w:pPr>
              <w:tabs>
                <w:tab w:val="decimal" w:pos="255"/>
              </w:tabs>
              <w:spacing w:line="240" w:lineRule="auto"/>
              <w:ind w:firstLine="0"/>
              <w:jc w:val="center"/>
              <w:rPr>
                <w:sz w:val="20"/>
                <w:szCs w:val="20"/>
              </w:rPr>
            </w:pPr>
          </w:p>
        </w:tc>
      </w:tr>
      <w:tr w:rsidR="00FF501D"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FF501D" w:rsidRPr="00BB21B7" w:rsidRDefault="00FF501D" w:rsidP="004C4F47">
            <w:pPr>
              <w:spacing w:line="240" w:lineRule="auto"/>
              <w:ind w:firstLine="0"/>
              <w:jc w:val="left"/>
              <w:rPr>
                <w:sz w:val="20"/>
                <w:szCs w:val="20"/>
              </w:rPr>
            </w:pPr>
            <w:r w:rsidRPr="00BB21B7">
              <w:rPr>
                <w:sz w:val="20"/>
                <w:szCs w:val="20"/>
              </w:rPr>
              <w:t xml:space="preserve">         </w:t>
            </w:r>
            <w:r w:rsidR="008F2F54">
              <w:rPr>
                <w:sz w:val="20"/>
                <w:szCs w:val="20"/>
              </w:rPr>
              <w:t xml:space="preserve">                       </w:t>
            </w:r>
            <w:r w:rsidRPr="00BB21B7">
              <w:rPr>
                <w:sz w:val="20"/>
                <w:szCs w:val="20"/>
              </w:rPr>
              <w:t>Mean</w:t>
            </w:r>
          </w:p>
        </w:tc>
        <w:tc>
          <w:tcPr>
            <w:tcW w:w="900" w:type="dxa"/>
            <w:tcBorders>
              <w:top w:val="nil"/>
              <w:left w:val="double" w:sz="4" w:space="0" w:color="auto"/>
              <w:bottom w:val="nil"/>
            </w:tcBorders>
            <w:vAlign w:val="center"/>
          </w:tcPr>
          <w:p w:rsidR="00FF501D" w:rsidRPr="00226535" w:rsidRDefault="00FF501D"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FF501D" w:rsidRPr="00226535" w:rsidRDefault="00FF501D"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FF501D" w:rsidRPr="00226535" w:rsidRDefault="00FF501D" w:rsidP="00D72ECE">
            <w:pPr>
              <w:tabs>
                <w:tab w:val="decimal" w:pos="188"/>
              </w:tabs>
              <w:spacing w:line="240" w:lineRule="auto"/>
              <w:ind w:firstLine="0"/>
              <w:jc w:val="center"/>
              <w:rPr>
                <w:sz w:val="20"/>
                <w:szCs w:val="20"/>
              </w:rPr>
            </w:pPr>
          </w:p>
        </w:tc>
        <w:tc>
          <w:tcPr>
            <w:tcW w:w="900" w:type="dxa"/>
            <w:tcBorders>
              <w:top w:val="nil"/>
              <w:bottom w:val="nil"/>
              <w:right w:val="double" w:sz="4" w:space="0" w:color="auto"/>
            </w:tcBorders>
            <w:vAlign w:val="center"/>
          </w:tcPr>
          <w:p w:rsidR="00FF501D" w:rsidRPr="00226535" w:rsidRDefault="00FF501D" w:rsidP="00D72ECE">
            <w:pPr>
              <w:tabs>
                <w:tab w:val="decimal" w:pos="221"/>
              </w:tabs>
              <w:spacing w:line="240" w:lineRule="auto"/>
              <w:ind w:firstLine="0"/>
              <w:jc w:val="center"/>
              <w:rPr>
                <w:sz w:val="20"/>
                <w:szCs w:val="20"/>
              </w:rPr>
            </w:pPr>
          </w:p>
        </w:tc>
        <w:tc>
          <w:tcPr>
            <w:tcW w:w="900" w:type="dxa"/>
            <w:tcBorders>
              <w:top w:val="nil"/>
              <w:left w:val="double" w:sz="4" w:space="0" w:color="auto"/>
              <w:bottom w:val="nil"/>
            </w:tcBorders>
            <w:vAlign w:val="center"/>
          </w:tcPr>
          <w:p w:rsidR="00FF501D" w:rsidRPr="00226535" w:rsidRDefault="00FF501D" w:rsidP="00D72ECE">
            <w:pPr>
              <w:tabs>
                <w:tab w:val="decimal" w:pos="170"/>
              </w:tabs>
              <w:spacing w:line="240" w:lineRule="auto"/>
              <w:ind w:firstLine="0"/>
              <w:jc w:val="center"/>
              <w:rPr>
                <w:sz w:val="20"/>
                <w:szCs w:val="20"/>
              </w:rPr>
            </w:pPr>
            <w:r w:rsidRPr="00226535">
              <w:rPr>
                <w:sz w:val="20"/>
                <w:szCs w:val="20"/>
              </w:rPr>
              <w:t>-1.</w:t>
            </w:r>
            <w:r>
              <w:rPr>
                <w:sz w:val="20"/>
                <w:szCs w:val="20"/>
              </w:rPr>
              <w:t>378</w:t>
            </w:r>
          </w:p>
        </w:tc>
        <w:tc>
          <w:tcPr>
            <w:tcW w:w="810" w:type="dxa"/>
            <w:tcBorders>
              <w:top w:val="nil"/>
              <w:bottom w:val="nil"/>
              <w:right w:val="double" w:sz="4" w:space="0" w:color="auto"/>
            </w:tcBorders>
            <w:vAlign w:val="center"/>
          </w:tcPr>
          <w:p w:rsidR="00FF501D" w:rsidRPr="00226535" w:rsidRDefault="00FF501D" w:rsidP="00D72ECE">
            <w:pPr>
              <w:tabs>
                <w:tab w:val="decimal" w:pos="275"/>
              </w:tabs>
              <w:spacing w:line="240" w:lineRule="auto"/>
              <w:ind w:firstLine="0"/>
              <w:jc w:val="center"/>
              <w:rPr>
                <w:sz w:val="20"/>
                <w:szCs w:val="20"/>
              </w:rPr>
            </w:pPr>
            <w:r w:rsidRPr="00226535">
              <w:rPr>
                <w:sz w:val="20"/>
                <w:szCs w:val="20"/>
              </w:rPr>
              <w:t>-</w:t>
            </w:r>
            <w:r>
              <w:rPr>
                <w:sz w:val="20"/>
                <w:szCs w:val="20"/>
              </w:rPr>
              <w:t>8.81</w:t>
            </w:r>
          </w:p>
        </w:tc>
        <w:tc>
          <w:tcPr>
            <w:tcW w:w="900" w:type="dxa"/>
            <w:tcBorders>
              <w:top w:val="nil"/>
              <w:left w:val="double" w:sz="4" w:space="0" w:color="auto"/>
              <w:bottom w:val="nil"/>
            </w:tcBorders>
            <w:vAlign w:val="center"/>
          </w:tcPr>
          <w:p w:rsidR="00FF501D" w:rsidRPr="00226535" w:rsidRDefault="00FF501D" w:rsidP="00D72ECE">
            <w:pPr>
              <w:tabs>
                <w:tab w:val="decimal" w:pos="222"/>
              </w:tabs>
              <w:spacing w:line="240" w:lineRule="auto"/>
              <w:ind w:firstLine="0"/>
              <w:jc w:val="center"/>
              <w:rPr>
                <w:sz w:val="20"/>
                <w:szCs w:val="20"/>
              </w:rPr>
            </w:pPr>
          </w:p>
        </w:tc>
        <w:tc>
          <w:tcPr>
            <w:tcW w:w="810" w:type="dxa"/>
            <w:tcBorders>
              <w:top w:val="nil"/>
              <w:bottom w:val="nil"/>
              <w:right w:val="double" w:sz="4" w:space="0" w:color="auto"/>
            </w:tcBorders>
            <w:vAlign w:val="center"/>
          </w:tcPr>
          <w:p w:rsidR="00FF501D" w:rsidRPr="00226535" w:rsidRDefault="00FF501D" w:rsidP="00D72ECE">
            <w:pPr>
              <w:tabs>
                <w:tab w:val="decimal" w:pos="255"/>
              </w:tabs>
              <w:spacing w:line="240" w:lineRule="auto"/>
              <w:ind w:firstLine="0"/>
              <w:jc w:val="center"/>
              <w:rPr>
                <w:sz w:val="20"/>
                <w:szCs w:val="20"/>
              </w:rPr>
            </w:pPr>
          </w:p>
        </w:tc>
      </w:tr>
      <w:tr w:rsidR="00FF501D"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FF501D" w:rsidRPr="00BB21B7" w:rsidRDefault="00FF501D" w:rsidP="004C4F47">
            <w:pPr>
              <w:spacing w:line="240" w:lineRule="auto"/>
              <w:ind w:firstLine="0"/>
              <w:jc w:val="left"/>
              <w:rPr>
                <w:sz w:val="20"/>
                <w:szCs w:val="20"/>
              </w:rPr>
            </w:pPr>
            <w:r w:rsidRPr="00BB21B7">
              <w:rPr>
                <w:sz w:val="20"/>
                <w:szCs w:val="20"/>
              </w:rPr>
              <w:t xml:space="preserve">         </w:t>
            </w:r>
            <w:r w:rsidR="008F2F54">
              <w:rPr>
                <w:sz w:val="20"/>
                <w:szCs w:val="20"/>
              </w:rPr>
              <w:t xml:space="preserve">                       </w:t>
            </w:r>
            <w:r>
              <w:rPr>
                <w:sz w:val="20"/>
                <w:szCs w:val="20"/>
              </w:rPr>
              <w:t>Standard Deviation</w:t>
            </w:r>
          </w:p>
        </w:tc>
        <w:tc>
          <w:tcPr>
            <w:tcW w:w="900" w:type="dxa"/>
            <w:tcBorders>
              <w:top w:val="nil"/>
              <w:left w:val="double" w:sz="4" w:space="0" w:color="auto"/>
              <w:bottom w:val="nil"/>
            </w:tcBorders>
            <w:vAlign w:val="center"/>
          </w:tcPr>
          <w:p w:rsidR="00FF501D" w:rsidRPr="00226535" w:rsidRDefault="00FF501D"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FF501D" w:rsidRPr="00226535" w:rsidRDefault="00FF501D"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FF501D" w:rsidRPr="00226535" w:rsidRDefault="00FF501D" w:rsidP="00D72ECE">
            <w:pPr>
              <w:tabs>
                <w:tab w:val="decimal" w:pos="188"/>
              </w:tabs>
              <w:spacing w:line="240" w:lineRule="auto"/>
              <w:ind w:firstLine="0"/>
              <w:jc w:val="center"/>
              <w:rPr>
                <w:sz w:val="20"/>
                <w:szCs w:val="20"/>
              </w:rPr>
            </w:pPr>
          </w:p>
        </w:tc>
        <w:tc>
          <w:tcPr>
            <w:tcW w:w="900" w:type="dxa"/>
            <w:tcBorders>
              <w:top w:val="nil"/>
              <w:bottom w:val="nil"/>
              <w:right w:val="double" w:sz="4" w:space="0" w:color="auto"/>
            </w:tcBorders>
            <w:vAlign w:val="center"/>
          </w:tcPr>
          <w:p w:rsidR="00FF501D" w:rsidRPr="00226535" w:rsidRDefault="00FF501D" w:rsidP="00D72ECE">
            <w:pPr>
              <w:tabs>
                <w:tab w:val="decimal" w:pos="221"/>
              </w:tabs>
              <w:spacing w:line="240" w:lineRule="auto"/>
              <w:ind w:firstLine="0"/>
              <w:jc w:val="center"/>
              <w:rPr>
                <w:sz w:val="20"/>
                <w:szCs w:val="20"/>
              </w:rPr>
            </w:pPr>
          </w:p>
        </w:tc>
        <w:tc>
          <w:tcPr>
            <w:tcW w:w="900" w:type="dxa"/>
            <w:tcBorders>
              <w:top w:val="nil"/>
              <w:left w:val="double" w:sz="4" w:space="0" w:color="auto"/>
              <w:bottom w:val="nil"/>
            </w:tcBorders>
            <w:vAlign w:val="center"/>
          </w:tcPr>
          <w:p w:rsidR="00FF501D" w:rsidRPr="00226535" w:rsidRDefault="00FF501D" w:rsidP="00D72ECE">
            <w:pPr>
              <w:tabs>
                <w:tab w:val="decimal" w:pos="170"/>
              </w:tabs>
              <w:spacing w:line="240" w:lineRule="auto"/>
              <w:ind w:firstLine="0"/>
              <w:jc w:val="center"/>
              <w:rPr>
                <w:sz w:val="20"/>
                <w:szCs w:val="20"/>
              </w:rPr>
            </w:pPr>
          </w:p>
        </w:tc>
        <w:tc>
          <w:tcPr>
            <w:tcW w:w="810" w:type="dxa"/>
            <w:tcBorders>
              <w:top w:val="nil"/>
              <w:bottom w:val="nil"/>
              <w:right w:val="double" w:sz="4" w:space="0" w:color="auto"/>
            </w:tcBorders>
            <w:vAlign w:val="center"/>
          </w:tcPr>
          <w:p w:rsidR="00FF501D" w:rsidRPr="00226535" w:rsidRDefault="00FF501D" w:rsidP="00D72ECE">
            <w:pPr>
              <w:tabs>
                <w:tab w:val="decimal" w:pos="275"/>
              </w:tabs>
              <w:spacing w:line="240" w:lineRule="auto"/>
              <w:ind w:firstLine="0"/>
              <w:jc w:val="center"/>
              <w:rPr>
                <w:sz w:val="20"/>
                <w:szCs w:val="20"/>
              </w:rPr>
            </w:pPr>
          </w:p>
        </w:tc>
        <w:tc>
          <w:tcPr>
            <w:tcW w:w="900" w:type="dxa"/>
            <w:tcBorders>
              <w:top w:val="nil"/>
              <w:left w:val="double" w:sz="4" w:space="0" w:color="auto"/>
              <w:bottom w:val="nil"/>
            </w:tcBorders>
            <w:vAlign w:val="center"/>
          </w:tcPr>
          <w:p w:rsidR="00FF501D" w:rsidRPr="00226535" w:rsidRDefault="00FF501D" w:rsidP="00D72ECE">
            <w:pPr>
              <w:tabs>
                <w:tab w:val="decimal" w:pos="222"/>
              </w:tabs>
              <w:spacing w:line="240" w:lineRule="auto"/>
              <w:ind w:firstLine="0"/>
              <w:jc w:val="center"/>
              <w:rPr>
                <w:sz w:val="20"/>
                <w:szCs w:val="20"/>
              </w:rPr>
            </w:pPr>
          </w:p>
        </w:tc>
        <w:tc>
          <w:tcPr>
            <w:tcW w:w="810" w:type="dxa"/>
            <w:tcBorders>
              <w:top w:val="nil"/>
              <w:bottom w:val="nil"/>
              <w:right w:val="double" w:sz="4" w:space="0" w:color="auto"/>
            </w:tcBorders>
            <w:vAlign w:val="center"/>
          </w:tcPr>
          <w:p w:rsidR="00FF501D" w:rsidRPr="00226535" w:rsidRDefault="00FF501D" w:rsidP="00D72ECE">
            <w:pPr>
              <w:tabs>
                <w:tab w:val="decimal" w:pos="255"/>
              </w:tabs>
              <w:spacing w:line="240" w:lineRule="auto"/>
              <w:ind w:firstLine="0"/>
              <w:jc w:val="center"/>
              <w:rPr>
                <w:sz w:val="20"/>
                <w:szCs w:val="20"/>
              </w:rPr>
            </w:pPr>
          </w:p>
        </w:tc>
      </w:tr>
      <w:tr w:rsidR="00FF501D"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FF501D" w:rsidRPr="00BB21B7" w:rsidRDefault="00FF501D" w:rsidP="004C4F47">
            <w:pPr>
              <w:spacing w:line="240" w:lineRule="auto"/>
              <w:ind w:left="187" w:hanging="187"/>
              <w:jc w:val="left"/>
              <w:rPr>
                <w:sz w:val="20"/>
                <w:szCs w:val="20"/>
              </w:rPr>
            </w:pPr>
            <w:r w:rsidRPr="00BB21B7">
              <w:rPr>
                <w:sz w:val="20"/>
                <w:szCs w:val="20"/>
              </w:rPr>
              <w:t xml:space="preserve">    Proportion of </w:t>
            </w:r>
            <w:r w:rsidR="00B946EC">
              <w:rPr>
                <w:sz w:val="20"/>
                <w:szCs w:val="20"/>
              </w:rPr>
              <w:t xml:space="preserve">adults (&gt;=18 years) </w:t>
            </w:r>
            <w:r w:rsidRPr="00BB21B7">
              <w:rPr>
                <w:sz w:val="20"/>
                <w:szCs w:val="20"/>
              </w:rPr>
              <w:t>without high school degree</w:t>
            </w:r>
          </w:p>
        </w:tc>
        <w:tc>
          <w:tcPr>
            <w:tcW w:w="900" w:type="dxa"/>
            <w:tcBorders>
              <w:top w:val="nil"/>
              <w:left w:val="double" w:sz="4" w:space="0" w:color="auto"/>
              <w:bottom w:val="nil"/>
            </w:tcBorders>
            <w:vAlign w:val="center"/>
          </w:tcPr>
          <w:p w:rsidR="00FF501D" w:rsidRPr="00226535" w:rsidRDefault="00FF501D"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FF501D" w:rsidRPr="00226535" w:rsidRDefault="00FF501D"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FF501D" w:rsidRPr="00226535" w:rsidRDefault="00FF501D" w:rsidP="00D72ECE">
            <w:pPr>
              <w:tabs>
                <w:tab w:val="decimal" w:pos="188"/>
              </w:tabs>
              <w:spacing w:line="240" w:lineRule="auto"/>
              <w:ind w:firstLine="0"/>
              <w:jc w:val="center"/>
              <w:rPr>
                <w:sz w:val="20"/>
                <w:szCs w:val="20"/>
              </w:rPr>
            </w:pPr>
          </w:p>
        </w:tc>
        <w:tc>
          <w:tcPr>
            <w:tcW w:w="900" w:type="dxa"/>
            <w:tcBorders>
              <w:top w:val="nil"/>
              <w:bottom w:val="nil"/>
              <w:right w:val="double" w:sz="4" w:space="0" w:color="auto"/>
            </w:tcBorders>
            <w:vAlign w:val="center"/>
          </w:tcPr>
          <w:p w:rsidR="00FF501D" w:rsidRPr="00226535" w:rsidRDefault="00FF501D" w:rsidP="00D72ECE">
            <w:pPr>
              <w:tabs>
                <w:tab w:val="decimal" w:pos="221"/>
              </w:tabs>
              <w:spacing w:line="240" w:lineRule="auto"/>
              <w:ind w:firstLine="0"/>
              <w:jc w:val="center"/>
              <w:rPr>
                <w:sz w:val="20"/>
                <w:szCs w:val="20"/>
              </w:rPr>
            </w:pPr>
          </w:p>
        </w:tc>
        <w:tc>
          <w:tcPr>
            <w:tcW w:w="900" w:type="dxa"/>
            <w:tcBorders>
              <w:top w:val="nil"/>
              <w:left w:val="double" w:sz="4" w:space="0" w:color="auto"/>
              <w:bottom w:val="nil"/>
            </w:tcBorders>
            <w:vAlign w:val="center"/>
          </w:tcPr>
          <w:p w:rsidR="00FF501D" w:rsidRPr="00226535" w:rsidRDefault="00FF501D" w:rsidP="00D72ECE">
            <w:pPr>
              <w:tabs>
                <w:tab w:val="decimal" w:pos="170"/>
              </w:tabs>
              <w:spacing w:line="240" w:lineRule="auto"/>
              <w:ind w:firstLine="0"/>
              <w:jc w:val="center"/>
              <w:rPr>
                <w:sz w:val="20"/>
                <w:szCs w:val="20"/>
              </w:rPr>
            </w:pPr>
          </w:p>
        </w:tc>
        <w:tc>
          <w:tcPr>
            <w:tcW w:w="810" w:type="dxa"/>
            <w:tcBorders>
              <w:top w:val="nil"/>
              <w:bottom w:val="nil"/>
              <w:right w:val="double" w:sz="4" w:space="0" w:color="auto"/>
            </w:tcBorders>
            <w:vAlign w:val="center"/>
          </w:tcPr>
          <w:p w:rsidR="00FF501D" w:rsidRPr="00226535" w:rsidRDefault="00FF501D" w:rsidP="00D72ECE">
            <w:pPr>
              <w:tabs>
                <w:tab w:val="decimal" w:pos="275"/>
              </w:tabs>
              <w:spacing w:line="240" w:lineRule="auto"/>
              <w:ind w:firstLine="0"/>
              <w:jc w:val="center"/>
              <w:rPr>
                <w:sz w:val="20"/>
                <w:szCs w:val="20"/>
              </w:rPr>
            </w:pPr>
          </w:p>
        </w:tc>
        <w:tc>
          <w:tcPr>
            <w:tcW w:w="900" w:type="dxa"/>
            <w:tcBorders>
              <w:top w:val="nil"/>
              <w:left w:val="double" w:sz="4" w:space="0" w:color="auto"/>
              <w:bottom w:val="nil"/>
            </w:tcBorders>
            <w:vAlign w:val="center"/>
          </w:tcPr>
          <w:p w:rsidR="00FF501D" w:rsidRPr="00226535" w:rsidRDefault="00FF501D" w:rsidP="00D72ECE">
            <w:pPr>
              <w:tabs>
                <w:tab w:val="decimal" w:pos="222"/>
              </w:tabs>
              <w:spacing w:line="240" w:lineRule="auto"/>
              <w:ind w:firstLine="0"/>
              <w:jc w:val="center"/>
              <w:rPr>
                <w:sz w:val="20"/>
                <w:szCs w:val="20"/>
              </w:rPr>
            </w:pPr>
          </w:p>
        </w:tc>
        <w:tc>
          <w:tcPr>
            <w:tcW w:w="810" w:type="dxa"/>
            <w:tcBorders>
              <w:top w:val="nil"/>
              <w:bottom w:val="nil"/>
              <w:right w:val="double" w:sz="4" w:space="0" w:color="auto"/>
            </w:tcBorders>
            <w:vAlign w:val="center"/>
          </w:tcPr>
          <w:p w:rsidR="00FF501D" w:rsidRPr="00226535" w:rsidRDefault="00FF501D" w:rsidP="00D72ECE">
            <w:pPr>
              <w:tabs>
                <w:tab w:val="decimal" w:pos="255"/>
              </w:tabs>
              <w:spacing w:line="240" w:lineRule="auto"/>
              <w:ind w:firstLine="0"/>
              <w:jc w:val="center"/>
              <w:rPr>
                <w:sz w:val="20"/>
                <w:szCs w:val="20"/>
              </w:rPr>
            </w:pPr>
          </w:p>
        </w:tc>
      </w:tr>
      <w:tr w:rsidR="00FF501D"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FF501D" w:rsidRPr="00BB21B7" w:rsidRDefault="00FF501D" w:rsidP="004C4F47">
            <w:pPr>
              <w:spacing w:line="240" w:lineRule="auto"/>
              <w:ind w:firstLine="0"/>
              <w:jc w:val="left"/>
              <w:rPr>
                <w:sz w:val="20"/>
                <w:szCs w:val="20"/>
              </w:rPr>
            </w:pPr>
            <w:r w:rsidRPr="00BB21B7">
              <w:rPr>
                <w:sz w:val="20"/>
                <w:szCs w:val="20"/>
              </w:rPr>
              <w:t xml:space="preserve">          </w:t>
            </w:r>
            <w:r w:rsidR="008F2F54">
              <w:rPr>
                <w:sz w:val="20"/>
                <w:szCs w:val="20"/>
              </w:rPr>
              <w:t xml:space="preserve">                      </w:t>
            </w:r>
            <w:r w:rsidRPr="00BB21B7">
              <w:rPr>
                <w:sz w:val="20"/>
                <w:szCs w:val="20"/>
              </w:rPr>
              <w:t>Mean</w:t>
            </w:r>
          </w:p>
        </w:tc>
        <w:tc>
          <w:tcPr>
            <w:tcW w:w="900" w:type="dxa"/>
            <w:tcBorders>
              <w:top w:val="nil"/>
              <w:left w:val="double" w:sz="4" w:space="0" w:color="auto"/>
              <w:bottom w:val="nil"/>
            </w:tcBorders>
            <w:vAlign w:val="center"/>
          </w:tcPr>
          <w:p w:rsidR="00FF501D" w:rsidRPr="00226535" w:rsidRDefault="00FF501D"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FF501D" w:rsidRPr="00226535" w:rsidRDefault="00FF501D"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FF501D" w:rsidRPr="00226535" w:rsidRDefault="00FF501D" w:rsidP="00D72ECE">
            <w:pPr>
              <w:tabs>
                <w:tab w:val="decimal" w:pos="188"/>
              </w:tabs>
              <w:spacing w:line="240" w:lineRule="auto"/>
              <w:ind w:firstLine="0"/>
              <w:jc w:val="center"/>
              <w:rPr>
                <w:sz w:val="20"/>
                <w:szCs w:val="20"/>
              </w:rPr>
            </w:pPr>
          </w:p>
        </w:tc>
        <w:tc>
          <w:tcPr>
            <w:tcW w:w="900" w:type="dxa"/>
            <w:tcBorders>
              <w:top w:val="nil"/>
              <w:bottom w:val="nil"/>
              <w:right w:val="double" w:sz="4" w:space="0" w:color="auto"/>
            </w:tcBorders>
            <w:vAlign w:val="center"/>
          </w:tcPr>
          <w:p w:rsidR="00FF501D" w:rsidRPr="00226535" w:rsidRDefault="00FF501D" w:rsidP="00D72ECE">
            <w:pPr>
              <w:tabs>
                <w:tab w:val="decimal" w:pos="221"/>
              </w:tabs>
              <w:spacing w:line="240" w:lineRule="auto"/>
              <w:ind w:firstLine="0"/>
              <w:jc w:val="center"/>
              <w:rPr>
                <w:sz w:val="20"/>
                <w:szCs w:val="20"/>
              </w:rPr>
            </w:pPr>
          </w:p>
        </w:tc>
        <w:tc>
          <w:tcPr>
            <w:tcW w:w="900" w:type="dxa"/>
            <w:tcBorders>
              <w:top w:val="nil"/>
              <w:left w:val="double" w:sz="4" w:space="0" w:color="auto"/>
              <w:bottom w:val="nil"/>
            </w:tcBorders>
            <w:vAlign w:val="center"/>
          </w:tcPr>
          <w:p w:rsidR="00FF501D" w:rsidRPr="00226535" w:rsidRDefault="00FF501D" w:rsidP="00D72ECE">
            <w:pPr>
              <w:tabs>
                <w:tab w:val="decimal" w:pos="170"/>
              </w:tabs>
              <w:spacing w:line="240" w:lineRule="auto"/>
              <w:ind w:firstLine="0"/>
              <w:jc w:val="center"/>
              <w:rPr>
                <w:sz w:val="20"/>
                <w:szCs w:val="20"/>
              </w:rPr>
            </w:pPr>
            <w:r w:rsidRPr="00226535">
              <w:rPr>
                <w:sz w:val="20"/>
                <w:szCs w:val="20"/>
              </w:rPr>
              <w:t>0.774</w:t>
            </w:r>
          </w:p>
        </w:tc>
        <w:tc>
          <w:tcPr>
            <w:tcW w:w="810" w:type="dxa"/>
            <w:tcBorders>
              <w:top w:val="nil"/>
              <w:bottom w:val="nil"/>
              <w:right w:val="double" w:sz="4" w:space="0" w:color="auto"/>
            </w:tcBorders>
            <w:vAlign w:val="center"/>
          </w:tcPr>
          <w:p w:rsidR="00FF501D" w:rsidRPr="00226535" w:rsidRDefault="00FF501D" w:rsidP="00D72ECE">
            <w:pPr>
              <w:tabs>
                <w:tab w:val="decimal" w:pos="275"/>
              </w:tabs>
              <w:spacing w:line="240" w:lineRule="auto"/>
              <w:ind w:firstLine="0"/>
              <w:jc w:val="center"/>
              <w:rPr>
                <w:sz w:val="20"/>
                <w:szCs w:val="20"/>
              </w:rPr>
            </w:pPr>
            <w:r w:rsidRPr="00226535">
              <w:rPr>
                <w:sz w:val="20"/>
                <w:szCs w:val="20"/>
              </w:rPr>
              <w:t>15.57</w:t>
            </w:r>
          </w:p>
        </w:tc>
        <w:tc>
          <w:tcPr>
            <w:tcW w:w="900" w:type="dxa"/>
            <w:tcBorders>
              <w:top w:val="nil"/>
              <w:left w:val="double" w:sz="4" w:space="0" w:color="auto"/>
              <w:bottom w:val="nil"/>
            </w:tcBorders>
            <w:vAlign w:val="center"/>
          </w:tcPr>
          <w:p w:rsidR="00FF501D" w:rsidRPr="00226535" w:rsidRDefault="00FF501D" w:rsidP="00D72ECE">
            <w:pPr>
              <w:tabs>
                <w:tab w:val="decimal" w:pos="222"/>
              </w:tabs>
              <w:spacing w:line="240" w:lineRule="auto"/>
              <w:ind w:firstLine="0"/>
              <w:jc w:val="center"/>
              <w:rPr>
                <w:sz w:val="20"/>
                <w:szCs w:val="20"/>
              </w:rPr>
            </w:pPr>
          </w:p>
        </w:tc>
        <w:tc>
          <w:tcPr>
            <w:tcW w:w="810" w:type="dxa"/>
            <w:tcBorders>
              <w:top w:val="nil"/>
              <w:bottom w:val="nil"/>
              <w:right w:val="double" w:sz="4" w:space="0" w:color="auto"/>
            </w:tcBorders>
            <w:vAlign w:val="center"/>
          </w:tcPr>
          <w:p w:rsidR="00FF501D" w:rsidRPr="00226535" w:rsidRDefault="00FF501D" w:rsidP="00D72ECE">
            <w:pPr>
              <w:tabs>
                <w:tab w:val="decimal" w:pos="255"/>
              </w:tabs>
              <w:spacing w:line="240" w:lineRule="auto"/>
              <w:ind w:firstLine="0"/>
              <w:jc w:val="center"/>
              <w:rPr>
                <w:sz w:val="20"/>
                <w:szCs w:val="20"/>
              </w:rPr>
            </w:pPr>
          </w:p>
        </w:tc>
      </w:tr>
      <w:tr w:rsidR="00FF501D"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FF501D" w:rsidRPr="00BB21B7" w:rsidRDefault="00FF501D" w:rsidP="004C4F47">
            <w:pPr>
              <w:spacing w:line="240" w:lineRule="auto"/>
              <w:ind w:firstLine="0"/>
              <w:jc w:val="left"/>
              <w:rPr>
                <w:sz w:val="20"/>
                <w:szCs w:val="20"/>
              </w:rPr>
            </w:pPr>
            <w:r w:rsidRPr="00BB21B7">
              <w:rPr>
                <w:sz w:val="20"/>
                <w:szCs w:val="20"/>
              </w:rPr>
              <w:t xml:space="preserve">         </w:t>
            </w:r>
            <w:r w:rsidR="008F2F54">
              <w:rPr>
                <w:sz w:val="20"/>
                <w:szCs w:val="20"/>
              </w:rPr>
              <w:t xml:space="preserve">                       </w:t>
            </w:r>
            <w:r>
              <w:rPr>
                <w:sz w:val="20"/>
                <w:szCs w:val="20"/>
              </w:rPr>
              <w:t>Standard Deviation</w:t>
            </w:r>
          </w:p>
        </w:tc>
        <w:tc>
          <w:tcPr>
            <w:tcW w:w="900" w:type="dxa"/>
            <w:tcBorders>
              <w:top w:val="nil"/>
              <w:left w:val="double" w:sz="4" w:space="0" w:color="auto"/>
              <w:bottom w:val="nil"/>
            </w:tcBorders>
            <w:vAlign w:val="center"/>
          </w:tcPr>
          <w:p w:rsidR="00FF501D" w:rsidRPr="00226535" w:rsidRDefault="00FF501D"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FF501D" w:rsidRPr="00226535" w:rsidRDefault="00FF501D"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FF501D" w:rsidRPr="00226535" w:rsidRDefault="00FF501D" w:rsidP="00D72ECE">
            <w:pPr>
              <w:tabs>
                <w:tab w:val="decimal" w:pos="188"/>
              </w:tabs>
              <w:spacing w:line="240" w:lineRule="auto"/>
              <w:ind w:firstLine="0"/>
              <w:jc w:val="center"/>
              <w:rPr>
                <w:sz w:val="20"/>
                <w:szCs w:val="20"/>
              </w:rPr>
            </w:pPr>
          </w:p>
        </w:tc>
        <w:tc>
          <w:tcPr>
            <w:tcW w:w="900" w:type="dxa"/>
            <w:tcBorders>
              <w:top w:val="nil"/>
              <w:bottom w:val="nil"/>
              <w:right w:val="double" w:sz="4" w:space="0" w:color="auto"/>
            </w:tcBorders>
            <w:vAlign w:val="center"/>
          </w:tcPr>
          <w:p w:rsidR="00FF501D" w:rsidRPr="00226535" w:rsidRDefault="00FF501D" w:rsidP="00D72ECE">
            <w:pPr>
              <w:tabs>
                <w:tab w:val="decimal" w:pos="221"/>
              </w:tabs>
              <w:spacing w:line="240" w:lineRule="auto"/>
              <w:ind w:firstLine="0"/>
              <w:jc w:val="center"/>
              <w:rPr>
                <w:sz w:val="20"/>
                <w:szCs w:val="20"/>
              </w:rPr>
            </w:pPr>
          </w:p>
        </w:tc>
        <w:tc>
          <w:tcPr>
            <w:tcW w:w="900" w:type="dxa"/>
            <w:tcBorders>
              <w:top w:val="nil"/>
              <w:left w:val="double" w:sz="4" w:space="0" w:color="auto"/>
              <w:bottom w:val="nil"/>
            </w:tcBorders>
            <w:vAlign w:val="center"/>
          </w:tcPr>
          <w:p w:rsidR="00FF501D" w:rsidRPr="00226535" w:rsidRDefault="00FF501D" w:rsidP="00D72ECE">
            <w:pPr>
              <w:tabs>
                <w:tab w:val="decimal" w:pos="170"/>
              </w:tabs>
              <w:spacing w:line="240" w:lineRule="auto"/>
              <w:ind w:firstLine="0"/>
              <w:jc w:val="center"/>
              <w:rPr>
                <w:sz w:val="20"/>
                <w:szCs w:val="20"/>
              </w:rPr>
            </w:pPr>
          </w:p>
        </w:tc>
        <w:tc>
          <w:tcPr>
            <w:tcW w:w="810" w:type="dxa"/>
            <w:tcBorders>
              <w:top w:val="nil"/>
              <w:bottom w:val="nil"/>
              <w:right w:val="double" w:sz="4" w:space="0" w:color="auto"/>
            </w:tcBorders>
            <w:vAlign w:val="center"/>
          </w:tcPr>
          <w:p w:rsidR="00FF501D" w:rsidRPr="00226535" w:rsidRDefault="00FF501D" w:rsidP="00D72ECE">
            <w:pPr>
              <w:tabs>
                <w:tab w:val="decimal" w:pos="275"/>
              </w:tabs>
              <w:spacing w:line="240" w:lineRule="auto"/>
              <w:ind w:firstLine="0"/>
              <w:jc w:val="center"/>
              <w:rPr>
                <w:sz w:val="20"/>
                <w:szCs w:val="20"/>
              </w:rPr>
            </w:pPr>
          </w:p>
        </w:tc>
        <w:tc>
          <w:tcPr>
            <w:tcW w:w="900" w:type="dxa"/>
            <w:tcBorders>
              <w:top w:val="nil"/>
              <w:left w:val="double" w:sz="4" w:space="0" w:color="auto"/>
              <w:bottom w:val="nil"/>
            </w:tcBorders>
            <w:vAlign w:val="center"/>
          </w:tcPr>
          <w:p w:rsidR="00FF501D" w:rsidRPr="00226535" w:rsidRDefault="00FF501D" w:rsidP="00D72ECE">
            <w:pPr>
              <w:tabs>
                <w:tab w:val="decimal" w:pos="222"/>
              </w:tabs>
              <w:spacing w:line="240" w:lineRule="auto"/>
              <w:ind w:firstLine="0"/>
              <w:jc w:val="center"/>
              <w:rPr>
                <w:sz w:val="20"/>
                <w:szCs w:val="20"/>
              </w:rPr>
            </w:pPr>
          </w:p>
        </w:tc>
        <w:tc>
          <w:tcPr>
            <w:tcW w:w="810" w:type="dxa"/>
            <w:tcBorders>
              <w:top w:val="nil"/>
              <w:bottom w:val="nil"/>
              <w:right w:val="double" w:sz="4" w:space="0" w:color="auto"/>
            </w:tcBorders>
            <w:vAlign w:val="center"/>
          </w:tcPr>
          <w:p w:rsidR="00FF501D" w:rsidRPr="00226535" w:rsidRDefault="00FF501D" w:rsidP="00D72ECE">
            <w:pPr>
              <w:tabs>
                <w:tab w:val="decimal" w:pos="255"/>
              </w:tabs>
              <w:spacing w:line="240" w:lineRule="auto"/>
              <w:ind w:firstLine="0"/>
              <w:jc w:val="center"/>
              <w:rPr>
                <w:sz w:val="20"/>
                <w:szCs w:val="20"/>
              </w:rPr>
            </w:pP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firstLine="0"/>
              <w:jc w:val="left"/>
              <w:rPr>
                <w:sz w:val="20"/>
                <w:szCs w:val="20"/>
              </w:rPr>
            </w:pPr>
            <w:r w:rsidRPr="00BB21B7">
              <w:rPr>
                <w:sz w:val="20"/>
                <w:szCs w:val="20"/>
              </w:rPr>
              <w:t xml:space="preserve">    Proportion of Hispanic population</w:t>
            </w:r>
          </w:p>
        </w:tc>
        <w:tc>
          <w:tcPr>
            <w:tcW w:w="900" w:type="dxa"/>
            <w:tcBorders>
              <w:top w:val="nil"/>
              <w:left w:val="double" w:sz="4" w:space="0" w:color="auto"/>
              <w:bottom w:val="nil"/>
            </w:tcBorders>
            <w:vAlign w:val="center"/>
          </w:tcPr>
          <w:p w:rsidR="0043770E" w:rsidRPr="00226535" w:rsidRDefault="0043770E"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88"/>
              </w:tabs>
              <w:spacing w:line="240" w:lineRule="auto"/>
              <w:ind w:firstLine="0"/>
              <w:jc w:val="center"/>
              <w:rPr>
                <w:sz w:val="20"/>
                <w:szCs w:val="20"/>
              </w:rPr>
            </w:pPr>
          </w:p>
        </w:tc>
        <w:tc>
          <w:tcPr>
            <w:tcW w:w="900" w:type="dxa"/>
            <w:tcBorders>
              <w:top w:val="nil"/>
              <w:bottom w:val="nil"/>
              <w:right w:val="double" w:sz="4" w:space="0" w:color="auto"/>
            </w:tcBorders>
            <w:vAlign w:val="center"/>
          </w:tcPr>
          <w:p w:rsidR="0043770E" w:rsidRPr="00226535" w:rsidRDefault="0043770E" w:rsidP="00D72ECE">
            <w:pPr>
              <w:tabs>
                <w:tab w:val="decimal" w:pos="221"/>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rPr>
            </w:pP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firstLine="0"/>
              <w:jc w:val="left"/>
              <w:rPr>
                <w:sz w:val="20"/>
                <w:szCs w:val="20"/>
              </w:rPr>
            </w:pPr>
            <w:r w:rsidRPr="00BB21B7">
              <w:rPr>
                <w:sz w:val="20"/>
                <w:szCs w:val="20"/>
              </w:rPr>
              <w:t xml:space="preserve">         </w:t>
            </w:r>
            <w:r w:rsidR="008F2F54">
              <w:rPr>
                <w:sz w:val="20"/>
                <w:szCs w:val="20"/>
              </w:rPr>
              <w:t xml:space="preserve">                       </w:t>
            </w:r>
            <w:r w:rsidRPr="00BB21B7">
              <w:rPr>
                <w:sz w:val="20"/>
                <w:szCs w:val="20"/>
              </w:rPr>
              <w:t>Mean</w:t>
            </w:r>
          </w:p>
        </w:tc>
        <w:tc>
          <w:tcPr>
            <w:tcW w:w="900" w:type="dxa"/>
            <w:tcBorders>
              <w:top w:val="nil"/>
              <w:left w:val="double" w:sz="4" w:space="0" w:color="auto"/>
              <w:bottom w:val="nil"/>
            </w:tcBorders>
            <w:vAlign w:val="center"/>
          </w:tcPr>
          <w:p w:rsidR="0043770E" w:rsidRPr="00226535" w:rsidRDefault="0043770E"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88"/>
              </w:tabs>
              <w:spacing w:line="240" w:lineRule="auto"/>
              <w:ind w:firstLine="0"/>
              <w:jc w:val="center"/>
              <w:rPr>
                <w:sz w:val="20"/>
                <w:szCs w:val="20"/>
              </w:rPr>
            </w:pPr>
            <w:r w:rsidRPr="009F45C2">
              <w:rPr>
                <w:sz w:val="20"/>
                <w:szCs w:val="20"/>
              </w:rPr>
              <w:t>-0.170</w:t>
            </w:r>
          </w:p>
        </w:tc>
        <w:tc>
          <w:tcPr>
            <w:tcW w:w="900" w:type="dxa"/>
            <w:tcBorders>
              <w:top w:val="nil"/>
              <w:bottom w:val="nil"/>
              <w:right w:val="double" w:sz="4" w:space="0" w:color="auto"/>
            </w:tcBorders>
            <w:vAlign w:val="center"/>
          </w:tcPr>
          <w:p w:rsidR="0043770E" w:rsidRPr="00226535" w:rsidRDefault="0043770E" w:rsidP="00D72ECE">
            <w:pPr>
              <w:tabs>
                <w:tab w:val="decimal" w:pos="221"/>
              </w:tabs>
              <w:spacing w:line="240" w:lineRule="auto"/>
              <w:ind w:firstLine="0"/>
              <w:jc w:val="center"/>
              <w:rPr>
                <w:sz w:val="20"/>
                <w:szCs w:val="20"/>
              </w:rPr>
            </w:pPr>
            <w:r w:rsidRPr="009F45C2">
              <w:rPr>
                <w:sz w:val="20"/>
                <w:szCs w:val="20"/>
              </w:rPr>
              <w:t>-19.73</w:t>
            </w: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rPr>
            </w:pPr>
            <w:r w:rsidRPr="009F45C2">
              <w:rPr>
                <w:sz w:val="20"/>
                <w:szCs w:val="20"/>
              </w:rPr>
              <w:t>0.175</w:t>
            </w: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rPr>
            </w:pPr>
            <w:r w:rsidRPr="009F45C2">
              <w:rPr>
                <w:sz w:val="20"/>
                <w:szCs w:val="20"/>
              </w:rPr>
              <w:t>7.44</w:t>
            </w: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rPr>
            </w:pPr>
            <w:r w:rsidRPr="009F45C2">
              <w:rPr>
                <w:sz w:val="20"/>
                <w:szCs w:val="20"/>
              </w:rPr>
              <w:t>1.249</w:t>
            </w: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rPr>
            </w:pPr>
            <w:r w:rsidRPr="009F45C2">
              <w:rPr>
                <w:sz w:val="20"/>
                <w:szCs w:val="20"/>
              </w:rPr>
              <w:t>13.33</w:t>
            </w: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firstLine="0"/>
              <w:jc w:val="left"/>
              <w:rPr>
                <w:sz w:val="20"/>
                <w:szCs w:val="20"/>
              </w:rPr>
            </w:pPr>
            <w:r w:rsidRPr="00BB21B7">
              <w:rPr>
                <w:sz w:val="20"/>
                <w:szCs w:val="20"/>
              </w:rPr>
              <w:t xml:space="preserve">         </w:t>
            </w:r>
            <w:r w:rsidR="008F2F54">
              <w:rPr>
                <w:sz w:val="20"/>
                <w:szCs w:val="20"/>
              </w:rPr>
              <w:t xml:space="preserve">                       </w:t>
            </w:r>
            <w:r>
              <w:rPr>
                <w:sz w:val="20"/>
                <w:szCs w:val="20"/>
              </w:rPr>
              <w:t>Standard Deviation</w:t>
            </w:r>
          </w:p>
        </w:tc>
        <w:tc>
          <w:tcPr>
            <w:tcW w:w="900" w:type="dxa"/>
            <w:tcBorders>
              <w:top w:val="nil"/>
              <w:left w:val="double" w:sz="4" w:space="0" w:color="auto"/>
              <w:bottom w:val="nil"/>
            </w:tcBorders>
            <w:vAlign w:val="center"/>
          </w:tcPr>
          <w:p w:rsidR="0043770E" w:rsidRPr="00226535" w:rsidRDefault="0043770E"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88"/>
              </w:tabs>
              <w:spacing w:line="240" w:lineRule="auto"/>
              <w:ind w:firstLine="0"/>
              <w:jc w:val="center"/>
              <w:rPr>
                <w:sz w:val="20"/>
                <w:szCs w:val="20"/>
              </w:rPr>
            </w:pPr>
            <w:r w:rsidRPr="009F45C2">
              <w:rPr>
                <w:sz w:val="20"/>
                <w:szCs w:val="20"/>
              </w:rPr>
              <w:t>1.247</w:t>
            </w:r>
          </w:p>
        </w:tc>
        <w:tc>
          <w:tcPr>
            <w:tcW w:w="900" w:type="dxa"/>
            <w:tcBorders>
              <w:top w:val="nil"/>
              <w:bottom w:val="nil"/>
              <w:right w:val="double" w:sz="4" w:space="0" w:color="auto"/>
            </w:tcBorders>
            <w:vAlign w:val="center"/>
          </w:tcPr>
          <w:p w:rsidR="0043770E" w:rsidRPr="00226535" w:rsidRDefault="0043770E" w:rsidP="00D72ECE">
            <w:pPr>
              <w:tabs>
                <w:tab w:val="decimal" w:pos="221"/>
              </w:tabs>
              <w:spacing w:line="240" w:lineRule="auto"/>
              <w:ind w:firstLine="0"/>
              <w:jc w:val="center"/>
              <w:rPr>
                <w:sz w:val="20"/>
                <w:szCs w:val="20"/>
              </w:rPr>
            </w:pPr>
            <w:r w:rsidRPr="009F45C2">
              <w:rPr>
                <w:sz w:val="20"/>
                <w:szCs w:val="20"/>
              </w:rPr>
              <w:t>3.21</w:t>
            </w: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rPr>
            </w:pPr>
            <w:r w:rsidRPr="009F45C2">
              <w:rPr>
                <w:sz w:val="20"/>
                <w:szCs w:val="20"/>
              </w:rPr>
              <w:t>1.085</w:t>
            </w: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rPr>
            </w:pPr>
            <w:r w:rsidRPr="009F45C2">
              <w:rPr>
                <w:sz w:val="20"/>
                <w:szCs w:val="20"/>
              </w:rPr>
              <w:t>6.51</w:t>
            </w: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rPr>
            </w:pPr>
            <w:r w:rsidRPr="009F45C2">
              <w:rPr>
                <w:sz w:val="20"/>
                <w:szCs w:val="20"/>
              </w:rPr>
              <w:t>0.855</w:t>
            </w: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rPr>
            </w:pPr>
            <w:r w:rsidRPr="009F45C2">
              <w:rPr>
                <w:sz w:val="20"/>
                <w:szCs w:val="20"/>
              </w:rPr>
              <w:t>5.24</w:t>
            </w: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left="187" w:hanging="187"/>
              <w:jc w:val="left"/>
              <w:rPr>
                <w:sz w:val="20"/>
                <w:szCs w:val="20"/>
              </w:rPr>
            </w:pPr>
            <w:r w:rsidRPr="00BB21B7">
              <w:rPr>
                <w:sz w:val="20"/>
                <w:szCs w:val="20"/>
              </w:rPr>
              <w:t xml:space="preserve">    Median household income (in </w:t>
            </w:r>
            <w:r w:rsidR="009407BA">
              <w:rPr>
                <w:sz w:val="20"/>
                <w:szCs w:val="20"/>
              </w:rPr>
              <w:t>$</w:t>
            </w:r>
            <w:r w:rsidRPr="00BB21B7">
              <w:rPr>
                <w:sz w:val="20"/>
                <w:szCs w:val="20"/>
              </w:rPr>
              <w:t>1</w:t>
            </w:r>
            <w:r w:rsidR="009C0630">
              <w:rPr>
                <w:sz w:val="20"/>
                <w:szCs w:val="20"/>
              </w:rPr>
              <w:t>0</w:t>
            </w:r>
            <w:r w:rsidR="006557AF">
              <w:rPr>
                <w:sz w:val="20"/>
                <w:szCs w:val="20"/>
              </w:rPr>
              <w:t>0</w:t>
            </w:r>
            <w:r w:rsidRPr="00BB21B7">
              <w:rPr>
                <w:sz w:val="20"/>
                <w:szCs w:val="20"/>
              </w:rPr>
              <w:t>,000)</w:t>
            </w:r>
          </w:p>
        </w:tc>
        <w:tc>
          <w:tcPr>
            <w:tcW w:w="900" w:type="dxa"/>
            <w:tcBorders>
              <w:top w:val="nil"/>
              <w:left w:val="double" w:sz="4" w:space="0" w:color="auto"/>
              <w:bottom w:val="nil"/>
            </w:tcBorders>
            <w:vAlign w:val="center"/>
          </w:tcPr>
          <w:p w:rsidR="0043770E" w:rsidRPr="00226535" w:rsidRDefault="0043770E"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88"/>
              </w:tabs>
              <w:spacing w:line="240" w:lineRule="auto"/>
              <w:ind w:firstLine="0"/>
              <w:jc w:val="center"/>
              <w:rPr>
                <w:sz w:val="20"/>
                <w:szCs w:val="20"/>
              </w:rPr>
            </w:pPr>
          </w:p>
        </w:tc>
        <w:tc>
          <w:tcPr>
            <w:tcW w:w="900" w:type="dxa"/>
            <w:tcBorders>
              <w:top w:val="nil"/>
              <w:bottom w:val="nil"/>
              <w:right w:val="double" w:sz="4" w:space="0" w:color="auto"/>
            </w:tcBorders>
            <w:vAlign w:val="center"/>
          </w:tcPr>
          <w:p w:rsidR="0043770E" w:rsidRPr="00226535" w:rsidRDefault="0043770E" w:rsidP="00D72ECE">
            <w:pPr>
              <w:tabs>
                <w:tab w:val="decimal" w:pos="221"/>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rPr>
            </w:pP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firstLine="0"/>
              <w:jc w:val="left"/>
              <w:rPr>
                <w:sz w:val="20"/>
                <w:szCs w:val="20"/>
              </w:rPr>
            </w:pPr>
            <w:r w:rsidRPr="00BB21B7">
              <w:rPr>
                <w:sz w:val="20"/>
                <w:szCs w:val="20"/>
              </w:rPr>
              <w:t xml:space="preserve">         </w:t>
            </w:r>
            <w:r w:rsidR="00011EC4">
              <w:rPr>
                <w:sz w:val="20"/>
                <w:szCs w:val="20"/>
              </w:rPr>
              <w:t xml:space="preserve">        </w:t>
            </w:r>
            <w:r w:rsidR="008F2F54">
              <w:rPr>
                <w:sz w:val="20"/>
                <w:szCs w:val="20"/>
              </w:rPr>
              <w:t xml:space="preserve">               </w:t>
            </w:r>
            <w:r w:rsidRPr="00BB21B7">
              <w:rPr>
                <w:sz w:val="20"/>
                <w:szCs w:val="20"/>
              </w:rPr>
              <w:t>Mean</w:t>
            </w:r>
          </w:p>
        </w:tc>
        <w:tc>
          <w:tcPr>
            <w:tcW w:w="900" w:type="dxa"/>
            <w:tcBorders>
              <w:top w:val="nil"/>
              <w:left w:val="double" w:sz="4" w:space="0" w:color="auto"/>
              <w:bottom w:val="nil"/>
            </w:tcBorders>
            <w:vAlign w:val="center"/>
          </w:tcPr>
          <w:p w:rsidR="0043770E" w:rsidRPr="00226535" w:rsidRDefault="0043770E"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88"/>
              </w:tabs>
              <w:spacing w:line="240" w:lineRule="auto"/>
              <w:ind w:firstLine="0"/>
              <w:jc w:val="center"/>
              <w:rPr>
                <w:sz w:val="20"/>
                <w:szCs w:val="20"/>
              </w:rPr>
            </w:pPr>
          </w:p>
        </w:tc>
        <w:tc>
          <w:tcPr>
            <w:tcW w:w="900" w:type="dxa"/>
            <w:tcBorders>
              <w:top w:val="nil"/>
              <w:bottom w:val="nil"/>
              <w:right w:val="double" w:sz="4" w:space="0" w:color="auto"/>
            </w:tcBorders>
            <w:vAlign w:val="center"/>
          </w:tcPr>
          <w:p w:rsidR="0043770E" w:rsidRPr="00226535" w:rsidRDefault="0043770E" w:rsidP="00D72ECE">
            <w:pPr>
              <w:tabs>
                <w:tab w:val="decimal" w:pos="221"/>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rPr>
            </w:pPr>
            <w:r w:rsidRPr="00226535">
              <w:rPr>
                <w:sz w:val="20"/>
                <w:szCs w:val="20"/>
              </w:rPr>
              <w:t>-1.</w:t>
            </w:r>
            <w:r>
              <w:rPr>
                <w:sz w:val="20"/>
                <w:szCs w:val="20"/>
              </w:rPr>
              <w:t>090</w:t>
            </w: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rPr>
            </w:pPr>
            <w:r w:rsidRPr="00226535">
              <w:rPr>
                <w:sz w:val="20"/>
                <w:szCs w:val="20"/>
              </w:rPr>
              <w:t>-</w:t>
            </w:r>
            <w:r>
              <w:rPr>
                <w:sz w:val="20"/>
                <w:szCs w:val="20"/>
              </w:rPr>
              <w:t>6.00</w:t>
            </w: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firstLine="0"/>
              <w:jc w:val="left"/>
              <w:rPr>
                <w:sz w:val="20"/>
                <w:szCs w:val="20"/>
              </w:rPr>
            </w:pPr>
            <w:r w:rsidRPr="00BB21B7">
              <w:rPr>
                <w:sz w:val="20"/>
                <w:szCs w:val="20"/>
              </w:rPr>
              <w:t xml:space="preserve">         </w:t>
            </w:r>
            <w:r w:rsidR="008F2F54">
              <w:rPr>
                <w:sz w:val="20"/>
                <w:szCs w:val="20"/>
              </w:rPr>
              <w:t xml:space="preserve">                       </w:t>
            </w:r>
            <w:r>
              <w:rPr>
                <w:sz w:val="20"/>
                <w:szCs w:val="20"/>
              </w:rPr>
              <w:t>Standard Deviation</w:t>
            </w:r>
          </w:p>
        </w:tc>
        <w:tc>
          <w:tcPr>
            <w:tcW w:w="900" w:type="dxa"/>
            <w:tcBorders>
              <w:top w:val="nil"/>
              <w:left w:val="double" w:sz="4" w:space="0" w:color="auto"/>
              <w:bottom w:val="nil"/>
            </w:tcBorders>
            <w:vAlign w:val="center"/>
          </w:tcPr>
          <w:p w:rsidR="0043770E" w:rsidRPr="00226535" w:rsidRDefault="0043770E"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88"/>
              </w:tabs>
              <w:spacing w:line="240" w:lineRule="auto"/>
              <w:ind w:firstLine="0"/>
              <w:jc w:val="center"/>
              <w:rPr>
                <w:sz w:val="20"/>
                <w:szCs w:val="20"/>
              </w:rPr>
            </w:pPr>
          </w:p>
        </w:tc>
        <w:tc>
          <w:tcPr>
            <w:tcW w:w="900" w:type="dxa"/>
            <w:tcBorders>
              <w:top w:val="nil"/>
              <w:bottom w:val="nil"/>
              <w:right w:val="double" w:sz="4" w:space="0" w:color="auto"/>
            </w:tcBorders>
            <w:vAlign w:val="center"/>
          </w:tcPr>
          <w:p w:rsidR="0043770E" w:rsidRPr="00226535" w:rsidRDefault="0043770E" w:rsidP="00D72ECE">
            <w:pPr>
              <w:tabs>
                <w:tab w:val="decimal" w:pos="221"/>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rPr>
            </w:pP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left="187" w:hanging="187"/>
              <w:jc w:val="left"/>
              <w:rPr>
                <w:i/>
                <w:sz w:val="20"/>
                <w:szCs w:val="20"/>
              </w:rPr>
            </w:pPr>
            <w:r w:rsidRPr="00BB21B7">
              <w:rPr>
                <w:i/>
                <w:sz w:val="20"/>
                <w:szCs w:val="20"/>
              </w:rPr>
              <w:t>Land-use and Road Network Variables</w:t>
            </w:r>
          </w:p>
        </w:tc>
        <w:tc>
          <w:tcPr>
            <w:tcW w:w="900" w:type="dxa"/>
            <w:tcBorders>
              <w:top w:val="nil"/>
              <w:left w:val="double" w:sz="4" w:space="0" w:color="auto"/>
              <w:bottom w:val="nil"/>
            </w:tcBorders>
            <w:vAlign w:val="center"/>
          </w:tcPr>
          <w:p w:rsidR="0043770E" w:rsidRPr="00226535" w:rsidRDefault="0043770E"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88"/>
              </w:tabs>
              <w:spacing w:line="240" w:lineRule="auto"/>
              <w:ind w:firstLine="0"/>
              <w:jc w:val="center"/>
              <w:rPr>
                <w:sz w:val="20"/>
                <w:szCs w:val="20"/>
              </w:rPr>
            </w:pPr>
          </w:p>
        </w:tc>
        <w:tc>
          <w:tcPr>
            <w:tcW w:w="900" w:type="dxa"/>
            <w:tcBorders>
              <w:top w:val="nil"/>
              <w:bottom w:val="nil"/>
              <w:right w:val="double" w:sz="4" w:space="0" w:color="auto"/>
            </w:tcBorders>
            <w:vAlign w:val="center"/>
          </w:tcPr>
          <w:p w:rsidR="0043770E" w:rsidRPr="00226535" w:rsidRDefault="0043770E" w:rsidP="00D72ECE">
            <w:pPr>
              <w:tabs>
                <w:tab w:val="decimal" w:pos="221"/>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rPr>
            </w:pPr>
          </w:p>
        </w:tc>
      </w:tr>
      <w:tr w:rsidR="0043770E" w:rsidRPr="00226535"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firstLine="0"/>
              <w:jc w:val="left"/>
              <w:rPr>
                <w:sz w:val="20"/>
                <w:szCs w:val="20"/>
              </w:rPr>
            </w:pPr>
            <w:r w:rsidRPr="00BB21B7">
              <w:rPr>
                <w:sz w:val="20"/>
                <w:szCs w:val="20"/>
              </w:rPr>
              <w:t xml:space="preserve">    Proportion of commercial land-use</w:t>
            </w:r>
          </w:p>
        </w:tc>
        <w:tc>
          <w:tcPr>
            <w:tcW w:w="900" w:type="dxa"/>
            <w:tcBorders>
              <w:top w:val="nil"/>
              <w:left w:val="double" w:sz="4" w:space="0" w:color="auto"/>
              <w:bottom w:val="nil"/>
            </w:tcBorders>
            <w:vAlign w:val="center"/>
          </w:tcPr>
          <w:p w:rsidR="0043770E" w:rsidRPr="00226535" w:rsidRDefault="0043770E"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88"/>
              </w:tabs>
              <w:spacing w:line="240" w:lineRule="auto"/>
              <w:ind w:firstLine="0"/>
              <w:jc w:val="center"/>
              <w:rPr>
                <w:sz w:val="20"/>
                <w:szCs w:val="20"/>
              </w:rPr>
            </w:pPr>
          </w:p>
        </w:tc>
        <w:tc>
          <w:tcPr>
            <w:tcW w:w="900" w:type="dxa"/>
            <w:tcBorders>
              <w:top w:val="nil"/>
              <w:bottom w:val="nil"/>
              <w:right w:val="double" w:sz="4" w:space="0" w:color="auto"/>
            </w:tcBorders>
            <w:vAlign w:val="center"/>
          </w:tcPr>
          <w:p w:rsidR="0043770E" w:rsidRPr="00226535" w:rsidRDefault="0043770E" w:rsidP="00D72ECE">
            <w:pPr>
              <w:tabs>
                <w:tab w:val="decimal" w:pos="221"/>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rPr>
            </w:pP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firstLine="0"/>
              <w:jc w:val="left"/>
              <w:rPr>
                <w:sz w:val="20"/>
                <w:szCs w:val="20"/>
              </w:rPr>
            </w:pPr>
            <w:r w:rsidRPr="00BB21B7">
              <w:rPr>
                <w:sz w:val="20"/>
                <w:szCs w:val="20"/>
              </w:rPr>
              <w:t xml:space="preserve">         </w:t>
            </w:r>
            <w:r w:rsidR="008F2F54">
              <w:rPr>
                <w:sz w:val="20"/>
                <w:szCs w:val="20"/>
              </w:rPr>
              <w:t xml:space="preserve">                       </w:t>
            </w:r>
            <w:r w:rsidRPr="00BB21B7">
              <w:rPr>
                <w:sz w:val="20"/>
                <w:szCs w:val="20"/>
              </w:rPr>
              <w:t>Mean</w:t>
            </w:r>
          </w:p>
        </w:tc>
        <w:tc>
          <w:tcPr>
            <w:tcW w:w="900" w:type="dxa"/>
            <w:tcBorders>
              <w:top w:val="nil"/>
              <w:left w:val="double" w:sz="4" w:space="0" w:color="auto"/>
              <w:bottom w:val="nil"/>
            </w:tcBorders>
            <w:vAlign w:val="center"/>
          </w:tcPr>
          <w:p w:rsidR="0043770E" w:rsidRPr="00226535" w:rsidRDefault="0043770E"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88"/>
              </w:tabs>
              <w:spacing w:line="240" w:lineRule="auto"/>
              <w:ind w:firstLine="0"/>
              <w:jc w:val="center"/>
              <w:rPr>
                <w:sz w:val="20"/>
                <w:szCs w:val="20"/>
              </w:rPr>
            </w:pPr>
          </w:p>
        </w:tc>
        <w:tc>
          <w:tcPr>
            <w:tcW w:w="900" w:type="dxa"/>
            <w:tcBorders>
              <w:top w:val="nil"/>
              <w:bottom w:val="nil"/>
              <w:right w:val="double" w:sz="4" w:space="0" w:color="auto"/>
            </w:tcBorders>
            <w:vAlign w:val="center"/>
          </w:tcPr>
          <w:p w:rsidR="0043770E" w:rsidRPr="00226535" w:rsidRDefault="0043770E" w:rsidP="00D72ECE">
            <w:pPr>
              <w:tabs>
                <w:tab w:val="decimal" w:pos="221"/>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rPr>
            </w:pPr>
            <w:r w:rsidRPr="00226535">
              <w:rPr>
                <w:sz w:val="20"/>
                <w:szCs w:val="20"/>
              </w:rPr>
              <w:t>0.6</w:t>
            </w:r>
            <w:r>
              <w:rPr>
                <w:sz w:val="20"/>
                <w:szCs w:val="20"/>
              </w:rPr>
              <w:t>70</w:t>
            </w: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rPr>
            </w:pPr>
            <w:r w:rsidRPr="00226535">
              <w:rPr>
                <w:sz w:val="20"/>
                <w:szCs w:val="20"/>
              </w:rPr>
              <w:t>16.</w:t>
            </w:r>
            <w:r>
              <w:rPr>
                <w:sz w:val="20"/>
                <w:szCs w:val="20"/>
              </w:rPr>
              <w:t>23</w:t>
            </w: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rPr>
            </w:pP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firstLine="0"/>
              <w:jc w:val="left"/>
              <w:rPr>
                <w:sz w:val="20"/>
                <w:szCs w:val="20"/>
              </w:rPr>
            </w:pPr>
            <w:r w:rsidRPr="00BB21B7">
              <w:rPr>
                <w:sz w:val="20"/>
                <w:szCs w:val="20"/>
              </w:rPr>
              <w:t xml:space="preserve">         </w:t>
            </w:r>
            <w:r w:rsidR="008F2F54">
              <w:rPr>
                <w:sz w:val="20"/>
                <w:szCs w:val="20"/>
              </w:rPr>
              <w:t xml:space="preserve">                       </w:t>
            </w:r>
            <w:r>
              <w:rPr>
                <w:sz w:val="20"/>
                <w:szCs w:val="20"/>
              </w:rPr>
              <w:t>Standard Deviation</w:t>
            </w:r>
          </w:p>
        </w:tc>
        <w:tc>
          <w:tcPr>
            <w:tcW w:w="900" w:type="dxa"/>
            <w:tcBorders>
              <w:top w:val="nil"/>
              <w:left w:val="double" w:sz="4" w:space="0" w:color="auto"/>
              <w:bottom w:val="nil"/>
            </w:tcBorders>
            <w:vAlign w:val="center"/>
          </w:tcPr>
          <w:p w:rsidR="0043770E" w:rsidRPr="00226535" w:rsidRDefault="0043770E"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88"/>
              </w:tabs>
              <w:spacing w:line="240" w:lineRule="auto"/>
              <w:ind w:firstLine="0"/>
              <w:jc w:val="center"/>
              <w:rPr>
                <w:sz w:val="20"/>
                <w:szCs w:val="20"/>
              </w:rPr>
            </w:pPr>
          </w:p>
        </w:tc>
        <w:tc>
          <w:tcPr>
            <w:tcW w:w="900" w:type="dxa"/>
            <w:tcBorders>
              <w:top w:val="nil"/>
              <w:bottom w:val="nil"/>
              <w:right w:val="double" w:sz="4" w:space="0" w:color="auto"/>
            </w:tcBorders>
            <w:vAlign w:val="center"/>
          </w:tcPr>
          <w:p w:rsidR="0043770E" w:rsidRPr="00226535" w:rsidRDefault="0043770E" w:rsidP="00D72ECE">
            <w:pPr>
              <w:tabs>
                <w:tab w:val="decimal" w:pos="221"/>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rPr>
            </w:pP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firstLine="0"/>
              <w:jc w:val="left"/>
              <w:rPr>
                <w:sz w:val="20"/>
                <w:szCs w:val="20"/>
              </w:rPr>
            </w:pPr>
            <w:r w:rsidRPr="00BB21B7">
              <w:rPr>
                <w:sz w:val="20"/>
                <w:szCs w:val="20"/>
              </w:rPr>
              <w:t xml:space="preserve">    Proportion of residential land-use</w:t>
            </w:r>
          </w:p>
        </w:tc>
        <w:tc>
          <w:tcPr>
            <w:tcW w:w="900" w:type="dxa"/>
            <w:tcBorders>
              <w:top w:val="nil"/>
              <w:left w:val="double" w:sz="4" w:space="0" w:color="auto"/>
              <w:bottom w:val="nil"/>
            </w:tcBorders>
            <w:vAlign w:val="center"/>
          </w:tcPr>
          <w:p w:rsidR="0043770E" w:rsidRPr="00226535" w:rsidRDefault="0043770E"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88"/>
              </w:tabs>
              <w:spacing w:line="240" w:lineRule="auto"/>
              <w:ind w:firstLine="0"/>
              <w:jc w:val="center"/>
              <w:rPr>
                <w:sz w:val="20"/>
                <w:szCs w:val="20"/>
              </w:rPr>
            </w:pPr>
          </w:p>
        </w:tc>
        <w:tc>
          <w:tcPr>
            <w:tcW w:w="900" w:type="dxa"/>
            <w:tcBorders>
              <w:top w:val="nil"/>
              <w:bottom w:val="nil"/>
              <w:right w:val="double" w:sz="4" w:space="0" w:color="auto"/>
            </w:tcBorders>
            <w:vAlign w:val="center"/>
          </w:tcPr>
          <w:p w:rsidR="0043770E" w:rsidRPr="00226535" w:rsidRDefault="0043770E" w:rsidP="00D72ECE">
            <w:pPr>
              <w:tabs>
                <w:tab w:val="decimal" w:pos="221"/>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rPr>
            </w:pP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firstLine="0"/>
              <w:jc w:val="left"/>
              <w:rPr>
                <w:sz w:val="20"/>
                <w:szCs w:val="20"/>
              </w:rPr>
            </w:pPr>
            <w:r w:rsidRPr="00BB21B7">
              <w:rPr>
                <w:sz w:val="20"/>
                <w:szCs w:val="20"/>
              </w:rPr>
              <w:t xml:space="preserve">         </w:t>
            </w:r>
            <w:r w:rsidR="008F2F54">
              <w:rPr>
                <w:sz w:val="20"/>
                <w:szCs w:val="20"/>
              </w:rPr>
              <w:t xml:space="preserve">                       </w:t>
            </w:r>
            <w:r w:rsidRPr="00BB21B7">
              <w:rPr>
                <w:sz w:val="20"/>
                <w:szCs w:val="20"/>
              </w:rPr>
              <w:t>Mean</w:t>
            </w:r>
          </w:p>
        </w:tc>
        <w:tc>
          <w:tcPr>
            <w:tcW w:w="900" w:type="dxa"/>
            <w:tcBorders>
              <w:top w:val="nil"/>
              <w:left w:val="double" w:sz="4" w:space="0" w:color="auto"/>
              <w:bottom w:val="nil"/>
            </w:tcBorders>
            <w:vAlign w:val="center"/>
          </w:tcPr>
          <w:p w:rsidR="0043770E" w:rsidRPr="00226535" w:rsidRDefault="0043770E"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88"/>
              </w:tabs>
              <w:spacing w:line="240" w:lineRule="auto"/>
              <w:ind w:firstLine="0"/>
              <w:jc w:val="center"/>
              <w:rPr>
                <w:sz w:val="20"/>
                <w:szCs w:val="20"/>
              </w:rPr>
            </w:pPr>
          </w:p>
        </w:tc>
        <w:tc>
          <w:tcPr>
            <w:tcW w:w="900" w:type="dxa"/>
            <w:tcBorders>
              <w:top w:val="nil"/>
              <w:bottom w:val="nil"/>
              <w:right w:val="double" w:sz="4" w:space="0" w:color="auto"/>
            </w:tcBorders>
            <w:vAlign w:val="center"/>
          </w:tcPr>
          <w:p w:rsidR="0043770E" w:rsidRPr="00226535" w:rsidRDefault="0043770E" w:rsidP="00D72ECE">
            <w:pPr>
              <w:tabs>
                <w:tab w:val="decimal" w:pos="221"/>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rPr>
            </w:pPr>
            <w:r w:rsidRPr="00226535">
              <w:rPr>
                <w:sz w:val="20"/>
                <w:szCs w:val="20"/>
              </w:rPr>
              <w:t>0.75</w:t>
            </w:r>
            <w:r>
              <w:rPr>
                <w:sz w:val="20"/>
                <w:szCs w:val="20"/>
              </w:rPr>
              <w:t>1</w:t>
            </w: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rPr>
            </w:pPr>
            <w:r>
              <w:rPr>
                <w:sz w:val="20"/>
                <w:szCs w:val="20"/>
              </w:rPr>
              <w:t>16.29</w:t>
            </w: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rPr>
            </w:pP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firstLine="0"/>
              <w:jc w:val="left"/>
              <w:rPr>
                <w:sz w:val="20"/>
                <w:szCs w:val="20"/>
              </w:rPr>
            </w:pPr>
            <w:r w:rsidRPr="00BB21B7">
              <w:rPr>
                <w:sz w:val="20"/>
                <w:szCs w:val="20"/>
              </w:rPr>
              <w:t xml:space="preserve">         </w:t>
            </w:r>
            <w:r w:rsidR="008F2F54">
              <w:rPr>
                <w:sz w:val="20"/>
                <w:szCs w:val="20"/>
              </w:rPr>
              <w:t xml:space="preserve">                       </w:t>
            </w:r>
            <w:r>
              <w:rPr>
                <w:sz w:val="20"/>
                <w:szCs w:val="20"/>
              </w:rPr>
              <w:t>Standard Deviation</w:t>
            </w:r>
          </w:p>
        </w:tc>
        <w:tc>
          <w:tcPr>
            <w:tcW w:w="900" w:type="dxa"/>
            <w:tcBorders>
              <w:top w:val="nil"/>
              <w:left w:val="double" w:sz="4" w:space="0" w:color="auto"/>
              <w:bottom w:val="nil"/>
            </w:tcBorders>
            <w:vAlign w:val="center"/>
          </w:tcPr>
          <w:p w:rsidR="0043770E" w:rsidRPr="00226535" w:rsidRDefault="0043770E"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88"/>
              </w:tabs>
              <w:spacing w:line="240" w:lineRule="auto"/>
              <w:ind w:firstLine="0"/>
              <w:jc w:val="center"/>
              <w:rPr>
                <w:sz w:val="20"/>
                <w:szCs w:val="20"/>
              </w:rPr>
            </w:pPr>
          </w:p>
        </w:tc>
        <w:tc>
          <w:tcPr>
            <w:tcW w:w="900" w:type="dxa"/>
            <w:tcBorders>
              <w:top w:val="nil"/>
              <w:bottom w:val="nil"/>
              <w:right w:val="double" w:sz="4" w:space="0" w:color="auto"/>
            </w:tcBorders>
            <w:vAlign w:val="center"/>
          </w:tcPr>
          <w:p w:rsidR="0043770E" w:rsidRPr="00226535" w:rsidRDefault="0043770E" w:rsidP="00D72ECE">
            <w:pPr>
              <w:tabs>
                <w:tab w:val="decimal" w:pos="221"/>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rPr>
            </w:pP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left="219" w:hanging="219"/>
              <w:jc w:val="left"/>
              <w:rPr>
                <w:sz w:val="20"/>
                <w:szCs w:val="20"/>
              </w:rPr>
            </w:pPr>
            <w:r w:rsidRPr="00BB21B7">
              <w:rPr>
                <w:sz w:val="20"/>
                <w:szCs w:val="20"/>
              </w:rPr>
              <w:t xml:space="preserve">    Proportion of local neighborhood  roads and city streets</w:t>
            </w:r>
          </w:p>
        </w:tc>
        <w:tc>
          <w:tcPr>
            <w:tcW w:w="900" w:type="dxa"/>
            <w:tcBorders>
              <w:top w:val="nil"/>
              <w:left w:val="double" w:sz="4" w:space="0" w:color="auto"/>
              <w:bottom w:val="nil"/>
            </w:tcBorders>
            <w:vAlign w:val="center"/>
          </w:tcPr>
          <w:p w:rsidR="0043770E" w:rsidRPr="00226535" w:rsidRDefault="0043770E"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88"/>
              </w:tabs>
              <w:spacing w:line="240" w:lineRule="auto"/>
              <w:ind w:firstLine="0"/>
              <w:jc w:val="center"/>
              <w:rPr>
                <w:sz w:val="20"/>
                <w:szCs w:val="20"/>
              </w:rPr>
            </w:pPr>
          </w:p>
        </w:tc>
        <w:tc>
          <w:tcPr>
            <w:tcW w:w="900" w:type="dxa"/>
            <w:tcBorders>
              <w:top w:val="nil"/>
              <w:bottom w:val="nil"/>
              <w:right w:val="double" w:sz="4" w:space="0" w:color="auto"/>
            </w:tcBorders>
            <w:vAlign w:val="center"/>
          </w:tcPr>
          <w:p w:rsidR="0043770E" w:rsidRPr="00226535" w:rsidRDefault="0043770E" w:rsidP="00D72ECE">
            <w:pPr>
              <w:tabs>
                <w:tab w:val="decimal" w:pos="221"/>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rPr>
            </w:pP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firstLine="0"/>
              <w:jc w:val="left"/>
              <w:rPr>
                <w:sz w:val="20"/>
                <w:szCs w:val="20"/>
              </w:rPr>
            </w:pPr>
            <w:r w:rsidRPr="00BB21B7">
              <w:rPr>
                <w:sz w:val="20"/>
                <w:szCs w:val="20"/>
              </w:rPr>
              <w:t xml:space="preserve">         </w:t>
            </w:r>
            <w:r w:rsidR="008F2F54">
              <w:rPr>
                <w:sz w:val="20"/>
                <w:szCs w:val="20"/>
              </w:rPr>
              <w:t xml:space="preserve">                       </w:t>
            </w:r>
            <w:r w:rsidRPr="00BB21B7">
              <w:rPr>
                <w:sz w:val="20"/>
                <w:szCs w:val="20"/>
              </w:rPr>
              <w:t>Mean</w:t>
            </w:r>
          </w:p>
        </w:tc>
        <w:tc>
          <w:tcPr>
            <w:tcW w:w="900" w:type="dxa"/>
            <w:tcBorders>
              <w:top w:val="nil"/>
              <w:left w:val="double" w:sz="4" w:space="0" w:color="auto"/>
              <w:bottom w:val="nil"/>
            </w:tcBorders>
            <w:vAlign w:val="center"/>
          </w:tcPr>
          <w:p w:rsidR="0043770E" w:rsidRPr="00226535" w:rsidRDefault="0043770E"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88"/>
              </w:tabs>
              <w:spacing w:line="240" w:lineRule="auto"/>
              <w:ind w:firstLine="0"/>
              <w:jc w:val="center"/>
              <w:rPr>
                <w:sz w:val="20"/>
                <w:szCs w:val="20"/>
              </w:rPr>
            </w:pPr>
            <w:r w:rsidRPr="00226535">
              <w:rPr>
                <w:sz w:val="20"/>
                <w:szCs w:val="20"/>
              </w:rPr>
              <w:t>-0.764</w:t>
            </w:r>
          </w:p>
        </w:tc>
        <w:tc>
          <w:tcPr>
            <w:tcW w:w="900" w:type="dxa"/>
            <w:tcBorders>
              <w:top w:val="nil"/>
              <w:bottom w:val="nil"/>
              <w:right w:val="double" w:sz="4" w:space="0" w:color="auto"/>
            </w:tcBorders>
            <w:vAlign w:val="center"/>
          </w:tcPr>
          <w:p w:rsidR="0043770E" w:rsidRPr="00226535" w:rsidRDefault="0043770E" w:rsidP="00D72ECE">
            <w:pPr>
              <w:tabs>
                <w:tab w:val="decimal" w:pos="221"/>
              </w:tabs>
              <w:spacing w:line="240" w:lineRule="auto"/>
              <w:ind w:firstLine="0"/>
              <w:jc w:val="center"/>
              <w:rPr>
                <w:sz w:val="20"/>
                <w:szCs w:val="20"/>
              </w:rPr>
            </w:pPr>
            <w:r w:rsidRPr="00226535">
              <w:rPr>
                <w:sz w:val="20"/>
                <w:szCs w:val="20"/>
              </w:rPr>
              <w:t>-13.46</w:t>
            </w: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rPr>
            </w:pPr>
            <w:r w:rsidRPr="00226535">
              <w:rPr>
                <w:sz w:val="20"/>
                <w:szCs w:val="20"/>
              </w:rPr>
              <w:t>-0.254</w:t>
            </w: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rPr>
            </w:pPr>
            <w:r w:rsidRPr="00226535">
              <w:rPr>
                <w:sz w:val="20"/>
                <w:szCs w:val="20"/>
              </w:rPr>
              <w:t>-7.39</w:t>
            </w: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firstLine="0"/>
              <w:jc w:val="left"/>
              <w:rPr>
                <w:sz w:val="20"/>
                <w:szCs w:val="20"/>
              </w:rPr>
            </w:pPr>
            <w:r w:rsidRPr="00BB21B7">
              <w:rPr>
                <w:sz w:val="20"/>
                <w:szCs w:val="20"/>
              </w:rPr>
              <w:t xml:space="preserve">         </w:t>
            </w:r>
            <w:r w:rsidR="008F2F54">
              <w:rPr>
                <w:sz w:val="20"/>
                <w:szCs w:val="20"/>
              </w:rPr>
              <w:t xml:space="preserve">                       </w:t>
            </w:r>
            <w:r>
              <w:rPr>
                <w:sz w:val="20"/>
                <w:szCs w:val="20"/>
              </w:rPr>
              <w:t>Standard Deviation</w:t>
            </w:r>
          </w:p>
        </w:tc>
        <w:tc>
          <w:tcPr>
            <w:tcW w:w="900" w:type="dxa"/>
            <w:tcBorders>
              <w:top w:val="nil"/>
              <w:left w:val="double" w:sz="4" w:space="0" w:color="auto"/>
              <w:bottom w:val="nil"/>
            </w:tcBorders>
            <w:vAlign w:val="center"/>
          </w:tcPr>
          <w:p w:rsidR="0043770E" w:rsidRPr="00226535" w:rsidRDefault="0043770E"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88"/>
              </w:tabs>
              <w:spacing w:line="240" w:lineRule="auto"/>
              <w:ind w:firstLine="0"/>
              <w:jc w:val="center"/>
              <w:rPr>
                <w:sz w:val="20"/>
                <w:szCs w:val="20"/>
              </w:rPr>
            </w:pPr>
          </w:p>
        </w:tc>
        <w:tc>
          <w:tcPr>
            <w:tcW w:w="900" w:type="dxa"/>
            <w:tcBorders>
              <w:top w:val="nil"/>
              <w:bottom w:val="nil"/>
              <w:right w:val="double" w:sz="4" w:space="0" w:color="auto"/>
            </w:tcBorders>
            <w:vAlign w:val="center"/>
          </w:tcPr>
          <w:p w:rsidR="0043770E" w:rsidRPr="00226535" w:rsidRDefault="0043770E" w:rsidP="00D72ECE">
            <w:pPr>
              <w:tabs>
                <w:tab w:val="decimal" w:pos="221"/>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rPr>
            </w:pPr>
          </w:p>
        </w:tc>
        <w:tc>
          <w:tcPr>
            <w:tcW w:w="900" w:type="dxa"/>
            <w:tcBorders>
              <w:top w:val="nil"/>
              <w:left w:val="double" w:sz="4" w:space="0" w:color="auto"/>
              <w:bottom w:val="nil"/>
            </w:tcBorders>
            <w:shd w:val="clear" w:color="auto" w:fill="auto"/>
            <w:vAlign w:val="center"/>
          </w:tcPr>
          <w:p w:rsidR="0043770E" w:rsidRPr="009F45C2" w:rsidRDefault="0043770E" w:rsidP="00D72ECE">
            <w:pPr>
              <w:tabs>
                <w:tab w:val="decimal" w:pos="222"/>
              </w:tabs>
              <w:spacing w:line="240" w:lineRule="auto"/>
              <w:ind w:firstLine="0"/>
              <w:jc w:val="center"/>
              <w:rPr>
                <w:sz w:val="20"/>
                <w:szCs w:val="20"/>
              </w:rPr>
            </w:pPr>
            <w:r w:rsidRPr="009F45C2">
              <w:rPr>
                <w:sz w:val="20"/>
                <w:szCs w:val="20"/>
              </w:rPr>
              <w:t>0.545</w:t>
            </w:r>
          </w:p>
        </w:tc>
        <w:tc>
          <w:tcPr>
            <w:tcW w:w="810" w:type="dxa"/>
            <w:tcBorders>
              <w:top w:val="nil"/>
              <w:bottom w:val="nil"/>
              <w:right w:val="double" w:sz="4" w:space="0" w:color="auto"/>
            </w:tcBorders>
            <w:shd w:val="clear" w:color="auto" w:fill="auto"/>
            <w:vAlign w:val="center"/>
          </w:tcPr>
          <w:p w:rsidR="0043770E" w:rsidRPr="009F45C2" w:rsidRDefault="0043770E" w:rsidP="00D72ECE">
            <w:pPr>
              <w:tabs>
                <w:tab w:val="decimal" w:pos="255"/>
              </w:tabs>
              <w:spacing w:line="240" w:lineRule="auto"/>
              <w:ind w:firstLine="0"/>
              <w:jc w:val="center"/>
              <w:rPr>
                <w:sz w:val="20"/>
                <w:szCs w:val="20"/>
              </w:rPr>
            </w:pPr>
            <w:r w:rsidRPr="009F45C2">
              <w:rPr>
                <w:sz w:val="20"/>
                <w:szCs w:val="20"/>
              </w:rPr>
              <w:t>3.25</w:t>
            </w: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firstLine="0"/>
              <w:jc w:val="left"/>
              <w:rPr>
                <w:i/>
                <w:sz w:val="20"/>
                <w:szCs w:val="20"/>
              </w:rPr>
            </w:pPr>
            <w:r w:rsidRPr="00BB21B7">
              <w:rPr>
                <w:i/>
                <w:sz w:val="20"/>
                <w:szCs w:val="20"/>
              </w:rPr>
              <w:t>Activity Intensity Variable</w:t>
            </w:r>
            <w:r w:rsidR="00995B29">
              <w:rPr>
                <w:i/>
                <w:sz w:val="20"/>
                <w:szCs w:val="20"/>
              </w:rPr>
              <w:t>s</w:t>
            </w:r>
          </w:p>
        </w:tc>
        <w:tc>
          <w:tcPr>
            <w:tcW w:w="900" w:type="dxa"/>
            <w:tcBorders>
              <w:top w:val="nil"/>
              <w:left w:val="double" w:sz="4" w:space="0" w:color="auto"/>
              <w:bottom w:val="nil"/>
            </w:tcBorders>
            <w:vAlign w:val="center"/>
          </w:tcPr>
          <w:p w:rsidR="0043770E" w:rsidRPr="00226535" w:rsidRDefault="0043770E"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88"/>
              </w:tabs>
              <w:spacing w:line="240" w:lineRule="auto"/>
              <w:ind w:firstLine="0"/>
              <w:jc w:val="center"/>
              <w:rPr>
                <w:sz w:val="20"/>
                <w:szCs w:val="20"/>
              </w:rPr>
            </w:pPr>
          </w:p>
        </w:tc>
        <w:tc>
          <w:tcPr>
            <w:tcW w:w="900" w:type="dxa"/>
            <w:tcBorders>
              <w:top w:val="nil"/>
              <w:bottom w:val="nil"/>
              <w:right w:val="double" w:sz="4" w:space="0" w:color="auto"/>
            </w:tcBorders>
            <w:vAlign w:val="center"/>
          </w:tcPr>
          <w:p w:rsidR="0043770E" w:rsidRPr="00226535" w:rsidRDefault="0043770E" w:rsidP="00D72ECE">
            <w:pPr>
              <w:tabs>
                <w:tab w:val="decimal" w:pos="221"/>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rPr>
            </w:pP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firstLine="0"/>
              <w:jc w:val="left"/>
              <w:rPr>
                <w:sz w:val="20"/>
                <w:szCs w:val="20"/>
              </w:rPr>
            </w:pPr>
            <w:r w:rsidRPr="00BB21B7">
              <w:rPr>
                <w:sz w:val="20"/>
                <w:szCs w:val="20"/>
              </w:rPr>
              <w:t xml:space="preserve">    Intensity of retail activity</w:t>
            </w:r>
          </w:p>
        </w:tc>
        <w:tc>
          <w:tcPr>
            <w:tcW w:w="900" w:type="dxa"/>
            <w:tcBorders>
              <w:top w:val="nil"/>
              <w:left w:val="double" w:sz="4" w:space="0" w:color="auto"/>
              <w:bottom w:val="nil"/>
            </w:tcBorders>
            <w:vAlign w:val="center"/>
          </w:tcPr>
          <w:p w:rsidR="0043770E" w:rsidRPr="00226535" w:rsidRDefault="0043770E"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88"/>
              </w:tabs>
              <w:spacing w:line="240" w:lineRule="auto"/>
              <w:ind w:firstLine="0"/>
              <w:jc w:val="center"/>
              <w:rPr>
                <w:sz w:val="20"/>
                <w:szCs w:val="20"/>
              </w:rPr>
            </w:pPr>
          </w:p>
        </w:tc>
        <w:tc>
          <w:tcPr>
            <w:tcW w:w="900" w:type="dxa"/>
            <w:tcBorders>
              <w:top w:val="nil"/>
              <w:bottom w:val="nil"/>
              <w:right w:val="double" w:sz="4" w:space="0" w:color="auto"/>
            </w:tcBorders>
            <w:vAlign w:val="center"/>
          </w:tcPr>
          <w:p w:rsidR="0043770E" w:rsidRPr="00226535" w:rsidRDefault="0043770E" w:rsidP="00D72ECE">
            <w:pPr>
              <w:tabs>
                <w:tab w:val="decimal" w:pos="221"/>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rPr>
            </w:pP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firstLine="0"/>
              <w:jc w:val="left"/>
              <w:rPr>
                <w:sz w:val="20"/>
                <w:szCs w:val="20"/>
              </w:rPr>
            </w:pPr>
            <w:r w:rsidRPr="00BB21B7">
              <w:rPr>
                <w:sz w:val="20"/>
                <w:szCs w:val="20"/>
              </w:rPr>
              <w:t xml:space="preserve">                            </w:t>
            </w:r>
            <w:r w:rsidR="008F2F54">
              <w:rPr>
                <w:sz w:val="20"/>
                <w:szCs w:val="20"/>
              </w:rPr>
              <w:t xml:space="preserve">    </w:t>
            </w:r>
            <w:r w:rsidRPr="00BB21B7">
              <w:rPr>
                <w:sz w:val="20"/>
                <w:szCs w:val="20"/>
              </w:rPr>
              <w:t>Mean</w:t>
            </w:r>
          </w:p>
        </w:tc>
        <w:tc>
          <w:tcPr>
            <w:tcW w:w="900" w:type="dxa"/>
            <w:tcBorders>
              <w:top w:val="nil"/>
              <w:left w:val="double" w:sz="4" w:space="0" w:color="auto"/>
              <w:bottom w:val="nil"/>
            </w:tcBorders>
            <w:vAlign w:val="center"/>
          </w:tcPr>
          <w:p w:rsidR="0043770E" w:rsidRPr="00226535" w:rsidRDefault="0043770E" w:rsidP="00D72ECE">
            <w:pPr>
              <w:tabs>
                <w:tab w:val="decimal" w:pos="204"/>
              </w:tabs>
              <w:spacing w:line="240" w:lineRule="auto"/>
              <w:ind w:firstLine="0"/>
              <w:rPr>
                <w:sz w:val="20"/>
                <w:szCs w:val="20"/>
              </w:rPr>
            </w:pPr>
            <w:r w:rsidRPr="00226535">
              <w:rPr>
                <w:sz w:val="20"/>
                <w:szCs w:val="20"/>
              </w:rPr>
              <w:t>0.7</w:t>
            </w:r>
            <w:r>
              <w:rPr>
                <w:sz w:val="20"/>
                <w:szCs w:val="20"/>
              </w:rPr>
              <w:t>32</w:t>
            </w:r>
          </w:p>
        </w:tc>
        <w:tc>
          <w:tcPr>
            <w:tcW w:w="810" w:type="dxa"/>
            <w:tcBorders>
              <w:top w:val="nil"/>
              <w:bottom w:val="nil"/>
              <w:right w:val="double" w:sz="4" w:space="0" w:color="auto"/>
            </w:tcBorders>
            <w:vAlign w:val="center"/>
          </w:tcPr>
          <w:p w:rsidR="0043770E" w:rsidRPr="00226535" w:rsidRDefault="0043770E" w:rsidP="00D72ECE">
            <w:pPr>
              <w:tabs>
                <w:tab w:val="decimal" w:pos="147"/>
              </w:tabs>
              <w:spacing w:line="240" w:lineRule="auto"/>
              <w:ind w:firstLine="0"/>
              <w:jc w:val="center"/>
              <w:rPr>
                <w:sz w:val="20"/>
                <w:szCs w:val="20"/>
              </w:rPr>
            </w:pPr>
            <w:r w:rsidRPr="00226535">
              <w:rPr>
                <w:sz w:val="20"/>
                <w:szCs w:val="20"/>
              </w:rPr>
              <w:t>5.</w:t>
            </w:r>
            <w:r>
              <w:rPr>
                <w:sz w:val="20"/>
                <w:szCs w:val="20"/>
              </w:rPr>
              <w:t>45</w:t>
            </w:r>
          </w:p>
        </w:tc>
        <w:tc>
          <w:tcPr>
            <w:tcW w:w="900" w:type="dxa"/>
            <w:tcBorders>
              <w:top w:val="nil"/>
              <w:left w:val="double" w:sz="4" w:space="0" w:color="auto"/>
              <w:bottom w:val="nil"/>
            </w:tcBorders>
            <w:vAlign w:val="center"/>
          </w:tcPr>
          <w:p w:rsidR="0043770E" w:rsidRPr="00226535" w:rsidRDefault="0043770E" w:rsidP="00D72ECE">
            <w:pPr>
              <w:tabs>
                <w:tab w:val="decimal" w:pos="188"/>
              </w:tabs>
              <w:spacing w:line="240" w:lineRule="auto"/>
              <w:ind w:firstLine="0"/>
              <w:jc w:val="center"/>
              <w:rPr>
                <w:sz w:val="20"/>
                <w:szCs w:val="20"/>
              </w:rPr>
            </w:pPr>
            <w:r w:rsidRPr="00226535">
              <w:rPr>
                <w:sz w:val="20"/>
                <w:szCs w:val="20"/>
              </w:rPr>
              <w:t>0.6</w:t>
            </w:r>
            <w:r>
              <w:rPr>
                <w:sz w:val="20"/>
                <w:szCs w:val="20"/>
              </w:rPr>
              <w:t>74</w:t>
            </w:r>
          </w:p>
        </w:tc>
        <w:tc>
          <w:tcPr>
            <w:tcW w:w="900" w:type="dxa"/>
            <w:tcBorders>
              <w:top w:val="nil"/>
              <w:bottom w:val="nil"/>
              <w:right w:val="double" w:sz="4" w:space="0" w:color="auto"/>
            </w:tcBorders>
            <w:vAlign w:val="center"/>
          </w:tcPr>
          <w:p w:rsidR="0043770E" w:rsidRPr="00226535" w:rsidRDefault="0043770E" w:rsidP="00D72ECE">
            <w:pPr>
              <w:tabs>
                <w:tab w:val="decimal" w:pos="221"/>
              </w:tabs>
              <w:spacing w:line="240" w:lineRule="auto"/>
              <w:ind w:firstLine="0"/>
              <w:jc w:val="center"/>
              <w:rPr>
                <w:sz w:val="20"/>
                <w:szCs w:val="20"/>
              </w:rPr>
            </w:pPr>
            <w:r w:rsidRPr="00226535">
              <w:rPr>
                <w:sz w:val="20"/>
                <w:szCs w:val="20"/>
              </w:rPr>
              <w:t>3.84</w:t>
            </w: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rPr>
            </w:pPr>
            <w:r w:rsidRPr="00226535">
              <w:rPr>
                <w:sz w:val="20"/>
                <w:szCs w:val="20"/>
              </w:rPr>
              <w:t>0.3</w:t>
            </w:r>
            <w:r>
              <w:rPr>
                <w:sz w:val="20"/>
                <w:szCs w:val="20"/>
              </w:rPr>
              <w:t>25</w:t>
            </w: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rPr>
            </w:pPr>
            <w:r w:rsidRPr="00226535">
              <w:rPr>
                <w:sz w:val="20"/>
                <w:szCs w:val="20"/>
              </w:rPr>
              <w:t>8.8</w:t>
            </w:r>
            <w:r>
              <w:rPr>
                <w:sz w:val="20"/>
                <w:szCs w:val="20"/>
              </w:rPr>
              <w:t>0</w:t>
            </w: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rPr>
            </w:pP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firstLine="0"/>
              <w:jc w:val="left"/>
              <w:rPr>
                <w:sz w:val="20"/>
                <w:szCs w:val="20"/>
              </w:rPr>
            </w:pPr>
            <w:r w:rsidRPr="00BB21B7">
              <w:rPr>
                <w:sz w:val="20"/>
                <w:szCs w:val="20"/>
              </w:rPr>
              <w:t xml:space="preserve">         </w:t>
            </w:r>
            <w:r w:rsidR="008F2F54">
              <w:rPr>
                <w:sz w:val="20"/>
                <w:szCs w:val="20"/>
              </w:rPr>
              <w:t xml:space="preserve">                       </w:t>
            </w:r>
            <w:r>
              <w:rPr>
                <w:sz w:val="20"/>
                <w:szCs w:val="20"/>
              </w:rPr>
              <w:t>Standard Deviation</w:t>
            </w:r>
          </w:p>
        </w:tc>
        <w:tc>
          <w:tcPr>
            <w:tcW w:w="900" w:type="dxa"/>
            <w:tcBorders>
              <w:top w:val="nil"/>
              <w:left w:val="double" w:sz="4" w:space="0" w:color="auto"/>
              <w:bottom w:val="nil"/>
            </w:tcBorders>
            <w:vAlign w:val="center"/>
          </w:tcPr>
          <w:p w:rsidR="0043770E" w:rsidRPr="00226535" w:rsidRDefault="0043770E"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shd w:val="clear" w:color="auto" w:fill="auto"/>
            <w:vAlign w:val="center"/>
          </w:tcPr>
          <w:p w:rsidR="0043770E" w:rsidRPr="009F45C2" w:rsidRDefault="0043770E" w:rsidP="00D72ECE">
            <w:pPr>
              <w:tabs>
                <w:tab w:val="decimal" w:pos="188"/>
              </w:tabs>
              <w:spacing w:line="240" w:lineRule="auto"/>
              <w:ind w:firstLine="0"/>
              <w:jc w:val="center"/>
              <w:rPr>
                <w:sz w:val="20"/>
                <w:szCs w:val="20"/>
              </w:rPr>
            </w:pPr>
            <w:r w:rsidRPr="009F45C2">
              <w:rPr>
                <w:sz w:val="20"/>
                <w:szCs w:val="20"/>
              </w:rPr>
              <w:t>0.445</w:t>
            </w:r>
          </w:p>
        </w:tc>
        <w:tc>
          <w:tcPr>
            <w:tcW w:w="900" w:type="dxa"/>
            <w:tcBorders>
              <w:top w:val="nil"/>
              <w:bottom w:val="nil"/>
              <w:right w:val="double" w:sz="4" w:space="0" w:color="auto"/>
            </w:tcBorders>
            <w:shd w:val="clear" w:color="auto" w:fill="auto"/>
            <w:vAlign w:val="center"/>
          </w:tcPr>
          <w:p w:rsidR="0043770E" w:rsidRPr="009F45C2" w:rsidRDefault="0043770E" w:rsidP="00D72ECE">
            <w:pPr>
              <w:tabs>
                <w:tab w:val="decimal" w:pos="221"/>
              </w:tabs>
              <w:spacing w:line="240" w:lineRule="auto"/>
              <w:ind w:firstLine="0"/>
              <w:jc w:val="center"/>
              <w:rPr>
                <w:sz w:val="20"/>
                <w:szCs w:val="20"/>
              </w:rPr>
            </w:pPr>
            <w:r w:rsidRPr="009F45C2">
              <w:rPr>
                <w:sz w:val="20"/>
                <w:szCs w:val="20"/>
              </w:rPr>
              <w:t>3.62</w:t>
            </w: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rPr>
            </w:pP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firstLine="0"/>
              <w:jc w:val="left"/>
              <w:rPr>
                <w:sz w:val="20"/>
                <w:szCs w:val="20"/>
              </w:rPr>
            </w:pPr>
            <w:r w:rsidRPr="00BB21B7">
              <w:rPr>
                <w:sz w:val="20"/>
                <w:szCs w:val="20"/>
              </w:rPr>
              <w:t xml:space="preserve">    Number of schools</w:t>
            </w:r>
          </w:p>
        </w:tc>
        <w:tc>
          <w:tcPr>
            <w:tcW w:w="900" w:type="dxa"/>
            <w:tcBorders>
              <w:top w:val="nil"/>
              <w:left w:val="double" w:sz="4" w:space="0" w:color="auto"/>
              <w:bottom w:val="nil"/>
            </w:tcBorders>
            <w:vAlign w:val="center"/>
          </w:tcPr>
          <w:p w:rsidR="0043770E" w:rsidRPr="00226535" w:rsidRDefault="0043770E"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88"/>
              </w:tabs>
              <w:spacing w:line="240" w:lineRule="auto"/>
              <w:ind w:firstLine="0"/>
              <w:jc w:val="center"/>
              <w:rPr>
                <w:sz w:val="20"/>
                <w:szCs w:val="20"/>
              </w:rPr>
            </w:pPr>
          </w:p>
        </w:tc>
        <w:tc>
          <w:tcPr>
            <w:tcW w:w="900" w:type="dxa"/>
            <w:tcBorders>
              <w:top w:val="nil"/>
              <w:bottom w:val="nil"/>
              <w:right w:val="double" w:sz="4" w:space="0" w:color="auto"/>
            </w:tcBorders>
            <w:vAlign w:val="center"/>
          </w:tcPr>
          <w:p w:rsidR="0043770E" w:rsidRPr="00226535" w:rsidRDefault="0043770E" w:rsidP="00D72ECE">
            <w:pPr>
              <w:tabs>
                <w:tab w:val="decimal" w:pos="221"/>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rPr>
            </w:pP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firstLine="0"/>
              <w:jc w:val="left"/>
              <w:rPr>
                <w:sz w:val="20"/>
                <w:szCs w:val="20"/>
              </w:rPr>
            </w:pPr>
            <w:r w:rsidRPr="00BB21B7">
              <w:rPr>
                <w:sz w:val="20"/>
                <w:szCs w:val="20"/>
              </w:rPr>
              <w:t xml:space="preserve">         </w:t>
            </w:r>
            <w:r w:rsidR="008F2F54">
              <w:rPr>
                <w:sz w:val="20"/>
                <w:szCs w:val="20"/>
              </w:rPr>
              <w:t xml:space="preserve">                       </w:t>
            </w:r>
            <w:r w:rsidRPr="00BB21B7">
              <w:rPr>
                <w:sz w:val="20"/>
                <w:szCs w:val="20"/>
              </w:rPr>
              <w:t>Mean</w:t>
            </w:r>
          </w:p>
        </w:tc>
        <w:tc>
          <w:tcPr>
            <w:tcW w:w="900" w:type="dxa"/>
            <w:tcBorders>
              <w:top w:val="nil"/>
              <w:left w:val="double" w:sz="4" w:space="0" w:color="auto"/>
              <w:bottom w:val="nil"/>
            </w:tcBorders>
            <w:vAlign w:val="center"/>
          </w:tcPr>
          <w:p w:rsidR="0043770E" w:rsidRPr="00226535" w:rsidRDefault="0043770E"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88"/>
              </w:tabs>
              <w:spacing w:line="240" w:lineRule="auto"/>
              <w:ind w:firstLine="0"/>
              <w:jc w:val="center"/>
              <w:rPr>
                <w:sz w:val="20"/>
                <w:szCs w:val="20"/>
              </w:rPr>
            </w:pPr>
            <w:r w:rsidRPr="00226535">
              <w:rPr>
                <w:sz w:val="20"/>
                <w:szCs w:val="20"/>
              </w:rPr>
              <w:t>0.273</w:t>
            </w:r>
          </w:p>
        </w:tc>
        <w:tc>
          <w:tcPr>
            <w:tcW w:w="900" w:type="dxa"/>
            <w:tcBorders>
              <w:top w:val="nil"/>
              <w:bottom w:val="nil"/>
              <w:right w:val="double" w:sz="4" w:space="0" w:color="auto"/>
            </w:tcBorders>
            <w:vAlign w:val="center"/>
          </w:tcPr>
          <w:p w:rsidR="0043770E" w:rsidRPr="00226535" w:rsidRDefault="0043770E" w:rsidP="00D72ECE">
            <w:pPr>
              <w:tabs>
                <w:tab w:val="decimal" w:pos="221"/>
              </w:tabs>
              <w:spacing w:line="240" w:lineRule="auto"/>
              <w:ind w:firstLine="0"/>
              <w:jc w:val="center"/>
              <w:rPr>
                <w:sz w:val="20"/>
                <w:szCs w:val="20"/>
              </w:rPr>
            </w:pPr>
            <w:r w:rsidRPr="00226535">
              <w:rPr>
                <w:sz w:val="20"/>
                <w:szCs w:val="20"/>
              </w:rPr>
              <w:t>11.65</w:t>
            </w: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rPr>
            </w:pPr>
            <w:r w:rsidRPr="00226535">
              <w:rPr>
                <w:sz w:val="20"/>
                <w:szCs w:val="20"/>
              </w:rPr>
              <w:t>-1.</w:t>
            </w:r>
            <w:r>
              <w:rPr>
                <w:sz w:val="20"/>
                <w:szCs w:val="20"/>
              </w:rPr>
              <w:t>802</w:t>
            </w: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rPr>
            </w:pPr>
            <w:r w:rsidRPr="00226535">
              <w:rPr>
                <w:sz w:val="20"/>
                <w:szCs w:val="20"/>
              </w:rPr>
              <w:t>-</w:t>
            </w:r>
            <w:r>
              <w:rPr>
                <w:sz w:val="20"/>
                <w:szCs w:val="20"/>
              </w:rPr>
              <w:t>10.81</w:t>
            </w: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rPr>
            </w:pP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firstLine="0"/>
              <w:jc w:val="left"/>
              <w:rPr>
                <w:sz w:val="20"/>
                <w:szCs w:val="20"/>
              </w:rPr>
            </w:pPr>
            <w:r w:rsidRPr="00BB21B7">
              <w:rPr>
                <w:sz w:val="20"/>
                <w:szCs w:val="20"/>
              </w:rPr>
              <w:t xml:space="preserve">                </w:t>
            </w:r>
            <w:r w:rsidR="008F2F54">
              <w:rPr>
                <w:sz w:val="20"/>
                <w:szCs w:val="20"/>
              </w:rPr>
              <w:t xml:space="preserve">                </w:t>
            </w:r>
            <w:r>
              <w:rPr>
                <w:sz w:val="20"/>
                <w:szCs w:val="20"/>
              </w:rPr>
              <w:t>Standard Deviation</w:t>
            </w:r>
          </w:p>
        </w:tc>
        <w:tc>
          <w:tcPr>
            <w:tcW w:w="900" w:type="dxa"/>
            <w:tcBorders>
              <w:top w:val="nil"/>
              <w:left w:val="double" w:sz="4" w:space="0" w:color="auto"/>
              <w:bottom w:val="nil"/>
            </w:tcBorders>
            <w:vAlign w:val="center"/>
          </w:tcPr>
          <w:p w:rsidR="0043770E" w:rsidRPr="00226535" w:rsidRDefault="0043770E"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88"/>
              </w:tabs>
              <w:spacing w:line="240" w:lineRule="auto"/>
              <w:ind w:firstLine="0"/>
              <w:jc w:val="center"/>
              <w:rPr>
                <w:sz w:val="20"/>
                <w:szCs w:val="20"/>
              </w:rPr>
            </w:pPr>
          </w:p>
        </w:tc>
        <w:tc>
          <w:tcPr>
            <w:tcW w:w="900" w:type="dxa"/>
            <w:tcBorders>
              <w:top w:val="nil"/>
              <w:bottom w:val="nil"/>
              <w:right w:val="double" w:sz="4" w:space="0" w:color="auto"/>
            </w:tcBorders>
            <w:vAlign w:val="center"/>
          </w:tcPr>
          <w:p w:rsidR="0043770E" w:rsidRPr="00226535" w:rsidRDefault="0043770E" w:rsidP="00D72ECE">
            <w:pPr>
              <w:tabs>
                <w:tab w:val="decimal" w:pos="221"/>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9F45C2" w:rsidRDefault="0043770E" w:rsidP="00D72ECE">
            <w:pPr>
              <w:tabs>
                <w:tab w:val="decimal" w:pos="170"/>
              </w:tabs>
              <w:spacing w:line="240" w:lineRule="auto"/>
              <w:ind w:firstLine="0"/>
              <w:jc w:val="center"/>
              <w:rPr>
                <w:sz w:val="20"/>
                <w:szCs w:val="20"/>
              </w:rPr>
            </w:pPr>
            <w:r w:rsidRPr="009F45C2">
              <w:rPr>
                <w:sz w:val="20"/>
                <w:szCs w:val="20"/>
              </w:rPr>
              <w:t>0.219</w:t>
            </w:r>
          </w:p>
        </w:tc>
        <w:tc>
          <w:tcPr>
            <w:tcW w:w="810" w:type="dxa"/>
            <w:tcBorders>
              <w:top w:val="nil"/>
              <w:bottom w:val="nil"/>
              <w:right w:val="double" w:sz="4" w:space="0" w:color="auto"/>
            </w:tcBorders>
            <w:vAlign w:val="center"/>
          </w:tcPr>
          <w:p w:rsidR="0043770E" w:rsidRPr="009F45C2" w:rsidRDefault="0043770E" w:rsidP="00D72ECE">
            <w:pPr>
              <w:tabs>
                <w:tab w:val="decimal" w:pos="275"/>
              </w:tabs>
              <w:spacing w:line="240" w:lineRule="auto"/>
              <w:ind w:firstLine="0"/>
              <w:jc w:val="center"/>
              <w:rPr>
                <w:sz w:val="20"/>
                <w:szCs w:val="20"/>
              </w:rPr>
            </w:pPr>
            <w:r w:rsidRPr="009F45C2">
              <w:rPr>
                <w:sz w:val="20"/>
                <w:szCs w:val="20"/>
              </w:rPr>
              <w:t>2.80</w:t>
            </w: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rPr>
            </w:pP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firstLine="0"/>
              <w:jc w:val="left"/>
              <w:rPr>
                <w:sz w:val="20"/>
                <w:szCs w:val="20"/>
              </w:rPr>
            </w:pPr>
            <w:r w:rsidRPr="00BB21B7">
              <w:rPr>
                <w:sz w:val="20"/>
                <w:szCs w:val="20"/>
              </w:rPr>
              <w:t xml:space="preserve">    Number of universities</w:t>
            </w:r>
          </w:p>
        </w:tc>
        <w:tc>
          <w:tcPr>
            <w:tcW w:w="900" w:type="dxa"/>
            <w:tcBorders>
              <w:top w:val="nil"/>
              <w:left w:val="double" w:sz="4" w:space="0" w:color="auto"/>
              <w:bottom w:val="nil"/>
            </w:tcBorders>
            <w:vAlign w:val="center"/>
          </w:tcPr>
          <w:p w:rsidR="0043770E" w:rsidRPr="00226535" w:rsidRDefault="0043770E"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88"/>
              </w:tabs>
              <w:spacing w:line="240" w:lineRule="auto"/>
              <w:ind w:firstLine="0"/>
              <w:jc w:val="center"/>
              <w:rPr>
                <w:sz w:val="20"/>
                <w:szCs w:val="20"/>
              </w:rPr>
            </w:pPr>
          </w:p>
        </w:tc>
        <w:tc>
          <w:tcPr>
            <w:tcW w:w="900" w:type="dxa"/>
            <w:tcBorders>
              <w:top w:val="nil"/>
              <w:bottom w:val="nil"/>
              <w:right w:val="double" w:sz="4" w:space="0" w:color="auto"/>
            </w:tcBorders>
            <w:vAlign w:val="center"/>
          </w:tcPr>
          <w:p w:rsidR="0043770E" w:rsidRPr="00226535" w:rsidRDefault="0043770E" w:rsidP="00D72ECE">
            <w:pPr>
              <w:tabs>
                <w:tab w:val="decimal" w:pos="221"/>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rPr>
            </w:pP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firstLine="0"/>
              <w:jc w:val="left"/>
              <w:rPr>
                <w:sz w:val="20"/>
                <w:szCs w:val="20"/>
              </w:rPr>
            </w:pPr>
            <w:r w:rsidRPr="00BB21B7">
              <w:rPr>
                <w:sz w:val="20"/>
                <w:szCs w:val="20"/>
              </w:rPr>
              <w:t xml:space="preserve">         </w:t>
            </w:r>
            <w:r w:rsidR="008F2F54">
              <w:rPr>
                <w:sz w:val="20"/>
                <w:szCs w:val="20"/>
              </w:rPr>
              <w:t xml:space="preserve">                       </w:t>
            </w:r>
            <w:r w:rsidRPr="00BB21B7">
              <w:rPr>
                <w:sz w:val="20"/>
                <w:szCs w:val="20"/>
              </w:rPr>
              <w:t>Mean</w:t>
            </w:r>
          </w:p>
        </w:tc>
        <w:tc>
          <w:tcPr>
            <w:tcW w:w="900" w:type="dxa"/>
            <w:tcBorders>
              <w:top w:val="nil"/>
              <w:left w:val="double" w:sz="4" w:space="0" w:color="auto"/>
              <w:bottom w:val="nil"/>
            </w:tcBorders>
            <w:vAlign w:val="center"/>
          </w:tcPr>
          <w:p w:rsidR="0043770E" w:rsidRPr="00226535" w:rsidRDefault="0043770E"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88"/>
              </w:tabs>
              <w:spacing w:line="240" w:lineRule="auto"/>
              <w:ind w:firstLine="0"/>
              <w:jc w:val="center"/>
              <w:rPr>
                <w:sz w:val="20"/>
                <w:szCs w:val="20"/>
              </w:rPr>
            </w:pPr>
            <w:r w:rsidRPr="00226535">
              <w:rPr>
                <w:sz w:val="20"/>
                <w:szCs w:val="20"/>
              </w:rPr>
              <w:t>0.096</w:t>
            </w:r>
          </w:p>
        </w:tc>
        <w:tc>
          <w:tcPr>
            <w:tcW w:w="900" w:type="dxa"/>
            <w:tcBorders>
              <w:top w:val="nil"/>
              <w:bottom w:val="nil"/>
              <w:right w:val="double" w:sz="4" w:space="0" w:color="auto"/>
            </w:tcBorders>
            <w:vAlign w:val="center"/>
          </w:tcPr>
          <w:p w:rsidR="0043770E" w:rsidRPr="00226535" w:rsidRDefault="0043770E" w:rsidP="00D72ECE">
            <w:pPr>
              <w:tabs>
                <w:tab w:val="decimal" w:pos="221"/>
              </w:tabs>
              <w:spacing w:line="240" w:lineRule="auto"/>
              <w:ind w:firstLine="0"/>
              <w:jc w:val="center"/>
              <w:rPr>
                <w:sz w:val="20"/>
                <w:szCs w:val="20"/>
              </w:rPr>
            </w:pPr>
            <w:r w:rsidRPr="00226535">
              <w:rPr>
                <w:sz w:val="20"/>
                <w:szCs w:val="20"/>
              </w:rPr>
              <w:t>2.90</w:t>
            </w: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rPr>
            </w:pP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firstLine="0"/>
              <w:jc w:val="left"/>
              <w:rPr>
                <w:sz w:val="20"/>
                <w:szCs w:val="20"/>
              </w:rPr>
            </w:pPr>
            <w:r w:rsidRPr="00BB21B7">
              <w:rPr>
                <w:sz w:val="20"/>
                <w:szCs w:val="20"/>
              </w:rPr>
              <w:t xml:space="preserve">         </w:t>
            </w:r>
            <w:r w:rsidR="008F2F54">
              <w:rPr>
                <w:sz w:val="20"/>
                <w:szCs w:val="20"/>
              </w:rPr>
              <w:t xml:space="preserve">                       </w:t>
            </w:r>
            <w:r>
              <w:rPr>
                <w:sz w:val="20"/>
                <w:szCs w:val="20"/>
              </w:rPr>
              <w:t>Standard Deviation</w:t>
            </w:r>
          </w:p>
        </w:tc>
        <w:tc>
          <w:tcPr>
            <w:tcW w:w="900" w:type="dxa"/>
            <w:tcBorders>
              <w:top w:val="nil"/>
              <w:left w:val="double" w:sz="4" w:space="0" w:color="auto"/>
              <w:bottom w:val="nil"/>
            </w:tcBorders>
            <w:vAlign w:val="center"/>
          </w:tcPr>
          <w:p w:rsidR="0043770E" w:rsidRPr="00226535" w:rsidRDefault="0043770E"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9F45C2" w:rsidRDefault="0043770E" w:rsidP="00D72ECE">
            <w:pPr>
              <w:tabs>
                <w:tab w:val="decimal" w:pos="188"/>
              </w:tabs>
              <w:spacing w:line="240" w:lineRule="auto"/>
              <w:ind w:firstLine="0"/>
              <w:jc w:val="center"/>
              <w:rPr>
                <w:sz w:val="20"/>
                <w:szCs w:val="20"/>
              </w:rPr>
            </w:pPr>
            <w:r w:rsidRPr="009F45C2">
              <w:rPr>
                <w:sz w:val="20"/>
                <w:szCs w:val="20"/>
              </w:rPr>
              <w:t>0.282</w:t>
            </w:r>
          </w:p>
        </w:tc>
        <w:tc>
          <w:tcPr>
            <w:tcW w:w="900" w:type="dxa"/>
            <w:tcBorders>
              <w:top w:val="nil"/>
              <w:bottom w:val="nil"/>
              <w:right w:val="double" w:sz="4" w:space="0" w:color="auto"/>
            </w:tcBorders>
            <w:vAlign w:val="center"/>
          </w:tcPr>
          <w:p w:rsidR="0043770E" w:rsidRPr="009F45C2" w:rsidRDefault="0043770E" w:rsidP="00D72ECE">
            <w:pPr>
              <w:tabs>
                <w:tab w:val="decimal" w:pos="221"/>
              </w:tabs>
              <w:spacing w:line="240" w:lineRule="auto"/>
              <w:ind w:firstLine="0"/>
              <w:jc w:val="center"/>
              <w:rPr>
                <w:sz w:val="20"/>
                <w:szCs w:val="20"/>
              </w:rPr>
            </w:pPr>
            <w:r w:rsidRPr="009F45C2">
              <w:rPr>
                <w:sz w:val="20"/>
                <w:szCs w:val="20"/>
              </w:rPr>
              <w:t>5.97</w:t>
            </w: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rPr>
            </w:pP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firstLine="0"/>
              <w:jc w:val="left"/>
              <w:rPr>
                <w:i/>
                <w:sz w:val="20"/>
                <w:szCs w:val="20"/>
              </w:rPr>
            </w:pPr>
            <w:r w:rsidRPr="00BB21B7">
              <w:rPr>
                <w:i/>
                <w:sz w:val="20"/>
                <w:szCs w:val="20"/>
              </w:rPr>
              <w:t>Commute Mode Shares and Transit Supply</w:t>
            </w:r>
          </w:p>
        </w:tc>
        <w:tc>
          <w:tcPr>
            <w:tcW w:w="900" w:type="dxa"/>
            <w:tcBorders>
              <w:top w:val="nil"/>
              <w:left w:val="double" w:sz="4" w:space="0" w:color="auto"/>
              <w:bottom w:val="nil"/>
            </w:tcBorders>
            <w:vAlign w:val="center"/>
          </w:tcPr>
          <w:p w:rsidR="0043770E" w:rsidRPr="00226535" w:rsidRDefault="0043770E"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88"/>
              </w:tabs>
              <w:spacing w:line="240" w:lineRule="auto"/>
              <w:ind w:firstLine="0"/>
              <w:jc w:val="center"/>
              <w:rPr>
                <w:sz w:val="20"/>
                <w:szCs w:val="20"/>
              </w:rPr>
            </w:pPr>
          </w:p>
        </w:tc>
        <w:tc>
          <w:tcPr>
            <w:tcW w:w="900" w:type="dxa"/>
            <w:tcBorders>
              <w:top w:val="nil"/>
              <w:bottom w:val="nil"/>
              <w:right w:val="double" w:sz="4" w:space="0" w:color="auto"/>
            </w:tcBorders>
            <w:vAlign w:val="center"/>
          </w:tcPr>
          <w:p w:rsidR="0043770E" w:rsidRPr="00226535" w:rsidRDefault="0043770E" w:rsidP="00D72ECE">
            <w:pPr>
              <w:tabs>
                <w:tab w:val="decimal" w:pos="221"/>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rPr>
            </w:pP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firstLine="0"/>
              <w:jc w:val="left"/>
              <w:rPr>
                <w:sz w:val="20"/>
                <w:szCs w:val="20"/>
              </w:rPr>
            </w:pPr>
            <w:r w:rsidRPr="00BB21B7">
              <w:rPr>
                <w:sz w:val="20"/>
                <w:szCs w:val="20"/>
              </w:rPr>
              <w:t xml:space="preserve">    Walk commute mode share</w:t>
            </w:r>
          </w:p>
        </w:tc>
        <w:tc>
          <w:tcPr>
            <w:tcW w:w="900" w:type="dxa"/>
            <w:tcBorders>
              <w:top w:val="nil"/>
              <w:left w:val="double" w:sz="4" w:space="0" w:color="auto"/>
              <w:bottom w:val="nil"/>
            </w:tcBorders>
            <w:vAlign w:val="center"/>
          </w:tcPr>
          <w:p w:rsidR="0043770E" w:rsidRPr="00226535" w:rsidRDefault="0043770E"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88"/>
              </w:tabs>
              <w:spacing w:line="240" w:lineRule="auto"/>
              <w:ind w:firstLine="0"/>
              <w:jc w:val="center"/>
              <w:rPr>
                <w:sz w:val="20"/>
                <w:szCs w:val="20"/>
              </w:rPr>
            </w:pPr>
          </w:p>
        </w:tc>
        <w:tc>
          <w:tcPr>
            <w:tcW w:w="900" w:type="dxa"/>
            <w:tcBorders>
              <w:top w:val="nil"/>
              <w:bottom w:val="nil"/>
              <w:right w:val="double" w:sz="4" w:space="0" w:color="auto"/>
            </w:tcBorders>
            <w:vAlign w:val="center"/>
          </w:tcPr>
          <w:p w:rsidR="0043770E" w:rsidRPr="00226535" w:rsidRDefault="0043770E" w:rsidP="00D72ECE">
            <w:pPr>
              <w:tabs>
                <w:tab w:val="decimal" w:pos="221"/>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rPr>
            </w:pP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firstLine="0"/>
              <w:jc w:val="left"/>
              <w:rPr>
                <w:sz w:val="20"/>
                <w:szCs w:val="20"/>
              </w:rPr>
            </w:pPr>
            <w:r w:rsidRPr="00BB21B7">
              <w:rPr>
                <w:sz w:val="20"/>
                <w:szCs w:val="20"/>
              </w:rPr>
              <w:t xml:space="preserve">         </w:t>
            </w:r>
            <w:r w:rsidR="008F2F54">
              <w:rPr>
                <w:sz w:val="20"/>
                <w:szCs w:val="20"/>
              </w:rPr>
              <w:t xml:space="preserve">                       </w:t>
            </w:r>
            <w:r w:rsidRPr="00BB21B7">
              <w:rPr>
                <w:sz w:val="20"/>
                <w:szCs w:val="20"/>
              </w:rPr>
              <w:t>Mean</w:t>
            </w:r>
          </w:p>
        </w:tc>
        <w:tc>
          <w:tcPr>
            <w:tcW w:w="900" w:type="dxa"/>
            <w:tcBorders>
              <w:top w:val="nil"/>
              <w:left w:val="double" w:sz="4" w:space="0" w:color="auto"/>
              <w:bottom w:val="nil"/>
            </w:tcBorders>
            <w:vAlign w:val="center"/>
          </w:tcPr>
          <w:p w:rsidR="0043770E" w:rsidRPr="00226535" w:rsidRDefault="0043770E"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88"/>
              </w:tabs>
              <w:spacing w:line="240" w:lineRule="auto"/>
              <w:ind w:firstLine="0"/>
              <w:jc w:val="center"/>
              <w:rPr>
                <w:sz w:val="20"/>
                <w:szCs w:val="20"/>
              </w:rPr>
            </w:pPr>
          </w:p>
        </w:tc>
        <w:tc>
          <w:tcPr>
            <w:tcW w:w="900" w:type="dxa"/>
            <w:tcBorders>
              <w:top w:val="nil"/>
              <w:bottom w:val="nil"/>
              <w:right w:val="double" w:sz="4" w:space="0" w:color="auto"/>
            </w:tcBorders>
            <w:vAlign w:val="center"/>
          </w:tcPr>
          <w:p w:rsidR="0043770E" w:rsidRPr="00226535" w:rsidRDefault="0043770E" w:rsidP="00D72ECE">
            <w:pPr>
              <w:tabs>
                <w:tab w:val="decimal" w:pos="221"/>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rPr>
            </w:pPr>
            <w:r w:rsidRPr="00226535">
              <w:rPr>
                <w:sz w:val="20"/>
                <w:szCs w:val="20"/>
              </w:rPr>
              <w:t>2.</w:t>
            </w:r>
            <w:r>
              <w:rPr>
                <w:sz w:val="20"/>
                <w:szCs w:val="20"/>
              </w:rPr>
              <w:t>396</w:t>
            </w: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rPr>
            </w:pPr>
            <w:r>
              <w:rPr>
                <w:sz w:val="20"/>
                <w:szCs w:val="20"/>
              </w:rPr>
              <w:t>6.55</w:t>
            </w: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firstLine="0"/>
              <w:jc w:val="left"/>
              <w:rPr>
                <w:sz w:val="20"/>
                <w:szCs w:val="20"/>
              </w:rPr>
            </w:pPr>
            <w:r w:rsidRPr="00BB21B7">
              <w:rPr>
                <w:sz w:val="20"/>
                <w:szCs w:val="20"/>
              </w:rPr>
              <w:t xml:space="preserve">         </w:t>
            </w:r>
            <w:r w:rsidR="008F2F54">
              <w:rPr>
                <w:sz w:val="20"/>
                <w:szCs w:val="20"/>
              </w:rPr>
              <w:t xml:space="preserve">                       </w:t>
            </w:r>
            <w:r>
              <w:rPr>
                <w:sz w:val="20"/>
                <w:szCs w:val="20"/>
              </w:rPr>
              <w:t>Standard Deviation</w:t>
            </w:r>
          </w:p>
        </w:tc>
        <w:tc>
          <w:tcPr>
            <w:tcW w:w="900" w:type="dxa"/>
            <w:tcBorders>
              <w:top w:val="nil"/>
              <w:left w:val="double" w:sz="4" w:space="0" w:color="auto"/>
              <w:bottom w:val="nil"/>
            </w:tcBorders>
            <w:vAlign w:val="center"/>
          </w:tcPr>
          <w:p w:rsidR="0043770E" w:rsidRPr="00226535" w:rsidRDefault="0043770E" w:rsidP="00D72ECE">
            <w:pPr>
              <w:tabs>
                <w:tab w:val="decimal" w:pos="204"/>
              </w:tabs>
              <w:spacing w:line="240" w:lineRule="auto"/>
              <w:ind w:firstLine="0"/>
              <w:jc w:val="center"/>
              <w:rPr>
                <w:sz w:val="20"/>
                <w:szCs w:val="20"/>
                <w:highlight w:val="yellow"/>
              </w:rPr>
            </w:pPr>
          </w:p>
        </w:tc>
        <w:tc>
          <w:tcPr>
            <w:tcW w:w="810" w:type="dxa"/>
            <w:tcBorders>
              <w:top w:val="nil"/>
              <w:bottom w:val="nil"/>
              <w:right w:val="double" w:sz="4" w:space="0" w:color="auto"/>
            </w:tcBorders>
            <w:vAlign w:val="center"/>
          </w:tcPr>
          <w:p w:rsidR="0043770E" w:rsidRPr="00226535" w:rsidRDefault="0043770E" w:rsidP="00D72ECE">
            <w:pPr>
              <w:tabs>
                <w:tab w:val="decimal" w:pos="147"/>
              </w:tabs>
              <w:spacing w:line="240" w:lineRule="auto"/>
              <w:ind w:firstLine="0"/>
              <w:jc w:val="center"/>
              <w:rPr>
                <w:sz w:val="20"/>
                <w:szCs w:val="20"/>
                <w:highlight w:val="yellow"/>
              </w:rPr>
            </w:pPr>
          </w:p>
        </w:tc>
        <w:tc>
          <w:tcPr>
            <w:tcW w:w="900" w:type="dxa"/>
            <w:tcBorders>
              <w:top w:val="nil"/>
              <w:left w:val="double" w:sz="4" w:space="0" w:color="auto"/>
              <w:bottom w:val="nil"/>
            </w:tcBorders>
            <w:vAlign w:val="center"/>
          </w:tcPr>
          <w:p w:rsidR="0043770E" w:rsidRPr="00226535" w:rsidRDefault="0043770E" w:rsidP="00D72ECE">
            <w:pPr>
              <w:tabs>
                <w:tab w:val="decimal" w:pos="188"/>
              </w:tabs>
              <w:spacing w:line="240" w:lineRule="auto"/>
              <w:ind w:firstLine="0"/>
              <w:jc w:val="center"/>
              <w:rPr>
                <w:sz w:val="20"/>
                <w:szCs w:val="20"/>
                <w:highlight w:val="yellow"/>
              </w:rPr>
            </w:pPr>
          </w:p>
        </w:tc>
        <w:tc>
          <w:tcPr>
            <w:tcW w:w="900" w:type="dxa"/>
            <w:tcBorders>
              <w:top w:val="nil"/>
              <w:bottom w:val="nil"/>
              <w:right w:val="double" w:sz="4" w:space="0" w:color="auto"/>
            </w:tcBorders>
            <w:vAlign w:val="center"/>
          </w:tcPr>
          <w:p w:rsidR="0043770E" w:rsidRPr="00226535" w:rsidRDefault="0043770E" w:rsidP="00D72ECE">
            <w:pPr>
              <w:tabs>
                <w:tab w:val="decimal" w:pos="221"/>
              </w:tabs>
              <w:spacing w:line="240" w:lineRule="auto"/>
              <w:ind w:firstLine="0"/>
              <w:jc w:val="center"/>
              <w:rPr>
                <w:sz w:val="20"/>
                <w:szCs w:val="20"/>
                <w:highlight w:val="yellow"/>
              </w:rPr>
            </w:pP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highlight w:val="yellow"/>
              </w:rPr>
            </w:pP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highlight w:val="yellow"/>
              </w:rPr>
            </w:pP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highlight w:val="yellow"/>
              </w:rPr>
            </w:pP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highlight w:val="yellow"/>
              </w:rPr>
            </w:pP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firstLine="0"/>
              <w:jc w:val="left"/>
              <w:rPr>
                <w:sz w:val="20"/>
                <w:szCs w:val="20"/>
              </w:rPr>
            </w:pPr>
            <w:r w:rsidRPr="00BB21B7">
              <w:rPr>
                <w:sz w:val="20"/>
                <w:szCs w:val="20"/>
              </w:rPr>
              <w:t xml:space="preserve">    Number of subway</w:t>
            </w:r>
            <w:r>
              <w:rPr>
                <w:sz w:val="20"/>
                <w:szCs w:val="20"/>
              </w:rPr>
              <w:t xml:space="preserve"> stops</w:t>
            </w:r>
          </w:p>
        </w:tc>
        <w:tc>
          <w:tcPr>
            <w:tcW w:w="900" w:type="dxa"/>
            <w:tcBorders>
              <w:top w:val="nil"/>
              <w:left w:val="double" w:sz="4" w:space="0" w:color="auto"/>
              <w:bottom w:val="nil"/>
            </w:tcBorders>
            <w:vAlign w:val="center"/>
          </w:tcPr>
          <w:p w:rsidR="0043770E" w:rsidRPr="00226535" w:rsidRDefault="0043770E" w:rsidP="00D72ECE">
            <w:pPr>
              <w:tabs>
                <w:tab w:val="decimal" w:pos="204"/>
              </w:tabs>
              <w:spacing w:line="240" w:lineRule="auto"/>
              <w:ind w:firstLine="0"/>
              <w:jc w:val="center"/>
              <w:rPr>
                <w:sz w:val="20"/>
                <w:szCs w:val="20"/>
                <w:highlight w:val="yellow"/>
              </w:rPr>
            </w:pPr>
          </w:p>
        </w:tc>
        <w:tc>
          <w:tcPr>
            <w:tcW w:w="810" w:type="dxa"/>
            <w:tcBorders>
              <w:top w:val="nil"/>
              <w:bottom w:val="nil"/>
              <w:right w:val="double" w:sz="4" w:space="0" w:color="auto"/>
            </w:tcBorders>
            <w:vAlign w:val="center"/>
          </w:tcPr>
          <w:p w:rsidR="0043770E" w:rsidRPr="00226535" w:rsidRDefault="0043770E" w:rsidP="00D72ECE">
            <w:pPr>
              <w:tabs>
                <w:tab w:val="decimal" w:pos="147"/>
              </w:tabs>
              <w:spacing w:line="240" w:lineRule="auto"/>
              <w:ind w:firstLine="0"/>
              <w:jc w:val="center"/>
              <w:rPr>
                <w:sz w:val="20"/>
                <w:szCs w:val="20"/>
                <w:highlight w:val="yellow"/>
              </w:rPr>
            </w:pPr>
          </w:p>
        </w:tc>
        <w:tc>
          <w:tcPr>
            <w:tcW w:w="900" w:type="dxa"/>
            <w:tcBorders>
              <w:top w:val="nil"/>
              <w:left w:val="double" w:sz="4" w:space="0" w:color="auto"/>
              <w:bottom w:val="nil"/>
            </w:tcBorders>
            <w:vAlign w:val="center"/>
          </w:tcPr>
          <w:p w:rsidR="0043770E" w:rsidRPr="00226535" w:rsidRDefault="0043770E" w:rsidP="00D72ECE">
            <w:pPr>
              <w:tabs>
                <w:tab w:val="decimal" w:pos="188"/>
              </w:tabs>
              <w:spacing w:line="240" w:lineRule="auto"/>
              <w:ind w:firstLine="0"/>
              <w:jc w:val="center"/>
              <w:rPr>
                <w:sz w:val="20"/>
                <w:szCs w:val="20"/>
                <w:highlight w:val="yellow"/>
              </w:rPr>
            </w:pPr>
          </w:p>
        </w:tc>
        <w:tc>
          <w:tcPr>
            <w:tcW w:w="900" w:type="dxa"/>
            <w:tcBorders>
              <w:top w:val="nil"/>
              <w:bottom w:val="nil"/>
              <w:right w:val="double" w:sz="4" w:space="0" w:color="auto"/>
            </w:tcBorders>
            <w:vAlign w:val="center"/>
          </w:tcPr>
          <w:p w:rsidR="0043770E" w:rsidRPr="00226535" w:rsidRDefault="0043770E" w:rsidP="00D72ECE">
            <w:pPr>
              <w:tabs>
                <w:tab w:val="decimal" w:pos="221"/>
              </w:tabs>
              <w:spacing w:line="240" w:lineRule="auto"/>
              <w:ind w:firstLine="0"/>
              <w:jc w:val="center"/>
              <w:rPr>
                <w:sz w:val="20"/>
                <w:szCs w:val="20"/>
                <w:highlight w:val="yellow"/>
              </w:rPr>
            </w:pP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highlight w:val="yellow"/>
              </w:rPr>
            </w:pP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highlight w:val="yellow"/>
              </w:rPr>
            </w:pP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highlight w:val="yellow"/>
              </w:rPr>
            </w:pP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highlight w:val="yellow"/>
              </w:rPr>
            </w:pP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firstLine="0"/>
              <w:jc w:val="left"/>
              <w:rPr>
                <w:sz w:val="20"/>
                <w:szCs w:val="20"/>
              </w:rPr>
            </w:pPr>
            <w:r w:rsidRPr="00BB21B7">
              <w:rPr>
                <w:sz w:val="20"/>
                <w:szCs w:val="20"/>
              </w:rPr>
              <w:t xml:space="preserve">                  </w:t>
            </w:r>
            <w:r w:rsidR="008F2F54">
              <w:rPr>
                <w:sz w:val="20"/>
                <w:szCs w:val="20"/>
              </w:rPr>
              <w:t xml:space="preserve">              </w:t>
            </w:r>
            <w:r w:rsidRPr="00BB21B7">
              <w:rPr>
                <w:sz w:val="20"/>
                <w:szCs w:val="20"/>
              </w:rPr>
              <w:t>Mean</w:t>
            </w:r>
          </w:p>
        </w:tc>
        <w:tc>
          <w:tcPr>
            <w:tcW w:w="900" w:type="dxa"/>
            <w:tcBorders>
              <w:top w:val="nil"/>
              <w:left w:val="double" w:sz="4" w:space="0" w:color="auto"/>
              <w:bottom w:val="nil"/>
            </w:tcBorders>
            <w:vAlign w:val="center"/>
          </w:tcPr>
          <w:p w:rsidR="0043770E" w:rsidRPr="00226535" w:rsidRDefault="0043770E" w:rsidP="00D72ECE">
            <w:pPr>
              <w:tabs>
                <w:tab w:val="decimal" w:pos="204"/>
              </w:tabs>
              <w:spacing w:line="240" w:lineRule="auto"/>
              <w:ind w:firstLine="0"/>
              <w:jc w:val="center"/>
              <w:rPr>
                <w:sz w:val="20"/>
                <w:szCs w:val="20"/>
                <w:highlight w:val="yellow"/>
              </w:rPr>
            </w:pPr>
            <w:r w:rsidRPr="00226535">
              <w:rPr>
                <w:sz w:val="20"/>
                <w:szCs w:val="20"/>
              </w:rPr>
              <w:t>0.1</w:t>
            </w:r>
            <w:r>
              <w:rPr>
                <w:sz w:val="20"/>
                <w:szCs w:val="20"/>
              </w:rPr>
              <w:t>81</w:t>
            </w:r>
          </w:p>
        </w:tc>
        <w:tc>
          <w:tcPr>
            <w:tcW w:w="810" w:type="dxa"/>
            <w:tcBorders>
              <w:top w:val="nil"/>
              <w:bottom w:val="nil"/>
              <w:right w:val="double" w:sz="4" w:space="0" w:color="auto"/>
            </w:tcBorders>
            <w:vAlign w:val="center"/>
          </w:tcPr>
          <w:p w:rsidR="0043770E" w:rsidRPr="00226535" w:rsidRDefault="0043770E" w:rsidP="00D72ECE">
            <w:pPr>
              <w:tabs>
                <w:tab w:val="decimal" w:pos="147"/>
              </w:tabs>
              <w:spacing w:line="240" w:lineRule="auto"/>
              <w:ind w:firstLine="0"/>
              <w:jc w:val="center"/>
              <w:rPr>
                <w:sz w:val="20"/>
                <w:szCs w:val="20"/>
                <w:highlight w:val="yellow"/>
              </w:rPr>
            </w:pPr>
            <w:r w:rsidRPr="00226535">
              <w:rPr>
                <w:sz w:val="20"/>
                <w:szCs w:val="20"/>
              </w:rPr>
              <w:t>6.8</w:t>
            </w:r>
            <w:r>
              <w:rPr>
                <w:sz w:val="20"/>
                <w:szCs w:val="20"/>
              </w:rPr>
              <w:t>0</w:t>
            </w:r>
          </w:p>
        </w:tc>
        <w:tc>
          <w:tcPr>
            <w:tcW w:w="900" w:type="dxa"/>
            <w:tcBorders>
              <w:top w:val="nil"/>
              <w:left w:val="double" w:sz="4" w:space="0" w:color="auto"/>
              <w:bottom w:val="nil"/>
            </w:tcBorders>
            <w:vAlign w:val="center"/>
          </w:tcPr>
          <w:p w:rsidR="0043770E" w:rsidRPr="00226535" w:rsidRDefault="0043770E" w:rsidP="00D72ECE">
            <w:pPr>
              <w:tabs>
                <w:tab w:val="decimal" w:pos="188"/>
              </w:tabs>
              <w:spacing w:line="240" w:lineRule="auto"/>
              <w:ind w:firstLine="0"/>
              <w:jc w:val="center"/>
              <w:rPr>
                <w:sz w:val="20"/>
                <w:szCs w:val="20"/>
                <w:highlight w:val="yellow"/>
              </w:rPr>
            </w:pPr>
          </w:p>
        </w:tc>
        <w:tc>
          <w:tcPr>
            <w:tcW w:w="900" w:type="dxa"/>
            <w:tcBorders>
              <w:top w:val="nil"/>
              <w:bottom w:val="nil"/>
              <w:right w:val="double" w:sz="4" w:space="0" w:color="auto"/>
            </w:tcBorders>
            <w:vAlign w:val="center"/>
          </w:tcPr>
          <w:p w:rsidR="0043770E" w:rsidRPr="00226535" w:rsidRDefault="0043770E" w:rsidP="00D72ECE">
            <w:pPr>
              <w:tabs>
                <w:tab w:val="decimal" w:pos="221"/>
              </w:tabs>
              <w:spacing w:line="240" w:lineRule="auto"/>
              <w:ind w:firstLine="0"/>
              <w:jc w:val="center"/>
              <w:rPr>
                <w:sz w:val="20"/>
                <w:szCs w:val="20"/>
                <w:highlight w:val="yellow"/>
              </w:rPr>
            </w:pP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highlight w:val="yellow"/>
              </w:rPr>
            </w:pP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highlight w:val="yellow"/>
              </w:rPr>
            </w:pP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highlight w:val="yellow"/>
              </w:rPr>
            </w:pP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highlight w:val="yellow"/>
              </w:rPr>
            </w:pP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firstLine="0"/>
              <w:jc w:val="left"/>
              <w:rPr>
                <w:sz w:val="20"/>
                <w:szCs w:val="20"/>
              </w:rPr>
            </w:pPr>
            <w:r w:rsidRPr="00BB21B7">
              <w:rPr>
                <w:sz w:val="20"/>
                <w:szCs w:val="20"/>
              </w:rPr>
              <w:t xml:space="preserve">         </w:t>
            </w:r>
            <w:r w:rsidR="008F2F54">
              <w:rPr>
                <w:sz w:val="20"/>
                <w:szCs w:val="20"/>
              </w:rPr>
              <w:t xml:space="preserve">                       </w:t>
            </w:r>
            <w:r>
              <w:rPr>
                <w:sz w:val="20"/>
                <w:szCs w:val="20"/>
              </w:rPr>
              <w:t>Standard Deviation</w:t>
            </w:r>
          </w:p>
        </w:tc>
        <w:tc>
          <w:tcPr>
            <w:tcW w:w="900" w:type="dxa"/>
            <w:tcBorders>
              <w:top w:val="nil"/>
              <w:left w:val="double" w:sz="4" w:space="0" w:color="auto"/>
              <w:bottom w:val="nil"/>
            </w:tcBorders>
            <w:vAlign w:val="center"/>
          </w:tcPr>
          <w:p w:rsidR="0043770E" w:rsidRPr="00226535" w:rsidRDefault="0043770E" w:rsidP="00D72ECE">
            <w:pPr>
              <w:tabs>
                <w:tab w:val="decimal" w:pos="204"/>
              </w:tabs>
              <w:spacing w:line="240" w:lineRule="auto"/>
              <w:ind w:firstLine="0"/>
              <w:jc w:val="center"/>
              <w:rPr>
                <w:sz w:val="20"/>
                <w:szCs w:val="20"/>
                <w:highlight w:val="yellow"/>
              </w:rPr>
            </w:pPr>
            <w:r w:rsidRPr="009F45C2">
              <w:rPr>
                <w:sz w:val="20"/>
                <w:szCs w:val="20"/>
              </w:rPr>
              <w:t>0.501</w:t>
            </w:r>
          </w:p>
        </w:tc>
        <w:tc>
          <w:tcPr>
            <w:tcW w:w="810" w:type="dxa"/>
            <w:tcBorders>
              <w:top w:val="nil"/>
              <w:bottom w:val="nil"/>
              <w:right w:val="double" w:sz="4" w:space="0" w:color="auto"/>
            </w:tcBorders>
            <w:vAlign w:val="center"/>
          </w:tcPr>
          <w:p w:rsidR="0043770E" w:rsidRPr="00226535" w:rsidRDefault="0043770E" w:rsidP="00D72ECE">
            <w:pPr>
              <w:tabs>
                <w:tab w:val="decimal" w:pos="147"/>
              </w:tabs>
              <w:spacing w:line="240" w:lineRule="auto"/>
              <w:ind w:firstLine="0"/>
              <w:jc w:val="center"/>
              <w:rPr>
                <w:sz w:val="20"/>
                <w:szCs w:val="20"/>
                <w:highlight w:val="yellow"/>
              </w:rPr>
            </w:pPr>
            <w:r w:rsidRPr="009F45C2">
              <w:rPr>
                <w:sz w:val="20"/>
                <w:szCs w:val="20"/>
              </w:rPr>
              <w:t>3.80</w:t>
            </w:r>
          </w:p>
        </w:tc>
        <w:tc>
          <w:tcPr>
            <w:tcW w:w="900" w:type="dxa"/>
            <w:tcBorders>
              <w:top w:val="nil"/>
              <w:left w:val="double" w:sz="4" w:space="0" w:color="auto"/>
              <w:bottom w:val="nil"/>
            </w:tcBorders>
            <w:vAlign w:val="center"/>
          </w:tcPr>
          <w:p w:rsidR="0043770E" w:rsidRPr="00226535" w:rsidRDefault="0043770E" w:rsidP="00D72ECE">
            <w:pPr>
              <w:tabs>
                <w:tab w:val="decimal" w:pos="188"/>
              </w:tabs>
              <w:spacing w:line="240" w:lineRule="auto"/>
              <w:ind w:firstLine="0"/>
              <w:jc w:val="center"/>
              <w:rPr>
                <w:sz w:val="20"/>
                <w:szCs w:val="20"/>
                <w:highlight w:val="yellow"/>
              </w:rPr>
            </w:pPr>
          </w:p>
        </w:tc>
        <w:tc>
          <w:tcPr>
            <w:tcW w:w="900" w:type="dxa"/>
            <w:tcBorders>
              <w:top w:val="nil"/>
              <w:bottom w:val="nil"/>
              <w:right w:val="double" w:sz="4" w:space="0" w:color="auto"/>
            </w:tcBorders>
            <w:vAlign w:val="center"/>
          </w:tcPr>
          <w:p w:rsidR="0043770E" w:rsidRPr="00226535" w:rsidRDefault="0043770E" w:rsidP="00D72ECE">
            <w:pPr>
              <w:tabs>
                <w:tab w:val="decimal" w:pos="221"/>
              </w:tabs>
              <w:spacing w:line="240" w:lineRule="auto"/>
              <w:ind w:firstLine="0"/>
              <w:jc w:val="center"/>
              <w:rPr>
                <w:sz w:val="20"/>
                <w:szCs w:val="20"/>
                <w:highlight w:val="yellow"/>
              </w:rPr>
            </w:pP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highlight w:val="yellow"/>
              </w:rPr>
            </w:pP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highlight w:val="yellow"/>
              </w:rPr>
            </w:pP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highlight w:val="yellow"/>
              </w:rPr>
            </w:pP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highlight w:val="yellow"/>
              </w:rPr>
            </w:pP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302AFF" w:rsidRDefault="0043770E" w:rsidP="004C4F47">
            <w:pPr>
              <w:spacing w:line="240" w:lineRule="auto"/>
              <w:ind w:firstLine="0"/>
              <w:jc w:val="left"/>
              <w:rPr>
                <w:sz w:val="20"/>
                <w:szCs w:val="20"/>
              </w:rPr>
            </w:pPr>
            <w:r w:rsidRPr="00C7214B">
              <w:rPr>
                <w:i/>
                <w:sz w:val="20"/>
                <w:szCs w:val="20"/>
              </w:rPr>
              <w:t>Non-diagonal elements of</w:t>
            </w:r>
            <w:r w:rsidRPr="00C7214B">
              <w:rPr>
                <w:sz w:val="20"/>
                <w:szCs w:val="20"/>
              </w:rPr>
              <w:t xml:space="preserve"> </w:t>
            </w:r>
            <w:proofErr w:type="spellStart"/>
            <w:r w:rsidR="009407BA" w:rsidRPr="009407BA">
              <w:rPr>
                <w:b/>
                <w:sz w:val="20"/>
                <w:szCs w:val="20"/>
              </w:rPr>
              <w:t>Ω</w:t>
            </w:r>
            <w:r w:rsidR="009407BA" w:rsidRPr="009407BA">
              <w:rPr>
                <w:i/>
                <w:sz w:val="20"/>
                <w:szCs w:val="20"/>
                <w:vertAlign w:val="subscript"/>
              </w:rPr>
              <w:t>j</w:t>
            </w:r>
            <w:proofErr w:type="spellEnd"/>
          </w:p>
        </w:tc>
        <w:tc>
          <w:tcPr>
            <w:tcW w:w="900" w:type="dxa"/>
            <w:tcBorders>
              <w:top w:val="nil"/>
              <w:left w:val="double" w:sz="4" w:space="0" w:color="auto"/>
              <w:bottom w:val="nil"/>
            </w:tcBorders>
            <w:vAlign w:val="center"/>
          </w:tcPr>
          <w:p w:rsidR="0043770E" w:rsidRPr="009F45C2" w:rsidRDefault="0043770E" w:rsidP="00D72ECE">
            <w:pPr>
              <w:tabs>
                <w:tab w:val="decimal" w:pos="204"/>
              </w:tabs>
              <w:spacing w:line="240" w:lineRule="auto"/>
              <w:ind w:firstLine="0"/>
              <w:jc w:val="center"/>
              <w:rPr>
                <w:sz w:val="20"/>
                <w:szCs w:val="20"/>
              </w:rPr>
            </w:pPr>
          </w:p>
        </w:tc>
        <w:tc>
          <w:tcPr>
            <w:tcW w:w="810" w:type="dxa"/>
            <w:tcBorders>
              <w:top w:val="nil"/>
              <w:bottom w:val="nil"/>
              <w:right w:val="double" w:sz="4" w:space="0" w:color="auto"/>
            </w:tcBorders>
            <w:vAlign w:val="center"/>
          </w:tcPr>
          <w:p w:rsidR="0043770E" w:rsidRPr="009F45C2" w:rsidRDefault="0043770E" w:rsidP="00D72ECE">
            <w:pPr>
              <w:tabs>
                <w:tab w:val="decimal" w:pos="147"/>
              </w:tabs>
              <w:spacing w:line="240" w:lineRule="auto"/>
              <w:ind w:firstLine="0"/>
              <w:jc w:val="center"/>
              <w:rPr>
                <w:sz w:val="20"/>
                <w:szCs w:val="20"/>
              </w:rPr>
            </w:pPr>
          </w:p>
        </w:tc>
        <w:tc>
          <w:tcPr>
            <w:tcW w:w="900" w:type="dxa"/>
            <w:tcBorders>
              <w:top w:val="nil"/>
              <w:left w:val="double" w:sz="4" w:space="0" w:color="auto"/>
              <w:bottom w:val="nil"/>
            </w:tcBorders>
            <w:vAlign w:val="center"/>
          </w:tcPr>
          <w:p w:rsidR="0043770E" w:rsidRPr="00226535" w:rsidRDefault="0043770E" w:rsidP="00D72ECE">
            <w:pPr>
              <w:tabs>
                <w:tab w:val="decimal" w:pos="188"/>
              </w:tabs>
              <w:spacing w:line="240" w:lineRule="auto"/>
              <w:ind w:firstLine="0"/>
              <w:jc w:val="center"/>
              <w:rPr>
                <w:sz w:val="20"/>
                <w:szCs w:val="20"/>
                <w:highlight w:val="yellow"/>
              </w:rPr>
            </w:pPr>
          </w:p>
        </w:tc>
        <w:tc>
          <w:tcPr>
            <w:tcW w:w="900" w:type="dxa"/>
            <w:tcBorders>
              <w:top w:val="nil"/>
              <w:bottom w:val="nil"/>
              <w:right w:val="double" w:sz="4" w:space="0" w:color="auto"/>
            </w:tcBorders>
            <w:vAlign w:val="center"/>
          </w:tcPr>
          <w:p w:rsidR="0043770E" w:rsidRPr="00226535" w:rsidRDefault="0043770E" w:rsidP="00D72ECE">
            <w:pPr>
              <w:tabs>
                <w:tab w:val="decimal" w:pos="221"/>
              </w:tabs>
              <w:spacing w:line="240" w:lineRule="auto"/>
              <w:ind w:firstLine="0"/>
              <w:jc w:val="center"/>
              <w:rPr>
                <w:sz w:val="20"/>
                <w:szCs w:val="20"/>
                <w:highlight w:val="yellow"/>
              </w:rPr>
            </w:pP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highlight w:val="yellow"/>
              </w:rPr>
            </w:pP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highlight w:val="yellow"/>
              </w:rPr>
            </w:pP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highlight w:val="yellow"/>
              </w:rPr>
            </w:pP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highlight w:val="yellow"/>
              </w:rPr>
            </w:pPr>
          </w:p>
        </w:tc>
      </w:tr>
      <w:tr w:rsidR="0043770E" w:rsidRPr="00BB21B7" w:rsidTr="008F2F54">
        <w:trPr>
          <w:jc w:val="center"/>
        </w:trPr>
        <w:tc>
          <w:tcPr>
            <w:tcW w:w="3585" w:type="dxa"/>
            <w:tcBorders>
              <w:top w:val="nil"/>
              <w:left w:val="double" w:sz="4" w:space="0" w:color="auto"/>
              <w:bottom w:val="nil"/>
              <w:right w:val="double" w:sz="4" w:space="0" w:color="auto"/>
            </w:tcBorders>
            <w:tcMar>
              <w:left w:w="43" w:type="dxa"/>
              <w:right w:w="43" w:type="dxa"/>
            </w:tcMar>
          </w:tcPr>
          <w:p w:rsidR="0043770E" w:rsidRPr="00BB21B7" w:rsidRDefault="0043770E" w:rsidP="004C4F47">
            <w:pPr>
              <w:spacing w:line="240" w:lineRule="auto"/>
              <w:ind w:left="237" w:hanging="237"/>
              <w:jc w:val="left"/>
              <w:rPr>
                <w:sz w:val="20"/>
                <w:szCs w:val="20"/>
              </w:rPr>
            </w:pPr>
            <w:r w:rsidRPr="0043770E">
              <w:rPr>
                <w:sz w:val="20"/>
                <w:szCs w:val="20"/>
              </w:rPr>
              <w:t>Between</w:t>
            </w:r>
            <w:r w:rsidR="00011EC4">
              <w:rPr>
                <w:sz w:val="20"/>
                <w:szCs w:val="20"/>
              </w:rPr>
              <w:t xml:space="preserve"> the constant and the number of </w:t>
            </w:r>
            <w:r w:rsidRPr="0043770E">
              <w:rPr>
                <w:sz w:val="20"/>
                <w:szCs w:val="20"/>
              </w:rPr>
              <w:t>subway stop</w:t>
            </w:r>
            <w:r>
              <w:rPr>
                <w:sz w:val="20"/>
                <w:szCs w:val="20"/>
              </w:rPr>
              <w:t>s</w:t>
            </w:r>
            <w:r w:rsidRPr="0043770E">
              <w:rPr>
                <w:sz w:val="20"/>
                <w:szCs w:val="20"/>
              </w:rPr>
              <w:t xml:space="preserve"> effect</w:t>
            </w:r>
          </w:p>
        </w:tc>
        <w:tc>
          <w:tcPr>
            <w:tcW w:w="900" w:type="dxa"/>
            <w:tcBorders>
              <w:top w:val="nil"/>
              <w:left w:val="double" w:sz="4" w:space="0" w:color="auto"/>
              <w:bottom w:val="nil"/>
            </w:tcBorders>
            <w:vAlign w:val="center"/>
          </w:tcPr>
          <w:p w:rsidR="0043770E" w:rsidRPr="009F45C2" w:rsidRDefault="00494D24" w:rsidP="00D72ECE">
            <w:pPr>
              <w:tabs>
                <w:tab w:val="decimal" w:pos="204"/>
              </w:tabs>
              <w:spacing w:line="240" w:lineRule="auto"/>
              <w:ind w:firstLine="0"/>
              <w:jc w:val="center"/>
              <w:rPr>
                <w:sz w:val="20"/>
                <w:szCs w:val="20"/>
              </w:rPr>
            </w:pPr>
            <w:r>
              <w:rPr>
                <w:sz w:val="20"/>
                <w:szCs w:val="20"/>
              </w:rPr>
              <w:t>0.128</w:t>
            </w:r>
          </w:p>
        </w:tc>
        <w:tc>
          <w:tcPr>
            <w:tcW w:w="810" w:type="dxa"/>
            <w:tcBorders>
              <w:top w:val="nil"/>
              <w:bottom w:val="nil"/>
              <w:right w:val="double" w:sz="4" w:space="0" w:color="auto"/>
            </w:tcBorders>
            <w:vAlign w:val="center"/>
          </w:tcPr>
          <w:p w:rsidR="0043770E" w:rsidRPr="009F45C2" w:rsidRDefault="00494D24" w:rsidP="00D72ECE">
            <w:pPr>
              <w:tabs>
                <w:tab w:val="decimal" w:pos="147"/>
              </w:tabs>
              <w:spacing w:line="240" w:lineRule="auto"/>
              <w:ind w:firstLine="0"/>
              <w:jc w:val="center"/>
              <w:rPr>
                <w:sz w:val="20"/>
                <w:szCs w:val="20"/>
              </w:rPr>
            </w:pPr>
            <w:r>
              <w:rPr>
                <w:sz w:val="20"/>
                <w:szCs w:val="20"/>
              </w:rPr>
              <w:t>2.16</w:t>
            </w:r>
          </w:p>
        </w:tc>
        <w:tc>
          <w:tcPr>
            <w:tcW w:w="900" w:type="dxa"/>
            <w:tcBorders>
              <w:top w:val="nil"/>
              <w:left w:val="double" w:sz="4" w:space="0" w:color="auto"/>
              <w:bottom w:val="nil"/>
            </w:tcBorders>
            <w:vAlign w:val="center"/>
          </w:tcPr>
          <w:p w:rsidR="0043770E" w:rsidRPr="00226535" w:rsidRDefault="0043770E" w:rsidP="00D72ECE">
            <w:pPr>
              <w:tabs>
                <w:tab w:val="decimal" w:pos="188"/>
              </w:tabs>
              <w:spacing w:line="240" w:lineRule="auto"/>
              <w:ind w:firstLine="0"/>
              <w:jc w:val="center"/>
              <w:rPr>
                <w:sz w:val="20"/>
                <w:szCs w:val="20"/>
                <w:highlight w:val="yellow"/>
              </w:rPr>
            </w:pPr>
          </w:p>
        </w:tc>
        <w:tc>
          <w:tcPr>
            <w:tcW w:w="900" w:type="dxa"/>
            <w:tcBorders>
              <w:top w:val="nil"/>
              <w:bottom w:val="nil"/>
              <w:right w:val="double" w:sz="4" w:space="0" w:color="auto"/>
            </w:tcBorders>
            <w:vAlign w:val="center"/>
          </w:tcPr>
          <w:p w:rsidR="0043770E" w:rsidRPr="00226535" w:rsidRDefault="0043770E" w:rsidP="00D72ECE">
            <w:pPr>
              <w:tabs>
                <w:tab w:val="decimal" w:pos="221"/>
              </w:tabs>
              <w:spacing w:line="240" w:lineRule="auto"/>
              <w:ind w:firstLine="0"/>
              <w:jc w:val="center"/>
              <w:rPr>
                <w:sz w:val="20"/>
                <w:szCs w:val="20"/>
                <w:highlight w:val="yellow"/>
              </w:rPr>
            </w:pPr>
          </w:p>
        </w:tc>
        <w:tc>
          <w:tcPr>
            <w:tcW w:w="900" w:type="dxa"/>
            <w:tcBorders>
              <w:top w:val="nil"/>
              <w:left w:val="double" w:sz="4" w:space="0" w:color="auto"/>
              <w:bottom w:val="nil"/>
            </w:tcBorders>
            <w:vAlign w:val="center"/>
          </w:tcPr>
          <w:p w:rsidR="0043770E" w:rsidRPr="00226535" w:rsidRDefault="0043770E" w:rsidP="00D72ECE">
            <w:pPr>
              <w:tabs>
                <w:tab w:val="decimal" w:pos="170"/>
              </w:tabs>
              <w:spacing w:line="240" w:lineRule="auto"/>
              <w:ind w:firstLine="0"/>
              <w:jc w:val="center"/>
              <w:rPr>
                <w:sz w:val="20"/>
                <w:szCs w:val="20"/>
                <w:highlight w:val="yellow"/>
              </w:rPr>
            </w:pPr>
          </w:p>
        </w:tc>
        <w:tc>
          <w:tcPr>
            <w:tcW w:w="810" w:type="dxa"/>
            <w:tcBorders>
              <w:top w:val="nil"/>
              <w:bottom w:val="nil"/>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highlight w:val="yellow"/>
              </w:rPr>
            </w:pPr>
          </w:p>
        </w:tc>
        <w:tc>
          <w:tcPr>
            <w:tcW w:w="900" w:type="dxa"/>
            <w:tcBorders>
              <w:top w:val="nil"/>
              <w:left w:val="double" w:sz="4" w:space="0" w:color="auto"/>
              <w:bottom w:val="nil"/>
            </w:tcBorders>
            <w:vAlign w:val="center"/>
          </w:tcPr>
          <w:p w:rsidR="0043770E" w:rsidRPr="00226535" w:rsidRDefault="0043770E" w:rsidP="00D72ECE">
            <w:pPr>
              <w:tabs>
                <w:tab w:val="decimal" w:pos="222"/>
              </w:tabs>
              <w:spacing w:line="240" w:lineRule="auto"/>
              <w:ind w:firstLine="0"/>
              <w:jc w:val="center"/>
              <w:rPr>
                <w:sz w:val="20"/>
                <w:szCs w:val="20"/>
                <w:highlight w:val="yellow"/>
              </w:rPr>
            </w:pPr>
          </w:p>
        </w:tc>
        <w:tc>
          <w:tcPr>
            <w:tcW w:w="810" w:type="dxa"/>
            <w:tcBorders>
              <w:top w:val="nil"/>
              <w:bottom w:val="nil"/>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highlight w:val="yellow"/>
              </w:rPr>
            </w:pPr>
          </w:p>
        </w:tc>
      </w:tr>
      <w:tr w:rsidR="0043770E" w:rsidRPr="00BB21B7" w:rsidTr="008F2F54">
        <w:trPr>
          <w:jc w:val="center"/>
        </w:trPr>
        <w:tc>
          <w:tcPr>
            <w:tcW w:w="3585" w:type="dxa"/>
            <w:tcBorders>
              <w:top w:val="nil"/>
              <w:left w:val="double" w:sz="4" w:space="0" w:color="auto"/>
              <w:bottom w:val="double" w:sz="4" w:space="0" w:color="auto"/>
              <w:right w:val="double" w:sz="4" w:space="0" w:color="auto"/>
            </w:tcBorders>
            <w:tcMar>
              <w:left w:w="43" w:type="dxa"/>
              <w:right w:w="43" w:type="dxa"/>
            </w:tcMar>
          </w:tcPr>
          <w:p w:rsidR="0043770E" w:rsidRPr="00BB21B7" w:rsidRDefault="005616C6" w:rsidP="004C4F47">
            <w:pPr>
              <w:spacing w:line="240" w:lineRule="auto"/>
              <w:ind w:left="237" w:hanging="237"/>
              <w:jc w:val="left"/>
              <w:rPr>
                <w:sz w:val="20"/>
                <w:szCs w:val="20"/>
              </w:rPr>
            </w:pPr>
            <w:r w:rsidRPr="0043770E">
              <w:rPr>
                <w:sz w:val="20"/>
                <w:szCs w:val="20"/>
              </w:rPr>
              <w:t xml:space="preserve">Between </w:t>
            </w:r>
            <w:r w:rsidR="00011EC4">
              <w:rPr>
                <w:sz w:val="20"/>
                <w:szCs w:val="20"/>
              </w:rPr>
              <w:t xml:space="preserve">the effects of (log) population </w:t>
            </w:r>
            <w:r w:rsidRPr="0043770E">
              <w:rPr>
                <w:sz w:val="20"/>
                <w:szCs w:val="20"/>
              </w:rPr>
              <w:t>density and intensity of retail activity</w:t>
            </w:r>
          </w:p>
        </w:tc>
        <w:tc>
          <w:tcPr>
            <w:tcW w:w="900" w:type="dxa"/>
            <w:tcBorders>
              <w:top w:val="nil"/>
              <w:left w:val="double" w:sz="4" w:space="0" w:color="auto"/>
              <w:bottom w:val="double" w:sz="4" w:space="0" w:color="auto"/>
            </w:tcBorders>
            <w:vAlign w:val="center"/>
          </w:tcPr>
          <w:p w:rsidR="0043770E" w:rsidRPr="009F45C2" w:rsidRDefault="0043770E" w:rsidP="00D72ECE">
            <w:pPr>
              <w:tabs>
                <w:tab w:val="decimal" w:pos="204"/>
              </w:tabs>
              <w:spacing w:line="240" w:lineRule="auto"/>
              <w:ind w:firstLine="0"/>
              <w:jc w:val="center"/>
              <w:rPr>
                <w:sz w:val="20"/>
                <w:szCs w:val="20"/>
              </w:rPr>
            </w:pPr>
          </w:p>
        </w:tc>
        <w:tc>
          <w:tcPr>
            <w:tcW w:w="810" w:type="dxa"/>
            <w:tcBorders>
              <w:top w:val="nil"/>
              <w:bottom w:val="double" w:sz="4" w:space="0" w:color="auto"/>
              <w:right w:val="double" w:sz="4" w:space="0" w:color="auto"/>
            </w:tcBorders>
            <w:vAlign w:val="center"/>
          </w:tcPr>
          <w:p w:rsidR="0043770E" w:rsidRPr="009F45C2" w:rsidRDefault="0043770E" w:rsidP="00D72ECE">
            <w:pPr>
              <w:tabs>
                <w:tab w:val="decimal" w:pos="147"/>
              </w:tabs>
              <w:spacing w:line="240" w:lineRule="auto"/>
              <w:ind w:firstLine="0"/>
              <w:jc w:val="center"/>
              <w:rPr>
                <w:sz w:val="20"/>
                <w:szCs w:val="20"/>
              </w:rPr>
            </w:pPr>
          </w:p>
        </w:tc>
        <w:tc>
          <w:tcPr>
            <w:tcW w:w="900" w:type="dxa"/>
            <w:tcBorders>
              <w:top w:val="nil"/>
              <w:left w:val="double" w:sz="4" w:space="0" w:color="auto"/>
              <w:bottom w:val="double" w:sz="4" w:space="0" w:color="auto"/>
            </w:tcBorders>
            <w:vAlign w:val="center"/>
          </w:tcPr>
          <w:p w:rsidR="0043770E" w:rsidRPr="00226535" w:rsidRDefault="00494D24" w:rsidP="00D72ECE">
            <w:pPr>
              <w:tabs>
                <w:tab w:val="decimal" w:pos="188"/>
              </w:tabs>
              <w:spacing w:line="240" w:lineRule="auto"/>
              <w:ind w:firstLine="0"/>
              <w:jc w:val="center"/>
              <w:rPr>
                <w:sz w:val="20"/>
                <w:szCs w:val="20"/>
                <w:highlight w:val="yellow"/>
              </w:rPr>
            </w:pPr>
            <w:r w:rsidRPr="00C7214B">
              <w:rPr>
                <w:sz w:val="20"/>
                <w:szCs w:val="20"/>
              </w:rPr>
              <w:t>0.175</w:t>
            </w:r>
          </w:p>
        </w:tc>
        <w:tc>
          <w:tcPr>
            <w:tcW w:w="900" w:type="dxa"/>
            <w:tcBorders>
              <w:top w:val="nil"/>
              <w:bottom w:val="double" w:sz="4" w:space="0" w:color="auto"/>
              <w:right w:val="double" w:sz="4" w:space="0" w:color="auto"/>
            </w:tcBorders>
            <w:vAlign w:val="center"/>
          </w:tcPr>
          <w:p w:rsidR="0043770E" w:rsidRPr="00226535" w:rsidRDefault="00494D24" w:rsidP="00D72ECE">
            <w:pPr>
              <w:tabs>
                <w:tab w:val="decimal" w:pos="221"/>
              </w:tabs>
              <w:spacing w:line="240" w:lineRule="auto"/>
              <w:ind w:firstLine="0"/>
              <w:jc w:val="center"/>
              <w:rPr>
                <w:sz w:val="20"/>
                <w:szCs w:val="20"/>
                <w:highlight w:val="yellow"/>
              </w:rPr>
            </w:pPr>
            <w:r w:rsidRPr="00C7214B">
              <w:rPr>
                <w:sz w:val="20"/>
                <w:szCs w:val="20"/>
              </w:rPr>
              <w:t>2.44</w:t>
            </w:r>
          </w:p>
        </w:tc>
        <w:tc>
          <w:tcPr>
            <w:tcW w:w="900" w:type="dxa"/>
            <w:tcBorders>
              <w:top w:val="nil"/>
              <w:left w:val="double" w:sz="4" w:space="0" w:color="auto"/>
              <w:bottom w:val="double" w:sz="4" w:space="0" w:color="auto"/>
            </w:tcBorders>
            <w:vAlign w:val="center"/>
          </w:tcPr>
          <w:p w:rsidR="0043770E" w:rsidRPr="00226535" w:rsidRDefault="0043770E" w:rsidP="00D72ECE">
            <w:pPr>
              <w:tabs>
                <w:tab w:val="decimal" w:pos="170"/>
              </w:tabs>
              <w:spacing w:line="240" w:lineRule="auto"/>
              <w:ind w:firstLine="0"/>
              <w:jc w:val="center"/>
              <w:rPr>
                <w:sz w:val="20"/>
                <w:szCs w:val="20"/>
                <w:highlight w:val="yellow"/>
              </w:rPr>
            </w:pPr>
          </w:p>
        </w:tc>
        <w:tc>
          <w:tcPr>
            <w:tcW w:w="810" w:type="dxa"/>
            <w:tcBorders>
              <w:top w:val="nil"/>
              <w:bottom w:val="double" w:sz="4" w:space="0" w:color="auto"/>
              <w:right w:val="double" w:sz="4" w:space="0" w:color="auto"/>
            </w:tcBorders>
            <w:vAlign w:val="center"/>
          </w:tcPr>
          <w:p w:rsidR="0043770E" w:rsidRPr="00226535" w:rsidRDefault="0043770E" w:rsidP="00D72ECE">
            <w:pPr>
              <w:tabs>
                <w:tab w:val="decimal" w:pos="275"/>
              </w:tabs>
              <w:spacing w:line="240" w:lineRule="auto"/>
              <w:ind w:firstLine="0"/>
              <w:jc w:val="center"/>
              <w:rPr>
                <w:sz w:val="20"/>
                <w:szCs w:val="20"/>
                <w:highlight w:val="yellow"/>
              </w:rPr>
            </w:pPr>
          </w:p>
        </w:tc>
        <w:tc>
          <w:tcPr>
            <w:tcW w:w="900" w:type="dxa"/>
            <w:tcBorders>
              <w:top w:val="nil"/>
              <w:left w:val="double" w:sz="4" w:space="0" w:color="auto"/>
              <w:bottom w:val="double" w:sz="4" w:space="0" w:color="auto"/>
            </w:tcBorders>
            <w:vAlign w:val="center"/>
          </w:tcPr>
          <w:p w:rsidR="0043770E" w:rsidRPr="00226535" w:rsidRDefault="0043770E" w:rsidP="00D72ECE">
            <w:pPr>
              <w:tabs>
                <w:tab w:val="decimal" w:pos="222"/>
              </w:tabs>
              <w:spacing w:line="240" w:lineRule="auto"/>
              <w:ind w:firstLine="0"/>
              <w:jc w:val="center"/>
              <w:rPr>
                <w:sz w:val="20"/>
                <w:szCs w:val="20"/>
                <w:highlight w:val="yellow"/>
              </w:rPr>
            </w:pPr>
          </w:p>
        </w:tc>
        <w:tc>
          <w:tcPr>
            <w:tcW w:w="810" w:type="dxa"/>
            <w:tcBorders>
              <w:top w:val="nil"/>
              <w:bottom w:val="double" w:sz="4" w:space="0" w:color="auto"/>
              <w:right w:val="double" w:sz="4" w:space="0" w:color="auto"/>
            </w:tcBorders>
            <w:vAlign w:val="center"/>
          </w:tcPr>
          <w:p w:rsidR="0043770E" w:rsidRPr="00226535" w:rsidRDefault="0043770E" w:rsidP="00D72ECE">
            <w:pPr>
              <w:tabs>
                <w:tab w:val="decimal" w:pos="255"/>
              </w:tabs>
              <w:spacing w:line="240" w:lineRule="auto"/>
              <w:ind w:firstLine="0"/>
              <w:jc w:val="center"/>
              <w:rPr>
                <w:sz w:val="20"/>
                <w:szCs w:val="20"/>
                <w:highlight w:val="yellow"/>
              </w:rPr>
            </w:pPr>
          </w:p>
        </w:tc>
      </w:tr>
    </w:tbl>
    <w:p w:rsidR="00946F5F" w:rsidRDefault="00946F5F" w:rsidP="004C4F47">
      <w:pPr>
        <w:tabs>
          <w:tab w:val="left" w:pos="8010"/>
        </w:tabs>
        <w:autoSpaceDE w:val="0"/>
        <w:autoSpaceDN w:val="0"/>
        <w:adjustRightInd w:val="0"/>
        <w:ind w:firstLine="0"/>
        <w:jc w:val="center"/>
        <w:rPr>
          <w:b/>
          <w:sz w:val="22"/>
          <w:szCs w:val="22"/>
        </w:rPr>
        <w:sectPr w:rsidR="00946F5F" w:rsidSect="00BA6025">
          <w:pgSz w:w="12240" w:h="15840"/>
          <w:pgMar w:top="1440" w:right="1440" w:bottom="1440" w:left="1440" w:header="720" w:footer="720" w:gutter="0"/>
          <w:cols w:space="720"/>
          <w:docGrid w:linePitch="360"/>
        </w:sectPr>
      </w:pPr>
    </w:p>
    <w:p w:rsidR="0098588C" w:rsidRDefault="0098588C" w:rsidP="004C4F47">
      <w:pPr>
        <w:tabs>
          <w:tab w:val="left" w:pos="8010"/>
        </w:tabs>
        <w:autoSpaceDE w:val="0"/>
        <w:autoSpaceDN w:val="0"/>
        <w:adjustRightInd w:val="0"/>
        <w:ind w:firstLine="0"/>
        <w:jc w:val="center"/>
        <w:rPr>
          <w:b/>
          <w:sz w:val="22"/>
          <w:szCs w:val="22"/>
        </w:rPr>
      </w:pPr>
    </w:p>
    <w:p w:rsidR="0098588C" w:rsidRDefault="0098588C" w:rsidP="00D72ECE">
      <w:pPr>
        <w:tabs>
          <w:tab w:val="left" w:pos="8010"/>
        </w:tabs>
        <w:autoSpaceDE w:val="0"/>
        <w:autoSpaceDN w:val="0"/>
        <w:adjustRightInd w:val="0"/>
        <w:ind w:firstLine="0"/>
        <w:jc w:val="center"/>
        <w:rPr>
          <w:b/>
          <w:sz w:val="22"/>
          <w:szCs w:val="22"/>
        </w:rPr>
      </w:pPr>
    </w:p>
    <w:p w:rsidR="00FF501D" w:rsidRPr="00D83357" w:rsidRDefault="00FF501D" w:rsidP="00D72ECE">
      <w:pPr>
        <w:tabs>
          <w:tab w:val="left" w:pos="8010"/>
        </w:tabs>
        <w:autoSpaceDE w:val="0"/>
        <w:autoSpaceDN w:val="0"/>
        <w:adjustRightInd w:val="0"/>
        <w:ind w:firstLine="0"/>
        <w:jc w:val="center"/>
      </w:pPr>
      <w:r w:rsidRPr="00BB21B7">
        <w:rPr>
          <w:b/>
          <w:sz w:val="22"/>
          <w:szCs w:val="22"/>
        </w:rPr>
        <w:t xml:space="preserve">Table </w:t>
      </w:r>
      <w:r w:rsidR="006A2D72">
        <w:rPr>
          <w:b/>
          <w:sz w:val="22"/>
          <w:szCs w:val="22"/>
        </w:rPr>
        <w:t>2</w:t>
      </w:r>
      <w:r w:rsidRPr="00BB21B7">
        <w:rPr>
          <w:b/>
          <w:sz w:val="22"/>
          <w:szCs w:val="22"/>
        </w:rPr>
        <w:t xml:space="preserve">: </w:t>
      </w:r>
      <w:r w:rsidR="006A2D72">
        <w:rPr>
          <w:b/>
          <w:sz w:val="22"/>
          <w:szCs w:val="22"/>
        </w:rPr>
        <w:t>Threshold Element</w:t>
      </w:r>
      <w:r w:rsidR="005D1B19">
        <w:rPr>
          <w:b/>
          <w:sz w:val="22"/>
          <w:szCs w:val="22"/>
        </w:rPr>
        <w:t>s and Spatial Dependence Effects</w:t>
      </w:r>
      <w:r w:rsidR="006A2D72">
        <w:rPr>
          <w:b/>
          <w:sz w:val="22"/>
          <w:szCs w:val="22"/>
        </w:rPr>
        <w:t xml:space="preserve"> </w:t>
      </w:r>
    </w:p>
    <w:tbl>
      <w:tblPr>
        <w:tblStyle w:val="TableGrid1"/>
        <w:tblW w:w="11503" w:type="dxa"/>
        <w:jc w:val="center"/>
        <w:tblLook w:val="04A0" w:firstRow="1" w:lastRow="0" w:firstColumn="1" w:lastColumn="0" w:noHBand="0" w:noVBand="1"/>
      </w:tblPr>
      <w:tblGrid>
        <w:gridCol w:w="3854"/>
        <w:gridCol w:w="975"/>
        <w:gridCol w:w="897"/>
        <w:gridCol w:w="1047"/>
        <w:gridCol w:w="917"/>
        <w:gridCol w:w="1047"/>
        <w:gridCol w:w="825"/>
        <w:gridCol w:w="1047"/>
        <w:gridCol w:w="894"/>
      </w:tblGrid>
      <w:tr w:rsidR="00FF501D" w:rsidRPr="00BB21B7" w:rsidTr="008F2F54">
        <w:trPr>
          <w:trHeight w:val="288"/>
          <w:jc w:val="center"/>
        </w:trPr>
        <w:tc>
          <w:tcPr>
            <w:tcW w:w="3854" w:type="dxa"/>
            <w:tcBorders>
              <w:top w:val="double" w:sz="4" w:space="0" w:color="auto"/>
              <w:left w:val="double" w:sz="4" w:space="0" w:color="auto"/>
              <w:bottom w:val="double" w:sz="4" w:space="0" w:color="auto"/>
              <w:right w:val="double" w:sz="4" w:space="0" w:color="auto"/>
            </w:tcBorders>
            <w:vAlign w:val="center"/>
          </w:tcPr>
          <w:p w:rsidR="00FF501D" w:rsidRPr="00BB21B7" w:rsidRDefault="00FF501D" w:rsidP="00D72ECE">
            <w:pPr>
              <w:spacing w:line="240" w:lineRule="auto"/>
              <w:ind w:firstLine="0"/>
              <w:jc w:val="center"/>
              <w:rPr>
                <w:b/>
                <w:sz w:val="20"/>
                <w:szCs w:val="20"/>
              </w:rPr>
            </w:pPr>
            <w:r w:rsidRPr="00BB21B7">
              <w:rPr>
                <w:b/>
                <w:sz w:val="20"/>
                <w:szCs w:val="20"/>
              </w:rPr>
              <w:t>Injury Severity</w:t>
            </w:r>
          </w:p>
        </w:tc>
        <w:tc>
          <w:tcPr>
            <w:tcW w:w="1872" w:type="dxa"/>
            <w:gridSpan w:val="2"/>
            <w:tcBorders>
              <w:top w:val="double" w:sz="4" w:space="0" w:color="auto"/>
              <w:left w:val="double" w:sz="4" w:space="0" w:color="auto"/>
              <w:bottom w:val="double" w:sz="4" w:space="0" w:color="auto"/>
              <w:right w:val="double" w:sz="4" w:space="0" w:color="auto"/>
            </w:tcBorders>
            <w:vAlign w:val="center"/>
          </w:tcPr>
          <w:p w:rsidR="00FF501D" w:rsidRPr="00BB21B7" w:rsidRDefault="00FF501D" w:rsidP="00D72ECE">
            <w:pPr>
              <w:spacing w:line="240" w:lineRule="auto"/>
              <w:ind w:firstLine="0"/>
              <w:jc w:val="center"/>
              <w:rPr>
                <w:b/>
                <w:sz w:val="20"/>
                <w:szCs w:val="20"/>
              </w:rPr>
            </w:pPr>
            <w:r w:rsidRPr="00BB21B7">
              <w:rPr>
                <w:b/>
                <w:sz w:val="20"/>
                <w:szCs w:val="20"/>
              </w:rPr>
              <w:t>Possible</w:t>
            </w:r>
          </w:p>
        </w:tc>
        <w:tc>
          <w:tcPr>
            <w:tcW w:w="1964" w:type="dxa"/>
            <w:gridSpan w:val="2"/>
            <w:tcBorders>
              <w:top w:val="double" w:sz="4" w:space="0" w:color="auto"/>
              <w:left w:val="double" w:sz="4" w:space="0" w:color="auto"/>
              <w:bottom w:val="double" w:sz="4" w:space="0" w:color="auto"/>
              <w:right w:val="double" w:sz="4" w:space="0" w:color="auto"/>
            </w:tcBorders>
            <w:vAlign w:val="center"/>
          </w:tcPr>
          <w:p w:rsidR="00FF501D" w:rsidRPr="00BB21B7" w:rsidRDefault="00FF501D" w:rsidP="00D72ECE">
            <w:pPr>
              <w:spacing w:line="240" w:lineRule="auto"/>
              <w:ind w:firstLine="0"/>
              <w:jc w:val="center"/>
              <w:rPr>
                <w:b/>
                <w:sz w:val="20"/>
                <w:szCs w:val="20"/>
              </w:rPr>
            </w:pPr>
            <w:r w:rsidRPr="00BB21B7">
              <w:rPr>
                <w:b/>
                <w:sz w:val="20"/>
                <w:szCs w:val="20"/>
              </w:rPr>
              <w:t>Non-Incapacitating</w:t>
            </w:r>
          </w:p>
        </w:tc>
        <w:tc>
          <w:tcPr>
            <w:tcW w:w="1872" w:type="dxa"/>
            <w:gridSpan w:val="2"/>
            <w:tcBorders>
              <w:top w:val="double" w:sz="4" w:space="0" w:color="auto"/>
              <w:left w:val="double" w:sz="4" w:space="0" w:color="auto"/>
              <w:bottom w:val="double" w:sz="4" w:space="0" w:color="auto"/>
              <w:right w:val="double" w:sz="4" w:space="0" w:color="auto"/>
            </w:tcBorders>
            <w:vAlign w:val="center"/>
          </w:tcPr>
          <w:p w:rsidR="00FF501D" w:rsidRPr="00BB21B7" w:rsidRDefault="00FF501D" w:rsidP="00D72ECE">
            <w:pPr>
              <w:spacing w:line="240" w:lineRule="auto"/>
              <w:ind w:firstLine="0"/>
              <w:jc w:val="center"/>
              <w:rPr>
                <w:b/>
                <w:sz w:val="20"/>
                <w:szCs w:val="20"/>
              </w:rPr>
            </w:pPr>
            <w:r w:rsidRPr="00BB21B7">
              <w:rPr>
                <w:b/>
                <w:sz w:val="20"/>
                <w:szCs w:val="20"/>
              </w:rPr>
              <w:t>Incapacitating</w:t>
            </w:r>
          </w:p>
        </w:tc>
        <w:tc>
          <w:tcPr>
            <w:tcW w:w="1941" w:type="dxa"/>
            <w:gridSpan w:val="2"/>
            <w:tcBorders>
              <w:top w:val="double" w:sz="4" w:space="0" w:color="auto"/>
              <w:left w:val="double" w:sz="4" w:space="0" w:color="auto"/>
              <w:bottom w:val="double" w:sz="4" w:space="0" w:color="auto"/>
              <w:right w:val="double" w:sz="4" w:space="0" w:color="auto"/>
            </w:tcBorders>
            <w:vAlign w:val="center"/>
          </w:tcPr>
          <w:p w:rsidR="00FF501D" w:rsidRPr="00BB21B7" w:rsidRDefault="00FF501D" w:rsidP="00D72ECE">
            <w:pPr>
              <w:spacing w:line="240" w:lineRule="auto"/>
              <w:ind w:firstLine="0"/>
              <w:jc w:val="center"/>
              <w:rPr>
                <w:b/>
                <w:sz w:val="20"/>
                <w:szCs w:val="20"/>
              </w:rPr>
            </w:pPr>
            <w:r w:rsidRPr="00BB21B7">
              <w:rPr>
                <w:b/>
                <w:sz w:val="20"/>
                <w:szCs w:val="20"/>
              </w:rPr>
              <w:t>Fatal</w:t>
            </w:r>
          </w:p>
        </w:tc>
      </w:tr>
      <w:tr w:rsidR="00FF501D" w:rsidRPr="00BB21B7" w:rsidTr="008F2F54">
        <w:trPr>
          <w:trHeight w:val="288"/>
          <w:jc w:val="center"/>
        </w:trPr>
        <w:tc>
          <w:tcPr>
            <w:tcW w:w="3854" w:type="dxa"/>
            <w:tcBorders>
              <w:top w:val="double" w:sz="4" w:space="0" w:color="auto"/>
              <w:left w:val="double" w:sz="4" w:space="0" w:color="auto"/>
              <w:bottom w:val="double" w:sz="4" w:space="0" w:color="auto"/>
              <w:right w:val="double" w:sz="4" w:space="0" w:color="auto"/>
            </w:tcBorders>
            <w:vAlign w:val="center"/>
          </w:tcPr>
          <w:p w:rsidR="00FF501D" w:rsidRPr="00BB21B7" w:rsidRDefault="00FF501D" w:rsidP="004C4F47">
            <w:pPr>
              <w:spacing w:line="240" w:lineRule="auto"/>
              <w:ind w:firstLine="0"/>
              <w:jc w:val="center"/>
              <w:rPr>
                <w:b/>
                <w:sz w:val="20"/>
                <w:szCs w:val="20"/>
              </w:rPr>
            </w:pPr>
            <w:r w:rsidRPr="00BB21B7">
              <w:rPr>
                <w:b/>
                <w:sz w:val="20"/>
                <w:szCs w:val="20"/>
              </w:rPr>
              <w:t>Parameters</w:t>
            </w:r>
          </w:p>
        </w:tc>
        <w:tc>
          <w:tcPr>
            <w:tcW w:w="0" w:type="auto"/>
            <w:tcBorders>
              <w:top w:val="double" w:sz="4" w:space="0" w:color="auto"/>
              <w:left w:val="double" w:sz="4" w:space="0" w:color="auto"/>
              <w:bottom w:val="double" w:sz="4" w:space="0" w:color="auto"/>
            </w:tcBorders>
            <w:vAlign w:val="center"/>
          </w:tcPr>
          <w:p w:rsidR="00FF501D" w:rsidRPr="00BB21B7" w:rsidRDefault="00FF501D" w:rsidP="00D72ECE">
            <w:pPr>
              <w:spacing w:line="240" w:lineRule="auto"/>
              <w:ind w:firstLine="0"/>
              <w:jc w:val="center"/>
              <w:rPr>
                <w:b/>
                <w:sz w:val="20"/>
                <w:szCs w:val="20"/>
              </w:rPr>
            </w:pPr>
            <w:r w:rsidRPr="00BB21B7">
              <w:rPr>
                <w:b/>
                <w:sz w:val="20"/>
                <w:szCs w:val="20"/>
              </w:rPr>
              <w:t>Estimate</w:t>
            </w:r>
          </w:p>
        </w:tc>
        <w:tc>
          <w:tcPr>
            <w:tcW w:w="897" w:type="dxa"/>
            <w:tcBorders>
              <w:top w:val="double" w:sz="4" w:space="0" w:color="auto"/>
              <w:bottom w:val="double" w:sz="4" w:space="0" w:color="auto"/>
              <w:right w:val="double" w:sz="4" w:space="0" w:color="auto"/>
            </w:tcBorders>
            <w:vAlign w:val="center"/>
          </w:tcPr>
          <w:p w:rsidR="00FF501D" w:rsidRPr="00BB21B7" w:rsidRDefault="00FF501D" w:rsidP="00D72ECE">
            <w:pPr>
              <w:spacing w:line="240" w:lineRule="auto"/>
              <w:ind w:firstLine="0"/>
              <w:jc w:val="center"/>
              <w:rPr>
                <w:b/>
                <w:sz w:val="20"/>
                <w:szCs w:val="20"/>
              </w:rPr>
            </w:pPr>
            <w:r w:rsidRPr="00BB21B7">
              <w:rPr>
                <w:b/>
                <w:sz w:val="20"/>
                <w:szCs w:val="20"/>
              </w:rPr>
              <w:t>T-Stat</w:t>
            </w:r>
          </w:p>
        </w:tc>
        <w:tc>
          <w:tcPr>
            <w:tcW w:w="1047" w:type="dxa"/>
            <w:tcBorders>
              <w:top w:val="double" w:sz="4" w:space="0" w:color="auto"/>
              <w:left w:val="double" w:sz="4" w:space="0" w:color="auto"/>
              <w:bottom w:val="double" w:sz="4" w:space="0" w:color="auto"/>
            </w:tcBorders>
            <w:vAlign w:val="center"/>
          </w:tcPr>
          <w:p w:rsidR="00FF501D" w:rsidRPr="00BB21B7" w:rsidRDefault="00FF501D" w:rsidP="00D72ECE">
            <w:pPr>
              <w:spacing w:line="240" w:lineRule="auto"/>
              <w:ind w:firstLine="0"/>
              <w:jc w:val="center"/>
              <w:rPr>
                <w:b/>
                <w:sz w:val="20"/>
                <w:szCs w:val="20"/>
              </w:rPr>
            </w:pPr>
            <w:r w:rsidRPr="00BB21B7">
              <w:rPr>
                <w:b/>
                <w:sz w:val="20"/>
                <w:szCs w:val="20"/>
              </w:rPr>
              <w:t>Estimate</w:t>
            </w:r>
          </w:p>
        </w:tc>
        <w:tc>
          <w:tcPr>
            <w:tcW w:w="917" w:type="dxa"/>
            <w:tcBorders>
              <w:top w:val="double" w:sz="4" w:space="0" w:color="auto"/>
              <w:bottom w:val="double" w:sz="4" w:space="0" w:color="auto"/>
              <w:right w:val="double" w:sz="4" w:space="0" w:color="auto"/>
            </w:tcBorders>
            <w:vAlign w:val="center"/>
          </w:tcPr>
          <w:p w:rsidR="00FF501D" w:rsidRPr="00BB21B7" w:rsidRDefault="00FF501D" w:rsidP="00D72ECE">
            <w:pPr>
              <w:spacing w:line="240" w:lineRule="auto"/>
              <w:ind w:firstLine="0"/>
              <w:jc w:val="center"/>
              <w:rPr>
                <w:b/>
                <w:sz w:val="20"/>
                <w:szCs w:val="20"/>
              </w:rPr>
            </w:pPr>
            <w:r w:rsidRPr="00BB21B7">
              <w:rPr>
                <w:b/>
                <w:sz w:val="20"/>
                <w:szCs w:val="20"/>
              </w:rPr>
              <w:t>T-Stat</w:t>
            </w:r>
          </w:p>
        </w:tc>
        <w:tc>
          <w:tcPr>
            <w:tcW w:w="1047" w:type="dxa"/>
            <w:tcBorders>
              <w:top w:val="double" w:sz="4" w:space="0" w:color="auto"/>
              <w:left w:val="double" w:sz="4" w:space="0" w:color="auto"/>
              <w:bottom w:val="double" w:sz="4" w:space="0" w:color="auto"/>
            </w:tcBorders>
            <w:vAlign w:val="center"/>
          </w:tcPr>
          <w:p w:rsidR="00FF501D" w:rsidRPr="00BB21B7" w:rsidRDefault="00FF501D" w:rsidP="00D72ECE">
            <w:pPr>
              <w:spacing w:line="240" w:lineRule="auto"/>
              <w:ind w:firstLine="0"/>
              <w:jc w:val="center"/>
              <w:rPr>
                <w:b/>
                <w:sz w:val="20"/>
                <w:szCs w:val="20"/>
              </w:rPr>
            </w:pPr>
            <w:r w:rsidRPr="00BB21B7">
              <w:rPr>
                <w:b/>
                <w:sz w:val="20"/>
                <w:szCs w:val="20"/>
              </w:rPr>
              <w:t>Estimate</w:t>
            </w:r>
          </w:p>
        </w:tc>
        <w:tc>
          <w:tcPr>
            <w:tcW w:w="825" w:type="dxa"/>
            <w:tcBorders>
              <w:top w:val="double" w:sz="4" w:space="0" w:color="auto"/>
              <w:bottom w:val="double" w:sz="4" w:space="0" w:color="auto"/>
              <w:right w:val="double" w:sz="4" w:space="0" w:color="auto"/>
            </w:tcBorders>
            <w:vAlign w:val="center"/>
          </w:tcPr>
          <w:p w:rsidR="00FF501D" w:rsidRPr="00BB21B7" w:rsidRDefault="00FF501D" w:rsidP="00D72ECE">
            <w:pPr>
              <w:spacing w:line="240" w:lineRule="auto"/>
              <w:ind w:firstLine="0"/>
              <w:jc w:val="center"/>
              <w:rPr>
                <w:b/>
                <w:sz w:val="20"/>
                <w:szCs w:val="20"/>
              </w:rPr>
            </w:pPr>
            <w:r w:rsidRPr="00BB21B7">
              <w:rPr>
                <w:b/>
                <w:sz w:val="20"/>
                <w:szCs w:val="20"/>
              </w:rPr>
              <w:t>T-Stat</w:t>
            </w:r>
          </w:p>
        </w:tc>
        <w:tc>
          <w:tcPr>
            <w:tcW w:w="1047" w:type="dxa"/>
            <w:tcBorders>
              <w:top w:val="double" w:sz="4" w:space="0" w:color="auto"/>
              <w:left w:val="double" w:sz="4" w:space="0" w:color="auto"/>
              <w:bottom w:val="double" w:sz="4" w:space="0" w:color="auto"/>
            </w:tcBorders>
            <w:vAlign w:val="center"/>
          </w:tcPr>
          <w:p w:rsidR="00FF501D" w:rsidRPr="00BB21B7" w:rsidRDefault="00FF501D" w:rsidP="00D72ECE">
            <w:pPr>
              <w:spacing w:line="240" w:lineRule="auto"/>
              <w:ind w:firstLine="0"/>
              <w:jc w:val="center"/>
              <w:rPr>
                <w:b/>
                <w:sz w:val="20"/>
                <w:szCs w:val="20"/>
              </w:rPr>
            </w:pPr>
            <w:r w:rsidRPr="00BB21B7">
              <w:rPr>
                <w:b/>
                <w:sz w:val="20"/>
                <w:szCs w:val="20"/>
              </w:rPr>
              <w:t>Estimate</w:t>
            </w:r>
          </w:p>
        </w:tc>
        <w:tc>
          <w:tcPr>
            <w:tcW w:w="894" w:type="dxa"/>
            <w:tcBorders>
              <w:top w:val="double" w:sz="4" w:space="0" w:color="auto"/>
              <w:bottom w:val="double" w:sz="4" w:space="0" w:color="auto"/>
              <w:right w:val="double" w:sz="4" w:space="0" w:color="auto"/>
            </w:tcBorders>
            <w:vAlign w:val="center"/>
          </w:tcPr>
          <w:p w:rsidR="00FF501D" w:rsidRPr="00BB21B7" w:rsidRDefault="00FF501D" w:rsidP="00D72ECE">
            <w:pPr>
              <w:spacing w:line="240" w:lineRule="auto"/>
              <w:ind w:firstLine="0"/>
              <w:jc w:val="center"/>
              <w:rPr>
                <w:b/>
                <w:sz w:val="20"/>
                <w:szCs w:val="20"/>
              </w:rPr>
            </w:pPr>
            <w:r w:rsidRPr="00BB21B7">
              <w:rPr>
                <w:b/>
                <w:sz w:val="20"/>
                <w:szCs w:val="20"/>
              </w:rPr>
              <w:t>T-Stat</w:t>
            </w:r>
          </w:p>
        </w:tc>
      </w:tr>
      <w:tr w:rsidR="00FF501D" w:rsidRPr="00BB21B7" w:rsidTr="008F2F54">
        <w:trPr>
          <w:trHeight w:val="288"/>
          <w:jc w:val="center"/>
        </w:trPr>
        <w:tc>
          <w:tcPr>
            <w:tcW w:w="3854" w:type="dxa"/>
            <w:tcBorders>
              <w:top w:val="double" w:sz="4" w:space="0" w:color="auto"/>
              <w:left w:val="double" w:sz="4" w:space="0" w:color="auto"/>
              <w:bottom w:val="nil"/>
              <w:right w:val="double" w:sz="4" w:space="0" w:color="auto"/>
            </w:tcBorders>
          </w:tcPr>
          <w:p w:rsidR="00FF501D" w:rsidRPr="00BB21B7" w:rsidRDefault="00FF501D" w:rsidP="004C4F47">
            <w:pPr>
              <w:spacing w:line="240" w:lineRule="auto"/>
              <w:ind w:firstLine="0"/>
              <w:jc w:val="left"/>
              <w:rPr>
                <w:b/>
                <w:sz w:val="20"/>
                <w:szCs w:val="20"/>
              </w:rPr>
            </w:pPr>
            <w:r w:rsidRPr="00BB21B7">
              <w:rPr>
                <w:b/>
                <w:sz w:val="20"/>
                <w:szCs w:val="20"/>
              </w:rPr>
              <w:t>Threshold Parameters</w:t>
            </w:r>
          </w:p>
        </w:tc>
        <w:tc>
          <w:tcPr>
            <w:tcW w:w="0" w:type="auto"/>
            <w:tcBorders>
              <w:top w:val="double" w:sz="4" w:space="0" w:color="auto"/>
              <w:left w:val="double" w:sz="4" w:space="0" w:color="auto"/>
              <w:bottom w:val="nil"/>
            </w:tcBorders>
            <w:vAlign w:val="center"/>
          </w:tcPr>
          <w:p w:rsidR="00FF501D" w:rsidRPr="00BB21B7" w:rsidRDefault="00FF501D" w:rsidP="00D72ECE">
            <w:pPr>
              <w:tabs>
                <w:tab w:val="decimal" w:pos="204"/>
              </w:tabs>
              <w:spacing w:line="240" w:lineRule="auto"/>
              <w:ind w:firstLine="0"/>
              <w:jc w:val="center"/>
              <w:rPr>
                <w:sz w:val="20"/>
                <w:szCs w:val="20"/>
              </w:rPr>
            </w:pPr>
          </w:p>
        </w:tc>
        <w:tc>
          <w:tcPr>
            <w:tcW w:w="897" w:type="dxa"/>
            <w:tcBorders>
              <w:top w:val="double" w:sz="4" w:space="0" w:color="auto"/>
              <w:bottom w:val="nil"/>
              <w:right w:val="double" w:sz="4" w:space="0" w:color="auto"/>
            </w:tcBorders>
            <w:vAlign w:val="center"/>
          </w:tcPr>
          <w:p w:rsidR="00FF501D" w:rsidRPr="00BB21B7" w:rsidRDefault="00FF501D" w:rsidP="00D72ECE">
            <w:pPr>
              <w:tabs>
                <w:tab w:val="decimal" w:pos="147"/>
              </w:tabs>
              <w:spacing w:line="240" w:lineRule="auto"/>
              <w:ind w:firstLine="0"/>
              <w:jc w:val="center"/>
              <w:rPr>
                <w:sz w:val="20"/>
                <w:szCs w:val="20"/>
              </w:rPr>
            </w:pPr>
          </w:p>
        </w:tc>
        <w:tc>
          <w:tcPr>
            <w:tcW w:w="1047" w:type="dxa"/>
            <w:tcBorders>
              <w:top w:val="double" w:sz="4" w:space="0" w:color="auto"/>
              <w:left w:val="double" w:sz="4" w:space="0" w:color="auto"/>
              <w:bottom w:val="nil"/>
            </w:tcBorders>
            <w:vAlign w:val="center"/>
          </w:tcPr>
          <w:p w:rsidR="00FF501D" w:rsidRPr="00BB21B7" w:rsidRDefault="00FF501D" w:rsidP="00D72ECE">
            <w:pPr>
              <w:tabs>
                <w:tab w:val="decimal" w:pos="278"/>
              </w:tabs>
              <w:spacing w:line="240" w:lineRule="auto"/>
              <w:ind w:firstLine="0"/>
              <w:jc w:val="center"/>
              <w:rPr>
                <w:sz w:val="20"/>
                <w:szCs w:val="20"/>
              </w:rPr>
            </w:pPr>
          </w:p>
        </w:tc>
        <w:tc>
          <w:tcPr>
            <w:tcW w:w="917" w:type="dxa"/>
            <w:tcBorders>
              <w:top w:val="double" w:sz="4" w:space="0" w:color="auto"/>
              <w:bottom w:val="nil"/>
              <w:right w:val="double" w:sz="4" w:space="0" w:color="auto"/>
            </w:tcBorders>
            <w:vAlign w:val="center"/>
          </w:tcPr>
          <w:p w:rsidR="00FF501D" w:rsidRPr="00BB21B7" w:rsidRDefault="00FF501D" w:rsidP="00D72ECE">
            <w:pPr>
              <w:tabs>
                <w:tab w:val="decimal" w:pos="221"/>
              </w:tabs>
              <w:spacing w:line="240" w:lineRule="auto"/>
              <w:ind w:firstLine="0"/>
              <w:jc w:val="center"/>
              <w:rPr>
                <w:sz w:val="20"/>
                <w:szCs w:val="20"/>
              </w:rPr>
            </w:pPr>
          </w:p>
        </w:tc>
        <w:tc>
          <w:tcPr>
            <w:tcW w:w="1047" w:type="dxa"/>
            <w:tcBorders>
              <w:top w:val="double" w:sz="4" w:space="0" w:color="auto"/>
              <w:left w:val="double" w:sz="4" w:space="0" w:color="auto"/>
              <w:bottom w:val="nil"/>
            </w:tcBorders>
            <w:vAlign w:val="center"/>
          </w:tcPr>
          <w:p w:rsidR="00FF501D" w:rsidRPr="00BB21B7" w:rsidRDefault="00FF501D" w:rsidP="00D72ECE">
            <w:pPr>
              <w:tabs>
                <w:tab w:val="decimal" w:pos="204"/>
              </w:tabs>
              <w:spacing w:line="240" w:lineRule="auto"/>
              <w:ind w:firstLine="0"/>
              <w:jc w:val="center"/>
              <w:rPr>
                <w:sz w:val="20"/>
                <w:szCs w:val="20"/>
              </w:rPr>
            </w:pPr>
          </w:p>
        </w:tc>
        <w:tc>
          <w:tcPr>
            <w:tcW w:w="825" w:type="dxa"/>
            <w:tcBorders>
              <w:top w:val="double" w:sz="4" w:space="0" w:color="auto"/>
              <w:bottom w:val="nil"/>
              <w:right w:val="double" w:sz="4" w:space="0" w:color="auto"/>
            </w:tcBorders>
            <w:vAlign w:val="center"/>
          </w:tcPr>
          <w:p w:rsidR="00FF501D" w:rsidRPr="00BB21B7" w:rsidRDefault="00FF501D" w:rsidP="00D72ECE">
            <w:pPr>
              <w:tabs>
                <w:tab w:val="decimal" w:pos="147"/>
              </w:tabs>
              <w:spacing w:line="240" w:lineRule="auto"/>
              <w:ind w:firstLine="0"/>
              <w:jc w:val="center"/>
              <w:rPr>
                <w:sz w:val="20"/>
                <w:szCs w:val="20"/>
              </w:rPr>
            </w:pPr>
          </w:p>
        </w:tc>
        <w:tc>
          <w:tcPr>
            <w:tcW w:w="1047" w:type="dxa"/>
            <w:tcBorders>
              <w:top w:val="double" w:sz="4" w:space="0" w:color="auto"/>
              <w:left w:val="double" w:sz="4" w:space="0" w:color="auto"/>
              <w:bottom w:val="nil"/>
            </w:tcBorders>
            <w:vAlign w:val="center"/>
          </w:tcPr>
          <w:p w:rsidR="00FF501D" w:rsidRPr="00BB21B7" w:rsidRDefault="00FF501D" w:rsidP="00D72ECE">
            <w:pPr>
              <w:tabs>
                <w:tab w:val="decimal" w:pos="222"/>
              </w:tabs>
              <w:spacing w:line="240" w:lineRule="auto"/>
              <w:ind w:firstLine="0"/>
              <w:jc w:val="center"/>
              <w:rPr>
                <w:sz w:val="20"/>
                <w:szCs w:val="20"/>
              </w:rPr>
            </w:pPr>
          </w:p>
        </w:tc>
        <w:tc>
          <w:tcPr>
            <w:tcW w:w="894" w:type="dxa"/>
            <w:tcBorders>
              <w:top w:val="double" w:sz="4" w:space="0" w:color="auto"/>
              <w:bottom w:val="nil"/>
              <w:right w:val="double" w:sz="4" w:space="0" w:color="auto"/>
            </w:tcBorders>
            <w:vAlign w:val="center"/>
          </w:tcPr>
          <w:p w:rsidR="00FF501D" w:rsidRPr="00BB21B7" w:rsidRDefault="00FF501D" w:rsidP="00D72ECE">
            <w:pPr>
              <w:tabs>
                <w:tab w:val="decimal" w:pos="255"/>
              </w:tabs>
              <w:spacing w:line="240" w:lineRule="auto"/>
              <w:ind w:firstLine="0"/>
              <w:jc w:val="center"/>
              <w:rPr>
                <w:sz w:val="20"/>
                <w:szCs w:val="20"/>
              </w:rPr>
            </w:pPr>
          </w:p>
        </w:tc>
      </w:tr>
      <w:tr w:rsidR="00FF501D" w:rsidRPr="00BB21B7" w:rsidTr="008F2F54">
        <w:trPr>
          <w:trHeight w:val="288"/>
          <w:jc w:val="center"/>
        </w:trPr>
        <w:tc>
          <w:tcPr>
            <w:tcW w:w="3854" w:type="dxa"/>
            <w:tcBorders>
              <w:top w:val="nil"/>
              <w:left w:val="double" w:sz="4" w:space="0" w:color="auto"/>
              <w:bottom w:val="nil"/>
              <w:right w:val="double" w:sz="4" w:space="0" w:color="auto"/>
            </w:tcBorders>
          </w:tcPr>
          <w:p w:rsidR="00FF501D" w:rsidRPr="00BB21B7" w:rsidRDefault="00FF501D" w:rsidP="004C4F47">
            <w:pPr>
              <w:spacing w:line="240" w:lineRule="auto"/>
              <w:ind w:firstLine="0"/>
              <w:jc w:val="left"/>
              <w:rPr>
                <w:sz w:val="20"/>
                <w:szCs w:val="20"/>
              </w:rPr>
            </w:pPr>
            <w:r>
              <w:rPr>
                <w:sz w:val="20"/>
                <w:szCs w:val="20"/>
              </w:rPr>
              <w:t>Threshold specific constants</w:t>
            </w:r>
          </w:p>
        </w:tc>
        <w:tc>
          <w:tcPr>
            <w:tcW w:w="0" w:type="auto"/>
            <w:tcBorders>
              <w:top w:val="nil"/>
              <w:left w:val="double" w:sz="4" w:space="0" w:color="auto"/>
              <w:bottom w:val="nil"/>
            </w:tcBorders>
            <w:vAlign w:val="center"/>
          </w:tcPr>
          <w:p w:rsidR="00FF501D" w:rsidRDefault="00FF501D" w:rsidP="00D72ECE">
            <w:pPr>
              <w:tabs>
                <w:tab w:val="decimal" w:pos="204"/>
              </w:tabs>
              <w:spacing w:line="240" w:lineRule="auto"/>
              <w:ind w:firstLine="0"/>
              <w:jc w:val="center"/>
              <w:rPr>
                <w:sz w:val="20"/>
                <w:szCs w:val="20"/>
              </w:rPr>
            </w:pPr>
          </w:p>
        </w:tc>
        <w:tc>
          <w:tcPr>
            <w:tcW w:w="897" w:type="dxa"/>
            <w:tcBorders>
              <w:top w:val="nil"/>
              <w:bottom w:val="nil"/>
              <w:right w:val="double" w:sz="4" w:space="0" w:color="auto"/>
            </w:tcBorders>
            <w:vAlign w:val="center"/>
          </w:tcPr>
          <w:p w:rsidR="00FF501D" w:rsidRDefault="00FF501D" w:rsidP="00D72ECE">
            <w:pPr>
              <w:tabs>
                <w:tab w:val="decimal" w:pos="147"/>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Default="00FF501D" w:rsidP="00D72ECE">
            <w:pPr>
              <w:tabs>
                <w:tab w:val="decimal" w:pos="278"/>
              </w:tabs>
              <w:spacing w:line="240" w:lineRule="auto"/>
              <w:ind w:firstLine="0"/>
              <w:jc w:val="center"/>
              <w:rPr>
                <w:sz w:val="20"/>
                <w:szCs w:val="20"/>
              </w:rPr>
            </w:pPr>
          </w:p>
        </w:tc>
        <w:tc>
          <w:tcPr>
            <w:tcW w:w="917" w:type="dxa"/>
            <w:tcBorders>
              <w:top w:val="nil"/>
              <w:bottom w:val="nil"/>
              <w:right w:val="double" w:sz="4" w:space="0" w:color="auto"/>
            </w:tcBorders>
            <w:vAlign w:val="center"/>
          </w:tcPr>
          <w:p w:rsidR="00FF501D" w:rsidRDefault="00FF501D" w:rsidP="00D72ECE">
            <w:pPr>
              <w:tabs>
                <w:tab w:val="decimal" w:pos="221"/>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Default="00FF501D" w:rsidP="00D72ECE">
            <w:pPr>
              <w:tabs>
                <w:tab w:val="decimal" w:pos="260"/>
              </w:tabs>
              <w:spacing w:line="240" w:lineRule="auto"/>
              <w:ind w:firstLine="0"/>
              <w:jc w:val="center"/>
              <w:rPr>
                <w:sz w:val="20"/>
                <w:szCs w:val="20"/>
              </w:rPr>
            </w:pPr>
          </w:p>
        </w:tc>
        <w:tc>
          <w:tcPr>
            <w:tcW w:w="825" w:type="dxa"/>
            <w:tcBorders>
              <w:top w:val="nil"/>
              <w:bottom w:val="nil"/>
              <w:right w:val="double" w:sz="4" w:space="0" w:color="auto"/>
            </w:tcBorders>
            <w:vAlign w:val="center"/>
          </w:tcPr>
          <w:p w:rsidR="00FF501D" w:rsidRDefault="00FF501D" w:rsidP="00D72ECE">
            <w:pPr>
              <w:tabs>
                <w:tab w:val="decimal" w:pos="275"/>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Default="00FF501D" w:rsidP="00D72ECE">
            <w:pPr>
              <w:tabs>
                <w:tab w:val="decimal" w:pos="222"/>
              </w:tabs>
              <w:spacing w:line="240" w:lineRule="auto"/>
              <w:ind w:firstLine="0"/>
              <w:jc w:val="center"/>
              <w:rPr>
                <w:sz w:val="20"/>
                <w:szCs w:val="20"/>
              </w:rPr>
            </w:pPr>
          </w:p>
        </w:tc>
        <w:tc>
          <w:tcPr>
            <w:tcW w:w="894" w:type="dxa"/>
            <w:tcBorders>
              <w:top w:val="nil"/>
              <w:bottom w:val="nil"/>
              <w:right w:val="double" w:sz="4" w:space="0" w:color="auto"/>
            </w:tcBorders>
            <w:vAlign w:val="center"/>
          </w:tcPr>
          <w:p w:rsidR="00FF501D" w:rsidRDefault="00FF501D" w:rsidP="00D72ECE">
            <w:pPr>
              <w:tabs>
                <w:tab w:val="decimal" w:pos="255"/>
              </w:tabs>
              <w:spacing w:line="240" w:lineRule="auto"/>
              <w:ind w:firstLine="0"/>
              <w:jc w:val="center"/>
              <w:rPr>
                <w:sz w:val="20"/>
                <w:szCs w:val="20"/>
              </w:rPr>
            </w:pPr>
          </w:p>
        </w:tc>
      </w:tr>
      <w:tr w:rsidR="00FF501D" w:rsidRPr="00BB21B7" w:rsidTr="008F2F54">
        <w:trPr>
          <w:trHeight w:val="288"/>
          <w:jc w:val="center"/>
        </w:trPr>
        <w:tc>
          <w:tcPr>
            <w:tcW w:w="3854" w:type="dxa"/>
            <w:tcBorders>
              <w:top w:val="nil"/>
              <w:left w:val="double" w:sz="4" w:space="0" w:color="auto"/>
              <w:bottom w:val="nil"/>
              <w:right w:val="double" w:sz="4" w:space="0" w:color="auto"/>
            </w:tcBorders>
          </w:tcPr>
          <w:p w:rsidR="00FF501D" w:rsidRDefault="00FF501D" w:rsidP="004C4F47">
            <w:pPr>
              <w:spacing w:line="240" w:lineRule="auto"/>
              <w:ind w:firstLine="0"/>
              <w:jc w:val="left"/>
              <w:rPr>
                <w:sz w:val="20"/>
                <w:szCs w:val="20"/>
              </w:rPr>
            </w:pPr>
            <w:r w:rsidRPr="007C759E">
              <w:rPr>
                <w:i/>
                <w:sz w:val="22"/>
                <w:szCs w:val="20"/>
              </w:rPr>
              <w:t>α</w:t>
            </w:r>
            <w:r>
              <w:rPr>
                <w:sz w:val="20"/>
                <w:szCs w:val="20"/>
                <w:vertAlign w:val="subscript"/>
              </w:rPr>
              <w:t>4</w:t>
            </w:r>
          </w:p>
        </w:tc>
        <w:tc>
          <w:tcPr>
            <w:tcW w:w="0" w:type="auto"/>
            <w:tcBorders>
              <w:top w:val="nil"/>
              <w:left w:val="double" w:sz="4" w:space="0" w:color="auto"/>
              <w:bottom w:val="nil"/>
            </w:tcBorders>
            <w:vAlign w:val="center"/>
          </w:tcPr>
          <w:p w:rsidR="00FF501D" w:rsidRDefault="00FF501D" w:rsidP="00D72ECE">
            <w:pPr>
              <w:tabs>
                <w:tab w:val="decimal" w:pos="204"/>
              </w:tabs>
              <w:spacing w:line="240" w:lineRule="auto"/>
              <w:ind w:firstLine="0"/>
              <w:jc w:val="center"/>
              <w:rPr>
                <w:sz w:val="20"/>
                <w:szCs w:val="20"/>
              </w:rPr>
            </w:pPr>
            <w:r>
              <w:rPr>
                <w:sz w:val="20"/>
                <w:szCs w:val="20"/>
              </w:rPr>
              <w:t>-0.103</w:t>
            </w:r>
          </w:p>
        </w:tc>
        <w:tc>
          <w:tcPr>
            <w:tcW w:w="897" w:type="dxa"/>
            <w:tcBorders>
              <w:top w:val="nil"/>
              <w:bottom w:val="nil"/>
              <w:right w:val="double" w:sz="4" w:space="0" w:color="auto"/>
            </w:tcBorders>
            <w:vAlign w:val="center"/>
          </w:tcPr>
          <w:p w:rsidR="00FF501D" w:rsidRDefault="00FF501D" w:rsidP="00D72ECE">
            <w:pPr>
              <w:tabs>
                <w:tab w:val="decimal" w:pos="147"/>
              </w:tabs>
              <w:spacing w:line="240" w:lineRule="auto"/>
              <w:ind w:firstLine="0"/>
              <w:jc w:val="center"/>
              <w:rPr>
                <w:sz w:val="20"/>
                <w:szCs w:val="20"/>
              </w:rPr>
            </w:pPr>
            <w:r>
              <w:rPr>
                <w:sz w:val="20"/>
                <w:szCs w:val="20"/>
              </w:rPr>
              <w:t>-4.38</w:t>
            </w:r>
          </w:p>
        </w:tc>
        <w:tc>
          <w:tcPr>
            <w:tcW w:w="1047" w:type="dxa"/>
            <w:tcBorders>
              <w:top w:val="nil"/>
              <w:left w:val="double" w:sz="4" w:space="0" w:color="auto"/>
              <w:bottom w:val="nil"/>
            </w:tcBorders>
            <w:vAlign w:val="center"/>
          </w:tcPr>
          <w:p w:rsidR="00FF501D" w:rsidRDefault="00FF501D" w:rsidP="00D72ECE">
            <w:pPr>
              <w:tabs>
                <w:tab w:val="decimal" w:pos="278"/>
              </w:tabs>
              <w:spacing w:line="240" w:lineRule="auto"/>
              <w:ind w:firstLine="0"/>
              <w:jc w:val="center"/>
              <w:rPr>
                <w:sz w:val="20"/>
                <w:szCs w:val="20"/>
              </w:rPr>
            </w:pPr>
          </w:p>
        </w:tc>
        <w:tc>
          <w:tcPr>
            <w:tcW w:w="917" w:type="dxa"/>
            <w:tcBorders>
              <w:top w:val="nil"/>
              <w:bottom w:val="nil"/>
              <w:right w:val="double" w:sz="4" w:space="0" w:color="auto"/>
            </w:tcBorders>
            <w:vAlign w:val="center"/>
          </w:tcPr>
          <w:p w:rsidR="00FF501D" w:rsidRDefault="00FF501D" w:rsidP="00D72ECE">
            <w:pPr>
              <w:tabs>
                <w:tab w:val="decimal" w:pos="221"/>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Default="00FF501D" w:rsidP="00D72ECE">
            <w:pPr>
              <w:tabs>
                <w:tab w:val="decimal" w:pos="260"/>
              </w:tabs>
              <w:spacing w:line="240" w:lineRule="auto"/>
              <w:ind w:firstLine="0"/>
              <w:jc w:val="center"/>
              <w:rPr>
                <w:sz w:val="20"/>
                <w:szCs w:val="20"/>
              </w:rPr>
            </w:pPr>
          </w:p>
        </w:tc>
        <w:tc>
          <w:tcPr>
            <w:tcW w:w="825" w:type="dxa"/>
            <w:tcBorders>
              <w:top w:val="nil"/>
              <w:bottom w:val="nil"/>
              <w:right w:val="double" w:sz="4" w:space="0" w:color="auto"/>
            </w:tcBorders>
            <w:vAlign w:val="center"/>
          </w:tcPr>
          <w:p w:rsidR="00FF501D" w:rsidRDefault="00FF501D" w:rsidP="00D72ECE">
            <w:pPr>
              <w:tabs>
                <w:tab w:val="decimal" w:pos="275"/>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Default="00FF501D" w:rsidP="00D72ECE">
            <w:pPr>
              <w:tabs>
                <w:tab w:val="decimal" w:pos="222"/>
              </w:tabs>
              <w:spacing w:line="240" w:lineRule="auto"/>
              <w:ind w:firstLine="0"/>
              <w:jc w:val="center"/>
              <w:rPr>
                <w:sz w:val="20"/>
                <w:szCs w:val="20"/>
              </w:rPr>
            </w:pPr>
          </w:p>
        </w:tc>
        <w:tc>
          <w:tcPr>
            <w:tcW w:w="894" w:type="dxa"/>
            <w:tcBorders>
              <w:top w:val="nil"/>
              <w:bottom w:val="nil"/>
              <w:right w:val="double" w:sz="4" w:space="0" w:color="auto"/>
            </w:tcBorders>
            <w:vAlign w:val="center"/>
          </w:tcPr>
          <w:p w:rsidR="00FF501D" w:rsidRDefault="00FF501D" w:rsidP="00D72ECE">
            <w:pPr>
              <w:tabs>
                <w:tab w:val="decimal" w:pos="255"/>
              </w:tabs>
              <w:spacing w:line="240" w:lineRule="auto"/>
              <w:ind w:firstLine="0"/>
              <w:jc w:val="center"/>
              <w:rPr>
                <w:sz w:val="20"/>
                <w:szCs w:val="20"/>
              </w:rPr>
            </w:pPr>
          </w:p>
        </w:tc>
      </w:tr>
      <w:tr w:rsidR="00FF501D" w:rsidRPr="00BB21B7" w:rsidTr="008F2F54">
        <w:trPr>
          <w:trHeight w:val="288"/>
          <w:jc w:val="center"/>
        </w:trPr>
        <w:tc>
          <w:tcPr>
            <w:tcW w:w="3854" w:type="dxa"/>
            <w:tcBorders>
              <w:top w:val="nil"/>
              <w:left w:val="double" w:sz="4" w:space="0" w:color="auto"/>
              <w:bottom w:val="nil"/>
              <w:right w:val="double" w:sz="4" w:space="0" w:color="auto"/>
            </w:tcBorders>
          </w:tcPr>
          <w:p w:rsidR="00FF501D" w:rsidRDefault="00FF501D" w:rsidP="004C4F47">
            <w:pPr>
              <w:spacing w:line="240" w:lineRule="auto"/>
              <w:ind w:firstLine="0"/>
              <w:jc w:val="left"/>
              <w:rPr>
                <w:sz w:val="20"/>
                <w:szCs w:val="20"/>
              </w:rPr>
            </w:pPr>
            <w:r w:rsidRPr="007C759E">
              <w:rPr>
                <w:i/>
                <w:sz w:val="22"/>
                <w:szCs w:val="20"/>
              </w:rPr>
              <w:t>α</w:t>
            </w:r>
            <w:r>
              <w:rPr>
                <w:sz w:val="20"/>
                <w:szCs w:val="20"/>
                <w:vertAlign w:val="subscript"/>
              </w:rPr>
              <w:t>5</w:t>
            </w:r>
          </w:p>
        </w:tc>
        <w:tc>
          <w:tcPr>
            <w:tcW w:w="0" w:type="auto"/>
            <w:tcBorders>
              <w:top w:val="nil"/>
              <w:left w:val="double" w:sz="4" w:space="0" w:color="auto"/>
              <w:bottom w:val="nil"/>
            </w:tcBorders>
            <w:vAlign w:val="center"/>
          </w:tcPr>
          <w:p w:rsidR="00FF501D" w:rsidRDefault="00FF501D" w:rsidP="00D72ECE">
            <w:pPr>
              <w:tabs>
                <w:tab w:val="decimal" w:pos="204"/>
              </w:tabs>
              <w:spacing w:line="240" w:lineRule="auto"/>
              <w:ind w:firstLine="0"/>
              <w:jc w:val="center"/>
              <w:rPr>
                <w:sz w:val="20"/>
                <w:szCs w:val="20"/>
              </w:rPr>
            </w:pPr>
            <w:r>
              <w:rPr>
                <w:sz w:val="20"/>
                <w:szCs w:val="20"/>
              </w:rPr>
              <w:t>-0.272</w:t>
            </w:r>
          </w:p>
        </w:tc>
        <w:tc>
          <w:tcPr>
            <w:tcW w:w="897" w:type="dxa"/>
            <w:tcBorders>
              <w:top w:val="nil"/>
              <w:bottom w:val="nil"/>
              <w:right w:val="double" w:sz="4" w:space="0" w:color="auto"/>
            </w:tcBorders>
            <w:vAlign w:val="center"/>
          </w:tcPr>
          <w:p w:rsidR="00FF501D" w:rsidRDefault="00FF501D" w:rsidP="00D72ECE">
            <w:pPr>
              <w:tabs>
                <w:tab w:val="decimal" w:pos="147"/>
              </w:tabs>
              <w:spacing w:line="240" w:lineRule="auto"/>
              <w:ind w:firstLine="0"/>
              <w:jc w:val="center"/>
              <w:rPr>
                <w:sz w:val="20"/>
                <w:szCs w:val="20"/>
              </w:rPr>
            </w:pPr>
            <w:r>
              <w:rPr>
                <w:sz w:val="20"/>
                <w:szCs w:val="20"/>
              </w:rPr>
              <w:t>-3.29</w:t>
            </w:r>
          </w:p>
        </w:tc>
        <w:tc>
          <w:tcPr>
            <w:tcW w:w="1047" w:type="dxa"/>
            <w:tcBorders>
              <w:top w:val="nil"/>
              <w:left w:val="double" w:sz="4" w:space="0" w:color="auto"/>
              <w:bottom w:val="nil"/>
            </w:tcBorders>
            <w:vAlign w:val="center"/>
          </w:tcPr>
          <w:p w:rsidR="00FF501D" w:rsidRDefault="00FF501D" w:rsidP="00D72ECE">
            <w:pPr>
              <w:tabs>
                <w:tab w:val="decimal" w:pos="278"/>
              </w:tabs>
              <w:spacing w:line="240" w:lineRule="auto"/>
              <w:ind w:firstLine="0"/>
              <w:jc w:val="center"/>
              <w:rPr>
                <w:sz w:val="20"/>
                <w:szCs w:val="20"/>
              </w:rPr>
            </w:pPr>
          </w:p>
        </w:tc>
        <w:tc>
          <w:tcPr>
            <w:tcW w:w="917" w:type="dxa"/>
            <w:tcBorders>
              <w:top w:val="nil"/>
              <w:bottom w:val="nil"/>
              <w:right w:val="double" w:sz="4" w:space="0" w:color="auto"/>
            </w:tcBorders>
            <w:vAlign w:val="center"/>
          </w:tcPr>
          <w:p w:rsidR="00FF501D" w:rsidRDefault="00FF501D" w:rsidP="00D72ECE">
            <w:pPr>
              <w:tabs>
                <w:tab w:val="decimal" w:pos="221"/>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Default="00FF501D" w:rsidP="00D72ECE">
            <w:pPr>
              <w:tabs>
                <w:tab w:val="decimal" w:pos="260"/>
              </w:tabs>
              <w:spacing w:line="240" w:lineRule="auto"/>
              <w:ind w:firstLine="0"/>
              <w:jc w:val="center"/>
              <w:rPr>
                <w:sz w:val="20"/>
                <w:szCs w:val="20"/>
              </w:rPr>
            </w:pPr>
          </w:p>
        </w:tc>
        <w:tc>
          <w:tcPr>
            <w:tcW w:w="825" w:type="dxa"/>
            <w:tcBorders>
              <w:top w:val="nil"/>
              <w:bottom w:val="nil"/>
              <w:right w:val="double" w:sz="4" w:space="0" w:color="auto"/>
            </w:tcBorders>
            <w:vAlign w:val="center"/>
          </w:tcPr>
          <w:p w:rsidR="00FF501D" w:rsidRDefault="00FF501D" w:rsidP="00D72ECE">
            <w:pPr>
              <w:tabs>
                <w:tab w:val="decimal" w:pos="275"/>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Default="00FF501D" w:rsidP="00D72ECE">
            <w:pPr>
              <w:tabs>
                <w:tab w:val="decimal" w:pos="222"/>
              </w:tabs>
              <w:spacing w:line="240" w:lineRule="auto"/>
              <w:ind w:firstLine="0"/>
              <w:jc w:val="center"/>
              <w:rPr>
                <w:sz w:val="20"/>
                <w:szCs w:val="20"/>
              </w:rPr>
            </w:pPr>
          </w:p>
        </w:tc>
        <w:tc>
          <w:tcPr>
            <w:tcW w:w="894" w:type="dxa"/>
            <w:tcBorders>
              <w:top w:val="nil"/>
              <w:bottom w:val="nil"/>
              <w:right w:val="double" w:sz="4" w:space="0" w:color="auto"/>
            </w:tcBorders>
            <w:vAlign w:val="center"/>
          </w:tcPr>
          <w:p w:rsidR="00FF501D" w:rsidRDefault="00FF501D" w:rsidP="00D72ECE">
            <w:pPr>
              <w:tabs>
                <w:tab w:val="decimal" w:pos="255"/>
              </w:tabs>
              <w:spacing w:line="240" w:lineRule="auto"/>
              <w:ind w:firstLine="0"/>
              <w:jc w:val="center"/>
              <w:rPr>
                <w:sz w:val="20"/>
                <w:szCs w:val="20"/>
              </w:rPr>
            </w:pPr>
          </w:p>
        </w:tc>
      </w:tr>
      <w:tr w:rsidR="00FF501D" w:rsidRPr="00BB21B7" w:rsidTr="008F2F54">
        <w:trPr>
          <w:trHeight w:val="288"/>
          <w:jc w:val="center"/>
        </w:trPr>
        <w:tc>
          <w:tcPr>
            <w:tcW w:w="3854" w:type="dxa"/>
            <w:tcBorders>
              <w:top w:val="nil"/>
              <w:left w:val="double" w:sz="4" w:space="0" w:color="auto"/>
              <w:bottom w:val="nil"/>
              <w:right w:val="double" w:sz="4" w:space="0" w:color="auto"/>
            </w:tcBorders>
          </w:tcPr>
          <w:p w:rsidR="00FF501D" w:rsidRDefault="00FF501D" w:rsidP="004C4F47">
            <w:pPr>
              <w:spacing w:line="240" w:lineRule="auto"/>
              <w:ind w:firstLine="0"/>
              <w:jc w:val="left"/>
              <w:rPr>
                <w:sz w:val="20"/>
                <w:szCs w:val="20"/>
              </w:rPr>
            </w:pPr>
            <w:r w:rsidRPr="007C759E">
              <w:rPr>
                <w:i/>
                <w:sz w:val="22"/>
                <w:szCs w:val="20"/>
              </w:rPr>
              <w:t>α</w:t>
            </w:r>
            <w:r w:rsidRPr="00EC44D2">
              <w:rPr>
                <w:sz w:val="20"/>
                <w:szCs w:val="20"/>
                <w:vertAlign w:val="subscript"/>
              </w:rPr>
              <w:t>1</w:t>
            </w:r>
            <w:r>
              <w:rPr>
                <w:sz w:val="20"/>
                <w:szCs w:val="20"/>
                <w:vertAlign w:val="subscript"/>
              </w:rPr>
              <w:t>1</w:t>
            </w:r>
          </w:p>
        </w:tc>
        <w:tc>
          <w:tcPr>
            <w:tcW w:w="0" w:type="auto"/>
            <w:tcBorders>
              <w:top w:val="nil"/>
              <w:left w:val="double" w:sz="4" w:space="0" w:color="auto"/>
              <w:bottom w:val="nil"/>
            </w:tcBorders>
            <w:vAlign w:val="center"/>
          </w:tcPr>
          <w:p w:rsidR="00FF501D" w:rsidRDefault="00FF501D" w:rsidP="00D72ECE">
            <w:pPr>
              <w:tabs>
                <w:tab w:val="decimal" w:pos="204"/>
              </w:tabs>
              <w:spacing w:line="240" w:lineRule="auto"/>
              <w:ind w:firstLine="0"/>
              <w:jc w:val="center"/>
              <w:rPr>
                <w:sz w:val="20"/>
                <w:szCs w:val="20"/>
              </w:rPr>
            </w:pPr>
            <w:r>
              <w:rPr>
                <w:sz w:val="20"/>
                <w:szCs w:val="20"/>
              </w:rPr>
              <w:t>-0.298</w:t>
            </w:r>
          </w:p>
        </w:tc>
        <w:tc>
          <w:tcPr>
            <w:tcW w:w="897" w:type="dxa"/>
            <w:tcBorders>
              <w:top w:val="nil"/>
              <w:bottom w:val="nil"/>
              <w:right w:val="double" w:sz="4" w:space="0" w:color="auto"/>
            </w:tcBorders>
            <w:vAlign w:val="center"/>
          </w:tcPr>
          <w:p w:rsidR="00FF501D" w:rsidRDefault="00FF501D" w:rsidP="00D72ECE">
            <w:pPr>
              <w:tabs>
                <w:tab w:val="decimal" w:pos="147"/>
              </w:tabs>
              <w:spacing w:line="240" w:lineRule="auto"/>
              <w:ind w:firstLine="0"/>
              <w:jc w:val="center"/>
              <w:rPr>
                <w:sz w:val="20"/>
                <w:szCs w:val="20"/>
              </w:rPr>
            </w:pPr>
            <w:r>
              <w:rPr>
                <w:sz w:val="20"/>
                <w:szCs w:val="20"/>
              </w:rPr>
              <w:t>-2.97</w:t>
            </w:r>
          </w:p>
        </w:tc>
        <w:tc>
          <w:tcPr>
            <w:tcW w:w="1047" w:type="dxa"/>
            <w:tcBorders>
              <w:top w:val="nil"/>
              <w:left w:val="double" w:sz="4" w:space="0" w:color="auto"/>
              <w:bottom w:val="nil"/>
            </w:tcBorders>
            <w:vAlign w:val="center"/>
          </w:tcPr>
          <w:p w:rsidR="00FF501D" w:rsidRDefault="00FF501D" w:rsidP="00D72ECE">
            <w:pPr>
              <w:tabs>
                <w:tab w:val="decimal" w:pos="278"/>
              </w:tabs>
              <w:spacing w:line="240" w:lineRule="auto"/>
              <w:ind w:firstLine="0"/>
              <w:jc w:val="center"/>
              <w:rPr>
                <w:sz w:val="20"/>
                <w:szCs w:val="20"/>
              </w:rPr>
            </w:pPr>
          </w:p>
        </w:tc>
        <w:tc>
          <w:tcPr>
            <w:tcW w:w="917" w:type="dxa"/>
            <w:tcBorders>
              <w:top w:val="nil"/>
              <w:bottom w:val="nil"/>
              <w:right w:val="double" w:sz="4" w:space="0" w:color="auto"/>
            </w:tcBorders>
            <w:vAlign w:val="center"/>
          </w:tcPr>
          <w:p w:rsidR="00FF501D" w:rsidRDefault="00FF501D" w:rsidP="00D72ECE">
            <w:pPr>
              <w:tabs>
                <w:tab w:val="decimal" w:pos="221"/>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Default="00FF501D" w:rsidP="00D72ECE">
            <w:pPr>
              <w:tabs>
                <w:tab w:val="decimal" w:pos="260"/>
              </w:tabs>
              <w:spacing w:line="240" w:lineRule="auto"/>
              <w:ind w:firstLine="0"/>
              <w:jc w:val="center"/>
              <w:rPr>
                <w:sz w:val="20"/>
                <w:szCs w:val="20"/>
              </w:rPr>
            </w:pPr>
          </w:p>
        </w:tc>
        <w:tc>
          <w:tcPr>
            <w:tcW w:w="825" w:type="dxa"/>
            <w:tcBorders>
              <w:top w:val="nil"/>
              <w:bottom w:val="nil"/>
              <w:right w:val="double" w:sz="4" w:space="0" w:color="auto"/>
            </w:tcBorders>
            <w:vAlign w:val="center"/>
          </w:tcPr>
          <w:p w:rsidR="00FF501D" w:rsidRDefault="00FF501D" w:rsidP="00D72ECE">
            <w:pPr>
              <w:tabs>
                <w:tab w:val="decimal" w:pos="275"/>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Default="00FF501D" w:rsidP="00D72ECE">
            <w:pPr>
              <w:tabs>
                <w:tab w:val="decimal" w:pos="222"/>
              </w:tabs>
              <w:spacing w:line="240" w:lineRule="auto"/>
              <w:ind w:firstLine="0"/>
              <w:jc w:val="center"/>
              <w:rPr>
                <w:sz w:val="20"/>
                <w:szCs w:val="20"/>
              </w:rPr>
            </w:pPr>
          </w:p>
        </w:tc>
        <w:tc>
          <w:tcPr>
            <w:tcW w:w="894" w:type="dxa"/>
            <w:tcBorders>
              <w:top w:val="nil"/>
              <w:bottom w:val="nil"/>
              <w:right w:val="double" w:sz="4" w:space="0" w:color="auto"/>
            </w:tcBorders>
            <w:vAlign w:val="center"/>
          </w:tcPr>
          <w:p w:rsidR="00FF501D" w:rsidRDefault="00FF501D" w:rsidP="00D72ECE">
            <w:pPr>
              <w:tabs>
                <w:tab w:val="decimal" w:pos="255"/>
              </w:tabs>
              <w:spacing w:line="240" w:lineRule="auto"/>
              <w:ind w:firstLine="0"/>
              <w:jc w:val="center"/>
              <w:rPr>
                <w:sz w:val="20"/>
                <w:szCs w:val="20"/>
              </w:rPr>
            </w:pPr>
          </w:p>
        </w:tc>
      </w:tr>
      <w:tr w:rsidR="00FF501D" w:rsidRPr="00BB21B7" w:rsidTr="008F2F54">
        <w:trPr>
          <w:trHeight w:val="288"/>
          <w:jc w:val="center"/>
        </w:trPr>
        <w:tc>
          <w:tcPr>
            <w:tcW w:w="3854" w:type="dxa"/>
            <w:tcBorders>
              <w:top w:val="nil"/>
              <w:left w:val="double" w:sz="4" w:space="0" w:color="auto"/>
              <w:bottom w:val="nil"/>
              <w:right w:val="double" w:sz="4" w:space="0" w:color="auto"/>
            </w:tcBorders>
          </w:tcPr>
          <w:p w:rsidR="00FF501D" w:rsidRPr="00EC44D2" w:rsidRDefault="007C759E" w:rsidP="004C4F47">
            <w:pPr>
              <w:spacing w:line="240" w:lineRule="auto"/>
              <w:ind w:firstLine="0"/>
              <w:jc w:val="left"/>
              <w:rPr>
                <w:b/>
                <w:i/>
                <w:sz w:val="20"/>
                <w:szCs w:val="20"/>
              </w:rPr>
            </w:pPr>
            <w:r w:rsidRPr="00E429FF">
              <w:rPr>
                <w:b/>
                <w:i/>
                <w:position w:val="-14"/>
                <w:sz w:val="20"/>
                <w:szCs w:val="20"/>
              </w:rPr>
              <w:object w:dxaOrig="260" w:dyaOrig="380">
                <v:shape id="_x0000_i1189" type="#_x0000_t75" style="width:12pt;height:17.25pt" o:ole="" o:preferrelative="f">
                  <v:imagedata r:id="rId318" o:title=""/>
                </v:shape>
                <o:OLEObject Type="Embed" ProgID="Equation.3" ShapeID="_x0000_i1189" DrawAspect="Content" ObjectID="_1555512578" r:id="rId319"/>
              </w:object>
            </w:r>
            <w:r w:rsidR="00E429FF" w:rsidRPr="00E429FF">
              <w:rPr>
                <w:b/>
                <w:i/>
                <w:sz w:val="20"/>
                <w:szCs w:val="20"/>
              </w:rPr>
              <w:t xml:space="preserve"> </w:t>
            </w:r>
            <w:r w:rsidR="00FF501D" w:rsidRPr="00EC44D2">
              <w:rPr>
                <w:b/>
                <w:i/>
                <w:sz w:val="20"/>
                <w:szCs w:val="20"/>
              </w:rPr>
              <w:t>vector</w:t>
            </w:r>
            <w:r w:rsidR="007E14AA">
              <w:rPr>
                <w:b/>
                <w:i/>
                <w:sz w:val="20"/>
                <w:szCs w:val="20"/>
              </w:rPr>
              <w:t xml:space="preserve"> for each j</w:t>
            </w:r>
          </w:p>
        </w:tc>
        <w:tc>
          <w:tcPr>
            <w:tcW w:w="0" w:type="auto"/>
            <w:tcBorders>
              <w:top w:val="nil"/>
              <w:left w:val="double" w:sz="4" w:space="0" w:color="auto"/>
              <w:bottom w:val="nil"/>
            </w:tcBorders>
            <w:vAlign w:val="center"/>
          </w:tcPr>
          <w:p w:rsidR="00FF501D" w:rsidRDefault="00FF501D" w:rsidP="00D72ECE">
            <w:pPr>
              <w:tabs>
                <w:tab w:val="decimal" w:pos="204"/>
              </w:tabs>
              <w:spacing w:line="240" w:lineRule="auto"/>
              <w:ind w:firstLine="0"/>
              <w:jc w:val="center"/>
              <w:rPr>
                <w:sz w:val="20"/>
                <w:szCs w:val="20"/>
              </w:rPr>
            </w:pPr>
          </w:p>
        </w:tc>
        <w:tc>
          <w:tcPr>
            <w:tcW w:w="897" w:type="dxa"/>
            <w:tcBorders>
              <w:top w:val="nil"/>
              <w:bottom w:val="nil"/>
              <w:right w:val="double" w:sz="4" w:space="0" w:color="auto"/>
            </w:tcBorders>
            <w:vAlign w:val="center"/>
          </w:tcPr>
          <w:p w:rsidR="00FF501D" w:rsidRDefault="00FF501D" w:rsidP="00D72ECE">
            <w:pPr>
              <w:tabs>
                <w:tab w:val="decimal" w:pos="147"/>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Default="00FF501D" w:rsidP="00D72ECE">
            <w:pPr>
              <w:tabs>
                <w:tab w:val="decimal" w:pos="278"/>
              </w:tabs>
              <w:spacing w:line="240" w:lineRule="auto"/>
              <w:ind w:firstLine="0"/>
              <w:jc w:val="center"/>
              <w:rPr>
                <w:sz w:val="20"/>
                <w:szCs w:val="20"/>
              </w:rPr>
            </w:pPr>
          </w:p>
        </w:tc>
        <w:tc>
          <w:tcPr>
            <w:tcW w:w="917" w:type="dxa"/>
            <w:tcBorders>
              <w:top w:val="nil"/>
              <w:bottom w:val="nil"/>
              <w:right w:val="double" w:sz="4" w:space="0" w:color="auto"/>
            </w:tcBorders>
            <w:vAlign w:val="center"/>
          </w:tcPr>
          <w:p w:rsidR="00FF501D" w:rsidRDefault="00FF501D" w:rsidP="00D72ECE">
            <w:pPr>
              <w:tabs>
                <w:tab w:val="decimal" w:pos="221"/>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Default="00FF501D" w:rsidP="00D72ECE">
            <w:pPr>
              <w:tabs>
                <w:tab w:val="decimal" w:pos="260"/>
              </w:tabs>
              <w:spacing w:line="240" w:lineRule="auto"/>
              <w:ind w:firstLine="0"/>
              <w:jc w:val="center"/>
              <w:rPr>
                <w:sz w:val="20"/>
                <w:szCs w:val="20"/>
              </w:rPr>
            </w:pPr>
          </w:p>
        </w:tc>
        <w:tc>
          <w:tcPr>
            <w:tcW w:w="825" w:type="dxa"/>
            <w:tcBorders>
              <w:top w:val="nil"/>
              <w:bottom w:val="nil"/>
              <w:right w:val="double" w:sz="4" w:space="0" w:color="auto"/>
            </w:tcBorders>
            <w:vAlign w:val="center"/>
          </w:tcPr>
          <w:p w:rsidR="00FF501D" w:rsidRDefault="00FF501D" w:rsidP="00D72ECE">
            <w:pPr>
              <w:tabs>
                <w:tab w:val="decimal" w:pos="275"/>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Default="00FF501D" w:rsidP="00D72ECE">
            <w:pPr>
              <w:tabs>
                <w:tab w:val="decimal" w:pos="222"/>
              </w:tabs>
              <w:spacing w:line="240" w:lineRule="auto"/>
              <w:ind w:firstLine="0"/>
              <w:jc w:val="center"/>
              <w:rPr>
                <w:sz w:val="20"/>
                <w:szCs w:val="20"/>
              </w:rPr>
            </w:pPr>
          </w:p>
        </w:tc>
        <w:tc>
          <w:tcPr>
            <w:tcW w:w="894" w:type="dxa"/>
            <w:tcBorders>
              <w:top w:val="nil"/>
              <w:bottom w:val="nil"/>
              <w:right w:val="double" w:sz="4" w:space="0" w:color="auto"/>
            </w:tcBorders>
            <w:vAlign w:val="center"/>
          </w:tcPr>
          <w:p w:rsidR="00FF501D" w:rsidRDefault="00FF501D" w:rsidP="00D72ECE">
            <w:pPr>
              <w:tabs>
                <w:tab w:val="decimal" w:pos="255"/>
              </w:tabs>
              <w:spacing w:line="240" w:lineRule="auto"/>
              <w:ind w:firstLine="0"/>
              <w:jc w:val="center"/>
              <w:rPr>
                <w:sz w:val="20"/>
                <w:szCs w:val="20"/>
              </w:rPr>
            </w:pPr>
          </w:p>
        </w:tc>
      </w:tr>
      <w:tr w:rsidR="00FF501D" w:rsidRPr="00BB21B7" w:rsidTr="008F2F54">
        <w:trPr>
          <w:trHeight w:val="288"/>
          <w:jc w:val="center"/>
        </w:trPr>
        <w:tc>
          <w:tcPr>
            <w:tcW w:w="3854" w:type="dxa"/>
            <w:tcBorders>
              <w:top w:val="nil"/>
              <w:left w:val="double" w:sz="4" w:space="0" w:color="auto"/>
              <w:bottom w:val="nil"/>
              <w:right w:val="double" w:sz="4" w:space="0" w:color="auto"/>
            </w:tcBorders>
          </w:tcPr>
          <w:p w:rsidR="00FF501D" w:rsidRPr="00BB21B7" w:rsidRDefault="00FF501D" w:rsidP="004C4F47">
            <w:pPr>
              <w:spacing w:line="240" w:lineRule="auto"/>
              <w:ind w:firstLine="0"/>
              <w:jc w:val="left"/>
              <w:rPr>
                <w:sz w:val="20"/>
                <w:szCs w:val="20"/>
              </w:rPr>
            </w:pPr>
            <w:r w:rsidRPr="00BB21B7">
              <w:rPr>
                <w:sz w:val="20"/>
                <w:szCs w:val="20"/>
              </w:rPr>
              <w:t>Constant</w:t>
            </w:r>
          </w:p>
        </w:tc>
        <w:tc>
          <w:tcPr>
            <w:tcW w:w="0" w:type="auto"/>
            <w:tcBorders>
              <w:top w:val="nil"/>
              <w:left w:val="double" w:sz="4" w:space="0" w:color="auto"/>
              <w:bottom w:val="nil"/>
            </w:tcBorders>
            <w:vAlign w:val="center"/>
          </w:tcPr>
          <w:p w:rsidR="00FF501D" w:rsidRPr="00BB21B7" w:rsidRDefault="00FF501D" w:rsidP="00D72ECE">
            <w:pPr>
              <w:tabs>
                <w:tab w:val="decimal" w:pos="204"/>
              </w:tabs>
              <w:spacing w:line="240" w:lineRule="auto"/>
              <w:ind w:firstLine="0"/>
              <w:jc w:val="center"/>
              <w:rPr>
                <w:sz w:val="20"/>
                <w:szCs w:val="20"/>
              </w:rPr>
            </w:pPr>
            <w:r>
              <w:rPr>
                <w:sz w:val="20"/>
                <w:szCs w:val="20"/>
              </w:rPr>
              <w:t>0.546</w:t>
            </w:r>
          </w:p>
        </w:tc>
        <w:tc>
          <w:tcPr>
            <w:tcW w:w="897" w:type="dxa"/>
            <w:tcBorders>
              <w:top w:val="nil"/>
              <w:bottom w:val="nil"/>
              <w:right w:val="double" w:sz="4" w:space="0" w:color="auto"/>
            </w:tcBorders>
            <w:vAlign w:val="center"/>
          </w:tcPr>
          <w:p w:rsidR="00FF501D" w:rsidRPr="00BB21B7" w:rsidRDefault="00FF501D" w:rsidP="00D72ECE">
            <w:pPr>
              <w:tabs>
                <w:tab w:val="decimal" w:pos="147"/>
              </w:tabs>
              <w:spacing w:line="240" w:lineRule="auto"/>
              <w:ind w:firstLine="0"/>
              <w:jc w:val="center"/>
              <w:rPr>
                <w:sz w:val="20"/>
                <w:szCs w:val="20"/>
              </w:rPr>
            </w:pPr>
            <w:r>
              <w:rPr>
                <w:sz w:val="20"/>
                <w:szCs w:val="20"/>
              </w:rPr>
              <w:t>5.28</w:t>
            </w:r>
          </w:p>
        </w:tc>
        <w:tc>
          <w:tcPr>
            <w:tcW w:w="1047" w:type="dxa"/>
            <w:tcBorders>
              <w:top w:val="nil"/>
              <w:left w:val="double" w:sz="4" w:space="0" w:color="auto"/>
              <w:bottom w:val="nil"/>
            </w:tcBorders>
            <w:vAlign w:val="center"/>
          </w:tcPr>
          <w:p w:rsidR="00FF501D" w:rsidRPr="00BB21B7" w:rsidRDefault="00FF501D" w:rsidP="00D72ECE">
            <w:pPr>
              <w:tabs>
                <w:tab w:val="decimal" w:pos="278"/>
              </w:tabs>
              <w:spacing w:line="240" w:lineRule="auto"/>
              <w:ind w:firstLine="0"/>
              <w:jc w:val="center"/>
              <w:rPr>
                <w:sz w:val="20"/>
                <w:szCs w:val="20"/>
              </w:rPr>
            </w:pPr>
            <w:r>
              <w:rPr>
                <w:sz w:val="20"/>
                <w:szCs w:val="20"/>
              </w:rPr>
              <w:t>1.321</w:t>
            </w:r>
          </w:p>
        </w:tc>
        <w:tc>
          <w:tcPr>
            <w:tcW w:w="917" w:type="dxa"/>
            <w:tcBorders>
              <w:top w:val="nil"/>
              <w:bottom w:val="nil"/>
              <w:right w:val="double" w:sz="4" w:space="0" w:color="auto"/>
            </w:tcBorders>
            <w:vAlign w:val="center"/>
          </w:tcPr>
          <w:p w:rsidR="00FF501D" w:rsidRPr="00BB21B7" w:rsidRDefault="00FF501D" w:rsidP="00D72ECE">
            <w:pPr>
              <w:tabs>
                <w:tab w:val="decimal" w:pos="221"/>
              </w:tabs>
              <w:spacing w:line="240" w:lineRule="auto"/>
              <w:ind w:firstLine="0"/>
              <w:jc w:val="center"/>
              <w:rPr>
                <w:sz w:val="20"/>
                <w:szCs w:val="20"/>
              </w:rPr>
            </w:pPr>
            <w:r>
              <w:rPr>
                <w:sz w:val="20"/>
                <w:szCs w:val="20"/>
              </w:rPr>
              <w:t>2.56</w:t>
            </w:r>
          </w:p>
        </w:tc>
        <w:tc>
          <w:tcPr>
            <w:tcW w:w="1047" w:type="dxa"/>
            <w:tcBorders>
              <w:top w:val="nil"/>
              <w:left w:val="double" w:sz="4" w:space="0" w:color="auto"/>
              <w:bottom w:val="nil"/>
            </w:tcBorders>
            <w:vAlign w:val="center"/>
          </w:tcPr>
          <w:p w:rsidR="00FF501D" w:rsidRPr="00BB21B7" w:rsidRDefault="00FF501D" w:rsidP="00D72ECE">
            <w:pPr>
              <w:tabs>
                <w:tab w:val="decimal" w:pos="260"/>
              </w:tabs>
              <w:spacing w:line="240" w:lineRule="auto"/>
              <w:ind w:firstLine="0"/>
              <w:jc w:val="center"/>
              <w:rPr>
                <w:sz w:val="20"/>
                <w:szCs w:val="20"/>
              </w:rPr>
            </w:pPr>
            <w:r>
              <w:rPr>
                <w:sz w:val="20"/>
                <w:szCs w:val="20"/>
              </w:rPr>
              <w:t>-0.573</w:t>
            </w:r>
          </w:p>
        </w:tc>
        <w:tc>
          <w:tcPr>
            <w:tcW w:w="825" w:type="dxa"/>
            <w:tcBorders>
              <w:top w:val="nil"/>
              <w:bottom w:val="nil"/>
              <w:right w:val="double" w:sz="4" w:space="0" w:color="auto"/>
            </w:tcBorders>
            <w:vAlign w:val="center"/>
          </w:tcPr>
          <w:p w:rsidR="00FF501D" w:rsidRPr="00BB21B7" w:rsidRDefault="00FF501D" w:rsidP="00D72ECE">
            <w:pPr>
              <w:tabs>
                <w:tab w:val="decimal" w:pos="275"/>
              </w:tabs>
              <w:spacing w:line="240" w:lineRule="auto"/>
              <w:ind w:firstLine="0"/>
              <w:jc w:val="center"/>
              <w:rPr>
                <w:sz w:val="20"/>
                <w:szCs w:val="20"/>
              </w:rPr>
            </w:pPr>
            <w:r>
              <w:rPr>
                <w:sz w:val="20"/>
                <w:szCs w:val="20"/>
              </w:rPr>
              <w:t>-4.83</w:t>
            </w:r>
          </w:p>
        </w:tc>
        <w:tc>
          <w:tcPr>
            <w:tcW w:w="1047" w:type="dxa"/>
            <w:tcBorders>
              <w:top w:val="nil"/>
              <w:left w:val="double" w:sz="4" w:space="0" w:color="auto"/>
              <w:bottom w:val="nil"/>
            </w:tcBorders>
            <w:vAlign w:val="center"/>
          </w:tcPr>
          <w:p w:rsidR="00FF501D" w:rsidRPr="00BB21B7" w:rsidRDefault="00FF501D" w:rsidP="00D72ECE">
            <w:pPr>
              <w:tabs>
                <w:tab w:val="decimal" w:pos="222"/>
              </w:tabs>
              <w:spacing w:line="240" w:lineRule="auto"/>
              <w:ind w:firstLine="0"/>
              <w:jc w:val="center"/>
              <w:rPr>
                <w:sz w:val="20"/>
                <w:szCs w:val="20"/>
              </w:rPr>
            </w:pPr>
            <w:r>
              <w:rPr>
                <w:sz w:val="20"/>
                <w:szCs w:val="20"/>
              </w:rPr>
              <w:t>-4.928</w:t>
            </w:r>
          </w:p>
        </w:tc>
        <w:tc>
          <w:tcPr>
            <w:tcW w:w="894" w:type="dxa"/>
            <w:tcBorders>
              <w:top w:val="nil"/>
              <w:bottom w:val="nil"/>
              <w:right w:val="double" w:sz="4" w:space="0" w:color="auto"/>
            </w:tcBorders>
            <w:vAlign w:val="center"/>
          </w:tcPr>
          <w:p w:rsidR="00FF501D" w:rsidRPr="00BB21B7" w:rsidRDefault="00FF501D" w:rsidP="00D72ECE">
            <w:pPr>
              <w:tabs>
                <w:tab w:val="decimal" w:pos="255"/>
              </w:tabs>
              <w:spacing w:line="240" w:lineRule="auto"/>
              <w:ind w:firstLine="0"/>
              <w:jc w:val="center"/>
              <w:rPr>
                <w:sz w:val="20"/>
                <w:szCs w:val="20"/>
              </w:rPr>
            </w:pPr>
            <w:r>
              <w:rPr>
                <w:sz w:val="20"/>
                <w:szCs w:val="20"/>
              </w:rPr>
              <w:t>-5.07</w:t>
            </w:r>
          </w:p>
        </w:tc>
      </w:tr>
      <w:tr w:rsidR="00FF501D" w:rsidRPr="00BB21B7" w:rsidTr="008F2F54">
        <w:trPr>
          <w:trHeight w:val="288"/>
          <w:jc w:val="center"/>
        </w:trPr>
        <w:tc>
          <w:tcPr>
            <w:tcW w:w="3854" w:type="dxa"/>
            <w:tcBorders>
              <w:top w:val="nil"/>
              <w:left w:val="double" w:sz="4" w:space="0" w:color="auto"/>
              <w:bottom w:val="nil"/>
              <w:right w:val="double" w:sz="4" w:space="0" w:color="auto"/>
            </w:tcBorders>
          </w:tcPr>
          <w:p w:rsidR="00FF501D" w:rsidRPr="00BB21B7" w:rsidRDefault="00FF501D" w:rsidP="004C4F47">
            <w:pPr>
              <w:spacing w:line="240" w:lineRule="auto"/>
              <w:ind w:firstLine="0"/>
              <w:jc w:val="left"/>
              <w:rPr>
                <w:sz w:val="20"/>
                <w:szCs w:val="20"/>
              </w:rPr>
            </w:pPr>
            <w:r w:rsidRPr="00BB21B7">
              <w:rPr>
                <w:i/>
                <w:sz w:val="20"/>
                <w:szCs w:val="20"/>
              </w:rPr>
              <w:t>Socio-Demographic Variables</w:t>
            </w:r>
          </w:p>
        </w:tc>
        <w:tc>
          <w:tcPr>
            <w:tcW w:w="0" w:type="auto"/>
            <w:tcBorders>
              <w:top w:val="nil"/>
              <w:left w:val="double" w:sz="4" w:space="0" w:color="auto"/>
              <w:bottom w:val="nil"/>
            </w:tcBorders>
            <w:vAlign w:val="center"/>
          </w:tcPr>
          <w:p w:rsidR="00FF501D" w:rsidRPr="00BB21B7" w:rsidRDefault="00FF501D" w:rsidP="00D72ECE">
            <w:pPr>
              <w:tabs>
                <w:tab w:val="decimal" w:pos="204"/>
              </w:tabs>
              <w:spacing w:line="240" w:lineRule="auto"/>
              <w:ind w:firstLine="0"/>
              <w:jc w:val="center"/>
              <w:rPr>
                <w:sz w:val="20"/>
                <w:szCs w:val="20"/>
              </w:rPr>
            </w:pPr>
          </w:p>
        </w:tc>
        <w:tc>
          <w:tcPr>
            <w:tcW w:w="897" w:type="dxa"/>
            <w:tcBorders>
              <w:top w:val="nil"/>
              <w:bottom w:val="nil"/>
              <w:right w:val="double" w:sz="4" w:space="0" w:color="auto"/>
            </w:tcBorders>
            <w:vAlign w:val="center"/>
          </w:tcPr>
          <w:p w:rsidR="00FF501D" w:rsidRPr="00BB21B7" w:rsidRDefault="00FF501D" w:rsidP="00D72ECE">
            <w:pPr>
              <w:tabs>
                <w:tab w:val="decimal" w:pos="147"/>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Pr="00BB21B7" w:rsidRDefault="00FF501D" w:rsidP="00D72ECE">
            <w:pPr>
              <w:tabs>
                <w:tab w:val="decimal" w:pos="278"/>
              </w:tabs>
              <w:spacing w:line="240" w:lineRule="auto"/>
              <w:ind w:firstLine="0"/>
              <w:jc w:val="center"/>
              <w:rPr>
                <w:sz w:val="20"/>
                <w:szCs w:val="20"/>
              </w:rPr>
            </w:pPr>
          </w:p>
        </w:tc>
        <w:tc>
          <w:tcPr>
            <w:tcW w:w="917" w:type="dxa"/>
            <w:tcBorders>
              <w:top w:val="nil"/>
              <w:bottom w:val="nil"/>
              <w:right w:val="double" w:sz="4" w:space="0" w:color="auto"/>
            </w:tcBorders>
            <w:vAlign w:val="center"/>
          </w:tcPr>
          <w:p w:rsidR="00FF501D" w:rsidRPr="00BB21B7" w:rsidRDefault="00FF501D" w:rsidP="00D72ECE">
            <w:pPr>
              <w:tabs>
                <w:tab w:val="decimal" w:pos="221"/>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Pr="00BB21B7" w:rsidRDefault="00FF501D" w:rsidP="00D72ECE">
            <w:pPr>
              <w:tabs>
                <w:tab w:val="decimal" w:pos="260"/>
              </w:tabs>
              <w:spacing w:line="240" w:lineRule="auto"/>
              <w:ind w:firstLine="0"/>
              <w:jc w:val="center"/>
              <w:rPr>
                <w:sz w:val="20"/>
                <w:szCs w:val="20"/>
              </w:rPr>
            </w:pPr>
          </w:p>
        </w:tc>
        <w:tc>
          <w:tcPr>
            <w:tcW w:w="825" w:type="dxa"/>
            <w:tcBorders>
              <w:top w:val="nil"/>
              <w:bottom w:val="nil"/>
              <w:right w:val="double" w:sz="4" w:space="0" w:color="auto"/>
            </w:tcBorders>
            <w:vAlign w:val="center"/>
          </w:tcPr>
          <w:p w:rsidR="00FF501D" w:rsidRPr="00BB21B7" w:rsidRDefault="00FF501D" w:rsidP="00D72ECE">
            <w:pPr>
              <w:tabs>
                <w:tab w:val="decimal" w:pos="275"/>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Pr="00BB21B7" w:rsidRDefault="00FF501D" w:rsidP="00D72ECE">
            <w:pPr>
              <w:tabs>
                <w:tab w:val="decimal" w:pos="222"/>
              </w:tabs>
              <w:spacing w:line="240" w:lineRule="auto"/>
              <w:ind w:firstLine="0"/>
              <w:jc w:val="center"/>
              <w:rPr>
                <w:sz w:val="20"/>
                <w:szCs w:val="20"/>
              </w:rPr>
            </w:pPr>
          </w:p>
        </w:tc>
        <w:tc>
          <w:tcPr>
            <w:tcW w:w="894" w:type="dxa"/>
            <w:tcBorders>
              <w:top w:val="nil"/>
              <w:bottom w:val="nil"/>
              <w:right w:val="double" w:sz="4" w:space="0" w:color="auto"/>
            </w:tcBorders>
            <w:vAlign w:val="center"/>
          </w:tcPr>
          <w:p w:rsidR="00FF501D" w:rsidRPr="00BB21B7" w:rsidRDefault="00FF501D" w:rsidP="00D72ECE">
            <w:pPr>
              <w:tabs>
                <w:tab w:val="decimal" w:pos="255"/>
              </w:tabs>
              <w:spacing w:line="240" w:lineRule="auto"/>
              <w:ind w:firstLine="0"/>
              <w:jc w:val="center"/>
              <w:rPr>
                <w:sz w:val="20"/>
                <w:szCs w:val="20"/>
              </w:rPr>
            </w:pPr>
          </w:p>
        </w:tc>
      </w:tr>
      <w:tr w:rsidR="00FF501D" w:rsidRPr="00BB21B7" w:rsidTr="008F2F54">
        <w:trPr>
          <w:trHeight w:val="288"/>
          <w:jc w:val="center"/>
        </w:trPr>
        <w:tc>
          <w:tcPr>
            <w:tcW w:w="3854" w:type="dxa"/>
            <w:tcBorders>
              <w:top w:val="nil"/>
              <w:left w:val="double" w:sz="4" w:space="0" w:color="auto"/>
              <w:bottom w:val="nil"/>
              <w:right w:val="double" w:sz="4" w:space="0" w:color="auto"/>
            </w:tcBorders>
          </w:tcPr>
          <w:p w:rsidR="00FF501D" w:rsidRPr="00BB21B7" w:rsidRDefault="00FF501D" w:rsidP="004C4F47">
            <w:pPr>
              <w:spacing w:line="240" w:lineRule="auto"/>
              <w:ind w:left="244" w:hanging="244"/>
              <w:jc w:val="left"/>
              <w:rPr>
                <w:sz w:val="20"/>
                <w:szCs w:val="20"/>
              </w:rPr>
            </w:pPr>
            <w:r w:rsidRPr="00BB21B7">
              <w:rPr>
                <w:sz w:val="20"/>
                <w:szCs w:val="20"/>
              </w:rPr>
              <w:t xml:space="preserve">    Median household income (in </w:t>
            </w:r>
            <w:r w:rsidR="00B56152">
              <w:rPr>
                <w:sz w:val="20"/>
                <w:szCs w:val="20"/>
              </w:rPr>
              <w:t>$1</w:t>
            </w:r>
            <w:r w:rsidR="009C0630">
              <w:rPr>
                <w:sz w:val="20"/>
                <w:szCs w:val="20"/>
              </w:rPr>
              <w:t>0</w:t>
            </w:r>
            <w:r w:rsidR="00B56152">
              <w:rPr>
                <w:sz w:val="20"/>
                <w:szCs w:val="20"/>
              </w:rPr>
              <w:t>0,000</w:t>
            </w:r>
            <w:r w:rsidRPr="00BB21B7">
              <w:rPr>
                <w:sz w:val="20"/>
                <w:szCs w:val="20"/>
              </w:rPr>
              <w:t>)</w:t>
            </w:r>
          </w:p>
        </w:tc>
        <w:tc>
          <w:tcPr>
            <w:tcW w:w="0" w:type="auto"/>
            <w:tcBorders>
              <w:top w:val="nil"/>
              <w:left w:val="double" w:sz="4" w:space="0" w:color="auto"/>
              <w:bottom w:val="nil"/>
            </w:tcBorders>
            <w:vAlign w:val="center"/>
          </w:tcPr>
          <w:p w:rsidR="00FF501D" w:rsidRPr="00BB21B7" w:rsidRDefault="00FF501D" w:rsidP="00D72ECE">
            <w:pPr>
              <w:tabs>
                <w:tab w:val="decimal" w:pos="204"/>
              </w:tabs>
              <w:spacing w:line="240" w:lineRule="auto"/>
              <w:ind w:firstLine="0"/>
              <w:jc w:val="center"/>
              <w:rPr>
                <w:sz w:val="20"/>
                <w:szCs w:val="20"/>
              </w:rPr>
            </w:pPr>
          </w:p>
        </w:tc>
        <w:tc>
          <w:tcPr>
            <w:tcW w:w="897" w:type="dxa"/>
            <w:tcBorders>
              <w:top w:val="nil"/>
              <w:bottom w:val="nil"/>
              <w:right w:val="double" w:sz="4" w:space="0" w:color="auto"/>
            </w:tcBorders>
            <w:vAlign w:val="center"/>
          </w:tcPr>
          <w:p w:rsidR="00FF501D" w:rsidRPr="00BB21B7" w:rsidRDefault="00FF501D" w:rsidP="00D72ECE">
            <w:pPr>
              <w:tabs>
                <w:tab w:val="decimal" w:pos="147"/>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Pr="00BB21B7" w:rsidRDefault="00FF501D" w:rsidP="00D72ECE">
            <w:pPr>
              <w:tabs>
                <w:tab w:val="decimal" w:pos="278"/>
              </w:tabs>
              <w:spacing w:line="240" w:lineRule="auto"/>
              <w:ind w:firstLine="0"/>
              <w:jc w:val="center"/>
              <w:rPr>
                <w:sz w:val="20"/>
                <w:szCs w:val="20"/>
              </w:rPr>
            </w:pPr>
          </w:p>
        </w:tc>
        <w:tc>
          <w:tcPr>
            <w:tcW w:w="917" w:type="dxa"/>
            <w:tcBorders>
              <w:top w:val="nil"/>
              <w:bottom w:val="nil"/>
              <w:right w:val="double" w:sz="4" w:space="0" w:color="auto"/>
            </w:tcBorders>
            <w:vAlign w:val="center"/>
          </w:tcPr>
          <w:p w:rsidR="00FF501D" w:rsidRPr="00BB21B7" w:rsidRDefault="00FF501D" w:rsidP="00D72ECE">
            <w:pPr>
              <w:tabs>
                <w:tab w:val="decimal" w:pos="221"/>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Pr="00BB21B7" w:rsidRDefault="00FF501D" w:rsidP="00D72ECE">
            <w:pPr>
              <w:tabs>
                <w:tab w:val="decimal" w:pos="260"/>
              </w:tabs>
              <w:spacing w:line="240" w:lineRule="auto"/>
              <w:ind w:firstLine="0"/>
              <w:jc w:val="center"/>
              <w:rPr>
                <w:sz w:val="20"/>
                <w:szCs w:val="20"/>
              </w:rPr>
            </w:pPr>
          </w:p>
        </w:tc>
        <w:tc>
          <w:tcPr>
            <w:tcW w:w="825" w:type="dxa"/>
            <w:tcBorders>
              <w:top w:val="nil"/>
              <w:bottom w:val="nil"/>
              <w:right w:val="double" w:sz="4" w:space="0" w:color="auto"/>
            </w:tcBorders>
            <w:vAlign w:val="center"/>
          </w:tcPr>
          <w:p w:rsidR="00FF501D" w:rsidRPr="00BB21B7" w:rsidRDefault="00FF501D" w:rsidP="00D72ECE">
            <w:pPr>
              <w:tabs>
                <w:tab w:val="decimal" w:pos="275"/>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Pr="00BB21B7" w:rsidRDefault="00FF501D" w:rsidP="00D72ECE">
            <w:pPr>
              <w:tabs>
                <w:tab w:val="decimal" w:pos="222"/>
              </w:tabs>
              <w:spacing w:line="240" w:lineRule="auto"/>
              <w:ind w:firstLine="0"/>
              <w:jc w:val="center"/>
              <w:rPr>
                <w:sz w:val="20"/>
                <w:szCs w:val="20"/>
              </w:rPr>
            </w:pPr>
            <w:r>
              <w:rPr>
                <w:sz w:val="20"/>
                <w:szCs w:val="20"/>
              </w:rPr>
              <w:t>2.682</w:t>
            </w:r>
          </w:p>
        </w:tc>
        <w:tc>
          <w:tcPr>
            <w:tcW w:w="894" w:type="dxa"/>
            <w:tcBorders>
              <w:top w:val="nil"/>
              <w:bottom w:val="nil"/>
              <w:right w:val="double" w:sz="4" w:space="0" w:color="auto"/>
            </w:tcBorders>
            <w:vAlign w:val="center"/>
          </w:tcPr>
          <w:p w:rsidR="00FF501D" w:rsidRPr="00BB21B7" w:rsidRDefault="00FF501D" w:rsidP="00D72ECE">
            <w:pPr>
              <w:tabs>
                <w:tab w:val="decimal" w:pos="255"/>
              </w:tabs>
              <w:spacing w:line="240" w:lineRule="auto"/>
              <w:ind w:firstLine="0"/>
              <w:jc w:val="center"/>
              <w:rPr>
                <w:sz w:val="20"/>
                <w:szCs w:val="20"/>
              </w:rPr>
            </w:pPr>
            <w:r>
              <w:rPr>
                <w:sz w:val="20"/>
                <w:szCs w:val="20"/>
              </w:rPr>
              <w:t>7.83</w:t>
            </w:r>
          </w:p>
        </w:tc>
      </w:tr>
      <w:tr w:rsidR="00FF501D" w:rsidRPr="00BB21B7" w:rsidTr="008F2F54">
        <w:trPr>
          <w:trHeight w:val="288"/>
          <w:jc w:val="center"/>
        </w:trPr>
        <w:tc>
          <w:tcPr>
            <w:tcW w:w="3854" w:type="dxa"/>
            <w:tcBorders>
              <w:top w:val="nil"/>
              <w:left w:val="double" w:sz="4" w:space="0" w:color="auto"/>
              <w:bottom w:val="nil"/>
              <w:right w:val="double" w:sz="4" w:space="0" w:color="auto"/>
            </w:tcBorders>
          </w:tcPr>
          <w:p w:rsidR="00FF501D" w:rsidRPr="00BB21B7" w:rsidRDefault="00FF501D" w:rsidP="004C4F47">
            <w:pPr>
              <w:spacing w:line="240" w:lineRule="auto"/>
              <w:ind w:left="187" w:hanging="187"/>
              <w:jc w:val="left"/>
              <w:rPr>
                <w:i/>
                <w:sz w:val="20"/>
                <w:szCs w:val="20"/>
              </w:rPr>
            </w:pPr>
            <w:r w:rsidRPr="00BB21B7">
              <w:rPr>
                <w:i/>
                <w:sz w:val="20"/>
                <w:szCs w:val="20"/>
              </w:rPr>
              <w:t>Land-use and Road Network Variables</w:t>
            </w:r>
          </w:p>
        </w:tc>
        <w:tc>
          <w:tcPr>
            <w:tcW w:w="0" w:type="auto"/>
            <w:tcBorders>
              <w:top w:val="nil"/>
              <w:left w:val="double" w:sz="4" w:space="0" w:color="auto"/>
              <w:bottom w:val="nil"/>
            </w:tcBorders>
            <w:vAlign w:val="center"/>
          </w:tcPr>
          <w:p w:rsidR="00FF501D" w:rsidRPr="00BB21B7" w:rsidRDefault="00FF501D" w:rsidP="00D72ECE">
            <w:pPr>
              <w:tabs>
                <w:tab w:val="decimal" w:pos="204"/>
              </w:tabs>
              <w:spacing w:line="240" w:lineRule="auto"/>
              <w:ind w:firstLine="0"/>
              <w:jc w:val="center"/>
              <w:rPr>
                <w:sz w:val="20"/>
                <w:szCs w:val="20"/>
              </w:rPr>
            </w:pPr>
          </w:p>
        </w:tc>
        <w:tc>
          <w:tcPr>
            <w:tcW w:w="897" w:type="dxa"/>
            <w:tcBorders>
              <w:top w:val="nil"/>
              <w:bottom w:val="nil"/>
              <w:right w:val="double" w:sz="4" w:space="0" w:color="auto"/>
            </w:tcBorders>
            <w:vAlign w:val="center"/>
          </w:tcPr>
          <w:p w:rsidR="00FF501D" w:rsidRPr="00BB21B7" w:rsidRDefault="00FF501D" w:rsidP="00D72ECE">
            <w:pPr>
              <w:tabs>
                <w:tab w:val="decimal" w:pos="147"/>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Pr="00BB21B7" w:rsidRDefault="00FF501D" w:rsidP="00D72ECE">
            <w:pPr>
              <w:tabs>
                <w:tab w:val="decimal" w:pos="278"/>
              </w:tabs>
              <w:spacing w:line="240" w:lineRule="auto"/>
              <w:ind w:firstLine="0"/>
              <w:jc w:val="center"/>
              <w:rPr>
                <w:sz w:val="20"/>
                <w:szCs w:val="20"/>
              </w:rPr>
            </w:pPr>
          </w:p>
        </w:tc>
        <w:tc>
          <w:tcPr>
            <w:tcW w:w="917" w:type="dxa"/>
            <w:tcBorders>
              <w:top w:val="nil"/>
              <w:bottom w:val="nil"/>
              <w:right w:val="double" w:sz="4" w:space="0" w:color="auto"/>
            </w:tcBorders>
            <w:vAlign w:val="center"/>
          </w:tcPr>
          <w:p w:rsidR="00FF501D" w:rsidRPr="00BB21B7" w:rsidRDefault="00FF501D" w:rsidP="00D72ECE">
            <w:pPr>
              <w:tabs>
                <w:tab w:val="decimal" w:pos="221"/>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Pr="00BB21B7" w:rsidRDefault="00FF501D" w:rsidP="00D72ECE">
            <w:pPr>
              <w:tabs>
                <w:tab w:val="decimal" w:pos="260"/>
              </w:tabs>
              <w:spacing w:line="240" w:lineRule="auto"/>
              <w:ind w:firstLine="0"/>
              <w:jc w:val="center"/>
              <w:rPr>
                <w:sz w:val="20"/>
                <w:szCs w:val="20"/>
              </w:rPr>
            </w:pPr>
          </w:p>
        </w:tc>
        <w:tc>
          <w:tcPr>
            <w:tcW w:w="825" w:type="dxa"/>
            <w:tcBorders>
              <w:top w:val="nil"/>
              <w:bottom w:val="nil"/>
              <w:right w:val="double" w:sz="4" w:space="0" w:color="auto"/>
            </w:tcBorders>
            <w:vAlign w:val="center"/>
          </w:tcPr>
          <w:p w:rsidR="00FF501D" w:rsidRPr="00BB21B7" w:rsidRDefault="00FF501D" w:rsidP="00D72ECE">
            <w:pPr>
              <w:tabs>
                <w:tab w:val="decimal" w:pos="275"/>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Pr="00BB21B7" w:rsidRDefault="00FF501D" w:rsidP="00D72ECE">
            <w:pPr>
              <w:tabs>
                <w:tab w:val="decimal" w:pos="222"/>
              </w:tabs>
              <w:spacing w:line="240" w:lineRule="auto"/>
              <w:ind w:firstLine="0"/>
              <w:jc w:val="center"/>
              <w:rPr>
                <w:sz w:val="20"/>
                <w:szCs w:val="20"/>
              </w:rPr>
            </w:pPr>
          </w:p>
        </w:tc>
        <w:tc>
          <w:tcPr>
            <w:tcW w:w="894" w:type="dxa"/>
            <w:tcBorders>
              <w:top w:val="nil"/>
              <w:bottom w:val="nil"/>
              <w:right w:val="double" w:sz="4" w:space="0" w:color="auto"/>
            </w:tcBorders>
            <w:vAlign w:val="center"/>
          </w:tcPr>
          <w:p w:rsidR="00FF501D" w:rsidRPr="00BB21B7" w:rsidRDefault="00FF501D" w:rsidP="00D72ECE">
            <w:pPr>
              <w:tabs>
                <w:tab w:val="decimal" w:pos="255"/>
              </w:tabs>
              <w:spacing w:line="240" w:lineRule="auto"/>
              <w:ind w:firstLine="0"/>
              <w:jc w:val="center"/>
              <w:rPr>
                <w:sz w:val="20"/>
                <w:szCs w:val="20"/>
              </w:rPr>
            </w:pPr>
          </w:p>
        </w:tc>
      </w:tr>
      <w:tr w:rsidR="00FF501D" w:rsidRPr="00BB21B7" w:rsidTr="008F2F54">
        <w:trPr>
          <w:trHeight w:val="288"/>
          <w:jc w:val="center"/>
        </w:trPr>
        <w:tc>
          <w:tcPr>
            <w:tcW w:w="3854" w:type="dxa"/>
            <w:tcBorders>
              <w:top w:val="nil"/>
              <w:left w:val="double" w:sz="4" w:space="0" w:color="auto"/>
              <w:bottom w:val="nil"/>
              <w:right w:val="double" w:sz="4" w:space="0" w:color="auto"/>
            </w:tcBorders>
          </w:tcPr>
          <w:p w:rsidR="00FF501D" w:rsidRPr="00BB21B7" w:rsidRDefault="00FF501D" w:rsidP="004C4F47">
            <w:pPr>
              <w:spacing w:line="240" w:lineRule="auto"/>
              <w:ind w:firstLine="0"/>
              <w:jc w:val="left"/>
              <w:rPr>
                <w:sz w:val="20"/>
                <w:szCs w:val="20"/>
              </w:rPr>
            </w:pPr>
            <w:r w:rsidRPr="00BB21B7">
              <w:rPr>
                <w:sz w:val="20"/>
                <w:szCs w:val="20"/>
              </w:rPr>
              <w:t xml:space="preserve">    Proportion of commercial land-use</w:t>
            </w:r>
          </w:p>
        </w:tc>
        <w:tc>
          <w:tcPr>
            <w:tcW w:w="0" w:type="auto"/>
            <w:tcBorders>
              <w:top w:val="nil"/>
              <w:left w:val="double" w:sz="4" w:space="0" w:color="auto"/>
              <w:bottom w:val="nil"/>
            </w:tcBorders>
            <w:vAlign w:val="center"/>
          </w:tcPr>
          <w:p w:rsidR="00FF501D" w:rsidRPr="00BB21B7" w:rsidRDefault="00FF501D" w:rsidP="00D72ECE">
            <w:pPr>
              <w:tabs>
                <w:tab w:val="decimal" w:pos="204"/>
              </w:tabs>
              <w:spacing w:line="240" w:lineRule="auto"/>
              <w:ind w:firstLine="0"/>
              <w:jc w:val="center"/>
              <w:rPr>
                <w:sz w:val="20"/>
                <w:szCs w:val="20"/>
              </w:rPr>
            </w:pPr>
            <w:r>
              <w:rPr>
                <w:sz w:val="20"/>
                <w:szCs w:val="20"/>
              </w:rPr>
              <w:t>0.132</w:t>
            </w:r>
          </w:p>
        </w:tc>
        <w:tc>
          <w:tcPr>
            <w:tcW w:w="897" w:type="dxa"/>
            <w:tcBorders>
              <w:top w:val="nil"/>
              <w:bottom w:val="nil"/>
              <w:right w:val="double" w:sz="4" w:space="0" w:color="auto"/>
            </w:tcBorders>
            <w:vAlign w:val="center"/>
          </w:tcPr>
          <w:p w:rsidR="00FF501D" w:rsidRPr="00BB21B7" w:rsidRDefault="00FF501D" w:rsidP="00D72ECE">
            <w:pPr>
              <w:tabs>
                <w:tab w:val="decimal" w:pos="147"/>
              </w:tabs>
              <w:spacing w:line="240" w:lineRule="auto"/>
              <w:ind w:firstLine="0"/>
              <w:jc w:val="center"/>
              <w:rPr>
                <w:sz w:val="20"/>
                <w:szCs w:val="20"/>
              </w:rPr>
            </w:pPr>
            <w:r>
              <w:rPr>
                <w:sz w:val="20"/>
                <w:szCs w:val="20"/>
              </w:rPr>
              <w:t>8.12</w:t>
            </w:r>
          </w:p>
        </w:tc>
        <w:tc>
          <w:tcPr>
            <w:tcW w:w="1047" w:type="dxa"/>
            <w:tcBorders>
              <w:top w:val="nil"/>
              <w:left w:val="double" w:sz="4" w:space="0" w:color="auto"/>
              <w:bottom w:val="nil"/>
            </w:tcBorders>
            <w:vAlign w:val="center"/>
          </w:tcPr>
          <w:p w:rsidR="00FF501D" w:rsidRPr="00BB21B7" w:rsidRDefault="00FF501D" w:rsidP="00D72ECE">
            <w:pPr>
              <w:tabs>
                <w:tab w:val="decimal" w:pos="278"/>
              </w:tabs>
              <w:spacing w:line="240" w:lineRule="auto"/>
              <w:ind w:firstLine="0"/>
              <w:jc w:val="center"/>
              <w:rPr>
                <w:sz w:val="20"/>
                <w:szCs w:val="20"/>
              </w:rPr>
            </w:pPr>
            <w:r>
              <w:rPr>
                <w:sz w:val="20"/>
                <w:szCs w:val="20"/>
              </w:rPr>
              <w:t>0.546</w:t>
            </w:r>
          </w:p>
        </w:tc>
        <w:tc>
          <w:tcPr>
            <w:tcW w:w="917" w:type="dxa"/>
            <w:tcBorders>
              <w:top w:val="nil"/>
              <w:bottom w:val="nil"/>
              <w:right w:val="double" w:sz="4" w:space="0" w:color="auto"/>
            </w:tcBorders>
            <w:vAlign w:val="center"/>
          </w:tcPr>
          <w:p w:rsidR="00FF501D" w:rsidRPr="00BB21B7" w:rsidRDefault="00FF501D" w:rsidP="00D72ECE">
            <w:pPr>
              <w:tabs>
                <w:tab w:val="decimal" w:pos="221"/>
              </w:tabs>
              <w:spacing w:line="240" w:lineRule="auto"/>
              <w:ind w:firstLine="0"/>
              <w:jc w:val="center"/>
              <w:rPr>
                <w:sz w:val="20"/>
                <w:szCs w:val="20"/>
              </w:rPr>
            </w:pPr>
            <w:r>
              <w:rPr>
                <w:sz w:val="20"/>
                <w:szCs w:val="20"/>
              </w:rPr>
              <w:t>5.90</w:t>
            </w:r>
          </w:p>
        </w:tc>
        <w:tc>
          <w:tcPr>
            <w:tcW w:w="1047" w:type="dxa"/>
            <w:tcBorders>
              <w:top w:val="nil"/>
              <w:left w:val="double" w:sz="4" w:space="0" w:color="auto"/>
              <w:bottom w:val="nil"/>
            </w:tcBorders>
            <w:vAlign w:val="center"/>
          </w:tcPr>
          <w:p w:rsidR="00FF501D" w:rsidRPr="00BB21B7" w:rsidRDefault="00FF501D" w:rsidP="00D72ECE">
            <w:pPr>
              <w:tabs>
                <w:tab w:val="decimal" w:pos="260"/>
              </w:tabs>
              <w:spacing w:line="240" w:lineRule="auto"/>
              <w:ind w:firstLine="0"/>
              <w:jc w:val="center"/>
              <w:rPr>
                <w:sz w:val="20"/>
                <w:szCs w:val="20"/>
              </w:rPr>
            </w:pPr>
          </w:p>
        </w:tc>
        <w:tc>
          <w:tcPr>
            <w:tcW w:w="825" w:type="dxa"/>
            <w:tcBorders>
              <w:top w:val="nil"/>
              <w:bottom w:val="nil"/>
              <w:right w:val="double" w:sz="4" w:space="0" w:color="auto"/>
            </w:tcBorders>
            <w:vAlign w:val="center"/>
          </w:tcPr>
          <w:p w:rsidR="00FF501D" w:rsidRPr="00BB21B7" w:rsidRDefault="00FF501D" w:rsidP="00D72ECE">
            <w:pPr>
              <w:tabs>
                <w:tab w:val="decimal" w:pos="275"/>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Pr="00BB21B7" w:rsidRDefault="00FF501D" w:rsidP="00D72ECE">
            <w:pPr>
              <w:tabs>
                <w:tab w:val="decimal" w:pos="222"/>
              </w:tabs>
              <w:spacing w:line="240" w:lineRule="auto"/>
              <w:ind w:firstLine="0"/>
              <w:jc w:val="center"/>
              <w:rPr>
                <w:sz w:val="20"/>
                <w:szCs w:val="20"/>
              </w:rPr>
            </w:pPr>
          </w:p>
        </w:tc>
        <w:tc>
          <w:tcPr>
            <w:tcW w:w="894" w:type="dxa"/>
            <w:tcBorders>
              <w:top w:val="nil"/>
              <w:bottom w:val="nil"/>
              <w:right w:val="double" w:sz="4" w:space="0" w:color="auto"/>
            </w:tcBorders>
            <w:vAlign w:val="center"/>
          </w:tcPr>
          <w:p w:rsidR="00FF501D" w:rsidRPr="00BB21B7" w:rsidRDefault="00FF501D" w:rsidP="00D72ECE">
            <w:pPr>
              <w:tabs>
                <w:tab w:val="decimal" w:pos="255"/>
              </w:tabs>
              <w:spacing w:line="240" w:lineRule="auto"/>
              <w:ind w:firstLine="0"/>
              <w:jc w:val="center"/>
              <w:rPr>
                <w:sz w:val="20"/>
                <w:szCs w:val="20"/>
              </w:rPr>
            </w:pPr>
          </w:p>
        </w:tc>
      </w:tr>
      <w:tr w:rsidR="00FF501D" w:rsidRPr="00BB21B7" w:rsidTr="008F2F54">
        <w:trPr>
          <w:trHeight w:val="288"/>
          <w:jc w:val="center"/>
        </w:trPr>
        <w:tc>
          <w:tcPr>
            <w:tcW w:w="3854" w:type="dxa"/>
            <w:tcBorders>
              <w:top w:val="nil"/>
              <w:left w:val="double" w:sz="4" w:space="0" w:color="auto"/>
              <w:bottom w:val="nil"/>
              <w:right w:val="double" w:sz="4" w:space="0" w:color="auto"/>
            </w:tcBorders>
          </w:tcPr>
          <w:p w:rsidR="00FF501D" w:rsidRPr="00BB21B7" w:rsidRDefault="00FF501D" w:rsidP="004C4F47">
            <w:pPr>
              <w:spacing w:line="240" w:lineRule="auto"/>
              <w:ind w:firstLine="0"/>
              <w:jc w:val="left"/>
              <w:rPr>
                <w:sz w:val="20"/>
                <w:szCs w:val="20"/>
              </w:rPr>
            </w:pPr>
            <w:r w:rsidRPr="00BB21B7">
              <w:rPr>
                <w:sz w:val="20"/>
                <w:szCs w:val="20"/>
              </w:rPr>
              <w:t xml:space="preserve">    Proportion of residential land-use</w:t>
            </w:r>
          </w:p>
        </w:tc>
        <w:tc>
          <w:tcPr>
            <w:tcW w:w="0" w:type="auto"/>
            <w:tcBorders>
              <w:top w:val="nil"/>
              <w:left w:val="double" w:sz="4" w:space="0" w:color="auto"/>
              <w:bottom w:val="nil"/>
            </w:tcBorders>
            <w:vAlign w:val="center"/>
          </w:tcPr>
          <w:p w:rsidR="00FF501D" w:rsidRPr="00BB21B7" w:rsidRDefault="00FF501D" w:rsidP="00D72ECE">
            <w:pPr>
              <w:tabs>
                <w:tab w:val="decimal" w:pos="204"/>
              </w:tabs>
              <w:spacing w:line="240" w:lineRule="auto"/>
              <w:ind w:firstLine="0"/>
              <w:jc w:val="center"/>
              <w:rPr>
                <w:sz w:val="20"/>
                <w:szCs w:val="20"/>
              </w:rPr>
            </w:pPr>
            <w:r>
              <w:rPr>
                <w:sz w:val="20"/>
                <w:szCs w:val="20"/>
              </w:rPr>
              <w:t>0.082</w:t>
            </w:r>
          </w:p>
        </w:tc>
        <w:tc>
          <w:tcPr>
            <w:tcW w:w="897" w:type="dxa"/>
            <w:tcBorders>
              <w:top w:val="nil"/>
              <w:bottom w:val="nil"/>
              <w:right w:val="double" w:sz="4" w:space="0" w:color="auto"/>
            </w:tcBorders>
            <w:vAlign w:val="center"/>
          </w:tcPr>
          <w:p w:rsidR="00FF501D" w:rsidRPr="00BB21B7" w:rsidRDefault="00FF501D" w:rsidP="00D72ECE">
            <w:pPr>
              <w:tabs>
                <w:tab w:val="decimal" w:pos="147"/>
              </w:tabs>
              <w:spacing w:line="240" w:lineRule="auto"/>
              <w:ind w:firstLine="0"/>
              <w:jc w:val="center"/>
              <w:rPr>
                <w:sz w:val="20"/>
                <w:szCs w:val="20"/>
              </w:rPr>
            </w:pPr>
            <w:r>
              <w:rPr>
                <w:sz w:val="20"/>
                <w:szCs w:val="20"/>
              </w:rPr>
              <w:t>1.99</w:t>
            </w:r>
          </w:p>
        </w:tc>
        <w:tc>
          <w:tcPr>
            <w:tcW w:w="1047" w:type="dxa"/>
            <w:tcBorders>
              <w:top w:val="nil"/>
              <w:left w:val="double" w:sz="4" w:space="0" w:color="auto"/>
              <w:bottom w:val="nil"/>
            </w:tcBorders>
            <w:vAlign w:val="center"/>
          </w:tcPr>
          <w:p w:rsidR="00FF501D" w:rsidRPr="00BB21B7" w:rsidRDefault="00FF501D" w:rsidP="00D72ECE">
            <w:pPr>
              <w:tabs>
                <w:tab w:val="decimal" w:pos="278"/>
              </w:tabs>
              <w:spacing w:line="240" w:lineRule="auto"/>
              <w:ind w:firstLine="0"/>
              <w:jc w:val="center"/>
              <w:rPr>
                <w:sz w:val="20"/>
                <w:szCs w:val="20"/>
              </w:rPr>
            </w:pPr>
          </w:p>
        </w:tc>
        <w:tc>
          <w:tcPr>
            <w:tcW w:w="917" w:type="dxa"/>
            <w:tcBorders>
              <w:top w:val="nil"/>
              <w:bottom w:val="nil"/>
              <w:right w:val="double" w:sz="4" w:space="0" w:color="auto"/>
            </w:tcBorders>
            <w:vAlign w:val="center"/>
          </w:tcPr>
          <w:p w:rsidR="00FF501D" w:rsidRPr="00BB21B7" w:rsidRDefault="00FF501D" w:rsidP="00D72ECE">
            <w:pPr>
              <w:tabs>
                <w:tab w:val="decimal" w:pos="221"/>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Pr="00BB21B7" w:rsidRDefault="00FF501D" w:rsidP="00D72ECE">
            <w:pPr>
              <w:tabs>
                <w:tab w:val="decimal" w:pos="260"/>
              </w:tabs>
              <w:spacing w:line="240" w:lineRule="auto"/>
              <w:ind w:firstLine="0"/>
              <w:jc w:val="center"/>
              <w:rPr>
                <w:sz w:val="20"/>
                <w:szCs w:val="20"/>
              </w:rPr>
            </w:pPr>
          </w:p>
        </w:tc>
        <w:tc>
          <w:tcPr>
            <w:tcW w:w="825" w:type="dxa"/>
            <w:tcBorders>
              <w:top w:val="nil"/>
              <w:bottom w:val="nil"/>
              <w:right w:val="double" w:sz="4" w:space="0" w:color="auto"/>
            </w:tcBorders>
            <w:vAlign w:val="center"/>
          </w:tcPr>
          <w:p w:rsidR="00FF501D" w:rsidRPr="00BB21B7" w:rsidRDefault="00FF501D" w:rsidP="00D72ECE">
            <w:pPr>
              <w:tabs>
                <w:tab w:val="decimal" w:pos="275"/>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Pr="00BB21B7" w:rsidRDefault="00FF501D" w:rsidP="00D72ECE">
            <w:pPr>
              <w:tabs>
                <w:tab w:val="decimal" w:pos="222"/>
              </w:tabs>
              <w:spacing w:line="240" w:lineRule="auto"/>
              <w:ind w:firstLine="0"/>
              <w:jc w:val="center"/>
              <w:rPr>
                <w:sz w:val="20"/>
                <w:szCs w:val="20"/>
              </w:rPr>
            </w:pPr>
          </w:p>
        </w:tc>
        <w:tc>
          <w:tcPr>
            <w:tcW w:w="894" w:type="dxa"/>
            <w:tcBorders>
              <w:top w:val="nil"/>
              <w:bottom w:val="nil"/>
              <w:right w:val="double" w:sz="4" w:space="0" w:color="auto"/>
            </w:tcBorders>
            <w:vAlign w:val="center"/>
          </w:tcPr>
          <w:p w:rsidR="00FF501D" w:rsidRPr="00BB21B7" w:rsidRDefault="00FF501D" w:rsidP="00D72ECE">
            <w:pPr>
              <w:tabs>
                <w:tab w:val="decimal" w:pos="255"/>
              </w:tabs>
              <w:spacing w:line="240" w:lineRule="auto"/>
              <w:ind w:firstLine="0"/>
              <w:jc w:val="center"/>
              <w:rPr>
                <w:sz w:val="20"/>
                <w:szCs w:val="20"/>
              </w:rPr>
            </w:pPr>
          </w:p>
        </w:tc>
      </w:tr>
      <w:tr w:rsidR="00FF501D" w:rsidRPr="00BB21B7" w:rsidTr="008F2F54">
        <w:trPr>
          <w:trHeight w:val="288"/>
          <w:jc w:val="center"/>
        </w:trPr>
        <w:tc>
          <w:tcPr>
            <w:tcW w:w="3854" w:type="dxa"/>
            <w:tcBorders>
              <w:top w:val="nil"/>
              <w:left w:val="double" w:sz="4" w:space="0" w:color="auto"/>
              <w:bottom w:val="nil"/>
              <w:right w:val="double" w:sz="4" w:space="0" w:color="auto"/>
            </w:tcBorders>
          </w:tcPr>
          <w:p w:rsidR="00FF501D" w:rsidRPr="00BB21B7" w:rsidRDefault="00FF501D" w:rsidP="004C4F47">
            <w:pPr>
              <w:spacing w:line="240" w:lineRule="auto"/>
              <w:ind w:firstLine="0"/>
              <w:jc w:val="left"/>
              <w:rPr>
                <w:sz w:val="20"/>
                <w:szCs w:val="20"/>
              </w:rPr>
            </w:pPr>
            <w:r w:rsidRPr="00BB21B7">
              <w:rPr>
                <w:sz w:val="20"/>
                <w:szCs w:val="20"/>
              </w:rPr>
              <w:t xml:space="preserve">    Proportion of secondary roads</w:t>
            </w:r>
          </w:p>
        </w:tc>
        <w:tc>
          <w:tcPr>
            <w:tcW w:w="0" w:type="auto"/>
            <w:tcBorders>
              <w:top w:val="nil"/>
              <w:left w:val="double" w:sz="4" w:space="0" w:color="auto"/>
              <w:bottom w:val="nil"/>
            </w:tcBorders>
            <w:vAlign w:val="center"/>
          </w:tcPr>
          <w:p w:rsidR="00FF501D" w:rsidRPr="00BB21B7" w:rsidRDefault="00FF501D" w:rsidP="00D72ECE">
            <w:pPr>
              <w:tabs>
                <w:tab w:val="decimal" w:pos="204"/>
              </w:tabs>
              <w:spacing w:line="240" w:lineRule="auto"/>
              <w:ind w:firstLine="0"/>
              <w:jc w:val="center"/>
              <w:rPr>
                <w:sz w:val="20"/>
                <w:szCs w:val="20"/>
              </w:rPr>
            </w:pPr>
            <w:r>
              <w:rPr>
                <w:sz w:val="20"/>
                <w:szCs w:val="20"/>
              </w:rPr>
              <w:t>-2.771</w:t>
            </w:r>
          </w:p>
        </w:tc>
        <w:tc>
          <w:tcPr>
            <w:tcW w:w="897" w:type="dxa"/>
            <w:tcBorders>
              <w:top w:val="nil"/>
              <w:bottom w:val="nil"/>
              <w:right w:val="double" w:sz="4" w:space="0" w:color="auto"/>
            </w:tcBorders>
            <w:vAlign w:val="center"/>
          </w:tcPr>
          <w:p w:rsidR="00FF501D" w:rsidRPr="00BB21B7" w:rsidRDefault="00FF501D" w:rsidP="00D72ECE">
            <w:pPr>
              <w:tabs>
                <w:tab w:val="decimal" w:pos="147"/>
              </w:tabs>
              <w:spacing w:line="240" w:lineRule="auto"/>
              <w:ind w:firstLine="0"/>
              <w:jc w:val="center"/>
              <w:rPr>
                <w:sz w:val="20"/>
                <w:szCs w:val="20"/>
              </w:rPr>
            </w:pPr>
            <w:r>
              <w:rPr>
                <w:sz w:val="20"/>
                <w:szCs w:val="20"/>
              </w:rPr>
              <w:t>-6.34</w:t>
            </w:r>
          </w:p>
        </w:tc>
        <w:tc>
          <w:tcPr>
            <w:tcW w:w="1047" w:type="dxa"/>
            <w:tcBorders>
              <w:top w:val="nil"/>
              <w:left w:val="double" w:sz="4" w:space="0" w:color="auto"/>
              <w:bottom w:val="nil"/>
            </w:tcBorders>
            <w:vAlign w:val="center"/>
          </w:tcPr>
          <w:p w:rsidR="00FF501D" w:rsidRPr="00BB21B7" w:rsidRDefault="00FF501D" w:rsidP="00D72ECE">
            <w:pPr>
              <w:tabs>
                <w:tab w:val="decimal" w:pos="278"/>
              </w:tabs>
              <w:spacing w:line="240" w:lineRule="auto"/>
              <w:ind w:firstLine="0"/>
              <w:jc w:val="center"/>
              <w:rPr>
                <w:sz w:val="20"/>
                <w:szCs w:val="20"/>
              </w:rPr>
            </w:pPr>
          </w:p>
        </w:tc>
        <w:tc>
          <w:tcPr>
            <w:tcW w:w="917" w:type="dxa"/>
            <w:tcBorders>
              <w:top w:val="nil"/>
              <w:bottom w:val="nil"/>
              <w:right w:val="double" w:sz="4" w:space="0" w:color="auto"/>
            </w:tcBorders>
            <w:vAlign w:val="center"/>
          </w:tcPr>
          <w:p w:rsidR="00FF501D" w:rsidRPr="00BB21B7" w:rsidRDefault="00FF501D" w:rsidP="00D72ECE">
            <w:pPr>
              <w:tabs>
                <w:tab w:val="decimal" w:pos="221"/>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Pr="00BB21B7" w:rsidRDefault="00FF501D" w:rsidP="00D72ECE">
            <w:pPr>
              <w:tabs>
                <w:tab w:val="decimal" w:pos="260"/>
              </w:tabs>
              <w:spacing w:line="240" w:lineRule="auto"/>
              <w:ind w:firstLine="0"/>
              <w:jc w:val="center"/>
              <w:rPr>
                <w:sz w:val="20"/>
                <w:szCs w:val="20"/>
              </w:rPr>
            </w:pPr>
          </w:p>
        </w:tc>
        <w:tc>
          <w:tcPr>
            <w:tcW w:w="825" w:type="dxa"/>
            <w:tcBorders>
              <w:top w:val="nil"/>
              <w:bottom w:val="nil"/>
              <w:right w:val="double" w:sz="4" w:space="0" w:color="auto"/>
            </w:tcBorders>
            <w:vAlign w:val="center"/>
          </w:tcPr>
          <w:p w:rsidR="00FF501D" w:rsidRPr="00BB21B7" w:rsidRDefault="00FF501D" w:rsidP="00D72ECE">
            <w:pPr>
              <w:tabs>
                <w:tab w:val="decimal" w:pos="275"/>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Pr="00BB21B7" w:rsidRDefault="00FF501D" w:rsidP="00D72ECE">
            <w:pPr>
              <w:tabs>
                <w:tab w:val="decimal" w:pos="222"/>
              </w:tabs>
              <w:spacing w:line="240" w:lineRule="auto"/>
              <w:ind w:firstLine="0"/>
              <w:jc w:val="center"/>
              <w:rPr>
                <w:sz w:val="20"/>
                <w:szCs w:val="20"/>
              </w:rPr>
            </w:pPr>
          </w:p>
        </w:tc>
        <w:tc>
          <w:tcPr>
            <w:tcW w:w="894" w:type="dxa"/>
            <w:tcBorders>
              <w:top w:val="nil"/>
              <w:bottom w:val="nil"/>
              <w:right w:val="double" w:sz="4" w:space="0" w:color="auto"/>
            </w:tcBorders>
            <w:vAlign w:val="center"/>
          </w:tcPr>
          <w:p w:rsidR="00FF501D" w:rsidRPr="00BB21B7" w:rsidRDefault="00FF501D" w:rsidP="00D72ECE">
            <w:pPr>
              <w:tabs>
                <w:tab w:val="decimal" w:pos="255"/>
              </w:tabs>
              <w:spacing w:line="240" w:lineRule="auto"/>
              <w:ind w:firstLine="0"/>
              <w:jc w:val="center"/>
              <w:rPr>
                <w:sz w:val="20"/>
                <w:szCs w:val="20"/>
              </w:rPr>
            </w:pPr>
          </w:p>
        </w:tc>
      </w:tr>
      <w:tr w:rsidR="00FF501D" w:rsidRPr="00BB21B7" w:rsidTr="008F2F54">
        <w:trPr>
          <w:trHeight w:val="288"/>
          <w:jc w:val="center"/>
        </w:trPr>
        <w:tc>
          <w:tcPr>
            <w:tcW w:w="3854" w:type="dxa"/>
            <w:tcBorders>
              <w:top w:val="nil"/>
              <w:left w:val="double" w:sz="4" w:space="0" w:color="auto"/>
              <w:bottom w:val="nil"/>
              <w:right w:val="double" w:sz="4" w:space="0" w:color="auto"/>
            </w:tcBorders>
          </w:tcPr>
          <w:p w:rsidR="00FF501D" w:rsidRPr="00BB21B7" w:rsidRDefault="00FF501D" w:rsidP="004C4F47">
            <w:pPr>
              <w:spacing w:line="240" w:lineRule="auto"/>
              <w:ind w:left="244" w:firstLine="0"/>
              <w:jc w:val="left"/>
              <w:rPr>
                <w:sz w:val="20"/>
                <w:szCs w:val="20"/>
              </w:rPr>
            </w:pPr>
            <w:r w:rsidRPr="00BB21B7">
              <w:rPr>
                <w:sz w:val="20"/>
                <w:szCs w:val="20"/>
              </w:rPr>
              <w:t>Proportion of local neighborhood  roads  and city streets</w:t>
            </w:r>
          </w:p>
        </w:tc>
        <w:tc>
          <w:tcPr>
            <w:tcW w:w="0" w:type="auto"/>
            <w:tcBorders>
              <w:top w:val="nil"/>
              <w:left w:val="double" w:sz="4" w:space="0" w:color="auto"/>
              <w:bottom w:val="nil"/>
            </w:tcBorders>
            <w:vAlign w:val="center"/>
          </w:tcPr>
          <w:p w:rsidR="00FF501D" w:rsidRPr="00BB21B7" w:rsidRDefault="00FF501D" w:rsidP="00D72ECE">
            <w:pPr>
              <w:tabs>
                <w:tab w:val="decimal" w:pos="204"/>
              </w:tabs>
              <w:spacing w:line="240" w:lineRule="auto"/>
              <w:ind w:firstLine="0"/>
              <w:jc w:val="center"/>
              <w:rPr>
                <w:sz w:val="20"/>
                <w:szCs w:val="20"/>
              </w:rPr>
            </w:pPr>
            <w:r>
              <w:rPr>
                <w:sz w:val="20"/>
                <w:szCs w:val="20"/>
              </w:rPr>
              <w:t>-0.969</w:t>
            </w:r>
          </w:p>
        </w:tc>
        <w:tc>
          <w:tcPr>
            <w:tcW w:w="897" w:type="dxa"/>
            <w:tcBorders>
              <w:top w:val="nil"/>
              <w:bottom w:val="nil"/>
              <w:right w:val="double" w:sz="4" w:space="0" w:color="auto"/>
            </w:tcBorders>
            <w:vAlign w:val="center"/>
          </w:tcPr>
          <w:p w:rsidR="00FF501D" w:rsidRPr="00BB21B7" w:rsidRDefault="00FF501D" w:rsidP="00D72ECE">
            <w:pPr>
              <w:tabs>
                <w:tab w:val="decimal" w:pos="147"/>
              </w:tabs>
              <w:spacing w:line="240" w:lineRule="auto"/>
              <w:ind w:firstLine="0"/>
              <w:jc w:val="center"/>
              <w:rPr>
                <w:sz w:val="20"/>
                <w:szCs w:val="20"/>
              </w:rPr>
            </w:pPr>
            <w:r>
              <w:rPr>
                <w:sz w:val="20"/>
                <w:szCs w:val="20"/>
              </w:rPr>
              <w:t>-7.22</w:t>
            </w:r>
          </w:p>
        </w:tc>
        <w:tc>
          <w:tcPr>
            <w:tcW w:w="1047" w:type="dxa"/>
            <w:tcBorders>
              <w:top w:val="nil"/>
              <w:left w:val="double" w:sz="4" w:space="0" w:color="auto"/>
              <w:bottom w:val="nil"/>
            </w:tcBorders>
            <w:vAlign w:val="center"/>
          </w:tcPr>
          <w:p w:rsidR="00FF501D" w:rsidRPr="00BB21B7" w:rsidRDefault="00FF501D" w:rsidP="00D72ECE">
            <w:pPr>
              <w:tabs>
                <w:tab w:val="decimal" w:pos="278"/>
              </w:tabs>
              <w:spacing w:line="240" w:lineRule="auto"/>
              <w:ind w:firstLine="0"/>
              <w:jc w:val="center"/>
              <w:rPr>
                <w:sz w:val="20"/>
                <w:szCs w:val="20"/>
              </w:rPr>
            </w:pPr>
          </w:p>
        </w:tc>
        <w:tc>
          <w:tcPr>
            <w:tcW w:w="917" w:type="dxa"/>
            <w:tcBorders>
              <w:top w:val="nil"/>
              <w:bottom w:val="nil"/>
              <w:right w:val="double" w:sz="4" w:space="0" w:color="auto"/>
            </w:tcBorders>
            <w:vAlign w:val="center"/>
          </w:tcPr>
          <w:p w:rsidR="00FF501D" w:rsidRPr="00BB21B7" w:rsidRDefault="00FF501D" w:rsidP="00D72ECE">
            <w:pPr>
              <w:tabs>
                <w:tab w:val="decimal" w:pos="221"/>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Pr="00BB21B7" w:rsidRDefault="00FF501D" w:rsidP="00D72ECE">
            <w:pPr>
              <w:tabs>
                <w:tab w:val="decimal" w:pos="260"/>
              </w:tabs>
              <w:spacing w:line="240" w:lineRule="auto"/>
              <w:ind w:firstLine="0"/>
              <w:jc w:val="center"/>
              <w:rPr>
                <w:sz w:val="20"/>
                <w:szCs w:val="20"/>
              </w:rPr>
            </w:pPr>
          </w:p>
        </w:tc>
        <w:tc>
          <w:tcPr>
            <w:tcW w:w="825" w:type="dxa"/>
            <w:tcBorders>
              <w:top w:val="nil"/>
              <w:bottom w:val="nil"/>
              <w:right w:val="double" w:sz="4" w:space="0" w:color="auto"/>
            </w:tcBorders>
            <w:vAlign w:val="center"/>
          </w:tcPr>
          <w:p w:rsidR="00FF501D" w:rsidRPr="00BB21B7" w:rsidRDefault="00FF501D" w:rsidP="00D72ECE">
            <w:pPr>
              <w:tabs>
                <w:tab w:val="decimal" w:pos="275"/>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Pr="00BB21B7" w:rsidRDefault="00FF501D" w:rsidP="00D72ECE">
            <w:pPr>
              <w:tabs>
                <w:tab w:val="decimal" w:pos="222"/>
              </w:tabs>
              <w:spacing w:line="240" w:lineRule="auto"/>
              <w:ind w:firstLine="0"/>
              <w:jc w:val="center"/>
              <w:rPr>
                <w:sz w:val="20"/>
                <w:szCs w:val="20"/>
              </w:rPr>
            </w:pPr>
          </w:p>
        </w:tc>
        <w:tc>
          <w:tcPr>
            <w:tcW w:w="894" w:type="dxa"/>
            <w:tcBorders>
              <w:top w:val="nil"/>
              <w:bottom w:val="nil"/>
              <w:right w:val="double" w:sz="4" w:space="0" w:color="auto"/>
            </w:tcBorders>
            <w:vAlign w:val="center"/>
          </w:tcPr>
          <w:p w:rsidR="00FF501D" w:rsidRPr="00BB21B7" w:rsidRDefault="00FF501D" w:rsidP="00D72ECE">
            <w:pPr>
              <w:tabs>
                <w:tab w:val="decimal" w:pos="255"/>
              </w:tabs>
              <w:spacing w:line="240" w:lineRule="auto"/>
              <w:ind w:firstLine="0"/>
              <w:jc w:val="center"/>
              <w:rPr>
                <w:sz w:val="20"/>
                <w:szCs w:val="20"/>
              </w:rPr>
            </w:pPr>
          </w:p>
        </w:tc>
      </w:tr>
      <w:tr w:rsidR="00FF501D" w:rsidRPr="00BB21B7" w:rsidTr="008F2F54">
        <w:trPr>
          <w:trHeight w:val="288"/>
          <w:jc w:val="center"/>
        </w:trPr>
        <w:tc>
          <w:tcPr>
            <w:tcW w:w="3854" w:type="dxa"/>
            <w:tcBorders>
              <w:top w:val="nil"/>
              <w:left w:val="double" w:sz="4" w:space="0" w:color="auto"/>
              <w:bottom w:val="nil"/>
              <w:right w:val="double" w:sz="4" w:space="0" w:color="auto"/>
            </w:tcBorders>
          </w:tcPr>
          <w:p w:rsidR="00FF501D" w:rsidRPr="00BB21B7" w:rsidRDefault="00FF501D" w:rsidP="004C4F47">
            <w:pPr>
              <w:spacing w:line="240" w:lineRule="auto"/>
              <w:ind w:left="219" w:hanging="219"/>
              <w:jc w:val="left"/>
              <w:rPr>
                <w:sz w:val="20"/>
                <w:szCs w:val="20"/>
              </w:rPr>
            </w:pPr>
            <w:r w:rsidRPr="00BB21B7">
              <w:rPr>
                <w:sz w:val="20"/>
                <w:szCs w:val="20"/>
              </w:rPr>
              <w:t xml:space="preserve">    Proportion of minor roads</w:t>
            </w:r>
          </w:p>
        </w:tc>
        <w:tc>
          <w:tcPr>
            <w:tcW w:w="0" w:type="auto"/>
            <w:tcBorders>
              <w:top w:val="nil"/>
              <w:left w:val="double" w:sz="4" w:space="0" w:color="auto"/>
              <w:bottom w:val="nil"/>
            </w:tcBorders>
            <w:vAlign w:val="center"/>
          </w:tcPr>
          <w:p w:rsidR="00FF501D" w:rsidRPr="00BB21B7" w:rsidRDefault="00FF501D" w:rsidP="00D72ECE">
            <w:pPr>
              <w:tabs>
                <w:tab w:val="decimal" w:pos="204"/>
              </w:tabs>
              <w:spacing w:line="240" w:lineRule="auto"/>
              <w:ind w:firstLine="0"/>
              <w:jc w:val="center"/>
              <w:rPr>
                <w:sz w:val="20"/>
                <w:szCs w:val="20"/>
              </w:rPr>
            </w:pPr>
            <w:r>
              <w:rPr>
                <w:sz w:val="20"/>
                <w:szCs w:val="20"/>
              </w:rPr>
              <w:t>-1.599</w:t>
            </w:r>
          </w:p>
        </w:tc>
        <w:tc>
          <w:tcPr>
            <w:tcW w:w="897" w:type="dxa"/>
            <w:tcBorders>
              <w:top w:val="nil"/>
              <w:bottom w:val="nil"/>
              <w:right w:val="double" w:sz="4" w:space="0" w:color="auto"/>
            </w:tcBorders>
            <w:vAlign w:val="center"/>
          </w:tcPr>
          <w:p w:rsidR="00FF501D" w:rsidRPr="00BB21B7" w:rsidRDefault="00FF501D" w:rsidP="00D72ECE">
            <w:pPr>
              <w:tabs>
                <w:tab w:val="decimal" w:pos="147"/>
              </w:tabs>
              <w:spacing w:line="240" w:lineRule="auto"/>
              <w:ind w:firstLine="0"/>
              <w:jc w:val="center"/>
              <w:rPr>
                <w:sz w:val="20"/>
                <w:szCs w:val="20"/>
              </w:rPr>
            </w:pPr>
            <w:r>
              <w:rPr>
                <w:sz w:val="20"/>
                <w:szCs w:val="20"/>
              </w:rPr>
              <w:t>-6.89</w:t>
            </w:r>
          </w:p>
        </w:tc>
        <w:tc>
          <w:tcPr>
            <w:tcW w:w="1047" w:type="dxa"/>
            <w:tcBorders>
              <w:top w:val="nil"/>
              <w:left w:val="double" w:sz="4" w:space="0" w:color="auto"/>
              <w:bottom w:val="nil"/>
            </w:tcBorders>
            <w:vAlign w:val="center"/>
          </w:tcPr>
          <w:p w:rsidR="00FF501D" w:rsidRPr="00BB21B7" w:rsidRDefault="00FF501D" w:rsidP="00D72ECE">
            <w:pPr>
              <w:tabs>
                <w:tab w:val="decimal" w:pos="278"/>
              </w:tabs>
              <w:spacing w:line="240" w:lineRule="auto"/>
              <w:ind w:firstLine="0"/>
              <w:jc w:val="center"/>
              <w:rPr>
                <w:sz w:val="20"/>
                <w:szCs w:val="20"/>
              </w:rPr>
            </w:pPr>
          </w:p>
        </w:tc>
        <w:tc>
          <w:tcPr>
            <w:tcW w:w="917" w:type="dxa"/>
            <w:tcBorders>
              <w:top w:val="nil"/>
              <w:bottom w:val="nil"/>
              <w:right w:val="double" w:sz="4" w:space="0" w:color="auto"/>
            </w:tcBorders>
            <w:vAlign w:val="center"/>
          </w:tcPr>
          <w:p w:rsidR="00FF501D" w:rsidRPr="00BB21B7" w:rsidRDefault="00FF501D" w:rsidP="00D72ECE">
            <w:pPr>
              <w:tabs>
                <w:tab w:val="decimal" w:pos="221"/>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Pr="00BB21B7" w:rsidRDefault="00FF501D" w:rsidP="00D72ECE">
            <w:pPr>
              <w:tabs>
                <w:tab w:val="decimal" w:pos="260"/>
              </w:tabs>
              <w:spacing w:line="240" w:lineRule="auto"/>
              <w:ind w:firstLine="0"/>
              <w:jc w:val="center"/>
              <w:rPr>
                <w:sz w:val="20"/>
                <w:szCs w:val="20"/>
              </w:rPr>
            </w:pPr>
          </w:p>
        </w:tc>
        <w:tc>
          <w:tcPr>
            <w:tcW w:w="825" w:type="dxa"/>
            <w:tcBorders>
              <w:top w:val="nil"/>
              <w:bottom w:val="nil"/>
              <w:right w:val="double" w:sz="4" w:space="0" w:color="auto"/>
            </w:tcBorders>
            <w:vAlign w:val="center"/>
          </w:tcPr>
          <w:p w:rsidR="00FF501D" w:rsidRPr="00BB21B7" w:rsidRDefault="00FF501D" w:rsidP="00D72ECE">
            <w:pPr>
              <w:tabs>
                <w:tab w:val="decimal" w:pos="275"/>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Pr="00BB21B7" w:rsidRDefault="00FF501D" w:rsidP="00D72ECE">
            <w:pPr>
              <w:tabs>
                <w:tab w:val="decimal" w:pos="222"/>
              </w:tabs>
              <w:spacing w:line="240" w:lineRule="auto"/>
              <w:ind w:firstLine="0"/>
              <w:jc w:val="center"/>
              <w:rPr>
                <w:sz w:val="20"/>
                <w:szCs w:val="20"/>
              </w:rPr>
            </w:pPr>
          </w:p>
        </w:tc>
        <w:tc>
          <w:tcPr>
            <w:tcW w:w="894" w:type="dxa"/>
            <w:tcBorders>
              <w:top w:val="nil"/>
              <w:bottom w:val="nil"/>
              <w:right w:val="double" w:sz="4" w:space="0" w:color="auto"/>
            </w:tcBorders>
            <w:vAlign w:val="center"/>
          </w:tcPr>
          <w:p w:rsidR="00FF501D" w:rsidRPr="00BB21B7" w:rsidRDefault="00FF501D" w:rsidP="00D72ECE">
            <w:pPr>
              <w:tabs>
                <w:tab w:val="decimal" w:pos="255"/>
              </w:tabs>
              <w:spacing w:line="240" w:lineRule="auto"/>
              <w:ind w:firstLine="0"/>
              <w:jc w:val="center"/>
              <w:rPr>
                <w:sz w:val="20"/>
                <w:szCs w:val="20"/>
              </w:rPr>
            </w:pPr>
          </w:p>
        </w:tc>
      </w:tr>
      <w:tr w:rsidR="00FF501D" w:rsidRPr="00BB21B7" w:rsidTr="008F2F54">
        <w:trPr>
          <w:trHeight w:val="288"/>
          <w:jc w:val="center"/>
        </w:trPr>
        <w:tc>
          <w:tcPr>
            <w:tcW w:w="3854" w:type="dxa"/>
            <w:tcBorders>
              <w:top w:val="nil"/>
              <w:left w:val="double" w:sz="4" w:space="0" w:color="auto"/>
              <w:bottom w:val="nil"/>
              <w:right w:val="double" w:sz="4" w:space="0" w:color="auto"/>
            </w:tcBorders>
          </w:tcPr>
          <w:p w:rsidR="00FF501D" w:rsidRPr="00BB21B7" w:rsidRDefault="00FF501D" w:rsidP="004C4F47">
            <w:pPr>
              <w:spacing w:line="240" w:lineRule="auto"/>
              <w:ind w:firstLine="0"/>
              <w:jc w:val="left"/>
              <w:rPr>
                <w:i/>
                <w:sz w:val="20"/>
                <w:szCs w:val="20"/>
              </w:rPr>
            </w:pPr>
            <w:r w:rsidRPr="00BB21B7">
              <w:rPr>
                <w:i/>
                <w:sz w:val="20"/>
                <w:szCs w:val="20"/>
              </w:rPr>
              <w:t>Activity Intensity Variable</w:t>
            </w:r>
          </w:p>
        </w:tc>
        <w:tc>
          <w:tcPr>
            <w:tcW w:w="0" w:type="auto"/>
            <w:tcBorders>
              <w:top w:val="nil"/>
              <w:left w:val="double" w:sz="4" w:space="0" w:color="auto"/>
              <w:bottom w:val="nil"/>
            </w:tcBorders>
            <w:vAlign w:val="center"/>
          </w:tcPr>
          <w:p w:rsidR="00FF501D" w:rsidRPr="00BB21B7" w:rsidRDefault="00FF501D" w:rsidP="00D72ECE">
            <w:pPr>
              <w:tabs>
                <w:tab w:val="decimal" w:pos="204"/>
              </w:tabs>
              <w:spacing w:line="240" w:lineRule="auto"/>
              <w:ind w:firstLine="0"/>
              <w:jc w:val="center"/>
              <w:rPr>
                <w:sz w:val="20"/>
                <w:szCs w:val="20"/>
              </w:rPr>
            </w:pPr>
          </w:p>
        </w:tc>
        <w:tc>
          <w:tcPr>
            <w:tcW w:w="897" w:type="dxa"/>
            <w:tcBorders>
              <w:top w:val="nil"/>
              <w:bottom w:val="nil"/>
              <w:right w:val="double" w:sz="4" w:space="0" w:color="auto"/>
            </w:tcBorders>
            <w:vAlign w:val="center"/>
          </w:tcPr>
          <w:p w:rsidR="00FF501D" w:rsidRPr="00BB21B7" w:rsidRDefault="00FF501D" w:rsidP="00D72ECE">
            <w:pPr>
              <w:tabs>
                <w:tab w:val="decimal" w:pos="147"/>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Pr="00BB21B7" w:rsidRDefault="00FF501D" w:rsidP="00D72ECE">
            <w:pPr>
              <w:tabs>
                <w:tab w:val="decimal" w:pos="278"/>
              </w:tabs>
              <w:spacing w:line="240" w:lineRule="auto"/>
              <w:ind w:firstLine="0"/>
              <w:jc w:val="center"/>
              <w:rPr>
                <w:sz w:val="20"/>
                <w:szCs w:val="20"/>
              </w:rPr>
            </w:pPr>
          </w:p>
        </w:tc>
        <w:tc>
          <w:tcPr>
            <w:tcW w:w="917" w:type="dxa"/>
            <w:tcBorders>
              <w:top w:val="nil"/>
              <w:bottom w:val="nil"/>
              <w:right w:val="double" w:sz="4" w:space="0" w:color="auto"/>
            </w:tcBorders>
            <w:vAlign w:val="center"/>
          </w:tcPr>
          <w:p w:rsidR="00FF501D" w:rsidRPr="00BB21B7" w:rsidRDefault="00FF501D" w:rsidP="00D72ECE">
            <w:pPr>
              <w:tabs>
                <w:tab w:val="decimal" w:pos="221"/>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Pr="00BB21B7" w:rsidRDefault="00FF501D" w:rsidP="00D72ECE">
            <w:pPr>
              <w:tabs>
                <w:tab w:val="decimal" w:pos="260"/>
              </w:tabs>
              <w:spacing w:line="240" w:lineRule="auto"/>
              <w:ind w:firstLine="0"/>
              <w:jc w:val="center"/>
              <w:rPr>
                <w:sz w:val="20"/>
                <w:szCs w:val="20"/>
              </w:rPr>
            </w:pPr>
          </w:p>
        </w:tc>
        <w:tc>
          <w:tcPr>
            <w:tcW w:w="825" w:type="dxa"/>
            <w:tcBorders>
              <w:top w:val="nil"/>
              <w:bottom w:val="nil"/>
              <w:right w:val="double" w:sz="4" w:space="0" w:color="auto"/>
            </w:tcBorders>
            <w:vAlign w:val="center"/>
          </w:tcPr>
          <w:p w:rsidR="00FF501D" w:rsidRPr="00BB21B7" w:rsidRDefault="00FF501D" w:rsidP="00D72ECE">
            <w:pPr>
              <w:tabs>
                <w:tab w:val="decimal" w:pos="275"/>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Pr="00BB21B7" w:rsidRDefault="00FF501D" w:rsidP="00D72ECE">
            <w:pPr>
              <w:tabs>
                <w:tab w:val="decimal" w:pos="222"/>
              </w:tabs>
              <w:spacing w:line="240" w:lineRule="auto"/>
              <w:ind w:firstLine="0"/>
              <w:jc w:val="center"/>
              <w:rPr>
                <w:sz w:val="20"/>
                <w:szCs w:val="20"/>
              </w:rPr>
            </w:pPr>
          </w:p>
        </w:tc>
        <w:tc>
          <w:tcPr>
            <w:tcW w:w="894" w:type="dxa"/>
            <w:tcBorders>
              <w:top w:val="nil"/>
              <w:bottom w:val="nil"/>
              <w:right w:val="double" w:sz="4" w:space="0" w:color="auto"/>
            </w:tcBorders>
            <w:vAlign w:val="center"/>
          </w:tcPr>
          <w:p w:rsidR="00FF501D" w:rsidRPr="00BB21B7" w:rsidRDefault="00FF501D" w:rsidP="00D72ECE">
            <w:pPr>
              <w:tabs>
                <w:tab w:val="decimal" w:pos="255"/>
              </w:tabs>
              <w:spacing w:line="240" w:lineRule="auto"/>
              <w:ind w:firstLine="0"/>
              <w:jc w:val="center"/>
              <w:rPr>
                <w:sz w:val="20"/>
                <w:szCs w:val="20"/>
              </w:rPr>
            </w:pPr>
          </w:p>
        </w:tc>
      </w:tr>
      <w:tr w:rsidR="00FF501D" w:rsidRPr="00BB21B7" w:rsidTr="008F2F54">
        <w:trPr>
          <w:trHeight w:val="288"/>
          <w:jc w:val="center"/>
        </w:trPr>
        <w:tc>
          <w:tcPr>
            <w:tcW w:w="3854" w:type="dxa"/>
            <w:tcBorders>
              <w:top w:val="nil"/>
              <w:left w:val="double" w:sz="4" w:space="0" w:color="auto"/>
              <w:bottom w:val="nil"/>
              <w:right w:val="double" w:sz="4" w:space="0" w:color="auto"/>
            </w:tcBorders>
          </w:tcPr>
          <w:p w:rsidR="00FF501D" w:rsidRPr="00BB21B7" w:rsidRDefault="00FF501D" w:rsidP="004C4F47">
            <w:pPr>
              <w:spacing w:line="240" w:lineRule="auto"/>
              <w:ind w:firstLine="0"/>
              <w:jc w:val="left"/>
              <w:rPr>
                <w:sz w:val="20"/>
                <w:szCs w:val="20"/>
              </w:rPr>
            </w:pPr>
            <w:r w:rsidRPr="00BB21B7">
              <w:rPr>
                <w:sz w:val="20"/>
                <w:szCs w:val="20"/>
              </w:rPr>
              <w:t xml:space="preserve">    Number of schools</w:t>
            </w:r>
          </w:p>
        </w:tc>
        <w:tc>
          <w:tcPr>
            <w:tcW w:w="0" w:type="auto"/>
            <w:tcBorders>
              <w:top w:val="nil"/>
              <w:left w:val="double" w:sz="4" w:space="0" w:color="auto"/>
              <w:bottom w:val="nil"/>
            </w:tcBorders>
            <w:vAlign w:val="center"/>
          </w:tcPr>
          <w:p w:rsidR="00FF501D" w:rsidRPr="00BB21B7" w:rsidRDefault="00FF501D" w:rsidP="00D72ECE">
            <w:pPr>
              <w:tabs>
                <w:tab w:val="decimal" w:pos="204"/>
              </w:tabs>
              <w:spacing w:line="240" w:lineRule="auto"/>
              <w:ind w:firstLine="0"/>
              <w:jc w:val="center"/>
              <w:rPr>
                <w:sz w:val="20"/>
                <w:szCs w:val="20"/>
              </w:rPr>
            </w:pPr>
            <w:r>
              <w:rPr>
                <w:sz w:val="20"/>
                <w:szCs w:val="20"/>
              </w:rPr>
              <w:t>1.469</w:t>
            </w:r>
          </w:p>
        </w:tc>
        <w:tc>
          <w:tcPr>
            <w:tcW w:w="897" w:type="dxa"/>
            <w:tcBorders>
              <w:top w:val="nil"/>
              <w:bottom w:val="nil"/>
              <w:right w:val="double" w:sz="4" w:space="0" w:color="auto"/>
            </w:tcBorders>
            <w:vAlign w:val="center"/>
          </w:tcPr>
          <w:p w:rsidR="00FF501D" w:rsidRPr="00BB21B7" w:rsidRDefault="00FF501D" w:rsidP="00D72ECE">
            <w:pPr>
              <w:tabs>
                <w:tab w:val="decimal" w:pos="147"/>
              </w:tabs>
              <w:spacing w:line="240" w:lineRule="auto"/>
              <w:ind w:firstLine="0"/>
              <w:jc w:val="center"/>
              <w:rPr>
                <w:sz w:val="20"/>
                <w:szCs w:val="20"/>
              </w:rPr>
            </w:pPr>
            <w:r>
              <w:rPr>
                <w:sz w:val="20"/>
                <w:szCs w:val="20"/>
              </w:rPr>
              <w:t>9.22</w:t>
            </w:r>
          </w:p>
        </w:tc>
        <w:tc>
          <w:tcPr>
            <w:tcW w:w="1047" w:type="dxa"/>
            <w:tcBorders>
              <w:top w:val="nil"/>
              <w:left w:val="double" w:sz="4" w:space="0" w:color="auto"/>
              <w:bottom w:val="nil"/>
            </w:tcBorders>
            <w:vAlign w:val="center"/>
          </w:tcPr>
          <w:p w:rsidR="00FF501D" w:rsidRPr="00BB21B7" w:rsidRDefault="00FF501D" w:rsidP="00D72ECE">
            <w:pPr>
              <w:tabs>
                <w:tab w:val="decimal" w:pos="278"/>
              </w:tabs>
              <w:spacing w:line="240" w:lineRule="auto"/>
              <w:ind w:firstLine="0"/>
              <w:jc w:val="center"/>
              <w:rPr>
                <w:sz w:val="20"/>
                <w:szCs w:val="20"/>
              </w:rPr>
            </w:pPr>
            <w:r>
              <w:rPr>
                <w:sz w:val="20"/>
                <w:szCs w:val="20"/>
              </w:rPr>
              <w:t>0.164</w:t>
            </w:r>
          </w:p>
        </w:tc>
        <w:tc>
          <w:tcPr>
            <w:tcW w:w="917" w:type="dxa"/>
            <w:tcBorders>
              <w:top w:val="nil"/>
              <w:bottom w:val="nil"/>
              <w:right w:val="double" w:sz="4" w:space="0" w:color="auto"/>
            </w:tcBorders>
            <w:vAlign w:val="center"/>
          </w:tcPr>
          <w:p w:rsidR="00FF501D" w:rsidRPr="00BB21B7" w:rsidRDefault="00FF501D" w:rsidP="00D72ECE">
            <w:pPr>
              <w:tabs>
                <w:tab w:val="decimal" w:pos="221"/>
              </w:tabs>
              <w:spacing w:line="240" w:lineRule="auto"/>
              <w:ind w:firstLine="0"/>
              <w:jc w:val="center"/>
              <w:rPr>
                <w:sz w:val="20"/>
                <w:szCs w:val="20"/>
              </w:rPr>
            </w:pPr>
            <w:r>
              <w:rPr>
                <w:sz w:val="20"/>
                <w:szCs w:val="20"/>
              </w:rPr>
              <w:t>3.22</w:t>
            </w:r>
          </w:p>
        </w:tc>
        <w:tc>
          <w:tcPr>
            <w:tcW w:w="1047" w:type="dxa"/>
            <w:tcBorders>
              <w:top w:val="nil"/>
              <w:left w:val="double" w:sz="4" w:space="0" w:color="auto"/>
              <w:bottom w:val="nil"/>
            </w:tcBorders>
            <w:vAlign w:val="center"/>
          </w:tcPr>
          <w:p w:rsidR="00FF501D" w:rsidRPr="00BB21B7" w:rsidRDefault="00FF501D" w:rsidP="00D72ECE">
            <w:pPr>
              <w:tabs>
                <w:tab w:val="decimal" w:pos="260"/>
              </w:tabs>
              <w:spacing w:line="240" w:lineRule="auto"/>
              <w:ind w:firstLine="0"/>
              <w:jc w:val="center"/>
              <w:rPr>
                <w:sz w:val="20"/>
                <w:szCs w:val="20"/>
              </w:rPr>
            </w:pPr>
            <w:r>
              <w:rPr>
                <w:sz w:val="20"/>
                <w:szCs w:val="20"/>
              </w:rPr>
              <w:t>2.006</w:t>
            </w:r>
          </w:p>
        </w:tc>
        <w:tc>
          <w:tcPr>
            <w:tcW w:w="825" w:type="dxa"/>
            <w:tcBorders>
              <w:top w:val="nil"/>
              <w:bottom w:val="nil"/>
              <w:right w:val="double" w:sz="4" w:space="0" w:color="auto"/>
            </w:tcBorders>
            <w:vAlign w:val="center"/>
          </w:tcPr>
          <w:p w:rsidR="00FF501D" w:rsidRPr="00BB21B7" w:rsidRDefault="00FF501D" w:rsidP="00D72ECE">
            <w:pPr>
              <w:tabs>
                <w:tab w:val="decimal" w:pos="275"/>
              </w:tabs>
              <w:spacing w:line="240" w:lineRule="auto"/>
              <w:ind w:firstLine="0"/>
              <w:jc w:val="center"/>
              <w:rPr>
                <w:sz w:val="20"/>
                <w:szCs w:val="20"/>
              </w:rPr>
            </w:pPr>
            <w:r>
              <w:rPr>
                <w:sz w:val="20"/>
                <w:szCs w:val="20"/>
              </w:rPr>
              <w:t>6.67</w:t>
            </w:r>
          </w:p>
        </w:tc>
        <w:tc>
          <w:tcPr>
            <w:tcW w:w="1047" w:type="dxa"/>
            <w:tcBorders>
              <w:top w:val="nil"/>
              <w:left w:val="double" w:sz="4" w:space="0" w:color="auto"/>
              <w:bottom w:val="nil"/>
            </w:tcBorders>
            <w:vAlign w:val="center"/>
          </w:tcPr>
          <w:p w:rsidR="00FF501D" w:rsidRPr="00BB21B7" w:rsidRDefault="00FF501D" w:rsidP="00D72ECE">
            <w:pPr>
              <w:tabs>
                <w:tab w:val="decimal" w:pos="222"/>
              </w:tabs>
              <w:spacing w:line="240" w:lineRule="auto"/>
              <w:ind w:firstLine="0"/>
              <w:jc w:val="center"/>
              <w:rPr>
                <w:sz w:val="20"/>
                <w:szCs w:val="20"/>
              </w:rPr>
            </w:pPr>
          </w:p>
        </w:tc>
        <w:tc>
          <w:tcPr>
            <w:tcW w:w="894" w:type="dxa"/>
            <w:tcBorders>
              <w:top w:val="nil"/>
              <w:bottom w:val="nil"/>
              <w:right w:val="double" w:sz="4" w:space="0" w:color="auto"/>
            </w:tcBorders>
            <w:vAlign w:val="center"/>
          </w:tcPr>
          <w:p w:rsidR="00FF501D" w:rsidRPr="00BB21B7" w:rsidRDefault="00FF501D" w:rsidP="00D72ECE">
            <w:pPr>
              <w:tabs>
                <w:tab w:val="decimal" w:pos="255"/>
              </w:tabs>
              <w:spacing w:line="240" w:lineRule="auto"/>
              <w:ind w:firstLine="0"/>
              <w:jc w:val="center"/>
              <w:rPr>
                <w:sz w:val="20"/>
                <w:szCs w:val="20"/>
              </w:rPr>
            </w:pPr>
          </w:p>
        </w:tc>
      </w:tr>
      <w:tr w:rsidR="00FF501D" w:rsidRPr="00BB21B7" w:rsidTr="008F2F54">
        <w:trPr>
          <w:trHeight w:val="288"/>
          <w:jc w:val="center"/>
        </w:trPr>
        <w:tc>
          <w:tcPr>
            <w:tcW w:w="3854" w:type="dxa"/>
            <w:tcBorders>
              <w:top w:val="nil"/>
              <w:left w:val="double" w:sz="4" w:space="0" w:color="auto"/>
              <w:bottom w:val="nil"/>
              <w:right w:val="double" w:sz="4" w:space="0" w:color="auto"/>
            </w:tcBorders>
          </w:tcPr>
          <w:p w:rsidR="00FF501D" w:rsidRPr="00BB21B7" w:rsidRDefault="00FF501D" w:rsidP="004C4F47">
            <w:pPr>
              <w:spacing w:line="240" w:lineRule="auto"/>
              <w:ind w:firstLine="0"/>
              <w:jc w:val="left"/>
              <w:rPr>
                <w:i/>
                <w:sz w:val="20"/>
                <w:szCs w:val="20"/>
              </w:rPr>
            </w:pPr>
            <w:r w:rsidRPr="00BB21B7">
              <w:rPr>
                <w:i/>
                <w:sz w:val="20"/>
                <w:szCs w:val="20"/>
              </w:rPr>
              <w:t>Commute Mode Shares and Transit Supply</w:t>
            </w:r>
          </w:p>
        </w:tc>
        <w:tc>
          <w:tcPr>
            <w:tcW w:w="0" w:type="auto"/>
            <w:tcBorders>
              <w:top w:val="nil"/>
              <w:left w:val="double" w:sz="4" w:space="0" w:color="auto"/>
              <w:bottom w:val="nil"/>
            </w:tcBorders>
            <w:vAlign w:val="center"/>
          </w:tcPr>
          <w:p w:rsidR="00FF501D" w:rsidRPr="00BB21B7" w:rsidRDefault="00FF501D" w:rsidP="00D72ECE">
            <w:pPr>
              <w:tabs>
                <w:tab w:val="decimal" w:pos="204"/>
              </w:tabs>
              <w:spacing w:line="240" w:lineRule="auto"/>
              <w:ind w:firstLine="0"/>
              <w:jc w:val="center"/>
              <w:rPr>
                <w:sz w:val="20"/>
                <w:szCs w:val="20"/>
              </w:rPr>
            </w:pPr>
          </w:p>
        </w:tc>
        <w:tc>
          <w:tcPr>
            <w:tcW w:w="897" w:type="dxa"/>
            <w:tcBorders>
              <w:top w:val="nil"/>
              <w:bottom w:val="nil"/>
              <w:right w:val="double" w:sz="4" w:space="0" w:color="auto"/>
            </w:tcBorders>
            <w:vAlign w:val="center"/>
          </w:tcPr>
          <w:p w:rsidR="00FF501D" w:rsidRPr="00BB21B7" w:rsidRDefault="00FF501D" w:rsidP="00D72ECE">
            <w:pPr>
              <w:tabs>
                <w:tab w:val="decimal" w:pos="147"/>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Pr="00BB21B7" w:rsidRDefault="00FF501D" w:rsidP="00D72ECE">
            <w:pPr>
              <w:tabs>
                <w:tab w:val="decimal" w:pos="278"/>
              </w:tabs>
              <w:spacing w:line="240" w:lineRule="auto"/>
              <w:ind w:firstLine="0"/>
              <w:jc w:val="center"/>
              <w:rPr>
                <w:sz w:val="20"/>
                <w:szCs w:val="20"/>
              </w:rPr>
            </w:pPr>
          </w:p>
        </w:tc>
        <w:tc>
          <w:tcPr>
            <w:tcW w:w="917" w:type="dxa"/>
            <w:tcBorders>
              <w:top w:val="nil"/>
              <w:bottom w:val="nil"/>
              <w:right w:val="double" w:sz="4" w:space="0" w:color="auto"/>
            </w:tcBorders>
            <w:vAlign w:val="center"/>
          </w:tcPr>
          <w:p w:rsidR="00FF501D" w:rsidRPr="00BB21B7" w:rsidRDefault="00FF501D" w:rsidP="00D72ECE">
            <w:pPr>
              <w:tabs>
                <w:tab w:val="decimal" w:pos="221"/>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Pr="00BB21B7" w:rsidRDefault="00FF501D" w:rsidP="00D72ECE">
            <w:pPr>
              <w:tabs>
                <w:tab w:val="decimal" w:pos="260"/>
              </w:tabs>
              <w:spacing w:line="240" w:lineRule="auto"/>
              <w:ind w:firstLine="0"/>
              <w:jc w:val="center"/>
              <w:rPr>
                <w:sz w:val="20"/>
                <w:szCs w:val="20"/>
              </w:rPr>
            </w:pPr>
          </w:p>
        </w:tc>
        <w:tc>
          <w:tcPr>
            <w:tcW w:w="825" w:type="dxa"/>
            <w:tcBorders>
              <w:top w:val="nil"/>
              <w:bottom w:val="nil"/>
              <w:right w:val="double" w:sz="4" w:space="0" w:color="auto"/>
            </w:tcBorders>
            <w:vAlign w:val="center"/>
          </w:tcPr>
          <w:p w:rsidR="00FF501D" w:rsidRPr="00BB21B7" w:rsidRDefault="00FF501D" w:rsidP="00D72ECE">
            <w:pPr>
              <w:tabs>
                <w:tab w:val="decimal" w:pos="275"/>
              </w:tabs>
              <w:spacing w:line="240" w:lineRule="auto"/>
              <w:ind w:firstLine="0"/>
              <w:jc w:val="center"/>
              <w:rPr>
                <w:sz w:val="20"/>
                <w:szCs w:val="20"/>
              </w:rPr>
            </w:pPr>
          </w:p>
        </w:tc>
        <w:tc>
          <w:tcPr>
            <w:tcW w:w="1047" w:type="dxa"/>
            <w:tcBorders>
              <w:top w:val="nil"/>
              <w:left w:val="double" w:sz="4" w:space="0" w:color="auto"/>
              <w:bottom w:val="nil"/>
            </w:tcBorders>
            <w:vAlign w:val="center"/>
          </w:tcPr>
          <w:p w:rsidR="00FF501D" w:rsidRPr="00BB21B7" w:rsidRDefault="00FF501D" w:rsidP="00D72ECE">
            <w:pPr>
              <w:tabs>
                <w:tab w:val="decimal" w:pos="222"/>
              </w:tabs>
              <w:spacing w:line="240" w:lineRule="auto"/>
              <w:ind w:firstLine="0"/>
              <w:jc w:val="center"/>
              <w:rPr>
                <w:sz w:val="20"/>
                <w:szCs w:val="20"/>
              </w:rPr>
            </w:pPr>
          </w:p>
        </w:tc>
        <w:tc>
          <w:tcPr>
            <w:tcW w:w="894" w:type="dxa"/>
            <w:tcBorders>
              <w:top w:val="nil"/>
              <w:bottom w:val="nil"/>
              <w:right w:val="double" w:sz="4" w:space="0" w:color="auto"/>
            </w:tcBorders>
            <w:vAlign w:val="center"/>
          </w:tcPr>
          <w:p w:rsidR="00FF501D" w:rsidRPr="00BB21B7" w:rsidRDefault="00FF501D" w:rsidP="00D72ECE">
            <w:pPr>
              <w:tabs>
                <w:tab w:val="decimal" w:pos="255"/>
              </w:tabs>
              <w:spacing w:line="240" w:lineRule="auto"/>
              <w:ind w:firstLine="0"/>
              <w:jc w:val="center"/>
              <w:rPr>
                <w:sz w:val="20"/>
                <w:szCs w:val="20"/>
              </w:rPr>
            </w:pPr>
          </w:p>
        </w:tc>
      </w:tr>
      <w:tr w:rsidR="00FF501D" w:rsidRPr="00BB21B7" w:rsidTr="008F2F54">
        <w:trPr>
          <w:trHeight w:val="288"/>
          <w:jc w:val="center"/>
        </w:trPr>
        <w:tc>
          <w:tcPr>
            <w:tcW w:w="3854" w:type="dxa"/>
            <w:tcBorders>
              <w:top w:val="nil"/>
              <w:left w:val="double" w:sz="4" w:space="0" w:color="auto"/>
              <w:bottom w:val="single" w:sz="4" w:space="0" w:color="auto"/>
              <w:right w:val="double" w:sz="4" w:space="0" w:color="auto"/>
            </w:tcBorders>
          </w:tcPr>
          <w:p w:rsidR="00FF501D" w:rsidRPr="00BB21B7" w:rsidRDefault="00FF501D" w:rsidP="004C4F47">
            <w:pPr>
              <w:spacing w:line="240" w:lineRule="auto"/>
              <w:ind w:firstLine="0"/>
              <w:jc w:val="left"/>
              <w:rPr>
                <w:sz w:val="20"/>
                <w:szCs w:val="20"/>
              </w:rPr>
            </w:pPr>
            <w:r w:rsidRPr="00BB21B7">
              <w:rPr>
                <w:sz w:val="20"/>
                <w:szCs w:val="20"/>
              </w:rPr>
              <w:t xml:space="preserve">    Walk commute mode share</w:t>
            </w:r>
          </w:p>
        </w:tc>
        <w:tc>
          <w:tcPr>
            <w:tcW w:w="0" w:type="auto"/>
            <w:tcBorders>
              <w:top w:val="nil"/>
              <w:left w:val="double" w:sz="4" w:space="0" w:color="auto"/>
              <w:bottom w:val="single" w:sz="4" w:space="0" w:color="auto"/>
            </w:tcBorders>
            <w:vAlign w:val="center"/>
          </w:tcPr>
          <w:p w:rsidR="00FF501D" w:rsidRPr="00BB21B7" w:rsidRDefault="00FF501D" w:rsidP="00D72ECE">
            <w:pPr>
              <w:tabs>
                <w:tab w:val="decimal" w:pos="204"/>
              </w:tabs>
              <w:spacing w:line="240" w:lineRule="auto"/>
              <w:ind w:firstLine="0"/>
              <w:jc w:val="center"/>
              <w:rPr>
                <w:sz w:val="20"/>
                <w:szCs w:val="20"/>
              </w:rPr>
            </w:pPr>
            <w:r>
              <w:rPr>
                <w:sz w:val="20"/>
                <w:szCs w:val="20"/>
              </w:rPr>
              <w:t>0.295</w:t>
            </w:r>
          </w:p>
        </w:tc>
        <w:tc>
          <w:tcPr>
            <w:tcW w:w="897" w:type="dxa"/>
            <w:tcBorders>
              <w:top w:val="nil"/>
              <w:bottom w:val="single" w:sz="4" w:space="0" w:color="auto"/>
              <w:right w:val="double" w:sz="4" w:space="0" w:color="auto"/>
            </w:tcBorders>
            <w:vAlign w:val="center"/>
          </w:tcPr>
          <w:p w:rsidR="00FF501D" w:rsidRPr="00BB21B7" w:rsidRDefault="00FF501D" w:rsidP="00D72ECE">
            <w:pPr>
              <w:tabs>
                <w:tab w:val="decimal" w:pos="147"/>
              </w:tabs>
              <w:spacing w:line="240" w:lineRule="auto"/>
              <w:ind w:firstLine="0"/>
              <w:jc w:val="center"/>
              <w:rPr>
                <w:sz w:val="20"/>
                <w:szCs w:val="20"/>
              </w:rPr>
            </w:pPr>
            <w:r>
              <w:rPr>
                <w:sz w:val="20"/>
                <w:szCs w:val="20"/>
              </w:rPr>
              <w:t>2.30</w:t>
            </w:r>
          </w:p>
        </w:tc>
        <w:tc>
          <w:tcPr>
            <w:tcW w:w="1047" w:type="dxa"/>
            <w:tcBorders>
              <w:top w:val="nil"/>
              <w:left w:val="double" w:sz="4" w:space="0" w:color="auto"/>
              <w:bottom w:val="single" w:sz="4" w:space="0" w:color="auto"/>
            </w:tcBorders>
            <w:vAlign w:val="center"/>
          </w:tcPr>
          <w:p w:rsidR="00FF501D" w:rsidRPr="00BB21B7" w:rsidRDefault="00FF501D" w:rsidP="00D72ECE">
            <w:pPr>
              <w:tabs>
                <w:tab w:val="decimal" w:pos="278"/>
              </w:tabs>
              <w:spacing w:line="240" w:lineRule="auto"/>
              <w:ind w:firstLine="0"/>
              <w:jc w:val="center"/>
              <w:rPr>
                <w:sz w:val="20"/>
                <w:szCs w:val="20"/>
              </w:rPr>
            </w:pPr>
            <w:r>
              <w:rPr>
                <w:sz w:val="20"/>
                <w:szCs w:val="20"/>
              </w:rPr>
              <w:t>0.775</w:t>
            </w:r>
          </w:p>
        </w:tc>
        <w:tc>
          <w:tcPr>
            <w:tcW w:w="917" w:type="dxa"/>
            <w:tcBorders>
              <w:top w:val="nil"/>
              <w:bottom w:val="single" w:sz="4" w:space="0" w:color="auto"/>
              <w:right w:val="double" w:sz="4" w:space="0" w:color="auto"/>
            </w:tcBorders>
            <w:vAlign w:val="center"/>
          </w:tcPr>
          <w:p w:rsidR="00FF501D" w:rsidRPr="00BB21B7" w:rsidRDefault="00FF501D" w:rsidP="00D72ECE">
            <w:pPr>
              <w:tabs>
                <w:tab w:val="decimal" w:pos="221"/>
              </w:tabs>
              <w:spacing w:line="240" w:lineRule="auto"/>
              <w:ind w:firstLine="0"/>
              <w:jc w:val="center"/>
              <w:rPr>
                <w:sz w:val="20"/>
                <w:szCs w:val="20"/>
              </w:rPr>
            </w:pPr>
            <w:r>
              <w:rPr>
                <w:sz w:val="20"/>
                <w:szCs w:val="20"/>
              </w:rPr>
              <w:t>2.98</w:t>
            </w:r>
          </w:p>
        </w:tc>
        <w:tc>
          <w:tcPr>
            <w:tcW w:w="1047" w:type="dxa"/>
            <w:tcBorders>
              <w:top w:val="nil"/>
              <w:left w:val="double" w:sz="4" w:space="0" w:color="auto"/>
              <w:bottom w:val="single" w:sz="4" w:space="0" w:color="auto"/>
            </w:tcBorders>
            <w:vAlign w:val="center"/>
          </w:tcPr>
          <w:p w:rsidR="00FF501D" w:rsidRPr="00BB21B7" w:rsidRDefault="00FF501D" w:rsidP="00D72ECE">
            <w:pPr>
              <w:tabs>
                <w:tab w:val="decimal" w:pos="260"/>
              </w:tabs>
              <w:spacing w:line="240" w:lineRule="auto"/>
              <w:ind w:firstLine="0"/>
              <w:jc w:val="center"/>
              <w:rPr>
                <w:sz w:val="20"/>
                <w:szCs w:val="20"/>
              </w:rPr>
            </w:pPr>
          </w:p>
        </w:tc>
        <w:tc>
          <w:tcPr>
            <w:tcW w:w="825" w:type="dxa"/>
            <w:tcBorders>
              <w:top w:val="nil"/>
              <w:bottom w:val="single" w:sz="4" w:space="0" w:color="auto"/>
              <w:right w:val="double" w:sz="4" w:space="0" w:color="auto"/>
            </w:tcBorders>
            <w:vAlign w:val="center"/>
          </w:tcPr>
          <w:p w:rsidR="00FF501D" w:rsidRPr="00BB21B7" w:rsidRDefault="00FF501D" w:rsidP="00D72ECE">
            <w:pPr>
              <w:tabs>
                <w:tab w:val="decimal" w:pos="275"/>
              </w:tabs>
              <w:spacing w:line="240" w:lineRule="auto"/>
              <w:ind w:firstLine="0"/>
              <w:jc w:val="center"/>
              <w:rPr>
                <w:sz w:val="20"/>
                <w:szCs w:val="20"/>
              </w:rPr>
            </w:pPr>
          </w:p>
        </w:tc>
        <w:tc>
          <w:tcPr>
            <w:tcW w:w="1047" w:type="dxa"/>
            <w:tcBorders>
              <w:top w:val="nil"/>
              <w:left w:val="double" w:sz="4" w:space="0" w:color="auto"/>
              <w:bottom w:val="single" w:sz="4" w:space="0" w:color="auto"/>
            </w:tcBorders>
            <w:vAlign w:val="center"/>
          </w:tcPr>
          <w:p w:rsidR="00FF501D" w:rsidRPr="00BB21B7" w:rsidRDefault="00FF501D" w:rsidP="00D72ECE">
            <w:pPr>
              <w:tabs>
                <w:tab w:val="decimal" w:pos="222"/>
              </w:tabs>
              <w:spacing w:line="240" w:lineRule="auto"/>
              <w:ind w:firstLine="0"/>
              <w:jc w:val="center"/>
              <w:rPr>
                <w:sz w:val="20"/>
                <w:szCs w:val="20"/>
              </w:rPr>
            </w:pPr>
          </w:p>
        </w:tc>
        <w:tc>
          <w:tcPr>
            <w:tcW w:w="894" w:type="dxa"/>
            <w:tcBorders>
              <w:top w:val="nil"/>
              <w:bottom w:val="single" w:sz="4" w:space="0" w:color="auto"/>
              <w:right w:val="double" w:sz="4" w:space="0" w:color="auto"/>
            </w:tcBorders>
            <w:vAlign w:val="center"/>
          </w:tcPr>
          <w:p w:rsidR="00FF501D" w:rsidRPr="00BB21B7" w:rsidRDefault="00FF501D" w:rsidP="00D72ECE">
            <w:pPr>
              <w:tabs>
                <w:tab w:val="decimal" w:pos="255"/>
              </w:tabs>
              <w:spacing w:line="240" w:lineRule="auto"/>
              <w:ind w:firstLine="0"/>
              <w:jc w:val="center"/>
              <w:rPr>
                <w:sz w:val="20"/>
                <w:szCs w:val="20"/>
              </w:rPr>
            </w:pPr>
          </w:p>
        </w:tc>
      </w:tr>
      <w:tr w:rsidR="00FF501D" w:rsidRPr="00BB21B7" w:rsidTr="008F2F54">
        <w:trPr>
          <w:trHeight w:val="288"/>
          <w:jc w:val="center"/>
        </w:trPr>
        <w:tc>
          <w:tcPr>
            <w:tcW w:w="3854" w:type="dxa"/>
            <w:tcBorders>
              <w:top w:val="single" w:sz="4" w:space="0" w:color="auto"/>
              <w:left w:val="double" w:sz="4" w:space="0" w:color="auto"/>
              <w:bottom w:val="nil"/>
              <w:right w:val="double" w:sz="4" w:space="0" w:color="auto"/>
            </w:tcBorders>
          </w:tcPr>
          <w:p w:rsidR="00FF501D" w:rsidRPr="00BB21B7" w:rsidRDefault="00FF501D" w:rsidP="004C4F47">
            <w:pPr>
              <w:spacing w:line="240" w:lineRule="auto"/>
              <w:ind w:firstLine="0"/>
              <w:jc w:val="left"/>
              <w:rPr>
                <w:b/>
                <w:sz w:val="20"/>
                <w:szCs w:val="20"/>
              </w:rPr>
            </w:pPr>
            <w:r w:rsidRPr="00BB21B7">
              <w:rPr>
                <w:b/>
                <w:sz w:val="20"/>
                <w:szCs w:val="20"/>
              </w:rPr>
              <w:t xml:space="preserve">Spatial </w:t>
            </w:r>
            <w:r w:rsidR="0098588C">
              <w:rPr>
                <w:b/>
                <w:sz w:val="20"/>
                <w:szCs w:val="20"/>
              </w:rPr>
              <w:t>Dependence Effects</w:t>
            </w:r>
          </w:p>
        </w:tc>
        <w:tc>
          <w:tcPr>
            <w:tcW w:w="0" w:type="auto"/>
            <w:tcBorders>
              <w:top w:val="single" w:sz="4" w:space="0" w:color="auto"/>
              <w:left w:val="double" w:sz="4" w:space="0" w:color="auto"/>
              <w:bottom w:val="nil"/>
            </w:tcBorders>
            <w:vAlign w:val="center"/>
          </w:tcPr>
          <w:p w:rsidR="00FF501D" w:rsidRPr="00BB21B7" w:rsidRDefault="00FF501D" w:rsidP="00D72ECE">
            <w:pPr>
              <w:tabs>
                <w:tab w:val="decimal" w:pos="204"/>
              </w:tabs>
              <w:spacing w:line="240" w:lineRule="auto"/>
              <w:ind w:firstLine="0"/>
              <w:jc w:val="center"/>
              <w:rPr>
                <w:sz w:val="20"/>
                <w:szCs w:val="20"/>
              </w:rPr>
            </w:pPr>
          </w:p>
        </w:tc>
        <w:tc>
          <w:tcPr>
            <w:tcW w:w="897" w:type="dxa"/>
            <w:tcBorders>
              <w:top w:val="single" w:sz="4" w:space="0" w:color="auto"/>
              <w:bottom w:val="nil"/>
              <w:right w:val="double" w:sz="4" w:space="0" w:color="auto"/>
            </w:tcBorders>
            <w:vAlign w:val="center"/>
          </w:tcPr>
          <w:p w:rsidR="00FF501D" w:rsidRPr="00BB21B7" w:rsidRDefault="00FF501D" w:rsidP="00D72ECE">
            <w:pPr>
              <w:tabs>
                <w:tab w:val="decimal" w:pos="147"/>
              </w:tabs>
              <w:spacing w:line="240" w:lineRule="auto"/>
              <w:ind w:firstLine="0"/>
              <w:jc w:val="center"/>
              <w:rPr>
                <w:sz w:val="20"/>
                <w:szCs w:val="20"/>
              </w:rPr>
            </w:pPr>
          </w:p>
        </w:tc>
        <w:tc>
          <w:tcPr>
            <w:tcW w:w="1047" w:type="dxa"/>
            <w:tcBorders>
              <w:top w:val="single" w:sz="4" w:space="0" w:color="auto"/>
              <w:left w:val="double" w:sz="4" w:space="0" w:color="auto"/>
              <w:bottom w:val="nil"/>
            </w:tcBorders>
            <w:vAlign w:val="center"/>
          </w:tcPr>
          <w:p w:rsidR="00FF501D" w:rsidRPr="00BB21B7" w:rsidRDefault="00FF501D" w:rsidP="00D72ECE">
            <w:pPr>
              <w:tabs>
                <w:tab w:val="decimal" w:pos="278"/>
              </w:tabs>
              <w:spacing w:line="240" w:lineRule="auto"/>
              <w:ind w:firstLine="0"/>
              <w:jc w:val="center"/>
              <w:rPr>
                <w:sz w:val="20"/>
                <w:szCs w:val="20"/>
              </w:rPr>
            </w:pPr>
          </w:p>
        </w:tc>
        <w:tc>
          <w:tcPr>
            <w:tcW w:w="917" w:type="dxa"/>
            <w:tcBorders>
              <w:top w:val="single" w:sz="4" w:space="0" w:color="auto"/>
              <w:bottom w:val="nil"/>
              <w:right w:val="double" w:sz="4" w:space="0" w:color="auto"/>
            </w:tcBorders>
            <w:vAlign w:val="center"/>
          </w:tcPr>
          <w:p w:rsidR="00FF501D" w:rsidRPr="00BB21B7" w:rsidRDefault="00FF501D" w:rsidP="00D72ECE">
            <w:pPr>
              <w:tabs>
                <w:tab w:val="decimal" w:pos="221"/>
              </w:tabs>
              <w:spacing w:line="240" w:lineRule="auto"/>
              <w:ind w:firstLine="0"/>
              <w:jc w:val="center"/>
              <w:rPr>
                <w:sz w:val="20"/>
                <w:szCs w:val="20"/>
              </w:rPr>
            </w:pPr>
          </w:p>
        </w:tc>
        <w:tc>
          <w:tcPr>
            <w:tcW w:w="1047" w:type="dxa"/>
            <w:tcBorders>
              <w:top w:val="single" w:sz="4" w:space="0" w:color="auto"/>
              <w:left w:val="double" w:sz="4" w:space="0" w:color="auto"/>
              <w:bottom w:val="nil"/>
            </w:tcBorders>
            <w:vAlign w:val="center"/>
          </w:tcPr>
          <w:p w:rsidR="00FF501D" w:rsidRPr="00BB21B7" w:rsidRDefault="00FF501D" w:rsidP="00D72ECE">
            <w:pPr>
              <w:tabs>
                <w:tab w:val="decimal" w:pos="260"/>
              </w:tabs>
              <w:spacing w:line="240" w:lineRule="auto"/>
              <w:ind w:firstLine="0"/>
              <w:jc w:val="center"/>
              <w:rPr>
                <w:sz w:val="20"/>
                <w:szCs w:val="20"/>
              </w:rPr>
            </w:pPr>
          </w:p>
        </w:tc>
        <w:tc>
          <w:tcPr>
            <w:tcW w:w="825" w:type="dxa"/>
            <w:tcBorders>
              <w:top w:val="single" w:sz="4" w:space="0" w:color="auto"/>
              <w:bottom w:val="nil"/>
              <w:right w:val="double" w:sz="4" w:space="0" w:color="auto"/>
            </w:tcBorders>
            <w:vAlign w:val="center"/>
          </w:tcPr>
          <w:p w:rsidR="00FF501D" w:rsidRPr="00BB21B7" w:rsidRDefault="00FF501D" w:rsidP="00D72ECE">
            <w:pPr>
              <w:tabs>
                <w:tab w:val="decimal" w:pos="275"/>
              </w:tabs>
              <w:spacing w:line="240" w:lineRule="auto"/>
              <w:ind w:firstLine="0"/>
              <w:jc w:val="center"/>
              <w:rPr>
                <w:sz w:val="20"/>
                <w:szCs w:val="20"/>
              </w:rPr>
            </w:pPr>
          </w:p>
        </w:tc>
        <w:tc>
          <w:tcPr>
            <w:tcW w:w="1047" w:type="dxa"/>
            <w:tcBorders>
              <w:top w:val="single" w:sz="4" w:space="0" w:color="auto"/>
              <w:left w:val="double" w:sz="4" w:space="0" w:color="auto"/>
              <w:bottom w:val="nil"/>
            </w:tcBorders>
            <w:vAlign w:val="center"/>
          </w:tcPr>
          <w:p w:rsidR="00FF501D" w:rsidRPr="00BB21B7" w:rsidRDefault="00FF501D" w:rsidP="00D72ECE">
            <w:pPr>
              <w:tabs>
                <w:tab w:val="decimal" w:pos="222"/>
              </w:tabs>
              <w:spacing w:line="240" w:lineRule="auto"/>
              <w:ind w:firstLine="0"/>
              <w:jc w:val="center"/>
              <w:rPr>
                <w:sz w:val="20"/>
                <w:szCs w:val="20"/>
              </w:rPr>
            </w:pPr>
          </w:p>
        </w:tc>
        <w:tc>
          <w:tcPr>
            <w:tcW w:w="894" w:type="dxa"/>
            <w:tcBorders>
              <w:top w:val="single" w:sz="4" w:space="0" w:color="auto"/>
              <w:bottom w:val="nil"/>
              <w:right w:val="double" w:sz="4" w:space="0" w:color="auto"/>
            </w:tcBorders>
            <w:vAlign w:val="center"/>
          </w:tcPr>
          <w:p w:rsidR="00FF501D" w:rsidRPr="00BB21B7" w:rsidRDefault="00FF501D" w:rsidP="00D72ECE">
            <w:pPr>
              <w:tabs>
                <w:tab w:val="decimal" w:pos="255"/>
              </w:tabs>
              <w:spacing w:line="240" w:lineRule="auto"/>
              <w:ind w:firstLine="0"/>
              <w:jc w:val="center"/>
              <w:rPr>
                <w:sz w:val="20"/>
                <w:szCs w:val="20"/>
              </w:rPr>
            </w:pPr>
          </w:p>
        </w:tc>
      </w:tr>
      <w:tr w:rsidR="00FF501D" w:rsidRPr="00BB21B7" w:rsidTr="008F2F54">
        <w:trPr>
          <w:trHeight w:val="288"/>
          <w:jc w:val="center"/>
        </w:trPr>
        <w:tc>
          <w:tcPr>
            <w:tcW w:w="3854" w:type="dxa"/>
            <w:tcBorders>
              <w:top w:val="nil"/>
              <w:left w:val="double" w:sz="4" w:space="0" w:color="auto"/>
              <w:bottom w:val="double" w:sz="4" w:space="0" w:color="auto"/>
              <w:right w:val="double" w:sz="4" w:space="0" w:color="auto"/>
            </w:tcBorders>
          </w:tcPr>
          <w:p w:rsidR="00FF501D" w:rsidRPr="00BB21B7" w:rsidRDefault="00FF501D" w:rsidP="004C4F47">
            <w:pPr>
              <w:spacing w:line="240" w:lineRule="auto"/>
              <w:ind w:firstLine="0"/>
              <w:jc w:val="left"/>
              <w:rPr>
                <w:sz w:val="20"/>
                <w:szCs w:val="20"/>
              </w:rPr>
            </w:pPr>
            <w:r w:rsidRPr="00BB21B7">
              <w:rPr>
                <w:sz w:val="20"/>
                <w:szCs w:val="20"/>
              </w:rPr>
              <w:t xml:space="preserve">    Auto-Regressive Parameter</w:t>
            </w:r>
          </w:p>
        </w:tc>
        <w:tc>
          <w:tcPr>
            <w:tcW w:w="0" w:type="auto"/>
            <w:tcBorders>
              <w:top w:val="nil"/>
              <w:left w:val="double" w:sz="4" w:space="0" w:color="auto"/>
              <w:bottom w:val="double" w:sz="4" w:space="0" w:color="auto"/>
            </w:tcBorders>
            <w:vAlign w:val="center"/>
          </w:tcPr>
          <w:p w:rsidR="00FF501D" w:rsidRPr="009F45C2" w:rsidRDefault="00FF501D" w:rsidP="00D72ECE">
            <w:pPr>
              <w:tabs>
                <w:tab w:val="decimal" w:pos="204"/>
              </w:tabs>
              <w:spacing w:line="240" w:lineRule="auto"/>
              <w:ind w:firstLine="0"/>
              <w:jc w:val="center"/>
              <w:rPr>
                <w:sz w:val="20"/>
                <w:szCs w:val="20"/>
              </w:rPr>
            </w:pPr>
            <w:r w:rsidRPr="009F45C2">
              <w:rPr>
                <w:sz w:val="20"/>
                <w:szCs w:val="20"/>
              </w:rPr>
              <w:t>0.221</w:t>
            </w:r>
          </w:p>
        </w:tc>
        <w:tc>
          <w:tcPr>
            <w:tcW w:w="897" w:type="dxa"/>
            <w:tcBorders>
              <w:top w:val="nil"/>
              <w:bottom w:val="double" w:sz="4" w:space="0" w:color="auto"/>
              <w:right w:val="double" w:sz="4" w:space="0" w:color="auto"/>
            </w:tcBorders>
            <w:vAlign w:val="center"/>
          </w:tcPr>
          <w:p w:rsidR="00FF501D" w:rsidRPr="009F45C2" w:rsidRDefault="00FF501D" w:rsidP="00D72ECE">
            <w:pPr>
              <w:tabs>
                <w:tab w:val="decimal" w:pos="147"/>
              </w:tabs>
              <w:spacing w:line="240" w:lineRule="auto"/>
              <w:ind w:firstLine="0"/>
              <w:jc w:val="center"/>
              <w:rPr>
                <w:sz w:val="20"/>
                <w:szCs w:val="20"/>
              </w:rPr>
            </w:pPr>
            <w:r w:rsidRPr="009F45C2">
              <w:rPr>
                <w:sz w:val="20"/>
                <w:szCs w:val="20"/>
              </w:rPr>
              <w:t>2.18</w:t>
            </w:r>
          </w:p>
        </w:tc>
        <w:tc>
          <w:tcPr>
            <w:tcW w:w="1047" w:type="dxa"/>
            <w:tcBorders>
              <w:top w:val="nil"/>
              <w:left w:val="double" w:sz="4" w:space="0" w:color="auto"/>
              <w:bottom w:val="double" w:sz="4" w:space="0" w:color="auto"/>
            </w:tcBorders>
            <w:vAlign w:val="center"/>
          </w:tcPr>
          <w:p w:rsidR="00FF501D" w:rsidRPr="009F45C2" w:rsidRDefault="00FF501D" w:rsidP="00D72ECE">
            <w:pPr>
              <w:tabs>
                <w:tab w:val="decimal" w:pos="278"/>
              </w:tabs>
              <w:spacing w:line="240" w:lineRule="auto"/>
              <w:ind w:firstLine="0"/>
              <w:jc w:val="center"/>
              <w:rPr>
                <w:sz w:val="20"/>
                <w:szCs w:val="20"/>
              </w:rPr>
            </w:pPr>
            <w:r w:rsidRPr="009F45C2">
              <w:rPr>
                <w:sz w:val="20"/>
                <w:szCs w:val="20"/>
              </w:rPr>
              <w:t>0.</w:t>
            </w:r>
            <w:r>
              <w:rPr>
                <w:sz w:val="20"/>
                <w:szCs w:val="20"/>
              </w:rPr>
              <w:t>42</w:t>
            </w:r>
            <w:r w:rsidRPr="009F45C2">
              <w:rPr>
                <w:sz w:val="20"/>
                <w:szCs w:val="20"/>
              </w:rPr>
              <w:t>8</w:t>
            </w:r>
          </w:p>
        </w:tc>
        <w:tc>
          <w:tcPr>
            <w:tcW w:w="917" w:type="dxa"/>
            <w:tcBorders>
              <w:top w:val="nil"/>
              <w:bottom w:val="double" w:sz="4" w:space="0" w:color="auto"/>
              <w:right w:val="double" w:sz="4" w:space="0" w:color="auto"/>
            </w:tcBorders>
            <w:vAlign w:val="center"/>
          </w:tcPr>
          <w:p w:rsidR="00FF501D" w:rsidRPr="009F45C2" w:rsidRDefault="00FF501D" w:rsidP="00D72ECE">
            <w:pPr>
              <w:tabs>
                <w:tab w:val="decimal" w:pos="221"/>
              </w:tabs>
              <w:spacing w:line="240" w:lineRule="auto"/>
              <w:ind w:firstLine="0"/>
              <w:rPr>
                <w:sz w:val="20"/>
                <w:szCs w:val="20"/>
              </w:rPr>
            </w:pPr>
            <w:r w:rsidRPr="009F45C2">
              <w:rPr>
                <w:sz w:val="20"/>
                <w:szCs w:val="20"/>
              </w:rPr>
              <w:t>5.11</w:t>
            </w:r>
          </w:p>
        </w:tc>
        <w:tc>
          <w:tcPr>
            <w:tcW w:w="1047" w:type="dxa"/>
            <w:tcBorders>
              <w:top w:val="nil"/>
              <w:left w:val="double" w:sz="4" w:space="0" w:color="auto"/>
              <w:bottom w:val="double" w:sz="4" w:space="0" w:color="auto"/>
            </w:tcBorders>
            <w:vAlign w:val="center"/>
          </w:tcPr>
          <w:p w:rsidR="00FF501D" w:rsidRPr="009F45C2" w:rsidRDefault="00FF501D" w:rsidP="00D72ECE">
            <w:pPr>
              <w:tabs>
                <w:tab w:val="decimal" w:pos="260"/>
              </w:tabs>
              <w:spacing w:line="240" w:lineRule="auto"/>
              <w:ind w:firstLine="0"/>
              <w:jc w:val="center"/>
              <w:rPr>
                <w:sz w:val="20"/>
                <w:szCs w:val="20"/>
              </w:rPr>
            </w:pPr>
            <w:r w:rsidRPr="009F45C2">
              <w:rPr>
                <w:sz w:val="20"/>
                <w:szCs w:val="20"/>
              </w:rPr>
              <w:t>0.629</w:t>
            </w:r>
          </w:p>
        </w:tc>
        <w:tc>
          <w:tcPr>
            <w:tcW w:w="825" w:type="dxa"/>
            <w:tcBorders>
              <w:top w:val="nil"/>
              <w:bottom w:val="double" w:sz="4" w:space="0" w:color="auto"/>
              <w:right w:val="double" w:sz="4" w:space="0" w:color="auto"/>
            </w:tcBorders>
            <w:vAlign w:val="center"/>
          </w:tcPr>
          <w:p w:rsidR="00FF501D" w:rsidRPr="009F45C2" w:rsidRDefault="00FF501D" w:rsidP="00D72ECE">
            <w:pPr>
              <w:tabs>
                <w:tab w:val="decimal" w:pos="275"/>
              </w:tabs>
              <w:spacing w:line="240" w:lineRule="auto"/>
              <w:ind w:firstLine="0"/>
              <w:jc w:val="center"/>
              <w:rPr>
                <w:sz w:val="20"/>
                <w:szCs w:val="20"/>
              </w:rPr>
            </w:pPr>
            <w:r w:rsidRPr="009F45C2">
              <w:rPr>
                <w:sz w:val="20"/>
                <w:szCs w:val="20"/>
              </w:rPr>
              <w:t>2.54</w:t>
            </w:r>
          </w:p>
        </w:tc>
        <w:tc>
          <w:tcPr>
            <w:tcW w:w="1047" w:type="dxa"/>
            <w:tcBorders>
              <w:top w:val="nil"/>
              <w:left w:val="double" w:sz="4" w:space="0" w:color="auto"/>
              <w:bottom w:val="double" w:sz="4" w:space="0" w:color="auto"/>
            </w:tcBorders>
            <w:vAlign w:val="center"/>
          </w:tcPr>
          <w:p w:rsidR="00FF501D" w:rsidRPr="009F45C2" w:rsidRDefault="00FF501D" w:rsidP="00D72ECE">
            <w:pPr>
              <w:tabs>
                <w:tab w:val="decimal" w:pos="222"/>
              </w:tabs>
              <w:spacing w:line="240" w:lineRule="auto"/>
              <w:ind w:firstLine="0"/>
              <w:jc w:val="center"/>
              <w:rPr>
                <w:sz w:val="20"/>
                <w:szCs w:val="20"/>
              </w:rPr>
            </w:pPr>
            <w:r w:rsidRPr="009F45C2">
              <w:rPr>
                <w:sz w:val="20"/>
                <w:szCs w:val="20"/>
              </w:rPr>
              <w:t>0.794</w:t>
            </w:r>
          </w:p>
        </w:tc>
        <w:tc>
          <w:tcPr>
            <w:tcW w:w="894" w:type="dxa"/>
            <w:tcBorders>
              <w:top w:val="nil"/>
              <w:bottom w:val="double" w:sz="4" w:space="0" w:color="auto"/>
              <w:right w:val="double" w:sz="4" w:space="0" w:color="auto"/>
            </w:tcBorders>
            <w:vAlign w:val="center"/>
          </w:tcPr>
          <w:p w:rsidR="00FF501D" w:rsidRPr="009F45C2" w:rsidRDefault="00FF501D" w:rsidP="00D72ECE">
            <w:pPr>
              <w:tabs>
                <w:tab w:val="decimal" w:pos="255"/>
              </w:tabs>
              <w:spacing w:line="240" w:lineRule="auto"/>
              <w:ind w:firstLine="0"/>
              <w:rPr>
                <w:sz w:val="20"/>
                <w:szCs w:val="20"/>
              </w:rPr>
            </w:pPr>
            <w:r w:rsidRPr="009F45C2">
              <w:rPr>
                <w:sz w:val="20"/>
                <w:szCs w:val="20"/>
              </w:rPr>
              <w:t>3.27</w:t>
            </w:r>
          </w:p>
        </w:tc>
      </w:tr>
    </w:tbl>
    <w:p w:rsidR="00946F5F" w:rsidRDefault="00946F5F" w:rsidP="004C4F47">
      <w:pPr>
        <w:spacing w:line="240" w:lineRule="auto"/>
        <w:ind w:firstLine="0"/>
        <w:jc w:val="left"/>
        <w:rPr>
          <w:caps/>
        </w:rPr>
      </w:pPr>
    </w:p>
    <w:p w:rsidR="00D83357" w:rsidRDefault="00D83357" w:rsidP="00D72ECE">
      <w:pPr>
        <w:spacing w:line="240" w:lineRule="auto"/>
        <w:ind w:firstLine="0"/>
        <w:jc w:val="left"/>
        <w:rPr>
          <w:rFonts w:eastAsiaTheme="majorEastAsia" w:cstheme="majorBidi"/>
          <w:b/>
          <w:sz w:val="22"/>
          <w:szCs w:val="22"/>
        </w:rPr>
      </w:pPr>
      <w:r>
        <w:rPr>
          <w:b/>
          <w:caps/>
          <w:sz w:val="22"/>
          <w:szCs w:val="22"/>
        </w:rPr>
        <w:br w:type="page"/>
      </w:r>
    </w:p>
    <w:p w:rsidR="00FF501D" w:rsidRPr="00D83357" w:rsidRDefault="00FF501D" w:rsidP="00D72ECE">
      <w:pPr>
        <w:pStyle w:val="Title"/>
        <w:spacing w:after="120"/>
        <w:ind w:firstLine="0"/>
        <w:jc w:val="center"/>
        <w:rPr>
          <w:b/>
          <w:caps w:val="0"/>
          <w:spacing w:val="0"/>
          <w:kern w:val="0"/>
          <w:sz w:val="22"/>
          <w:szCs w:val="22"/>
        </w:rPr>
      </w:pPr>
      <w:r w:rsidRPr="00D83357">
        <w:rPr>
          <w:b/>
          <w:caps w:val="0"/>
          <w:spacing w:val="0"/>
          <w:kern w:val="0"/>
          <w:sz w:val="22"/>
          <w:szCs w:val="22"/>
        </w:rPr>
        <w:lastRenderedPageBreak/>
        <w:t xml:space="preserve">Table 3: Measures of </w:t>
      </w:r>
      <w:r w:rsidR="00D83357">
        <w:rPr>
          <w:b/>
          <w:caps w:val="0"/>
          <w:spacing w:val="0"/>
          <w:kern w:val="0"/>
          <w:sz w:val="22"/>
          <w:szCs w:val="22"/>
        </w:rPr>
        <w:t>F</w:t>
      </w:r>
      <w:r w:rsidRPr="00D83357">
        <w:rPr>
          <w:b/>
          <w:caps w:val="0"/>
          <w:spacing w:val="0"/>
          <w:kern w:val="0"/>
          <w:sz w:val="22"/>
          <w:szCs w:val="22"/>
        </w:rPr>
        <w:t>it</w:t>
      </w:r>
    </w:p>
    <w:tbl>
      <w:tblPr>
        <w:tblW w:w="14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1080"/>
        <w:gridCol w:w="1995"/>
        <w:gridCol w:w="1890"/>
        <w:gridCol w:w="1890"/>
        <w:gridCol w:w="1960"/>
        <w:gridCol w:w="1846"/>
        <w:gridCol w:w="1782"/>
      </w:tblGrid>
      <w:tr w:rsidR="00FF501D" w:rsidRPr="00BA38DA" w:rsidTr="00C01DCB">
        <w:trPr>
          <w:trHeight w:val="432"/>
          <w:jc w:val="center"/>
        </w:trPr>
        <w:tc>
          <w:tcPr>
            <w:tcW w:w="2865" w:type="dxa"/>
            <w:gridSpan w:val="2"/>
            <w:tcBorders>
              <w:top w:val="double" w:sz="4" w:space="0" w:color="auto"/>
              <w:left w:val="double" w:sz="4" w:space="0" w:color="auto"/>
              <w:bottom w:val="double" w:sz="4" w:space="0" w:color="auto"/>
              <w:right w:val="double" w:sz="4" w:space="0" w:color="auto"/>
            </w:tcBorders>
            <w:shd w:val="clear" w:color="auto" w:fill="auto"/>
            <w:tcMar>
              <w:left w:w="58" w:type="dxa"/>
              <w:right w:w="58" w:type="dxa"/>
            </w:tcMar>
            <w:vAlign w:val="center"/>
          </w:tcPr>
          <w:p w:rsidR="00FF501D" w:rsidRPr="00BA38DA" w:rsidRDefault="00FF501D" w:rsidP="00D72ECE">
            <w:pPr>
              <w:ind w:firstLine="0"/>
              <w:jc w:val="center"/>
              <w:rPr>
                <w:sz w:val="20"/>
                <w:szCs w:val="20"/>
              </w:rPr>
            </w:pPr>
            <w:r w:rsidRPr="00BA38DA">
              <w:rPr>
                <w:b/>
                <w:sz w:val="20"/>
                <w:szCs w:val="20"/>
              </w:rPr>
              <w:t>Summary Statistic</w:t>
            </w:r>
          </w:p>
        </w:tc>
        <w:tc>
          <w:tcPr>
            <w:tcW w:w="1995" w:type="dxa"/>
            <w:tcBorders>
              <w:top w:val="double" w:sz="4" w:space="0" w:color="auto"/>
              <w:left w:val="double" w:sz="4" w:space="0" w:color="auto"/>
              <w:bottom w:val="double" w:sz="4" w:space="0" w:color="auto"/>
              <w:right w:val="single" w:sz="4" w:space="0" w:color="auto"/>
            </w:tcBorders>
            <w:tcMar>
              <w:left w:w="58" w:type="dxa"/>
              <w:right w:w="58" w:type="dxa"/>
            </w:tcMar>
            <w:vAlign w:val="center"/>
          </w:tcPr>
          <w:p w:rsidR="00FF501D" w:rsidRDefault="00FF501D" w:rsidP="00D72ECE">
            <w:pPr>
              <w:rPr>
                <w:b/>
                <w:sz w:val="20"/>
                <w:szCs w:val="20"/>
              </w:rPr>
            </w:pPr>
            <w:r>
              <w:rPr>
                <w:b/>
                <w:sz w:val="20"/>
                <w:szCs w:val="20"/>
              </w:rPr>
              <w:t>IAC</w:t>
            </w:r>
          </w:p>
        </w:tc>
        <w:tc>
          <w:tcPr>
            <w:tcW w:w="1890" w:type="dxa"/>
            <w:tcBorders>
              <w:top w:val="double" w:sz="4" w:space="0" w:color="auto"/>
              <w:left w:val="single" w:sz="4" w:space="0" w:color="auto"/>
              <w:bottom w:val="double" w:sz="4" w:space="0" w:color="auto"/>
            </w:tcBorders>
            <w:shd w:val="clear" w:color="auto" w:fill="auto"/>
            <w:tcMar>
              <w:left w:w="58" w:type="dxa"/>
              <w:right w:w="58" w:type="dxa"/>
            </w:tcMar>
            <w:vAlign w:val="center"/>
          </w:tcPr>
          <w:p w:rsidR="00FF501D" w:rsidRPr="00BA38DA" w:rsidRDefault="00FF501D" w:rsidP="00D72ECE">
            <w:pPr>
              <w:rPr>
                <w:b/>
                <w:sz w:val="20"/>
                <w:szCs w:val="20"/>
              </w:rPr>
            </w:pPr>
            <w:r>
              <w:rPr>
                <w:b/>
                <w:sz w:val="20"/>
                <w:szCs w:val="20"/>
              </w:rPr>
              <w:t>ICSC</w:t>
            </w:r>
          </w:p>
        </w:tc>
        <w:tc>
          <w:tcPr>
            <w:tcW w:w="1890" w:type="dxa"/>
            <w:tcBorders>
              <w:top w:val="double" w:sz="4" w:space="0" w:color="auto"/>
              <w:bottom w:val="double" w:sz="4" w:space="0" w:color="auto"/>
              <w:right w:val="single" w:sz="4" w:space="0" w:color="auto"/>
            </w:tcBorders>
            <w:shd w:val="clear" w:color="auto" w:fill="auto"/>
            <w:tcMar>
              <w:left w:w="58" w:type="dxa"/>
              <w:right w:w="58" w:type="dxa"/>
            </w:tcMar>
            <w:vAlign w:val="center"/>
          </w:tcPr>
          <w:p w:rsidR="00FF501D" w:rsidRPr="00BA38DA" w:rsidRDefault="00FF501D" w:rsidP="00D72ECE">
            <w:pPr>
              <w:rPr>
                <w:b/>
                <w:sz w:val="20"/>
                <w:szCs w:val="20"/>
              </w:rPr>
            </w:pPr>
            <w:r>
              <w:rPr>
                <w:b/>
                <w:sz w:val="20"/>
                <w:szCs w:val="20"/>
              </w:rPr>
              <w:t>IUSC</w:t>
            </w:r>
          </w:p>
        </w:tc>
        <w:tc>
          <w:tcPr>
            <w:tcW w:w="1960" w:type="dxa"/>
            <w:tcBorders>
              <w:top w:val="double" w:sz="4" w:space="0" w:color="auto"/>
              <w:left w:val="single" w:sz="4" w:space="0" w:color="auto"/>
              <w:bottom w:val="double" w:sz="4" w:space="0" w:color="auto"/>
              <w:right w:val="single" w:sz="4" w:space="0" w:color="auto"/>
            </w:tcBorders>
            <w:tcMar>
              <w:left w:w="58" w:type="dxa"/>
              <w:right w:w="58" w:type="dxa"/>
            </w:tcMar>
            <w:vAlign w:val="center"/>
          </w:tcPr>
          <w:p w:rsidR="00FF501D" w:rsidRDefault="00FF501D" w:rsidP="00D72ECE">
            <w:pPr>
              <w:rPr>
                <w:b/>
                <w:sz w:val="20"/>
                <w:szCs w:val="20"/>
              </w:rPr>
            </w:pPr>
            <w:r>
              <w:rPr>
                <w:b/>
                <w:sz w:val="20"/>
                <w:szCs w:val="20"/>
              </w:rPr>
              <w:t>MAC</w:t>
            </w:r>
          </w:p>
        </w:tc>
        <w:tc>
          <w:tcPr>
            <w:tcW w:w="1846" w:type="dxa"/>
            <w:tcBorders>
              <w:top w:val="double" w:sz="4" w:space="0" w:color="auto"/>
              <w:left w:val="single" w:sz="4" w:space="0" w:color="auto"/>
              <w:bottom w:val="double" w:sz="4" w:space="0" w:color="auto"/>
              <w:right w:val="double" w:sz="4" w:space="0" w:color="auto"/>
            </w:tcBorders>
            <w:tcMar>
              <w:left w:w="58" w:type="dxa"/>
              <w:right w:w="58" w:type="dxa"/>
            </w:tcMar>
            <w:vAlign w:val="center"/>
          </w:tcPr>
          <w:p w:rsidR="00FF501D" w:rsidRDefault="00FF501D" w:rsidP="00D72ECE">
            <w:pPr>
              <w:rPr>
                <w:b/>
                <w:sz w:val="20"/>
                <w:szCs w:val="20"/>
              </w:rPr>
            </w:pPr>
            <w:r>
              <w:rPr>
                <w:b/>
                <w:sz w:val="20"/>
                <w:szCs w:val="20"/>
              </w:rPr>
              <w:t>MCSC</w:t>
            </w:r>
            <w:r w:rsidRPr="008E37EB" w:rsidDel="00260771">
              <w:rPr>
                <w:b/>
                <w:sz w:val="20"/>
                <w:szCs w:val="20"/>
                <w:bdr w:val="single" w:sz="4" w:space="0" w:color="auto"/>
              </w:rPr>
              <w:t xml:space="preserve"> </w:t>
            </w:r>
          </w:p>
        </w:tc>
        <w:tc>
          <w:tcPr>
            <w:tcW w:w="1782" w:type="dxa"/>
            <w:tcBorders>
              <w:top w:val="double" w:sz="4" w:space="0" w:color="auto"/>
              <w:left w:val="single" w:sz="4" w:space="0" w:color="auto"/>
              <w:bottom w:val="double" w:sz="4" w:space="0" w:color="auto"/>
              <w:right w:val="double" w:sz="4" w:space="0" w:color="auto"/>
            </w:tcBorders>
            <w:vAlign w:val="center"/>
          </w:tcPr>
          <w:p w:rsidR="00FF501D" w:rsidRDefault="00FF501D" w:rsidP="00D72ECE">
            <w:pPr>
              <w:ind w:firstLine="0"/>
              <w:jc w:val="center"/>
              <w:rPr>
                <w:b/>
                <w:sz w:val="20"/>
                <w:szCs w:val="20"/>
              </w:rPr>
            </w:pPr>
            <w:r>
              <w:rPr>
                <w:b/>
                <w:sz w:val="20"/>
                <w:szCs w:val="20"/>
              </w:rPr>
              <w:t>MUSC</w:t>
            </w:r>
          </w:p>
        </w:tc>
      </w:tr>
      <w:tr w:rsidR="00FF501D" w:rsidRPr="00BA38DA" w:rsidTr="00C01DCB">
        <w:trPr>
          <w:trHeight w:val="432"/>
          <w:jc w:val="center"/>
        </w:trPr>
        <w:tc>
          <w:tcPr>
            <w:tcW w:w="2865" w:type="dxa"/>
            <w:gridSpan w:val="2"/>
            <w:tcBorders>
              <w:top w:val="double" w:sz="4" w:space="0" w:color="auto"/>
              <w:left w:val="double" w:sz="4" w:space="0" w:color="auto"/>
              <w:bottom w:val="single" w:sz="4" w:space="0" w:color="auto"/>
              <w:right w:val="double" w:sz="4" w:space="0" w:color="auto"/>
            </w:tcBorders>
            <w:shd w:val="clear" w:color="auto" w:fill="auto"/>
            <w:tcMar>
              <w:left w:w="58" w:type="dxa"/>
              <w:right w:w="58" w:type="dxa"/>
            </w:tcMar>
            <w:vAlign w:val="center"/>
          </w:tcPr>
          <w:p w:rsidR="00FF501D" w:rsidRDefault="00FF501D" w:rsidP="004C4F47">
            <w:pPr>
              <w:ind w:firstLine="0"/>
              <w:jc w:val="left"/>
              <w:rPr>
                <w:sz w:val="20"/>
                <w:szCs w:val="20"/>
              </w:rPr>
            </w:pPr>
            <w:r>
              <w:rPr>
                <w:sz w:val="20"/>
                <w:szCs w:val="20"/>
              </w:rPr>
              <w:t>Number of Observations</w:t>
            </w:r>
          </w:p>
        </w:tc>
        <w:tc>
          <w:tcPr>
            <w:tcW w:w="11363" w:type="dxa"/>
            <w:gridSpan w:val="6"/>
            <w:tcBorders>
              <w:top w:val="double" w:sz="4" w:space="0" w:color="auto"/>
              <w:left w:val="double" w:sz="4" w:space="0" w:color="auto"/>
              <w:bottom w:val="single" w:sz="4" w:space="0" w:color="auto"/>
              <w:right w:val="double" w:sz="4" w:space="0" w:color="auto"/>
            </w:tcBorders>
            <w:tcMar>
              <w:left w:w="58" w:type="dxa"/>
              <w:right w:w="58" w:type="dxa"/>
            </w:tcMar>
            <w:vAlign w:val="center"/>
          </w:tcPr>
          <w:p w:rsidR="00FF501D" w:rsidRDefault="00FF501D" w:rsidP="00D72ECE">
            <w:pPr>
              <w:ind w:firstLine="0"/>
              <w:jc w:val="center"/>
              <w:rPr>
                <w:sz w:val="20"/>
                <w:szCs w:val="20"/>
              </w:rPr>
            </w:pPr>
            <w:r>
              <w:rPr>
                <w:sz w:val="20"/>
                <w:szCs w:val="20"/>
              </w:rPr>
              <w:t>285</w:t>
            </w:r>
            <w:r w:rsidR="007E14AA">
              <w:rPr>
                <w:sz w:val="20"/>
                <w:szCs w:val="20"/>
              </w:rPr>
              <w:t xml:space="preserve"> tracts</w:t>
            </w:r>
          </w:p>
        </w:tc>
      </w:tr>
      <w:tr w:rsidR="00FF501D" w:rsidRPr="00BA38DA" w:rsidTr="00C01DCB">
        <w:trPr>
          <w:trHeight w:val="432"/>
          <w:jc w:val="center"/>
        </w:trPr>
        <w:tc>
          <w:tcPr>
            <w:tcW w:w="2865" w:type="dxa"/>
            <w:gridSpan w:val="2"/>
            <w:tcBorders>
              <w:top w:val="single" w:sz="4" w:space="0" w:color="auto"/>
              <w:left w:val="double" w:sz="4" w:space="0" w:color="auto"/>
              <w:bottom w:val="single" w:sz="4" w:space="0" w:color="auto"/>
              <w:right w:val="double" w:sz="4" w:space="0" w:color="auto"/>
            </w:tcBorders>
            <w:shd w:val="clear" w:color="auto" w:fill="auto"/>
            <w:tcMar>
              <w:left w:w="58" w:type="dxa"/>
              <w:right w:w="58" w:type="dxa"/>
            </w:tcMar>
            <w:vAlign w:val="center"/>
          </w:tcPr>
          <w:p w:rsidR="00FF501D" w:rsidRPr="00BA38DA" w:rsidRDefault="00FF501D" w:rsidP="004C4F47">
            <w:pPr>
              <w:spacing w:line="240" w:lineRule="auto"/>
              <w:ind w:firstLine="0"/>
              <w:jc w:val="left"/>
              <w:rPr>
                <w:sz w:val="20"/>
                <w:szCs w:val="20"/>
              </w:rPr>
            </w:pPr>
            <w:r>
              <w:rPr>
                <w:sz w:val="20"/>
                <w:szCs w:val="20"/>
              </w:rPr>
              <w:t>Composite log-likelihood (CLL) at convergence of the naïve model</w:t>
            </w:r>
          </w:p>
        </w:tc>
        <w:tc>
          <w:tcPr>
            <w:tcW w:w="11363" w:type="dxa"/>
            <w:gridSpan w:val="6"/>
            <w:tcBorders>
              <w:top w:val="single" w:sz="4" w:space="0" w:color="auto"/>
              <w:left w:val="double" w:sz="4" w:space="0" w:color="auto"/>
              <w:bottom w:val="single" w:sz="4" w:space="0" w:color="auto"/>
              <w:right w:val="double" w:sz="4" w:space="0" w:color="auto"/>
            </w:tcBorders>
            <w:tcMar>
              <w:left w:w="58" w:type="dxa"/>
              <w:right w:w="58" w:type="dxa"/>
            </w:tcMar>
            <w:vAlign w:val="center"/>
          </w:tcPr>
          <w:p w:rsidR="00FF501D" w:rsidRDefault="00FF501D" w:rsidP="00D72ECE">
            <w:pPr>
              <w:ind w:firstLine="0"/>
              <w:jc w:val="center"/>
              <w:rPr>
                <w:sz w:val="20"/>
                <w:szCs w:val="20"/>
              </w:rPr>
            </w:pPr>
            <w:r>
              <w:rPr>
                <w:sz w:val="20"/>
                <w:szCs w:val="20"/>
              </w:rPr>
              <w:t>-2,962,001.29</w:t>
            </w:r>
          </w:p>
        </w:tc>
      </w:tr>
      <w:tr w:rsidR="00FF501D" w:rsidRPr="00BA38DA" w:rsidTr="00C01DCB">
        <w:trPr>
          <w:trHeight w:val="432"/>
          <w:jc w:val="center"/>
        </w:trPr>
        <w:tc>
          <w:tcPr>
            <w:tcW w:w="2865" w:type="dxa"/>
            <w:gridSpan w:val="2"/>
            <w:tcBorders>
              <w:top w:val="single" w:sz="4" w:space="0" w:color="auto"/>
              <w:left w:val="double" w:sz="4" w:space="0" w:color="auto"/>
              <w:right w:val="double" w:sz="4" w:space="0" w:color="auto"/>
            </w:tcBorders>
            <w:shd w:val="clear" w:color="auto" w:fill="auto"/>
            <w:tcMar>
              <w:left w:w="58" w:type="dxa"/>
              <w:right w:w="58" w:type="dxa"/>
            </w:tcMar>
            <w:vAlign w:val="center"/>
          </w:tcPr>
          <w:p w:rsidR="00FF501D" w:rsidRPr="00BA38DA" w:rsidRDefault="00FF501D" w:rsidP="004C4F47">
            <w:pPr>
              <w:ind w:firstLine="0"/>
              <w:jc w:val="left"/>
              <w:rPr>
                <w:sz w:val="20"/>
                <w:szCs w:val="20"/>
              </w:rPr>
            </w:pPr>
            <w:r w:rsidRPr="00BA38DA">
              <w:rPr>
                <w:sz w:val="20"/>
                <w:szCs w:val="20"/>
              </w:rPr>
              <w:t>Number of parameters</w:t>
            </w:r>
          </w:p>
        </w:tc>
        <w:tc>
          <w:tcPr>
            <w:tcW w:w="1995" w:type="dxa"/>
            <w:tcBorders>
              <w:top w:val="single" w:sz="4" w:space="0" w:color="auto"/>
              <w:left w:val="double" w:sz="4" w:space="0" w:color="auto"/>
              <w:right w:val="single" w:sz="4" w:space="0" w:color="auto"/>
            </w:tcBorders>
            <w:tcMar>
              <w:left w:w="58" w:type="dxa"/>
              <w:right w:w="58" w:type="dxa"/>
            </w:tcMar>
            <w:vAlign w:val="center"/>
          </w:tcPr>
          <w:p w:rsidR="00FF501D" w:rsidRDefault="00FF501D" w:rsidP="00D72ECE">
            <w:pPr>
              <w:ind w:firstLine="0"/>
              <w:jc w:val="center"/>
              <w:rPr>
                <w:sz w:val="20"/>
                <w:szCs w:val="20"/>
              </w:rPr>
            </w:pPr>
            <w:r>
              <w:rPr>
                <w:sz w:val="20"/>
                <w:szCs w:val="20"/>
              </w:rPr>
              <w:t>51</w:t>
            </w:r>
          </w:p>
        </w:tc>
        <w:tc>
          <w:tcPr>
            <w:tcW w:w="1890" w:type="dxa"/>
            <w:tcBorders>
              <w:top w:val="single" w:sz="4" w:space="0" w:color="auto"/>
              <w:left w:val="single" w:sz="4" w:space="0" w:color="auto"/>
              <w:bottom w:val="single" w:sz="4" w:space="0" w:color="auto"/>
            </w:tcBorders>
            <w:shd w:val="clear" w:color="auto" w:fill="auto"/>
            <w:tcMar>
              <w:left w:w="58" w:type="dxa"/>
              <w:right w:w="58" w:type="dxa"/>
            </w:tcMar>
            <w:vAlign w:val="center"/>
          </w:tcPr>
          <w:p w:rsidR="00FF501D" w:rsidRDefault="00FF501D" w:rsidP="00D72ECE">
            <w:pPr>
              <w:ind w:firstLine="0"/>
              <w:jc w:val="center"/>
              <w:rPr>
                <w:sz w:val="20"/>
                <w:szCs w:val="20"/>
              </w:rPr>
            </w:pPr>
            <w:r>
              <w:rPr>
                <w:sz w:val="20"/>
                <w:szCs w:val="20"/>
              </w:rPr>
              <w:t>52</w:t>
            </w:r>
          </w:p>
        </w:tc>
        <w:tc>
          <w:tcPr>
            <w:tcW w:w="1890" w:type="dxa"/>
            <w:tcBorders>
              <w:top w:val="single" w:sz="4" w:space="0" w:color="auto"/>
              <w:bottom w:val="single" w:sz="4" w:space="0" w:color="auto"/>
              <w:right w:val="single" w:sz="4" w:space="0" w:color="auto"/>
            </w:tcBorders>
            <w:shd w:val="clear" w:color="auto" w:fill="auto"/>
            <w:tcMar>
              <w:left w:w="58" w:type="dxa"/>
              <w:right w:w="58" w:type="dxa"/>
            </w:tcMar>
            <w:vAlign w:val="center"/>
          </w:tcPr>
          <w:p w:rsidR="00FF501D" w:rsidRDefault="00FF501D" w:rsidP="00D72ECE">
            <w:pPr>
              <w:ind w:firstLine="0"/>
              <w:jc w:val="center"/>
              <w:rPr>
                <w:sz w:val="20"/>
                <w:szCs w:val="20"/>
              </w:rPr>
            </w:pPr>
            <w:r>
              <w:rPr>
                <w:sz w:val="20"/>
                <w:szCs w:val="20"/>
              </w:rPr>
              <w:t>55</w:t>
            </w:r>
          </w:p>
        </w:tc>
        <w:tc>
          <w:tcPr>
            <w:tcW w:w="196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FF501D" w:rsidRDefault="00FF501D" w:rsidP="00D72ECE">
            <w:pPr>
              <w:ind w:firstLine="0"/>
              <w:jc w:val="center"/>
              <w:rPr>
                <w:sz w:val="20"/>
                <w:szCs w:val="20"/>
              </w:rPr>
            </w:pPr>
            <w:r>
              <w:rPr>
                <w:sz w:val="20"/>
                <w:szCs w:val="20"/>
              </w:rPr>
              <w:t>58</w:t>
            </w:r>
          </w:p>
        </w:tc>
        <w:tc>
          <w:tcPr>
            <w:tcW w:w="1846" w:type="dxa"/>
            <w:tcBorders>
              <w:top w:val="single" w:sz="4" w:space="0" w:color="auto"/>
              <w:left w:val="single" w:sz="4" w:space="0" w:color="auto"/>
              <w:bottom w:val="single" w:sz="4" w:space="0" w:color="auto"/>
              <w:right w:val="double" w:sz="4" w:space="0" w:color="auto"/>
            </w:tcBorders>
            <w:tcMar>
              <w:left w:w="58" w:type="dxa"/>
              <w:right w:w="58" w:type="dxa"/>
            </w:tcMar>
            <w:vAlign w:val="center"/>
          </w:tcPr>
          <w:p w:rsidR="00FF501D" w:rsidRDefault="00FF501D" w:rsidP="00D72ECE">
            <w:pPr>
              <w:ind w:firstLine="0"/>
              <w:jc w:val="center"/>
              <w:rPr>
                <w:sz w:val="20"/>
                <w:szCs w:val="20"/>
              </w:rPr>
            </w:pPr>
            <w:r>
              <w:rPr>
                <w:sz w:val="20"/>
                <w:szCs w:val="20"/>
              </w:rPr>
              <w:t>59</w:t>
            </w:r>
          </w:p>
        </w:tc>
        <w:tc>
          <w:tcPr>
            <w:tcW w:w="1782" w:type="dxa"/>
            <w:tcBorders>
              <w:top w:val="single" w:sz="4" w:space="0" w:color="auto"/>
              <w:left w:val="single" w:sz="4" w:space="0" w:color="auto"/>
              <w:bottom w:val="single" w:sz="4" w:space="0" w:color="auto"/>
              <w:right w:val="double" w:sz="4" w:space="0" w:color="auto"/>
            </w:tcBorders>
            <w:vAlign w:val="center"/>
          </w:tcPr>
          <w:p w:rsidR="00FF501D" w:rsidRDefault="00FF501D" w:rsidP="00D72ECE">
            <w:pPr>
              <w:ind w:firstLine="0"/>
              <w:jc w:val="center"/>
              <w:rPr>
                <w:sz w:val="20"/>
                <w:szCs w:val="20"/>
              </w:rPr>
            </w:pPr>
            <w:r>
              <w:rPr>
                <w:sz w:val="20"/>
                <w:szCs w:val="20"/>
              </w:rPr>
              <w:t>62</w:t>
            </w:r>
          </w:p>
        </w:tc>
      </w:tr>
      <w:tr w:rsidR="00FF501D" w:rsidRPr="00BA38DA" w:rsidTr="00C01DCB">
        <w:trPr>
          <w:trHeight w:val="432"/>
          <w:jc w:val="center"/>
        </w:trPr>
        <w:tc>
          <w:tcPr>
            <w:tcW w:w="2865" w:type="dxa"/>
            <w:gridSpan w:val="2"/>
            <w:tcBorders>
              <w:top w:val="single" w:sz="4" w:space="0" w:color="auto"/>
              <w:left w:val="double" w:sz="4" w:space="0" w:color="auto"/>
              <w:right w:val="double" w:sz="4" w:space="0" w:color="auto"/>
            </w:tcBorders>
            <w:shd w:val="clear" w:color="auto" w:fill="auto"/>
            <w:tcMar>
              <w:left w:w="58" w:type="dxa"/>
              <w:right w:w="58" w:type="dxa"/>
            </w:tcMar>
            <w:vAlign w:val="center"/>
          </w:tcPr>
          <w:p w:rsidR="00FF501D" w:rsidRPr="00BA38DA" w:rsidRDefault="00FF501D" w:rsidP="004C4F47">
            <w:pPr>
              <w:spacing w:line="240" w:lineRule="auto"/>
              <w:ind w:firstLine="0"/>
              <w:jc w:val="left"/>
              <w:rPr>
                <w:sz w:val="20"/>
                <w:szCs w:val="20"/>
              </w:rPr>
            </w:pPr>
            <w:r>
              <w:rPr>
                <w:sz w:val="20"/>
                <w:szCs w:val="20"/>
              </w:rPr>
              <w:t>Composite l</w:t>
            </w:r>
            <w:r w:rsidRPr="00BA38DA">
              <w:rPr>
                <w:sz w:val="20"/>
                <w:szCs w:val="20"/>
              </w:rPr>
              <w:t>og-likelihood</w:t>
            </w:r>
            <w:r>
              <w:rPr>
                <w:sz w:val="20"/>
                <w:szCs w:val="20"/>
              </w:rPr>
              <w:t xml:space="preserve"> (CLL)</w:t>
            </w:r>
            <w:r w:rsidRPr="00BA38DA">
              <w:rPr>
                <w:sz w:val="20"/>
                <w:szCs w:val="20"/>
              </w:rPr>
              <w:t xml:space="preserve"> at convergence</w:t>
            </w:r>
          </w:p>
        </w:tc>
        <w:tc>
          <w:tcPr>
            <w:tcW w:w="1995" w:type="dxa"/>
            <w:tcBorders>
              <w:top w:val="single" w:sz="4" w:space="0" w:color="auto"/>
              <w:left w:val="double" w:sz="4" w:space="0" w:color="auto"/>
              <w:right w:val="single" w:sz="4" w:space="0" w:color="auto"/>
            </w:tcBorders>
            <w:tcMar>
              <w:left w:w="58" w:type="dxa"/>
              <w:right w:w="58" w:type="dxa"/>
            </w:tcMar>
            <w:vAlign w:val="center"/>
          </w:tcPr>
          <w:p w:rsidR="00FF501D" w:rsidRPr="00D73B66" w:rsidRDefault="00FF501D" w:rsidP="00D72ECE">
            <w:pPr>
              <w:ind w:firstLine="0"/>
              <w:jc w:val="center"/>
              <w:rPr>
                <w:rFonts w:eastAsia="Times New Roman"/>
                <w:color w:val="000000"/>
                <w:sz w:val="20"/>
                <w:szCs w:val="20"/>
              </w:rPr>
            </w:pPr>
            <w:r>
              <w:rPr>
                <w:rFonts w:eastAsia="Times New Roman"/>
                <w:color w:val="000000"/>
                <w:sz w:val="20"/>
                <w:szCs w:val="20"/>
              </w:rPr>
              <w:t>-1,466,637.90</w:t>
            </w:r>
          </w:p>
        </w:tc>
        <w:tc>
          <w:tcPr>
            <w:tcW w:w="1890" w:type="dxa"/>
            <w:tcBorders>
              <w:top w:val="single" w:sz="4" w:space="0" w:color="auto"/>
              <w:left w:val="single" w:sz="4" w:space="0" w:color="auto"/>
              <w:bottom w:val="single" w:sz="4" w:space="0" w:color="auto"/>
            </w:tcBorders>
            <w:shd w:val="clear" w:color="auto" w:fill="auto"/>
            <w:tcMar>
              <w:left w:w="58" w:type="dxa"/>
              <w:right w:w="58" w:type="dxa"/>
            </w:tcMar>
            <w:vAlign w:val="center"/>
          </w:tcPr>
          <w:p w:rsidR="00FF501D" w:rsidRPr="00BA38DA" w:rsidRDefault="00FF501D" w:rsidP="00D72ECE">
            <w:pPr>
              <w:ind w:firstLine="0"/>
              <w:jc w:val="center"/>
              <w:rPr>
                <w:sz w:val="20"/>
                <w:szCs w:val="20"/>
              </w:rPr>
            </w:pPr>
            <w:r>
              <w:rPr>
                <w:sz w:val="20"/>
                <w:szCs w:val="20"/>
              </w:rPr>
              <w:t>-1,466,291.95</w:t>
            </w:r>
          </w:p>
        </w:tc>
        <w:tc>
          <w:tcPr>
            <w:tcW w:w="1890" w:type="dxa"/>
            <w:tcBorders>
              <w:top w:val="single" w:sz="4" w:space="0" w:color="auto"/>
              <w:bottom w:val="single" w:sz="4" w:space="0" w:color="auto"/>
              <w:right w:val="single" w:sz="4" w:space="0" w:color="auto"/>
            </w:tcBorders>
            <w:shd w:val="clear" w:color="auto" w:fill="auto"/>
            <w:tcMar>
              <w:left w:w="58" w:type="dxa"/>
              <w:right w:w="58" w:type="dxa"/>
            </w:tcMar>
            <w:vAlign w:val="center"/>
          </w:tcPr>
          <w:p w:rsidR="00FF501D" w:rsidRPr="00BA38DA" w:rsidRDefault="00FF501D" w:rsidP="00D72ECE">
            <w:pPr>
              <w:ind w:firstLine="0"/>
              <w:jc w:val="center"/>
              <w:rPr>
                <w:sz w:val="20"/>
                <w:szCs w:val="20"/>
              </w:rPr>
            </w:pPr>
            <w:r>
              <w:rPr>
                <w:sz w:val="20"/>
                <w:szCs w:val="20"/>
              </w:rPr>
              <w:t>-1,465,930.95</w:t>
            </w:r>
          </w:p>
        </w:tc>
        <w:tc>
          <w:tcPr>
            <w:tcW w:w="196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FF501D" w:rsidRDefault="00FF501D" w:rsidP="00D72ECE">
            <w:pPr>
              <w:ind w:firstLine="0"/>
              <w:jc w:val="center"/>
              <w:rPr>
                <w:sz w:val="20"/>
                <w:szCs w:val="20"/>
              </w:rPr>
            </w:pPr>
            <w:r>
              <w:rPr>
                <w:sz w:val="20"/>
                <w:szCs w:val="20"/>
              </w:rPr>
              <w:t>-1,466,497.66</w:t>
            </w:r>
          </w:p>
        </w:tc>
        <w:tc>
          <w:tcPr>
            <w:tcW w:w="1846" w:type="dxa"/>
            <w:tcBorders>
              <w:top w:val="single" w:sz="4" w:space="0" w:color="auto"/>
              <w:left w:val="single" w:sz="4" w:space="0" w:color="auto"/>
              <w:bottom w:val="single" w:sz="4" w:space="0" w:color="auto"/>
              <w:right w:val="double" w:sz="4" w:space="0" w:color="auto"/>
            </w:tcBorders>
            <w:tcMar>
              <w:left w:w="58" w:type="dxa"/>
              <w:right w:w="58" w:type="dxa"/>
            </w:tcMar>
            <w:vAlign w:val="center"/>
          </w:tcPr>
          <w:p w:rsidR="00FF501D" w:rsidRDefault="00FF501D" w:rsidP="00D72ECE">
            <w:pPr>
              <w:ind w:firstLine="0"/>
              <w:jc w:val="center"/>
              <w:rPr>
                <w:sz w:val="20"/>
                <w:szCs w:val="20"/>
              </w:rPr>
            </w:pPr>
            <w:r>
              <w:rPr>
                <w:sz w:val="20"/>
                <w:szCs w:val="20"/>
              </w:rPr>
              <w:t>-1,466,150.74</w:t>
            </w:r>
          </w:p>
        </w:tc>
        <w:tc>
          <w:tcPr>
            <w:tcW w:w="1782" w:type="dxa"/>
            <w:tcBorders>
              <w:top w:val="single" w:sz="4" w:space="0" w:color="auto"/>
              <w:left w:val="single" w:sz="4" w:space="0" w:color="auto"/>
              <w:bottom w:val="single" w:sz="4" w:space="0" w:color="auto"/>
              <w:right w:val="double" w:sz="4" w:space="0" w:color="auto"/>
            </w:tcBorders>
            <w:vAlign w:val="center"/>
          </w:tcPr>
          <w:p w:rsidR="00FF501D" w:rsidRPr="00D73B66" w:rsidRDefault="00FF501D" w:rsidP="00D72ECE">
            <w:pPr>
              <w:ind w:firstLine="0"/>
              <w:jc w:val="center"/>
              <w:rPr>
                <w:rFonts w:eastAsia="Times New Roman"/>
                <w:color w:val="000000"/>
                <w:sz w:val="20"/>
                <w:szCs w:val="20"/>
              </w:rPr>
            </w:pPr>
            <w:r>
              <w:rPr>
                <w:rFonts w:eastAsia="Times New Roman"/>
                <w:color w:val="000000"/>
                <w:sz w:val="20"/>
                <w:szCs w:val="20"/>
              </w:rPr>
              <w:t>-1,465,793.77</w:t>
            </w:r>
          </w:p>
        </w:tc>
      </w:tr>
      <w:tr w:rsidR="00FF501D" w:rsidRPr="00BA38DA" w:rsidTr="00C01DCB">
        <w:trPr>
          <w:trHeight w:val="432"/>
          <w:jc w:val="center"/>
        </w:trPr>
        <w:tc>
          <w:tcPr>
            <w:tcW w:w="2865" w:type="dxa"/>
            <w:gridSpan w:val="2"/>
            <w:tcBorders>
              <w:top w:val="single" w:sz="4" w:space="0" w:color="auto"/>
              <w:left w:val="double" w:sz="4" w:space="0" w:color="auto"/>
              <w:bottom w:val="single" w:sz="4" w:space="0" w:color="auto"/>
              <w:right w:val="double" w:sz="4" w:space="0" w:color="auto"/>
            </w:tcBorders>
            <w:shd w:val="clear" w:color="auto" w:fill="auto"/>
            <w:tcMar>
              <w:left w:w="58" w:type="dxa"/>
              <w:right w:w="58" w:type="dxa"/>
            </w:tcMar>
            <w:vAlign w:val="center"/>
          </w:tcPr>
          <w:p w:rsidR="00FF501D" w:rsidRDefault="00FF501D" w:rsidP="004C4F47">
            <w:pPr>
              <w:spacing w:line="240" w:lineRule="auto"/>
              <w:ind w:firstLine="0"/>
              <w:jc w:val="left"/>
              <w:rPr>
                <w:sz w:val="20"/>
                <w:szCs w:val="20"/>
              </w:rPr>
            </w:pPr>
            <w:r>
              <w:rPr>
                <w:sz w:val="20"/>
                <w:szCs w:val="20"/>
              </w:rPr>
              <w:t>Adjusted</w:t>
            </w:r>
            <w:r w:rsidRPr="00BA38DA">
              <w:rPr>
                <w:sz w:val="20"/>
                <w:szCs w:val="20"/>
              </w:rPr>
              <w:t xml:space="preserve"> </w:t>
            </w:r>
            <w:r>
              <w:rPr>
                <w:sz w:val="20"/>
                <w:szCs w:val="20"/>
              </w:rPr>
              <w:t xml:space="preserve">composite </w:t>
            </w:r>
            <w:r w:rsidRPr="00BA38DA">
              <w:rPr>
                <w:sz w:val="20"/>
                <w:szCs w:val="20"/>
              </w:rPr>
              <w:t>likelihood ratio test</w:t>
            </w:r>
            <w:r>
              <w:rPr>
                <w:sz w:val="20"/>
                <w:szCs w:val="20"/>
              </w:rPr>
              <w:t xml:space="preserve"> (ADCLRT)</w:t>
            </w:r>
            <w:r w:rsidRPr="00BA38DA">
              <w:rPr>
                <w:sz w:val="20"/>
                <w:szCs w:val="20"/>
              </w:rPr>
              <w:t xml:space="preserve"> between </w:t>
            </w:r>
            <w:r>
              <w:rPr>
                <w:sz w:val="20"/>
                <w:szCs w:val="20"/>
              </w:rPr>
              <w:t>MUSC</w:t>
            </w:r>
            <w:r w:rsidRPr="00BA38DA">
              <w:rPr>
                <w:sz w:val="20"/>
                <w:szCs w:val="20"/>
              </w:rPr>
              <w:t xml:space="preserve"> and </w:t>
            </w:r>
            <w:r>
              <w:rPr>
                <w:sz w:val="20"/>
                <w:szCs w:val="20"/>
              </w:rPr>
              <w:t>the corresponding model</w:t>
            </w:r>
          </w:p>
        </w:tc>
        <w:tc>
          <w:tcPr>
            <w:tcW w:w="1995" w:type="dxa"/>
            <w:tcBorders>
              <w:top w:val="single" w:sz="4" w:space="0" w:color="auto"/>
              <w:left w:val="double" w:sz="4" w:space="0" w:color="auto"/>
              <w:bottom w:val="single" w:sz="4" w:space="0" w:color="auto"/>
              <w:right w:val="single" w:sz="4" w:space="0" w:color="auto"/>
            </w:tcBorders>
            <w:tcMar>
              <w:left w:w="58" w:type="dxa"/>
              <w:right w:w="58" w:type="dxa"/>
            </w:tcMar>
          </w:tcPr>
          <w:p w:rsidR="00FF501D" w:rsidRDefault="00FF501D" w:rsidP="00D72ECE">
            <w:pPr>
              <w:spacing w:line="240" w:lineRule="auto"/>
              <w:ind w:firstLine="0"/>
              <w:jc w:val="center"/>
              <w:rPr>
                <w:sz w:val="20"/>
                <w:szCs w:val="20"/>
              </w:rPr>
            </w:pPr>
            <w:r>
              <w:rPr>
                <w:sz w:val="20"/>
                <w:szCs w:val="20"/>
              </w:rPr>
              <w:t>1,688.3</w:t>
            </w:r>
            <w:r w:rsidRPr="00BA38DA">
              <w:rPr>
                <w:sz w:val="20"/>
                <w:szCs w:val="20"/>
              </w:rPr>
              <w:t xml:space="preserve"> &gt; Chi-Squared statistics with </w:t>
            </w:r>
            <w:r>
              <w:rPr>
                <w:sz w:val="20"/>
                <w:szCs w:val="20"/>
              </w:rPr>
              <w:t>11</w:t>
            </w:r>
            <w:r w:rsidRPr="00BA38DA">
              <w:rPr>
                <w:sz w:val="20"/>
                <w:szCs w:val="20"/>
              </w:rPr>
              <w:t xml:space="preserve"> degree</w:t>
            </w:r>
            <w:r>
              <w:rPr>
                <w:sz w:val="20"/>
                <w:szCs w:val="20"/>
              </w:rPr>
              <w:t>s</w:t>
            </w:r>
            <w:r w:rsidRPr="00BA38DA">
              <w:rPr>
                <w:sz w:val="20"/>
                <w:szCs w:val="20"/>
              </w:rPr>
              <w:t xml:space="preserve"> of freedom at any reasonable level of significance</w:t>
            </w:r>
          </w:p>
        </w:tc>
        <w:tc>
          <w:tcPr>
            <w:tcW w:w="1890" w:type="dxa"/>
            <w:tcBorders>
              <w:top w:val="single" w:sz="4" w:space="0" w:color="auto"/>
              <w:left w:val="single" w:sz="4" w:space="0" w:color="auto"/>
              <w:bottom w:val="single" w:sz="4" w:space="0" w:color="auto"/>
            </w:tcBorders>
            <w:shd w:val="clear" w:color="auto" w:fill="auto"/>
            <w:tcMar>
              <w:left w:w="58" w:type="dxa"/>
              <w:right w:w="58" w:type="dxa"/>
            </w:tcMar>
          </w:tcPr>
          <w:p w:rsidR="00FF501D" w:rsidRDefault="00FF501D" w:rsidP="00D72ECE">
            <w:pPr>
              <w:spacing w:line="240" w:lineRule="auto"/>
              <w:ind w:firstLine="0"/>
              <w:jc w:val="center"/>
              <w:rPr>
                <w:sz w:val="20"/>
                <w:szCs w:val="20"/>
              </w:rPr>
            </w:pPr>
            <w:r>
              <w:rPr>
                <w:sz w:val="20"/>
                <w:szCs w:val="20"/>
              </w:rPr>
              <w:t xml:space="preserve">996.4 </w:t>
            </w:r>
            <w:r w:rsidRPr="00BA38DA">
              <w:rPr>
                <w:sz w:val="20"/>
                <w:szCs w:val="20"/>
              </w:rPr>
              <w:t xml:space="preserve">&gt; Chi-Squared statistics with </w:t>
            </w:r>
            <w:r>
              <w:rPr>
                <w:sz w:val="20"/>
                <w:szCs w:val="20"/>
              </w:rPr>
              <w:t>10</w:t>
            </w:r>
            <w:r w:rsidRPr="00BA38DA">
              <w:rPr>
                <w:sz w:val="20"/>
                <w:szCs w:val="20"/>
              </w:rPr>
              <w:t xml:space="preserve"> degree</w:t>
            </w:r>
            <w:r>
              <w:rPr>
                <w:sz w:val="20"/>
                <w:szCs w:val="20"/>
              </w:rPr>
              <w:t>s</w:t>
            </w:r>
            <w:r w:rsidRPr="00BA38DA">
              <w:rPr>
                <w:sz w:val="20"/>
                <w:szCs w:val="20"/>
              </w:rPr>
              <w:t xml:space="preserve"> of freedom at any reasonable level of significance</w:t>
            </w:r>
          </w:p>
        </w:tc>
        <w:tc>
          <w:tcPr>
            <w:tcW w:w="1890" w:type="dxa"/>
            <w:tcBorders>
              <w:top w:val="single" w:sz="4" w:space="0" w:color="auto"/>
              <w:bottom w:val="single" w:sz="4" w:space="0" w:color="auto"/>
              <w:right w:val="single" w:sz="4" w:space="0" w:color="auto"/>
            </w:tcBorders>
            <w:shd w:val="clear" w:color="auto" w:fill="auto"/>
            <w:tcMar>
              <w:left w:w="58" w:type="dxa"/>
              <w:right w:w="58" w:type="dxa"/>
            </w:tcMar>
            <w:vAlign w:val="center"/>
          </w:tcPr>
          <w:p w:rsidR="00FF501D" w:rsidRDefault="00FF501D" w:rsidP="00D72ECE">
            <w:pPr>
              <w:spacing w:line="240" w:lineRule="auto"/>
              <w:ind w:firstLine="0"/>
              <w:jc w:val="center"/>
              <w:rPr>
                <w:sz w:val="20"/>
                <w:szCs w:val="20"/>
              </w:rPr>
            </w:pPr>
            <w:r>
              <w:rPr>
                <w:sz w:val="20"/>
                <w:szCs w:val="20"/>
              </w:rPr>
              <w:t>274.4</w:t>
            </w:r>
            <w:r w:rsidRPr="00BA38DA">
              <w:rPr>
                <w:sz w:val="20"/>
                <w:szCs w:val="20"/>
              </w:rPr>
              <w:t xml:space="preserve">&gt; Chi-Squared statistics with </w:t>
            </w:r>
            <w:r>
              <w:rPr>
                <w:sz w:val="20"/>
                <w:szCs w:val="20"/>
              </w:rPr>
              <w:t>7</w:t>
            </w:r>
            <w:r w:rsidRPr="00BA38DA">
              <w:rPr>
                <w:sz w:val="20"/>
                <w:szCs w:val="20"/>
              </w:rPr>
              <w:t xml:space="preserve"> degree</w:t>
            </w:r>
            <w:r>
              <w:rPr>
                <w:sz w:val="20"/>
                <w:szCs w:val="20"/>
              </w:rPr>
              <w:t>s</w:t>
            </w:r>
            <w:r w:rsidRPr="00BA38DA">
              <w:rPr>
                <w:sz w:val="20"/>
                <w:szCs w:val="20"/>
              </w:rPr>
              <w:t xml:space="preserve"> of freedom at any reasonable level of significance</w:t>
            </w:r>
          </w:p>
        </w:tc>
        <w:tc>
          <w:tcPr>
            <w:tcW w:w="1960" w:type="dxa"/>
            <w:tcBorders>
              <w:top w:val="single" w:sz="4" w:space="0" w:color="auto"/>
              <w:left w:val="single" w:sz="4" w:space="0" w:color="auto"/>
              <w:bottom w:val="single" w:sz="4" w:space="0" w:color="auto"/>
              <w:right w:val="single" w:sz="4" w:space="0" w:color="auto"/>
            </w:tcBorders>
            <w:tcMar>
              <w:left w:w="58" w:type="dxa"/>
              <w:right w:w="58" w:type="dxa"/>
            </w:tcMar>
          </w:tcPr>
          <w:p w:rsidR="00FF501D" w:rsidRDefault="00FF501D" w:rsidP="00D72ECE">
            <w:pPr>
              <w:spacing w:line="240" w:lineRule="auto"/>
              <w:ind w:firstLine="0"/>
              <w:jc w:val="center"/>
              <w:rPr>
                <w:sz w:val="20"/>
                <w:szCs w:val="20"/>
              </w:rPr>
            </w:pPr>
            <w:r>
              <w:rPr>
                <w:sz w:val="20"/>
                <w:szCs w:val="20"/>
              </w:rPr>
              <w:t>1,407.8</w:t>
            </w:r>
            <w:r w:rsidRPr="00BA38DA">
              <w:rPr>
                <w:sz w:val="20"/>
                <w:szCs w:val="20"/>
              </w:rPr>
              <w:t xml:space="preserve"> &gt; Chi-Squared statistics with </w:t>
            </w:r>
            <w:r>
              <w:rPr>
                <w:sz w:val="20"/>
                <w:szCs w:val="20"/>
              </w:rPr>
              <w:t>4</w:t>
            </w:r>
            <w:r w:rsidRPr="00BA38DA">
              <w:rPr>
                <w:sz w:val="20"/>
                <w:szCs w:val="20"/>
              </w:rPr>
              <w:t xml:space="preserve"> degree</w:t>
            </w:r>
            <w:r>
              <w:rPr>
                <w:sz w:val="20"/>
                <w:szCs w:val="20"/>
              </w:rPr>
              <w:t>s</w:t>
            </w:r>
            <w:r w:rsidRPr="00BA38DA">
              <w:rPr>
                <w:sz w:val="20"/>
                <w:szCs w:val="20"/>
              </w:rPr>
              <w:t xml:space="preserve"> of freedom at any reasonable level of significance</w:t>
            </w:r>
          </w:p>
        </w:tc>
        <w:tc>
          <w:tcPr>
            <w:tcW w:w="1846" w:type="dxa"/>
            <w:tcBorders>
              <w:top w:val="single" w:sz="4" w:space="0" w:color="auto"/>
              <w:left w:val="single" w:sz="4" w:space="0" w:color="auto"/>
              <w:bottom w:val="single" w:sz="4" w:space="0" w:color="auto"/>
              <w:right w:val="double" w:sz="4" w:space="0" w:color="auto"/>
            </w:tcBorders>
            <w:tcMar>
              <w:left w:w="58" w:type="dxa"/>
              <w:right w:w="58" w:type="dxa"/>
            </w:tcMar>
            <w:vAlign w:val="center"/>
          </w:tcPr>
          <w:p w:rsidR="00FF501D" w:rsidRDefault="00FF501D" w:rsidP="00D72ECE">
            <w:pPr>
              <w:spacing w:line="240" w:lineRule="auto"/>
              <w:ind w:firstLine="0"/>
              <w:jc w:val="center"/>
              <w:rPr>
                <w:sz w:val="20"/>
                <w:szCs w:val="20"/>
              </w:rPr>
            </w:pPr>
            <w:r>
              <w:rPr>
                <w:sz w:val="20"/>
                <w:szCs w:val="20"/>
              </w:rPr>
              <w:t>713.9</w:t>
            </w:r>
            <w:r w:rsidRPr="00BA38DA">
              <w:rPr>
                <w:sz w:val="20"/>
                <w:szCs w:val="20"/>
              </w:rPr>
              <w:t xml:space="preserve"> &gt; Chi-Squared statistics with </w:t>
            </w:r>
            <w:r>
              <w:rPr>
                <w:sz w:val="20"/>
                <w:szCs w:val="20"/>
              </w:rPr>
              <w:t>3</w:t>
            </w:r>
            <w:r w:rsidRPr="00BA38DA">
              <w:rPr>
                <w:sz w:val="20"/>
                <w:szCs w:val="20"/>
              </w:rPr>
              <w:t xml:space="preserve"> degree</w:t>
            </w:r>
            <w:r>
              <w:rPr>
                <w:sz w:val="20"/>
                <w:szCs w:val="20"/>
              </w:rPr>
              <w:t>s</w:t>
            </w:r>
            <w:r w:rsidRPr="00BA38DA">
              <w:rPr>
                <w:sz w:val="20"/>
                <w:szCs w:val="20"/>
              </w:rPr>
              <w:t xml:space="preserve"> of freedom at any reasonable level of significance</w:t>
            </w:r>
          </w:p>
        </w:tc>
        <w:tc>
          <w:tcPr>
            <w:tcW w:w="1782" w:type="dxa"/>
            <w:tcBorders>
              <w:top w:val="single" w:sz="4" w:space="0" w:color="auto"/>
              <w:left w:val="single" w:sz="4" w:space="0" w:color="auto"/>
              <w:bottom w:val="single" w:sz="4" w:space="0" w:color="auto"/>
              <w:right w:val="double" w:sz="4" w:space="0" w:color="auto"/>
            </w:tcBorders>
            <w:vAlign w:val="center"/>
          </w:tcPr>
          <w:p w:rsidR="00FF501D" w:rsidRDefault="00FF501D" w:rsidP="00D72ECE">
            <w:pPr>
              <w:spacing w:line="240" w:lineRule="auto"/>
              <w:ind w:firstLine="0"/>
              <w:jc w:val="center"/>
              <w:rPr>
                <w:sz w:val="20"/>
                <w:szCs w:val="20"/>
              </w:rPr>
            </w:pPr>
            <w:r>
              <w:rPr>
                <w:sz w:val="20"/>
                <w:szCs w:val="20"/>
              </w:rPr>
              <w:t>Not Applicable</w:t>
            </w:r>
          </w:p>
        </w:tc>
      </w:tr>
      <w:tr w:rsidR="00FF501D" w:rsidRPr="00BA38DA" w:rsidTr="00C01DCB">
        <w:trPr>
          <w:trHeight w:val="432"/>
          <w:jc w:val="center"/>
        </w:trPr>
        <w:tc>
          <w:tcPr>
            <w:tcW w:w="2865" w:type="dxa"/>
            <w:gridSpan w:val="2"/>
            <w:tcBorders>
              <w:top w:val="single" w:sz="4" w:space="0" w:color="auto"/>
              <w:left w:val="double" w:sz="4" w:space="0" w:color="auto"/>
              <w:bottom w:val="nil"/>
              <w:right w:val="double" w:sz="4" w:space="0" w:color="auto"/>
            </w:tcBorders>
            <w:shd w:val="clear" w:color="auto" w:fill="auto"/>
            <w:tcMar>
              <w:left w:w="58" w:type="dxa"/>
              <w:right w:w="58" w:type="dxa"/>
            </w:tcMar>
            <w:vAlign w:val="center"/>
          </w:tcPr>
          <w:p w:rsidR="00FF501D" w:rsidRPr="00BA38DA" w:rsidRDefault="00FF501D" w:rsidP="004C4F47">
            <w:pPr>
              <w:ind w:firstLine="0"/>
              <w:rPr>
                <w:sz w:val="20"/>
                <w:szCs w:val="20"/>
              </w:rPr>
            </w:pPr>
            <w:r>
              <w:rPr>
                <w:sz w:val="20"/>
                <w:szCs w:val="20"/>
              </w:rPr>
              <w:t>Spatial correlation</w:t>
            </w:r>
          </w:p>
        </w:tc>
        <w:tc>
          <w:tcPr>
            <w:tcW w:w="1995" w:type="dxa"/>
            <w:tcBorders>
              <w:top w:val="single" w:sz="4" w:space="0" w:color="auto"/>
              <w:left w:val="double" w:sz="4" w:space="0" w:color="auto"/>
              <w:bottom w:val="nil"/>
              <w:right w:val="single" w:sz="4" w:space="0" w:color="auto"/>
            </w:tcBorders>
            <w:tcMar>
              <w:left w:w="58" w:type="dxa"/>
              <w:right w:w="58" w:type="dxa"/>
            </w:tcMar>
            <w:vAlign w:val="center"/>
          </w:tcPr>
          <w:p w:rsidR="00FF501D" w:rsidRDefault="00FF501D" w:rsidP="00D72ECE">
            <w:pPr>
              <w:jc w:val="right"/>
              <w:rPr>
                <w:sz w:val="20"/>
                <w:szCs w:val="20"/>
              </w:rPr>
            </w:pPr>
          </w:p>
        </w:tc>
        <w:tc>
          <w:tcPr>
            <w:tcW w:w="1890" w:type="dxa"/>
            <w:tcBorders>
              <w:top w:val="single" w:sz="4" w:space="0" w:color="auto"/>
              <w:left w:val="single" w:sz="4" w:space="0" w:color="auto"/>
              <w:bottom w:val="nil"/>
            </w:tcBorders>
            <w:shd w:val="clear" w:color="auto" w:fill="auto"/>
            <w:tcMar>
              <w:left w:w="58" w:type="dxa"/>
              <w:right w:w="58" w:type="dxa"/>
            </w:tcMar>
            <w:vAlign w:val="center"/>
          </w:tcPr>
          <w:p w:rsidR="00FF501D" w:rsidRDefault="00FF501D" w:rsidP="00D72ECE">
            <w:pPr>
              <w:jc w:val="right"/>
              <w:rPr>
                <w:sz w:val="20"/>
                <w:szCs w:val="20"/>
              </w:rPr>
            </w:pPr>
          </w:p>
        </w:tc>
        <w:tc>
          <w:tcPr>
            <w:tcW w:w="1890" w:type="dxa"/>
            <w:tcBorders>
              <w:top w:val="single" w:sz="4" w:space="0" w:color="auto"/>
              <w:bottom w:val="nil"/>
              <w:right w:val="single" w:sz="4" w:space="0" w:color="auto"/>
            </w:tcBorders>
            <w:shd w:val="clear" w:color="auto" w:fill="auto"/>
            <w:tcMar>
              <w:left w:w="58" w:type="dxa"/>
              <w:right w:w="58" w:type="dxa"/>
            </w:tcMar>
            <w:vAlign w:val="center"/>
          </w:tcPr>
          <w:p w:rsidR="00FF501D" w:rsidRDefault="00FF501D" w:rsidP="00D72ECE">
            <w:pPr>
              <w:jc w:val="right"/>
              <w:rPr>
                <w:sz w:val="20"/>
                <w:szCs w:val="20"/>
              </w:rPr>
            </w:pPr>
          </w:p>
        </w:tc>
        <w:tc>
          <w:tcPr>
            <w:tcW w:w="1960" w:type="dxa"/>
            <w:tcBorders>
              <w:top w:val="single" w:sz="4" w:space="0" w:color="auto"/>
              <w:left w:val="single" w:sz="4" w:space="0" w:color="auto"/>
              <w:bottom w:val="nil"/>
              <w:right w:val="single" w:sz="4" w:space="0" w:color="auto"/>
            </w:tcBorders>
            <w:tcMar>
              <w:left w:w="58" w:type="dxa"/>
              <w:right w:w="58" w:type="dxa"/>
            </w:tcMar>
            <w:vAlign w:val="center"/>
          </w:tcPr>
          <w:p w:rsidR="00FF501D" w:rsidRDefault="00FF501D" w:rsidP="00D72ECE">
            <w:pPr>
              <w:jc w:val="right"/>
              <w:rPr>
                <w:sz w:val="20"/>
                <w:szCs w:val="20"/>
              </w:rPr>
            </w:pPr>
          </w:p>
        </w:tc>
        <w:tc>
          <w:tcPr>
            <w:tcW w:w="1846" w:type="dxa"/>
            <w:tcBorders>
              <w:top w:val="single" w:sz="4" w:space="0" w:color="auto"/>
              <w:left w:val="single" w:sz="4" w:space="0" w:color="auto"/>
              <w:bottom w:val="nil"/>
              <w:right w:val="double" w:sz="4" w:space="0" w:color="auto"/>
            </w:tcBorders>
            <w:tcMar>
              <w:left w:w="58" w:type="dxa"/>
              <w:right w:w="58" w:type="dxa"/>
            </w:tcMar>
            <w:vAlign w:val="center"/>
          </w:tcPr>
          <w:p w:rsidR="00FF501D" w:rsidRDefault="00FF501D" w:rsidP="00D72ECE">
            <w:pPr>
              <w:jc w:val="right"/>
              <w:rPr>
                <w:sz w:val="20"/>
                <w:szCs w:val="20"/>
              </w:rPr>
            </w:pPr>
          </w:p>
        </w:tc>
        <w:tc>
          <w:tcPr>
            <w:tcW w:w="1782" w:type="dxa"/>
            <w:tcBorders>
              <w:top w:val="single" w:sz="4" w:space="0" w:color="auto"/>
              <w:left w:val="single" w:sz="4" w:space="0" w:color="auto"/>
              <w:bottom w:val="nil"/>
              <w:right w:val="double" w:sz="4" w:space="0" w:color="auto"/>
            </w:tcBorders>
          </w:tcPr>
          <w:p w:rsidR="00FF501D" w:rsidRDefault="00FF501D" w:rsidP="00D72ECE">
            <w:pPr>
              <w:jc w:val="center"/>
              <w:rPr>
                <w:sz w:val="20"/>
                <w:szCs w:val="20"/>
              </w:rPr>
            </w:pPr>
          </w:p>
        </w:tc>
      </w:tr>
      <w:tr w:rsidR="00FF501D" w:rsidRPr="00BA38DA" w:rsidTr="00C01DCB">
        <w:trPr>
          <w:trHeight w:val="432"/>
          <w:jc w:val="center"/>
        </w:trPr>
        <w:tc>
          <w:tcPr>
            <w:tcW w:w="2865" w:type="dxa"/>
            <w:gridSpan w:val="2"/>
            <w:tcBorders>
              <w:top w:val="nil"/>
              <w:left w:val="double" w:sz="4" w:space="0" w:color="auto"/>
              <w:bottom w:val="nil"/>
              <w:right w:val="double" w:sz="4" w:space="0" w:color="auto"/>
            </w:tcBorders>
            <w:shd w:val="clear" w:color="auto" w:fill="auto"/>
            <w:tcMar>
              <w:left w:w="58" w:type="dxa"/>
              <w:right w:w="58" w:type="dxa"/>
            </w:tcMar>
            <w:vAlign w:val="center"/>
          </w:tcPr>
          <w:p w:rsidR="00FF501D" w:rsidRDefault="00FF501D" w:rsidP="004C4F47">
            <w:pPr>
              <w:ind w:left="378" w:firstLine="0"/>
              <w:jc w:val="left"/>
              <w:rPr>
                <w:sz w:val="20"/>
                <w:szCs w:val="20"/>
              </w:rPr>
            </w:pPr>
            <w:r>
              <w:rPr>
                <w:sz w:val="20"/>
                <w:szCs w:val="20"/>
              </w:rPr>
              <w:t>Possible injury</w:t>
            </w:r>
          </w:p>
        </w:tc>
        <w:tc>
          <w:tcPr>
            <w:tcW w:w="1995" w:type="dxa"/>
            <w:tcBorders>
              <w:top w:val="nil"/>
              <w:left w:val="double" w:sz="4" w:space="0" w:color="auto"/>
              <w:bottom w:val="nil"/>
              <w:right w:val="single" w:sz="4" w:space="0" w:color="auto"/>
            </w:tcBorders>
            <w:tcMar>
              <w:left w:w="58" w:type="dxa"/>
              <w:right w:w="58" w:type="dxa"/>
            </w:tcMar>
            <w:vAlign w:val="center"/>
          </w:tcPr>
          <w:p w:rsidR="00FF501D" w:rsidRDefault="00FF501D" w:rsidP="00D72ECE">
            <w:pPr>
              <w:rPr>
                <w:sz w:val="20"/>
                <w:szCs w:val="20"/>
              </w:rPr>
            </w:pPr>
            <w:r>
              <w:rPr>
                <w:sz w:val="20"/>
                <w:szCs w:val="20"/>
              </w:rPr>
              <w:t>0.0 (fixed)</w:t>
            </w:r>
          </w:p>
        </w:tc>
        <w:tc>
          <w:tcPr>
            <w:tcW w:w="1890" w:type="dxa"/>
            <w:tcBorders>
              <w:top w:val="nil"/>
              <w:left w:val="single" w:sz="4" w:space="0" w:color="auto"/>
              <w:bottom w:val="nil"/>
            </w:tcBorders>
            <w:shd w:val="clear" w:color="auto" w:fill="auto"/>
            <w:tcMar>
              <w:left w:w="58" w:type="dxa"/>
              <w:right w:w="58" w:type="dxa"/>
            </w:tcMar>
            <w:vAlign w:val="center"/>
          </w:tcPr>
          <w:p w:rsidR="00FF501D" w:rsidRDefault="00FF501D" w:rsidP="00D72ECE">
            <w:pPr>
              <w:ind w:firstLine="0"/>
              <w:jc w:val="center"/>
              <w:rPr>
                <w:sz w:val="20"/>
                <w:szCs w:val="20"/>
              </w:rPr>
            </w:pPr>
            <w:r>
              <w:rPr>
                <w:sz w:val="20"/>
                <w:szCs w:val="20"/>
              </w:rPr>
              <w:t>0.495 (3.98)</w:t>
            </w:r>
          </w:p>
        </w:tc>
        <w:tc>
          <w:tcPr>
            <w:tcW w:w="1890" w:type="dxa"/>
            <w:tcBorders>
              <w:top w:val="nil"/>
              <w:bottom w:val="nil"/>
              <w:right w:val="single" w:sz="4" w:space="0" w:color="auto"/>
            </w:tcBorders>
            <w:shd w:val="clear" w:color="auto" w:fill="auto"/>
            <w:tcMar>
              <w:left w:w="58" w:type="dxa"/>
              <w:right w:w="58" w:type="dxa"/>
            </w:tcMar>
            <w:vAlign w:val="center"/>
          </w:tcPr>
          <w:p w:rsidR="00FF501D" w:rsidRDefault="00FF501D" w:rsidP="00D72ECE">
            <w:pPr>
              <w:rPr>
                <w:sz w:val="20"/>
                <w:szCs w:val="20"/>
              </w:rPr>
            </w:pPr>
            <w:r>
              <w:rPr>
                <w:sz w:val="20"/>
                <w:szCs w:val="20"/>
              </w:rPr>
              <w:t>0.168 (2.23)</w:t>
            </w:r>
          </w:p>
        </w:tc>
        <w:tc>
          <w:tcPr>
            <w:tcW w:w="1960" w:type="dxa"/>
            <w:tcBorders>
              <w:top w:val="nil"/>
              <w:left w:val="single" w:sz="4" w:space="0" w:color="auto"/>
              <w:bottom w:val="nil"/>
              <w:right w:val="single" w:sz="4" w:space="0" w:color="auto"/>
            </w:tcBorders>
            <w:tcMar>
              <w:left w:w="58" w:type="dxa"/>
              <w:right w:w="58" w:type="dxa"/>
            </w:tcMar>
            <w:vAlign w:val="center"/>
          </w:tcPr>
          <w:p w:rsidR="00FF501D" w:rsidRDefault="00FF501D" w:rsidP="00D72ECE">
            <w:pPr>
              <w:rPr>
                <w:sz w:val="20"/>
                <w:szCs w:val="20"/>
              </w:rPr>
            </w:pPr>
            <w:r>
              <w:rPr>
                <w:sz w:val="20"/>
                <w:szCs w:val="20"/>
              </w:rPr>
              <w:t>0.0 (fixed)</w:t>
            </w:r>
          </w:p>
        </w:tc>
        <w:tc>
          <w:tcPr>
            <w:tcW w:w="1846" w:type="dxa"/>
            <w:tcBorders>
              <w:top w:val="nil"/>
              <w:left w:val="single" w:sz="4" w:space="0" w:color="auto"/>
              <w:bottom w:val="nil"/>
              <w:right w:val="double" w:sz="4" w:space="0" w:color="auto"/>
            </w:tcBorders>
            <w:tcMar>
              <w:left w:w="58" w:type="dxa"/>
              <w:right w:w="58" w:type="dxa"/>
            </w:tcMar>
            <w:vAlign w:val="center"/>
          </w:tcPr>
          <w:p w:rsidR="00FF501D" w:rsidRDefault="00FF501D" w:rsidP="00D72ECE">
            <w:pPr>
              <w:ind w:firstLine="0"/>
              <w:jc w:val="center"/>
              <w:rPr>
                <w:sz w:val="20"/>
                <w:szCs w:val="20"/>
              </w:rPr>
            </w:pPr>
            <w:r>
              <w:rPr>
                <w:sz w:val="20"/>
                <w:szCs w:val="20"/>
              </w:rPr>
              <w:t>0.511 (4.25)</w:t>
            </w:r>
          </w:p>
        </w:tc>
        <w:tc>
          <w:tcPr>
            <w:tcW w:w="1782" w:type="dxa"/>
            <w:tcBorders>
              <w:top w:val="nil"/>
              <w:left w:val="single" w:sz="4" w:space="0" w:color="auto"/>
              <w:bottom w:val="nil"/>
              <w:right w:val="double" w:sz="4" w:space="0" w:color="auto"/>
            </w:tcBorders>
            <w:vAlign w:val="center"/>
          </w:tcPr>
          <w:p w:rsidR="00FF501D" w:rsidRDefault="00FF501D" w:rsidP="00D72ECE">
            <w:pPr>
              <w:ind w:firstLine="0"/>
              <w:jc w:val="center"/>
              <w:rPr>
                <w:sz w:val="20"/>
                <w:szCs w:val="20"/>
              </w:rPr>
            </w:pPr>
            <w:r>
              <w:rPr>
                <w:sz w:val="20"/>
                <w:szCs w:val="20"/>
              </w:rPr>
              <w:t>0.221 (2.18)</w:t>
            </w:r>
          </w:p>
        </w:tc>
      </w:tr>
      <w:tr w:rsidR="00FF501D" w:rsidRPr="00BA38DA" w:rsidTr="00C01DCB">
        <w:trPr>
          <w:trHeight w:val="432"/>
          <w:jc w:val="center"/>
        </w:trPr>
        <w:tc>
          <w:tcPr>
            <w:tcW w:w="2865" w:type="dxa"/>
            <w:gridSpan w:val="2"/>
            <w:tcBorders>
              <w:top w:val="nil"/>
              <w:left w:val="double" w:sz="4" w:space="0" w:color="auto"/>
              <w:bottom w:val="nil"/>
              <w:right w:val="double" w:sz="4" w:space="0" w:color="auto"/>
            </w:tcBorders>
            <w:shd w:val="clear" w:color="auto" w:fill="auto"/>
            <w:tcMar>
              <w:left w:w="58" w:type="dxa"/>
              <w:right w:w="58" w:type="dxa"/>
            </w:tcMar>
            <w:vAlign w:val="center"/>
          </w:tcPr>
          <w:p w:rsidR="00FF501D" w:rsidRDefault="00FF501D" w:rsidP="004C4F47">
            <w:pPr>
              <w:ind w:left="378" w:firstLine="0"/>
              <w:jc w:val="left"/>
              <w:rPr>
                <w:sz w:val="20"/>
                <w:szCs w:val="20"/>
              </w:rPr>
            </w:pPr>
            <w:r>
              <w:rPr>
                <w:sz w:val="20"/>
                <w:szCs w:val="20"/>
              </w:rPr>
              <w:t>Non-incapacitating injury</w:t>
            </w:r>
          </w:p>
        </w:tc>
        <w:tc>
          <w:tcPr>
            <w:tcW w:w="1995" w:type="dxa"/>
            <w:tcBorders>
              <w:top w:val="nil"/>
              <w:left w:val="double" w:sz="4" w:space="0" w:color="auto"/>
              <w:bottom w:val="nil"/>
              <w:right w:val="single" w:sz="4" w:space="0" w:color="auto"/>
            </w:tcBorders>
            <w:tcMar>
              <w:left w:w="58" w:type="dxa"/>
              <w:right w:w="58" w:type="dxa"/>
            </w:tcMar>
            <w:vAlign w:val="center"/>
          </w:tcPr>
          <w:p w:rsidR="00FF501D" w:rsidRDefault="00FF501D" w:rsidP="00D72ECE">
            <w:pPr>
              <w:rPr>
                <w:sz w:val="20"/>
                <w:szCs w:val="20"/>
              </w:rPr>
            </w:pPr>
            <w:r>
              <w:rPr>
                <w:sz w:val="20"/>
                <w:szCs w:val="20"/>
              </w:rPr>
              <w:t>0.0 (fixed)</w:t>
            </w:r>
          </w:p>
        </w:tc>
        <w:tc>
          <w:tcPr>
            <w:tcW w:w="1890" w:type="dxa"/>
            <w:tcBorders>
              <w:top w:val="nil"/>
              <w:left w:val="single" w:sz="4" w:space="0" w:color="auto"/>
              <w:bottom w:val="nil"/>
            </w:tcBorders>
            <w:shd w:val="clear" w:color="auto" w:fill="auto"/>
            <w:tcMar>
              <w:left w:w="58" w:type="dxa"/>
              <w:right w:w="58" w:type="dxa"/>
            </w:tcMar>
            <w:vAlign w:val="center"/>
          </w:tcPr>
          <w:p w:rsidR="00FF501D" w:rsidRDefault="00FF501D" w:rsidP="00D72ECE">
            <w:pPr>
              <w:ind w:firstLine="0"/>
              <w:jc w:val="center"/>
              <w:rPr>
                <w:sz w:val="20"/>
                <w:szCs w:val="20"/>
              </w:rPr>
            </w:pPr>
            <w:r>
              <w:rPr>
                <w:sz w:val="20"/>
                <w:szCs w:val="20"/>
              </w:rPr>
              <w:t>0.495 (3.98)</w:t>
            </w:r>
          </w:p>
        </w:tc>
        <w:tc>
          <w:tcPr>
            <w:tcW w:w="1890" w:type="dxa"/>
            <w:tcBorders>
              <w:top w:val="nil"/>
              <w:bottom w:val="nil"/>
              <w:right w:val="single" w:sz="4" w:space="0" w:color="auto"/>
            </w:tcBorders>
            <w:shd w:val="clear" w:color="auto" w:fill="auto"/>
            <w:tcMar>
              <w:left w:w="58" w:type="dxa"/>
              <w:right w:w="58" w:type="dxa"/>
            </w:tcMar>
            <w:vAlign w:val="center"/>
          </w:tcPr>
          <w:p w:rsidR="00FF501D" w:rsidRDefault="00FF501D" w:rsidP="00D72ECE">
            <w:pPr>
              <w:rPr>
                <w:sz w:val="20"/>
                <w:szCs w:val="20"/>
              </w:rPr>
            </w:pPr>
            <w:r>
              <w:rPr>
                <w:sz w:val="20"/>
                <w:szCs w:val="20"/>
              </w:rPr>
              <w:t>0.430 (5.73)</w:t>
            </w:r>
          </w:p>
        </w:tc>
        <w:tc>
          <w:tcPr>
            <w:tcW w:w="1960" w:type="dxa"/>
            <w:tcBorders>
              <w:top w:val="nil"/>
              <w:left w:val="single" w:sz="4" w:space="0" w:color="auto"/>
              <w:bottom w:val="nil"/>
              <w:right w:val="single" w:sz="4" w:space="0" w:color="auto"/>
            </w:tcBorders>
            <w:tcMar>
              <w:left w:w="58" w:type="dxa"/>
              <w:right w:w="58" w:type="dxa"/>
            </w:tcMar>
            <w:vAlign w:val="center"/>
          </w:tcPr>
          <w:p w:rsidR="00FF501D" w:rsidRDefault="00FF501D" w:rsidP="00D72ECE">
            <w:pPr>
              <w:rPr>
                <w:sz w:val="20"/>
                <w:szCs w:val="20"/>
              </w:rPr>
            </w:pPr>
            <w:r>
              <w:rPr>
                <w:sz w:val="20"/>
                <w:szCs w:val="20"/>
              </w:rPr>
              <w:t>0.0 (fixed)</w:t>
            </w:r>
          </w:p>
        </w:tc>
        <w:tc>
          <w:tcPr>
            <w:tcW w:w="1846" w:type="dxa"/>
            <w:tcBorders>
              <w:top w:val="nil"/>
              <w:left w:val="single" w:sz="4" w:space="0" w:color="auto"/>
              <w:bottom w:val="nil"/>
              <w:right w:val="double" w:sz="4" w:space="0" w:color="auto"/>
            </w:tcBorders>
            <w:tcMar>
              <w:left w:w="58" w:type="dxa"/>
              <w:right w:w="58" w:type="dxa"/>
            </w:tcMar>
            <w:vAlign w:val="center"/>
          </w:tcPr>
          <w:p w:rsidR="00FF501D" w:rsidRDefault="00FF501D" w:rsidP="00D72ECE">
            <w:pPr>
              <w:ind w:firstLine="0"/>
              <w:jc w:val="center"/>
              <w:rPr>
                <w:sz w:val="20"/>
                <w:szCs w:val="20"/>
              </w:rPr>
            </w:pPr>
            <w:r>
              <w:rPr>
                <w:sz w:val="20"/>
                <w:szCs w:val="20"/>
              </w:rPr>
              <w:t>0.511 (4.25)</w:t>
            </w:r>
          </w:p>
        </w:tc>
        <w:tc>
          <w:tcPr>
            <w:tcW w:w="1782" w:type="dxa"/>
            <w:tcBorders>
              <w:top w:val="nil"/>
              <w:left w:val="single" w:sz="4" w:space="0" w:color="auto"/>
              <w:bottom w:val="nil"/>
              <w:right w:val="double" w:sz="4" w:space="0" w:color="auto"/>
            </w:tcBorders>
            <w:vAlign w:val="center"/>
          </w:tcPr>
          <w:p w:rsidR="00FF501D" w:rsidRDefault="00FF501D" w:rsidP="00D72ECE">
            <w:pPr>
              <w:ind w:firstLine="0"/>
              <w:jc w:val="center"/>
              <w:rPr>
                <w:sz w:val="20"/>
                <w:szCs w:val="20"/>
              </w:rPr>
            </w:pPr>
            <w:r>
              <w:rPr>
                <w:sz w:val="20"/>
                <w:szCs w:val="20"/>
              </w:rPr>
              <w:t>0.428 (5.11)</w:t>
            </w:r>
          </w:p>
        </w:tc>
      </w:tr>
      <w:tr w:rsidR="00FF501D" w:rsidRPr="00BA38DA" w:rsidTr="00C01DCB">
        <w:trPr>
          <w:trHeight w:val="432"/>
          <w:jc w:val="center"/>
        </w:trPr>
        <w:tc>
          <w:tcPr>
            <w:tcW w:w="2865" w:type="dxa"/>
            <w:gridSpan w:val="2"/>
            <w:tcBorders>
              <w:top w:val="nil"/>
              <w:left w:val="double" w:sz="4" w:space="0" w:color="auto"/>
              <w:bottom w:val="nil"/>
              <w:right w:val="double" w:sz="4" w:space="0" w:color="auto"/>
            </w:tcBorders>
            <w:shd w:val="clear" w:color="auto" w:fill="auto"/>
            <w:tcMar>
              <w:left w:w="58" w:type="dxa"/>
              <w:right w:w="58" w:type="dxa"/>
            </w:tcMar>
            <w:vAlign w:val="center"/>
          </w:tcPr>
          <w:p w:rsidR="00FF501D" w:rsidRDefault="00FF501D" w:rsidP="004C4F47">
            <w:pPr>
              <w:ind w:left="378" w:firstLine="0"/>
              <w:jc w:val="left"/>
              <w:rPr>
                <w:sz w:val="20"/>
                <w:szCs w:val="20"/>
              </w:rPr>
            </w:pPr>
            <w:r>
              <w:rPr>
                <w:sz w:val="20"/>
                <w:szCs w:val="20"/>
              </w:rPr>
              <w:t>Incapacitating injury</w:t>
            </w:r>
          </w:p>
        </w:tc>
        <w:tc>
          <w:tcPr>
            <w:tcW w:w="1995" w:type="dxa"/>
            <w:tcBorders>
              <w:top w:val="nil"/>
              <w:left w:val="double" w:sz="4" w:space="0" w:color="auto"/>
              <w:bottom w:val="nil"/>
              <w:right w:val="single" w:sz="4" w:space="0" w:color="auto"/>
            </w:tcBorders>
            <w:tcMar>
              <w:left w:w="58" w:type="dxa"/>
              <w:right w:w="58" w:type="dxa"/>
            </w:tcMar>
            <w:vAlign w:val="center"/>
          </w:tcPr>
          <w:p w:rsidR="00FF501D" w:rsidRDefault="00FF501D" w:rsidP="00D72ECE">
            <w:pPr>
              <w:rPr>
                <w:sz w:val="20"/>
                <w:szCs w:val="20"/>
              </w:rPr>
            </w:pPr>
            <w:r>
              <w:rPr>
                <w:sz w:val="20"/>
                <w:szCs w:val="20"/>
              </w:rPr>
              <w:t>0.0 (fixed)</w:t>
            </w:r>
          </w:p>
        </w:tc>
        <w:tc>
          <w:tcPr>
            <w:tcW w:w="1890" w:type="dxa"/>
            <w:tcBorders>
              <w:top w:val="nil"/>
              <w:left w:val="single" w:sz="4" w:space="0" w:color="auto"/>
              <w:bottom w:val="nil"/>
            </w:tcBorders>
            <w:shd w:val="clear" w:color="auto" w:fill="auto"/>
            <w:tcMar>
              <w:left w:w="58" w:type="dxa"/>
              <w:right w:w="58" w:type="dxa"/>
            </w:tcMar>
            <w:vAlign w:val="center"/>
          </w:tcPr>
          <w:p w:rsidR="00FF501D" w:rsidRDefault="00FF501D" w:rsidP="00D72ECE">
            <w:pPr>
              <w:ind w:firstLine="0"/>
              <w:jc w:val="center"/>
              <w:rPr>
                <w:sz w:val="20"/>
                <w:szCs w:val="20"/>
              </w:rPr>
            </w:pPr>
            <w:r>
              <w:rPr>
                <w:sz w:val="20"/>
                <w:szCs w:val="20"/>
              </w:rPr>
              <w:t>0.495 (3.98)</w:t>
            </w:r>
          </w:p>
        </w:tc>
        <w:tc>
          <w:tcPr>
            <w:tcW w:w="1890" w:type="dxa"/>
            <w:tcBorders>
              <w:top w:val="nil"/>
              <w:bottom w:val="nil"/>
              <w:right w:val="single" w:sz="4" w:space="0" w:color="auto"/>
            </w:tcBorders>
            <w:shd w:val="clear" w:color="auto" w:fill="auto"/>
            <w:tcMar>
              <w:left w:w="58" w:type="dxa"/>
              <w:right w:w="58" w:type="dxa"/>
            </w:tcMar>
            <w:vAlign w:val="center"/>
          </w:tcPr>
          <w:p w:rsidR="00FF501D" w:rsidRDefault="00FF501D" w:rsidP="00D72ECE">
            <w:pPr>
              <w:rPr>
                <w:sz w:val="20"/>
                <w:szCs w:val="20"/>
              </w:rPr>
            </w:pPr>
            <w:r>
              <w:rPr>
                <w:sz w:val="20"/>
                <w:szCs w:val="20"/>
              </w:rPr>
              <w:t>0.503 (3.12)</w:t>
            </w:r>
          </w:p>
        </w:tc>
        <w:tc>
          <w:tcPr>
            <w:tcW w:w="1960" w:type="dxa"/>
            <w:tcBorders>
              <w:top w:val="nil"/>
              <w:left w:val="single" w:sz="4" w:space="0" w:color="auto"/>
              <w:bottom w:val="nil"/>
              <w:right w:val="single" w:sz="4" w:space="0" w:color="auto"/>
            </w:tcBorders>
            <w:tcMar>
              <w:left w:w="58" w:type="dxa"/>
              <w:right w:w="58" w:type="dxa"/>
            </w:tcMar>
            <w:vAlign w:val="center"/>
          </w:tcPr>
          <w:p w:rsidR="00FF501D" w:rsidRDefault="00FF501D" w:rsidP="00D72ECE">
            <w:pPr>
              <w:rPr>
                <w:sz w:val="20"/>
                <w:szCs w:val="20"/>
              </w:rPr>
            </w:pPr>
            <w:r>
              <w:rPr>
                <w:sz w:val="20"/>
                <w:szCs w:val="20"/>
              </w:rPr>
              <w:t>0.0 (fixed)</w:t>
            </w:r>
          </w:p>
        </w:tc>
        <w:tc>
          <w:tcPr>
            <w:tcW w:w="1846" w:type="dxa"/>
            <w:tcBorders>
              <w:top w:val="nil"/>
              <w:left w:val="single" w:sz="4" w:space="0" w:color="auto"/>
              <w:bottom w:val="nil"/>
              <w:right w:val="double" w:sz="4" w:space="0" w:color="auto"/>
            </w:tcBorders>
            <w:tcMar>
              <w:left w:w="58" w:type="dxa"/>
              <w:right w:w="58" w:type="dxa"/>
            </w:tcMar>
            <w:vAlign w:val="center"/>
          </w:tcPr>
          <w:p w:rsidR="00FF501D" w:rsidRDefault="00FF501D" w:rsidP="00D72ECE">
            <w:pPr>
              <w:ind w:firstLine="0"/>
              <w:jc w:val="center"/>
              <w:rPr>
                <w:sz w:val="20"/>
                <w:szCs w:val="20"/>
              </w:rPr>
            </w:pPr>
            <w:r>
              <w:rPr>
                <w:sz w:val="20"/>
                <w:szCs w:val="20"/>
              </w:rPr>
              <w:t>0.511 (4.25)</w:t>
            </w:r>
          </w:p>
        </w:tc>
        <w:tc>
          <w:tcPr>
            <w:tcW w:w="1782" w:type="dxa"/>
            <w:tcBorders>
              <w:top w:val="nil"/>
              <w:left w:val="single" w:sz="4" w:space="0" w:color="auto"/>
              <w:bottom w:val="nil"/>
              <w:right w:val="double" w:sz="4" w:space="0" w:color="auto"/>
            </w:tcBorders>
            <w:vAlign w:val="center"/>
          </w:tcPr>
          <w:p w:rsidR="00FF501D" w:rsidRDefault="00FF501D" w:rsidP="00D72ECE">
            <w:pPr>
              <w:ind w:firstLine="0"/>
              <w:jc w:val="center"/>
              <w:rPr>
                <w:sz w:val="20"/>
                <w:szCs w:val="20"/>
              </w:rPr>
            </w:pPr>
            <w:r>
              <w:rPr>
                <w:sz w:val="20"/>
                <w:szCs w:val="20"/>
              </w:rPr>
              <w:t>0.629 (2.54)</w:t>
            </w:r>
          </w:p>
        </w:tc>
      </w:tr>
      <w:tr w:rsidR="00FF501D" w:rsidRPr="00BA38DA" w:rsidTr="00C01DCB">
        <w:trPr>
          <w:trHeight w:val="432"/>
          <w:jc w:val="center"/>
        </w:trPr>
        <w:tc>
          <w:tcPr>
            <w:tcW w:w="2865" w:type="dxa"/>
            <w:gridSpan w:val="2"/>
            <w:tcBorders>
              <w:top w:val="nil"/>
              <w:left w:val="double" w:sz="4" w:space="0" w:color="auto"/>
              <w:bottom w:val="single" w:sz="4" w:space="0" w:color="auto"/>
              <w:right w:val="double" w:sz="4" w:space="0" w:color="auto"/>
            </w:tcBorders>
            <w:shd w:val="clear" w:color="auto" w:fill="auto"/>
            <w:tcMar>
              <w:left w:w="58" w:type="dxa"/>
              <w:right w:w="58" w:type="dxa"/>
            </w:tcMar>
            <w:vAlign w:val="center"/>
          </w:tcPr>
          <w:p w:rsidR="00FF501D" w:rsidRDefault="00FF501D" w:rsidP="004C4F47">
            <w:pPr>
              <w:ind w:left="378" w:firstLine="0"/>
              <w:jc w:val="left"/>
              <w:rPr>
                <w:sz w:val="20"/>
                <w:szCs w:val="20"/>
              </w:rPr>
            </w:pPr>
            <w:r>
              <w:rPr>
                <w:sz w:val="20"/>
                <w:szCs w:val="20"/>
              </w:rPr>
              <w:t>Fatal injury</w:t>
            </w:r>
          </w:p>
        </w:tc>
        <w:tc>
          <w:tcPr>
            <w:tcW w:w="1995" w:type="dxa"/>
            <w:tcBorders>
              <w:top w:val="nil"/>
              <w:left w:val="double" w:sz="4" w:space="0" w:color="auto"/>
              <w:bottom w:val="single" w:sz="4" w:space="0" w:color="auto"/>
              <w:right w:val="single" w:sz="4" w:space="0" w:color="auto"/>
            </w:tcBorders>
            <w:tcMar>
              <w:left w:w="58" w:type="dxa"/>
              <w:right w:w="58" w:type="dxa"/>
            </w:tcMar>
            <w:vAlign w:val="center"/>
          </w:tcPr>
          <w:p w:rsidR="00FF501D" w:rsidRDefault="00FF501D" w:rsidP="00D72ECE">
            <w:pPr>
              <w:rPr>
                <w:sz w:val="20"/>
                <w:szCs w:val="20"/>
              </w:rPr>
            </w:pPr>
            <w:r>
              <w:rPr>
                <w:sz w:val="20"/>
                <w:szCs w:val="20"/>
              </w:rPr>
              <w:t>0.0 (fixed)</w:t>
            </w:r>
          </w:p>
        </w:tc>
        <w:tc>
          <w:tcPr>
            <w:tcW w:w="1890" w:type="dxa"/>
            <w:tcBorders>
              <w:top w:val="nil"/>
              <w:left w:val="single" w:sz="4" w:space="0" w:color="auto"/>
              <w:bottom w:val="single" w:sz="4" w:space="0" w:color="auto"/>
            </w:tcBorders>
            <w:shd w:val="clear" w:color="auto" w:fill="auto"/>
            <w:tcMar>
              <w:left w:w="58" w:type="dxa"/>
              <w:right w:w="58" w:type="dxa"/>
            </w:tcMar>
            <w:vAlign w:val="center"/>
          </w:tcPr>
          <w:p w:rsidR="00FF501D" w:rsidRDefault="00FF501D" w:rsidP="00D72ECE">
            <w:pPr>
              <w:ind w:firstLine="0"/>
              <w:jc w:val="center"/>
              <w:rPr>
                <w:sz w:val="20"/>
                <w:szCs w:val="20"/>
              </w:rPr>
            </w:pPr>
            <w:r>
              <w:rPr>
                <w:sz w:val="20"/>
                <w:szCs w:val="20"/>
              </w:rPr>
              <w:t>0.495 (3.98)</w:t>
            </w:r>
          </w:p>
        </w:tc>
        <w:tc>
          <w:tcPr>
            <w:tcW w:w="1890" w:type="dxa"/>
            <w:tcBorders>
              <w:top w:val="nil"/>
              <w:bottom w:val="single" w:sz="4" w:space="0" w:color="auto"/>
              <w:right w:val="single" w:sz="4" w:space="0" w:color="auto"/>
            </w:tcBorders>
            <w:shd w:val="clear" w:color="auto" w:fill="auto"/>
            <w:tcMar>
              <w:left w:w="58" w:type="dxa"/>
              <w:right w:w="58" w:type="dxa"/>
            </w:tcMar>
            <w:vAlign w:val="center"/>
          </w:tcPr>
          <w:p w:rsidR="00FF501D" w:rsidRDefault="00FF501D" w:rsidP="00D72ECE">
            <w:pPr>
              <w:rPr>
                <w:sz w:val="20"/>
                <w:szCs w:val="20"/>
              </w:rPr>
            </w:pPr>
            <w:r>
              <w:rPr>
                <w:sz w:val="20"/>
                <w:szCs w:val="20"/>
              </w:rPr>
              <w:t>0.731 (4.28)</w:t>
            </w:r>
          </w:p>
        </w:tc>
        <w:tc>
          <w:tcPr>
            <w:tcW w:w="1960" w:type="dxa"/>
            <w:tcBorders>
              <w:top w:val="nil"/>
              <w:left w:val="single" w:sz="4" w:space="0" w:color="auto"/>
              <w:bottom w:val="single" w:sz="4" w:space="0" w:color="auto"/>
              <w:right w:val="single" w:sz="4" w:space="0" w:color="auto"/>
            </w:tcBorders>
            <w:tcMar>
              <w:left w:w="58" w:type="dxa"/>
              <w:right w:w="58" w:type="dxa"/>
            </w:tcMar>
            <w:vAlign w:val="center"/>
          </w:tcPr>
          <w:p w:rsidR="00FF501D" w:rsidRDefault="00FF501D" w:rsidP="00D72ECE">
            <w:pPr>
              <w:rPr>
                <w:sz w:val="20"/>
                <w:szCs w:val="20"/>
              </w:rPr>
            </w:pPr>
            <w:r>
              <w:rPr>
                <w:sz w:val="20"/>
                <w:szCs w:val="20"/>
              </w:rPr>
              <w:t>0.0 (fixed)</w:t>
            </w:r>
          </w:p>
        </w:tc>
        <w:tc>
          <w:tcPr>
            <w:tcW w:w="1846" w:type="dxa"/>
            <w:tcBorders>
              <w:top w:val="nil"/>
              <w:left w:val="single" w:sz="4" w:space="0" w:color="auto"/>
              <w:bottom w:val="single" w:sz="4" w:space="0" w:color="auto"/>
              <w:right w:val="double" w:sz="4" w:space="0" w:color="auto"/>
            </w:tcBorders>
            <w:tcMar>
              <w:left w:w="58" w:type="dxa"/>
              <w:right w:w="58" w:type="dxa"/>
            </w:tcMar>
            <w:vAlign w:val="center"/>
          </w:tcPr>
          <w:p w:rsidR="00FF501D" w:rsidRDefault="00FF501D" w:rsidP="00D72ECE">
            <w:pPr>
              <w:ind w:firstLine="0"/>
              <w:jc w:val="center"/>
              <w:rPr>
                <w:sz w:val="20"/>
                <w:szCs w:val="20"/>
              </w:rPr>
            </w:pPr>
            <w:r>
              <w:rPr>
                <w:sz w:val="20"/>
                <w:szCs w:val="20"/>
              </w:rPr>
              <w:t>0.511 (4.25)</w:t>
            </w:r>
          </w:p>
        </w:tc>
        <w:tc>
          <w:tcPr>
            <w:tcW w:w="1782" w:type="dxa"/>
            <w:tcBorders>
              <w:top w:val="nil"/>
              <w:left w:val="single" w:sz="4" w:space="0" w:color="auto"/>
              <w:bottom w:val="single" w:sz="4" w:space="0" w:color="auto"/>
              <w:right w:val="double" w:sz="4" w:space="0" w:color="auto"/>
            </w:tcBorders>
            <w:vAlign w:val="center"/>
          </w:tcPr>
          <w:p w:rsidR="00FF501D" w:rsidRDefault="00FF501D" w:rsidP="00D72ECE">
            <w:pPr>
              <w:ind w:firstLine="0"/>
              <w:jc w:val="center"/>
              <w:rPr>
                <w:sz w:val="20"/>
                <w:szCs w:val="20"/>
              </w:rPr>
            </w:pPr>
            <w:r>
              <w:rPr>
                <w:sz w:val="20"/>
                <w:szCs w:val="20"/>
              </w:rPr>
              <w:t>0.794 (3.27)</w:t>
            </w:r>
          </w:p>
        </w:tc>
      </w:tr>
      <w:tr w:rsidR="00FF501D" w:rsidRPr="00BA38DA" w:rsidTr="00C01DCB">
        <w:trPr>
          <w:trHeight w:val="432"/>
          <w:jc w:val="center"/>
        </w:trPr>
        <w:tc>
          <w:tcPr>
            <w:tcW w:w="1785" w:type="dxa"/>
            <w:tcBorders>
              <w:top w:val="double" w:sz="4" w:space="0" w:color="auto"/>
              <w:left w:val="double" w:sz="4" w:space="0" w:color="auto"/>
              <w:bottom w:val="double" w:sz="4" w:space="0" w:color="auto"/>
              <w:right w:val="single" w:sz="4" w:space="0" w:color="auto"/>
            </w:tcBorders>
            <w:shd w:val="clear" w:color="auto" w:fill="auto"/>
            <w:tcMar>
              <w:left w:w="58" w:type="dxa"/>
              <w:right w:w="58" w:type="dxa"/>
            </w:tcMar>
            <w:vAlign w:val="center"/>
          </w:tcPr>
          <w:p w:rsidR="00FF501D" w:rsidRPr="00705D98" w:rsidRDefault="00FF501D" w:rsidP="004C4F47">
            <w:pPr>
              <w:spacing w:line="240" w:lineRule="auto"/>
              <w:ind w:firstLine="0"/>
              <w:jc w:val="center"/>
              <w:rPr>
                <w:b/>
                <w:sz w:val="20"/>
                <w:szCs w:val="20"/>
              </w:rPr>
            </w:pPr>
            <w:r>
              <w:rPr>
                <w:b/>
                <w:sz w:val="20"/>
                <w:szCs w:val="20"/>
              </w:rPr>
              <w:t>Injury severity level</w:t>
            </w:r>
          </w:p>
        </w:tc>
        <w:tc>
          <w:tcPr>
            <w:tcW w:w="1080" w:type="dxa"/>
            <w:tcBorders>
              <w:top w:val="double" w:sz="4" w:space="0" w:color="auto"/>
              <w:left w:val="single" w:sz="4" w:space="0" w:color="auto"/>
              <w:bottom w:val="double" w:sz="4" w:space="0" w:color="auto"/>
              <w:right w:val="double" w:sz="4" w:space="0" w:color="auto"/>
            </w:tcBorders>
            <w:shd w:val="clear" w:color="auto" w:fill="auto"/>
            <w:tcMar>
              <w:left w:w="58" w:type="dxa"/>
              <w:right w:w="58" w:type="dxa"/>
            </w:tcMar>
            <w:vAlign w:val="center"/>
          </w:tcPr>
          <w:p w:rsidR="00FF501D" w:rsidRPr="00705D98" w:rsidRDefault="00FF501D" w:rsidP="00D72ECE">
            <w:pPr>
              <w:spacing w:line="240" w:lineRule="auto"/>
              <w:ind w:firstLine="0"/>
              <w:jc w:val="center"/>
              <w:rPr>
                <w:b/>
                <w:sz w:val="20"/>
                <w:szCs w:val="20"/>
              </w:rPr>
            </w:pPr>
            <w:r w:rsidRPr="00705D98">
              <w:rPr>
                <w:b/>
                <w:sz w:val="20"/>
                <w:szCs w:val="20"/>
              </w:rPr>
              <w:t xml:space="preserve">Actual </w:t>
            </w:r>
            <w:r>
              <w:rPr>
                <w:b/>
                <w:sz w:val="20"/>
                <w:szCs w:val="20"/>
              </w:rPr>
              <w:t>count</w:t>
            </w:r>
          </w:p>
        </w:tc>
        <w:tc>
          <w:tcPr>
            <w:tcW w:w="9581" w:type="dxa"/>
            <w:gridSpan w:val="5"/>
            <w:tcBorders>
              <w:top w:val="double" w:sz="4" w:space="0" w:color="auto"/>
              <w:left w:val="double" w:sz="4" w:space="0" w:color="auto"/>
              <w:bottom w:val="double" w:sz="4" w:space="0" w:color="auto"/>
              <w:right w:val="double" w:sz="4" w:space="0" w:color="auto"/>
            </w:tcBorders>
            <w:tcMar>
              <w:left w:w="58" w:type="dxa"/>
              <w:right w:w="58" w:type="dxa"/>
            </w:tcMar>
            <w:vAlign w:val="center"/>
          </w:tcPr>
          <w:p w:rsidR="00FF501D" w:rsidRPr="00705D98" w:rsidRDefault="00FF501D" w:rsidP="00D72ECE">
            <w:pPr>
              <w:spacing w:line="240" w:lineRule="auto"/>
              <w:ind w:firstLine="0"/>
              <w:jc w:val="center"/>
              <w:rPr>
                <w:b/>
                <w:sz w:val="20"/>
                <w:szCs w:val="20"/>
              </w:rPr>
            </w:pPr>
            <w:r w:rsidRPr="00705D98">
              <w:rPr>
                <w:b/>
                <w:sz w:val="20"/>
                <w:szCs w:val="20"/>
              </w:rPr>
              <w:t xml:space="preserve">Predicted </w:t>
            </w:r>
            <w:r>
              <w:rPr>
                <w:b/>
                <w:sz w:val="20"/>
                <w:szCs w:val="20"/>
              </w:rPr>
              <w:t>count</w:t>
            </w:r>
          </w:p>
        </w:tc>
        <w:tc>
          <w:tcPr>
            <w:tcW w:w="1782" w:type="dxa"/>
            <w:tcBorders>
              <w:top w:val="double" w:sz="4" w:space="0" w:color="auto"/>
              <w:left w:val="double" w:sz="4" w:space="0" w:color="auto"/>
              <w:bottom w:val="double" w:sz="4" w:space="0" w:color="auto"/>
              <w:right w:val="double" w:sz="4" w:space="0" w:color="auto"/>
            </w:tcBorders>
          </w:tcPr>
          <w:p w:rsidR="00FF501D" w:rsidRPr="00705D98" w:rsidRDefault="00FF501D" w:rsidP="00D72ECE">
            <w:pPr>
              <w:jc w:val="center"/>
              <w:rPr>
                <w:b/>
                <w:sz w:val="20"/>
                <w:szCs w:val="20"/>
              </w:rPr>
            </w:pPr>
          </w:p>
        </w:tc>
      </w:tr>
      <w:tr w:rsidR="00FF501D" w:rsidRPr="00BA38DA" w:rsidTr="00C01DCB">
        <w:trPr>
          <w:trHeight w:val="432"/>
          <w:jc w:val="center"/>
        </w:trPr>
        <w:tc>
          <w:tcPr>
            <w:tcW w:w="1785" w:type="dxa"/>
            <w:tcBorders>
              <w:top w:val="double" w:sz="4" w:space="0" w:color="auto"/>
              <w:left w:val="double" w:sz="4" w:space="0" w:color="auto"/>
              <w:right w:val="single" w:sz="4" w:space="0" w:color="auto"/>
            </w:tcBorders>
            <w:shd w:val="clear" w:color="auto" w:fill="auto"/>
            <w:tcMar>
              <w:left w:w="58" w:type="dxa"/>
              <w:right w:w="58" w:type="dxa"/>
            </w:tcMar>
            <w:vAlign w:val="center"/>
          </w:tcPr>
          <w:p w:rsidR="00FF501D" w:rsidRPr="00BA38DA" w:rsidRDefault="00FF501D" w:rsidP="004C4F47">
            <w:pPr>
              <w:ind w:left="18" w:firstLine="22"/>
              <w:rPr>
                <w:sz w:val="20"/>
                <w:szCs w:val="20"/>
              </w:rPr>
            </w:pPr>
            <w:r>
              <w:rPr>
                <w:sz w:val="20"/>
                <w:szCs w:val="20"/>
              </w:rPr>
              <w:t>Possible injury</w:t>
            </w:r>
          </w:p>
        </w:tc>
        <w:tc>
          <w:tcPr>
            <w:tcW w:w="1080" w:type="dxa"/>
            <w:tcBorders>
              <w:top w:val="double" w:sz="4" w:space="0" w:color="auto"/>
              <w:left w:val="single" w:sz="4" w:space="0" w:color="auto"/>
              <w:bottom w:val="single" w:sz="4" w:space="0" w:color="auto"/>
              <w:right w:val="double" w:sz="4" w:space="0" w:color="auto"/>
            </w:tcBorders>
            <w:shd w:val="clear" w:color="auto" w:fill="auto"/>
            <w:tcMar>
              <w:left w:w="58" w:type="dxa"/>
              <w:right w:w="58" w:type="dxa"/>
            </w:tcMar>
            <w:vAlign w:val="center"/>
          </w:tcPr>
          <w:p w:rsidR="00FF501D" w:rsidRPr="00BA38DA" w:rsidRDefault="00FF501D" w:rsidP="00D72ECE">
            <w:pPr>
              <w:ind w:firstLine="0"/>
              <w:jc w:val="center"/>
              <w:rPr>
                <w:sz w:val="20"/>
                <w:szCs w:val="20"/>
              </w:rPr>
            </w:pPr>
            <w:r>
              <w:rPr>
                <w:sz w:val="20"/>
                <w:szCs w:val="20"/>
              </w:rPr>
              <w:t>1,700</w:t>
            </w:r>
          </w:p>
        </w:tc>
        <w:tc>
          <w:tcPr>
            <w:tcW w:w="1995" w:type="dxa"/>
            <w:tcBorders>
              <w:top w:val="double" w:sz="4" w:space="0" w:color="auto"/>
              <w:left w:val="double" w:sz="4" w:space="0" w:color="auto"/>
              <w:bottom w:val="single" w:sz="4" w:space="0" w:color="auto"/>
              <w:right w:val="single" w:sz="4" w:space="0" w:color="auto"/>
            </w:tcBorders>
            <w:tcMar>
              <w:left w:w="58" w:type="dxa"/>
              <w:right w:w="58" w:type="dxa"/>
            </w:tcMar>
            <w:vAlign w:val="center"/>
          </w:tcPr>
          <w:p w:rsidR="00FF501D" w:rsidRDefault="00FF501D" w:rsidP="00D72ECE">
            <w:pPr>
              <w:jc w:val="center"/>
              <w:rPr>
                <w:sz w:val="20"/>
                <w:szCs w:val="20"/>
              </w:rPr>
            </w:pPr>
            <w:r>
              <w:rPr>
                <w:sz w:val="20"/>
                <w:szCs w:val="20"/>
              </w:rPr>
              <w:t>1,930.1</w:t>
            </w:r>
          </w:p>
        </w:tc>
        <w:tc>
          <w:tcPr>
            <w:tcW w:w="1890" w:type="dxa"/>
            <w:tcBorders>
              <w:top w:val="double" w:sz="4" w:space="0" w:color="auto"/>
              <w:left w:val="single" w:sz="4" w:space="0" w:color="auto"/>
              <w:bottom w:val="single" w:sz="4" w:space="0" w:color="auto"/>
            </w:tcBorders>
            <w:shd w:val="clear" w:color="auto" w:fill="auto"/>
            <w:tcMar>
              <w:left w:w="58" w:type="dxa"/>
              <w:right w:w="58" w:type="dxa"/>
            </w:tcMar>
            <w:vAlign w:val="center"/>
          </w:tcPr>
          <w:p w:rsidR="00FF501D" w:rsidRPr="00BA38DA" w:rsidRDefault="00FF501D" w:rsidP="00D72ECE">
            <w:pPr>
              <w:jc w:val="center"/>
              <w:rPr>
                <w:sz w:val="20"/>
                <w:szCs w:val="20"/>
              </w:rPr>
            </w:pPr>
            <w:r>
              <w:rPr>
                <w:sz w:val="20"/>
                <w:szCs w:val="20"/>
              </w:rPr>
              <w:t>1,853.4</w:t>
            </w:r>
          </w:p>
        </w:tc>
        <w:tc>
          <w:tcPr>
            <w:tcW w:w="1890" w:type="dxa"/>
            <w:tcBorders>
              <w:top w:val="double" w:sz="4" w:space="0" w:color="auto"/>
              <w:bottom w:val="single" w:sz="4" w:space="0" w:color="auto"/>
              <w:right w:val="single" w:sz="4" w:space="0" w:color="auto"/>
            </w:tcBorders>
            <w:shd w:val="clear" w:color="auto" w:fill="auto"/>
            <w:tcMar>
              <w:left w:w="58" w:type="dxa"/>
              <w:right w:w="58" w:type="dxa"/>
            </w:tcMar>
            <w:vAlign w:val="center"/>
          </w:tcPr>
          <w:p w:rsidR="00FF501D" w:rsidRPr="00BA38DA" w:rsidRDefault="00FF501D" w:rsidP="00D72ECE">
            <w:pPr>
              <w:jc w:val="center"/>
              <w:rPr>
                <w:sz w:val="20"/>
                <w:szCs w:val="20"/>
              </w:rPr>
            </w:pPr>
            <w:r>
              <w:rPr>
                <w:sz w:val="20"/>
                <w:szCs w:val="20"/>
              </w:rPr>
              <w:t>1,837.3</w:t>
            </w:r>
          </w:p>
        </w:tc>
        <w:tc>
          <w:tcPr>
            <w:tcW w:w="1960" w:type="dxa"/>
            <w:tcBorders>
              <w:top w:val="double" w:sz="4" w:space="0" w:color="auto"/>
              <w:left w:val="single" w:sz="4" w:space="0" w:color="auto"/>
              <w:bottom w:val="single" w:sz="4" w:space="0" w:color="auto"/>
              <w:right w:val="single" w:sz="4" w:space="0" w:color="auto"/>
            </w:tcBorders>
            <w:tcMar>
              <w:left w:w="58" w:type="dxa"/>
              <w:right w:w="58" w:type="dxa"/>
            </w:tcMar>
            <w:vAlign w:val="center"/>
          </w:tcPr>
          <w:p w:rsidR="00FF501D" w:rsidRDefault="00FF501D" w:rsidP="00D72ECE">
            <w:pPr>
              <w:jc w:val="center"/>
              <w:rPr>
                <w:sz w:val="20"/>
                <w:szCs w:val="20"/>
              </w:rPr>
            </w:pPr>
            <w:r>
              <w:rPr>
                <w:sz w:val="20"/>
                <w:szCs w:val="20"/>
              </w:rPr>
              <w:t>1,922.3</w:t>
            </w:r>
          </w:p>
        </w:tc>
        <w:tc>
          <w:tcPr>
            <w:tcW w:w="1846" w:type="dxa"/>
            <w:tcBorders>
              <w:top w:val="double" w:sz="4" w:space="0" w:color="auto"/>
              <w:left w:val="single" w:sz="4" w:space="0" w:color="auto"/>
              <w:bottom w:val="single" w:sz="4" w:space="0" w:color="auto"/>
              <w:right w:val="double" w:sz="4" w:space="0" w:color="auto"/>
            </w:tcBorders>
            <w:tcMar>
              <w:left w:w="58" w:type="dxa"/>
              <w:right w:w="58" w:type="dxa"/>
            </w:tcMar>
            <w:vAlign w:val="center"/>
          </w:tcPr>
          <w:p w:rsidR="00FF501D" w:rsidRDefault="00FF501D" w:rsidP="00D72ECE">
            <w:pPr>
              <w:jc w:val="center"/>
              <w:rPr>
                <w:sz w:val="20"/>
                <w:szCs w:val="20"/>
              </w:rPr>
            </w:pPr>
            <w:r>
              <w:rPr>
                <w:sz w:val="20"/>
                <w:szCs w:val="20"/>
              </w:rPr>
              <w:t>1,847.2</w:t>
            </w:r>
          </w:p>
        </w:tc>
        <w:tc>
          <w:tcPr>
            <w:tcW w:w="1782" w:type="dxa"/>
            <w:tcBorders>
              <w:top w:val="double" w:sz="4" w:space="0" w:color="auto"/>
              <w:left w:val="single" w:sz="4" w:space="0" w:color="auto"/>
              <w:bottom w:val="single" w:sz="4" w:space="0" w:color="auto"/>
              <w:right w:val="double" w:sz="4" w:space="0" w:color="auto"/>
            </w:tcBorders>
            <w:vAlign w:val="center"/>
          </w:tcPr>
          <w:p w:rsidR="00FF501D" w:rsidRDefault="00FF501D" w:rsidP="00D72ECE">
            <w:pPr>
              <w:jc w:val="center"/>
              <w:rPr>
                <w:sz w:val="20"/>
                <w:szCs w:val="20"/>
              </w:rPr>
            </w:pPr>
            <w:r>
              <w:rPr>
                <w:sz w:val="20"/>
                <w:szCs w:val="20"/>
              </w:rPr>
              <w:t>1,827.0</w:t>
            </w:r>
          </w:p>
        </w:tc>
      </w:tr>
      <w:tr w:rsidR="00FF501D" w:rsidRPr="00BA38DA" w:rsidTr="00C01DCB">
        <w:trPr>
          <w:trHeight w:val="432"/>
          <w:jc w:val="center"/>
        </w:trPr>
        <w:tc>
          <w:tcPr>
            <w:tcW w:w="1785" w:type="dxa"/>
            <w:tcBorders>
              <w:left w:val="double" w:sz="4" w:space="0" w:color="auto"/>
              <w:right w:val="single" w:sz="4" w:space="0" w:color="auto"/>
            </w:tcBorders>
            <w:shd w:val="clear" w:color="auto" w:fill="auto"/>
            <w:tcMar>
              <w:left w:w="58" w:type="dxa"/>
              <w:right w:w="58" w:type="dxa"/>
            </w:tcMar>
            <w:vAlign w:val="center"/>
          </w:tcPr>
          <w:p w:rsidR="00FF501D" w:rsidRPr="00BA38DA" w:rsidRDefault="00FF501D" w:rsidP="004C4F47">
            <w:pPr>
              <w:ind w:left="18" w:firstLine="22"/>
              <w:rPr>
                <w:sz w:val="20"/>
                <w:szCs w:val="20"/>
              </w:rPr>
            </w:pPr>
            <w:r>
              <w:rPr>
                <w:sz w:val="20"/>
                <w:szCs w:val="20"/>
              </w:rPr>
              <w:t>Non-incapacitating</w:t>
            </w:r>
          </w:p>
        </w:tc>
        <w:tc>
          <w:tcPr>
            <w:tcW w:w="1080" w:type="dxa"/>
            <w:tcBorders>
              <w:top w:val="single" w:sz="4" w:space="0" w:color="auto"/>
              <w:left w:val="single" w:sz="4" w:space="0" w:color="auto"/>
              <w:bottom w:val="single" w:sz="4" w:space="0" w:color="auto"/>
              <w:right w:val="double" w:sz="4" w:space="0" w:color="auto"/>
            </w:tcBorders>
            <w:shd w:val="clear" w:color="auto" w:fill="auto"/>
            <w:tcMar>
              <w:left w:w="58" w:type="dxa"/>
              <w:right w:w="58" w:type="dxa"/>
            </w:tcMar>
            <w:vAlign w:val="center"/>
          </w:tcPr>
          <w:p w:rsidR="00FF501D" w:rsidRPr="00BA38DA" w:rsidRDefault="00FF501D" w:rsidP="00D72ECE">
            <w:pPr>
              <w:ind w:firstLine="0"/>
              <w:jc w:val="center"/>
              <w:rPr>
                <w:sz w:val="20"/>
                <w:szCs w:val="20"/>
              </w:rPr>
            </w:pPr>
            <w:r>
              <w:rPr>
                <w:sz w:val="20"/>
                <w:szCs w:val="20"/>
              </w:rPr>
              <w:t>523</w:t>
            </w:r>
          </w:p>
        </w:tc>
        <w:tc>
          <w:tcPr>
            <w:tcW w:w="1995" w:type="dxa"/>
            <w:tcBorders>
              <w:top w:val="single" w:sz="4" w:space="0" w:color="auto"/>
              <w:left w:val="double" w:sz="4" w:space="0" w:color="auto"/>
              <w:bottom w:val="single" w:sz="4" w:space="0" w:color="auto"/>
              <w:right w:val="single" w:sz="4" w:space="0" w:color="auto"/>
            </w:tcBorders>
            <w:tcMar>
              <w:left w:w="58" w:type="dxa"/>
              <w:right w:w="58" w:type="dxa"/>
            </w:tcMar>
            <w:vAlign w:val="center"/>
          </w:tcPr>
          <w:p w:rsidR="00FF501D" w:rsidRDefault="00FF501D" w:rsidP="00D72ECE">
            <w:pPr>
              <w:jc w:val="center"/>
              <w:rPr>
                <w:sz w:val="20"/>
                <w:szCs w:val="20"/>
              </w:rPr>
            </w:pPr>
            <w:r>
              <w:rPr>
                <w:sz w:val="20"/>
                <w:szCs w:val="20"/>
              </w:rPr>
              <w:t>579.2</w:t>
            </w:r>
          </w:p>
        </w:tc>
        <w:tc>
          <w:tcPr>
            <w:tcW w:w="1890" w:type="dxa"/>
            <w:tcBorders>
              <w:top w:val="single" w:sz="4" w:space="0" w:color="auto"/>
              <w:left w:val="single" w:sz="4" w:space="0" w:color="auto"/>
              <w:bottom w:val="single" w:sz="4" w:space="0" w:color="auto"/>
            </w:tcBorders>
            <w:shd w:val="clear" w:color="auto" w:fill="auto"/>
            <w:tcMar>
              <w:left w:w="58" w:type="dxa"/>
              <w:right w:w="58" w:type="dxa"/>
            </w:tcMar>
            <w:vAlign w:val="center"/>
          </w:tcPr>
          <w:p w:rsidR="00FF501D" w:rsidRPr="00BA38DA" w:rsidRDefault="00FF501D" w:rsidP="00D72ECE">
            <w:pPr>
              <w:jc w:val="center"/>
              <w:rPr>
                <w:sz w:val="20"/>
                <w:szCs w:val="20"/>
              </w:rPr>
            </w:pPr>
            <w:r>
              <w:rPr>
                <w:sz w:val="20"/>
                <w:szCs w:val="20"/>
              </w:rPr>
              <w:t>562.2</w:t>
            </w:r>
          </w:p>
        </w:tc>
        <w:tc>
          <w:tcPr>
            <w:tcW w:w="1890" w:type="dxa"/>
            <w:tcBorders>
              <w:top w:val="single" w:sz="4" w:space="0" w:color="auto"/>
              <w:bottom w:val="single" w:sz="4" w:space="0" w:color="auto"/>
              <w:right w:val="single" w:sz="4" w:space="0" w:color="auto"/>
            </w:tcBorders>
            <w:shd w:val="clear" w:color="auto" w:fill="auto"/>
            <w:tcMar>
              <w:left w:w="58" w:type="dxa"/>
              <w:right w:w="58" w:type="dxa"/>
            </w:tcMar>
            <w:vAlign w:val="center"/>
          </w:tcPr>
          <w:p w:rsidR="00FF501D" w:rsidRPr="00BA38DA" w:rsidRDefault="00FF501D" w:rsidP="00D72ECE">
            <w:pPr>
              <w:jc w:val="center"/>
              <w:rPr>
                <w:sz w:val="20"/>
                <w:szCs w:val="20"/>
              </w:rPr>
            </w:pPr>
            <w:r>
              <w:rPr>
                <w:sz w:val="20"/>
                <w:szCs w:val="20"/>
              </w:rPr>
              <w:t>550.3</w:t>
            </w:r>
          </w:p>
        </w:tc>
        <w:tc>
          <w:tcPr>
            <w:tcW w:w="196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FF501D" w:rsidRDefault="00FF501D" w:rsidP="00D72ECE">
            <w:pPr>
              <w:jc w:val="center"/>
              <w:rPr>
                <w:sz w:val="20"/>
                <w:szCs w:val="20"/>
              </w:rPr>
            </w:pPr>
            <w:r>
              <w:rPr>
                <w:sz w:val="20"/>
                <w:szCs w:val="20"/>
              </w:rPr>
              <w:t>578.1</w:t>
            </w:r>
          </w:p>
        </w:tc>
        <w:tc>
          <w:tcPr>
            <w:tcW w:w="1846" w:type="dxa"/>
            <w:tcBorders>
              <w:top w:val="single" w:sz="4" w:space="0" w:color="auto"/>
              <w:left w:val="single" w:sz="4" w:space="0" w:color="auto"/>
              <w:bottom w:val="single" w:sz="4" w:space="0" w:color="auto"/>
              <w:right w:val="double" w:sz="4" w:space="0" w:color="auto"/>
            </w:tcBorders>
            <w:tcMar>
              <w:left w:w="58" w:type="dxa"/>
              <w:right w:w="58" w:type="dxa"/>
            </w:tcMar>
            <w:vAlign w:val="center"/>
          </w:tcPr>
          <w:p w:rsidR="00FF501D" w:rsidRDefault="00FF501D" w:rsidP="00D72ECE">
            <w:pPr>
              <w:jc w:val="center"/>
              <w:rPr>
                <w:sz w:val="20"/>
                <w:szCs w:val="20"/>
              </w:rPr>
            </w:pPr>
            <w:r>
              <w:rPr>
                <w:sz w:val="20"/>
                <w:szCs w:val="20"/>
              </w:rPr>
              <w:t>559.6</w:t>
            </w:r>
          </w:p>
        </w:tc>
        <w:tc>
          <w:tcPr>
            <w:tcW w:w="1782" w:type="dxa"/>
            <w:tcBorders>
              <w:top w:val="single" w:sz="4" w:space="0" w:color="auto"/>
              <w:left w:val="single" w:sz="4" w:space="0" w:color="auto"/>
              <w:bottom w:val="single" w:sz="4" w:space="0" w:color="auto"/>
              <w:right w:val="double" w:sz="4" w:space="0" w:color="auto"/>
            </w:tcBorders>
            <w:vAlign w:val="center"/>
          </w:tcPr>
          <w:p w:rsidR="00FF501D" w:rsidRDefault="00FF501D" w:rsidP="00D72ECE">
            <w:pPr>
              <w:jc w:val="center"/>
              <w:rPr>
                <w:sz w:val="20"/>
                <w:szCs w:val="20"/>
              </w:rPr>
            </w:pPr>
            <w:r>
              <w:rPr>
                <w:sz w:val="20"/>
                <w:szCs w:val="20"/>
              </w:rPr>
              <w:t>542.4</w:t>
            </w:r>
          </w:p>
        </w:tc>
      </w:tr>
      <w:tr w:rsidR="00FF501D" w:rsidRPr="00BA38DA" w:rsidTr="00C01DCB">
        <w:trPr>
          <w:trHeight w:val="432"/>
          <w:jc w:val="center"/>
        </w:trPr>
        <w:tc>
          <w:tcPr>
            <w:tcW w:w="1785" w:type="dxa"/>
            <w:tcBorders>
              <w:left w:val="double" w:sz="4" w:space="0" w:color="auto"/>
              <w:bottom w:val="single" w:sz="4" w:space="0" w:color="auto"/>
              <w:right w:val="single" w:sz="4" w:space="0" w:color="auto"/>
            </w:tcBorders>
            <w:shd w:val="clear" w:color="auto" w:fill="auto"/>
            <w:tcMar>
              <w:left w:w="58" w:type="dxa"/>
              <w:right w:w="58" w:type="dxa"/>
            </w:tcMar>
            <w:vAlign w:val="center"/>
          </w:tcPr>
          <w:p w:rsidR="00FF501D" w:rsidRPr="00BA38DA" w:rsidRDefault="00FF501D" w:rsidP="004C4F47">
            <w:pPr>
              <w:ind w:left="18" w:firstLine="22"/>
              <w:rPr>
                <w:sz w:val="20"/>
                <w:szCs w:val="20"/>
              </w:rPr>
            </w:pPr>
            <w:r>
              <w:rPr>
                <w:sz w:val="20"/>
                <w:szCs w:val="20"/>
              </w:rPr>
              <w:t>Incapacitating</w:t>
            </w:r>
          </w:p>
        </w:tc>
        <w:tc>
          <w:tcPr>
            <w:tcW w:w="1080" w:type="dxa"/>
            <w:tcBorders>
              <w:top w:val="single" w:sz="4" w:space="0" w:color="auto"/>
              <w:left w:val="single" w:sz="4" w:space="0" w:color="auto"/>
              <w:bottom w:val="single" w:sz="4" w:space="0" w:color="auto"/>
              <w:right w:val="double" w:sz="4" w:space="0" w:color="auto"/>
            </w:tcBorders>
            <w:shd w:val="clear" w:color="auto" w:fill="auto"/>
            <w:tcMar>
              <w:left w:w="58" w:type="dxa"/>
              <w:right w:w="58" w:type="dxa"/>
            </w:tcMar>
            <w:vAlign w:val="center"/>
          </w:tcPr>
          <w:p w:rsidR="00FF501D" w:rsidRPr="00BA38DA" w:rsidRDefault="00FF501D" w:rsidP="00D72ECE">
            <w:pPr>
              <w:ind w:firstLine="0"/>
              <w:jc w:val="center"/>
              <w:rPr>
                <w:sz w:val="20"/>
                <w:szCs w:val="20"/>
              </w:rPr>
            </w:pPr>
            <w:r>
              <w:rPr>
                <w:sz w:val="20"/>
                <w:szCs w:val="20"/>
              </w:rPr>
              <w:t>250</w:t>
            </w:r>
          </w:p>
        </w:tc>
        <w:tc>
          <w:tcPr>
            <w:tcW w:w="1995" w:type="dxa"/>
            <w:tcBorders>
              <w:top w:val="single" w:sz="4" w:space="0" w:color="auto"/>
              <w:left w:val="double" w:sz="4" w:space="0" w:color="auto"/>
              <w:bottom w:val="single" w:sz="4" w:space="0" w:color="auto"/>
              <w:right w:val="single" w:sz="4" w:space="0" w:color="auto"/>
            </w:tcBorders>
            <w:tcMar>
              <w:left w:w="58" w:type="dxa"/>
              <w:right w:w="58" w:type="dxa"/>
            </w:tcMar>
            <w:vAlign w:val="center"/>
          </w:tcPr>
          <w:p w:rsidR="00FF501D" w:rsidRDefault="00FF501D" w:rsidP="00D72ECE">
            <w:pPr>
              <w:jc w:val="center"/>
              <w:rPr>
                <w:sz w:val="20"/>
                <w:szCs w:val="20"/>
              </w:rPr>
            </w:pPr>
            <w:r>
              <w:rPr>
                <w:sz w:val="20"/>
                <w:szCs w:val="20"/>
              </w:rPr>
              <w:t>287.1</w:t>
            </w:r>
          </w:p>
        </w:tc>
        <w:tc>
          <w:tcPr>
            <w:tcW w:w="1890" w:type="dxa"/>
            <w:tcBorders>
              <w:top w:val="single" w:sz="4" w:space="0" w:color="auto"/>
              <w:left w:val="single" w:sz="4" w:space="0" w:color="auto"/>
              <w:bottom w:val="single" w:sz="4" w:space="0" w:color="auto"/>
            </w:tcBorders>
            <w:shd w:val="clear" w:color="auto" w:fill="auto"/>
            <w:tcMar>
              <w:left w:w="58" w:type="dxa"/>
              <w:right w:w="58" w:type="dxa"/>
            </w:tcMar>
            <w:vAlign w:val="center"/>
          </w:tcPr>
          <w:p w:rsidR="00FF501D" w:rsidRPr="00BA38DA" w:rsidRDefault="00FF501D" w:rsidP="00D72ECE">
            <w:pPr>
              <w:jc w:val="center"/>
              <w:rPr>
                <w:sz w:val="20"/>
                <w:szCs w:val="20"/>
              </w:rPr>
            </w:pPr>
            <w:r>
              <w:rPr>
                <w:sz w:val="20"/>
                <w:szCs w:val="20"/>
              </w:rPr>
              <w:t>270.1</w:t>
            </w:r>
          </w:p>
        </w:tc>
        <w:tc>
          <w:tcPr>
            <w:tcW w:w="1890" w:type="dxa"/>
            <w:tcBorders>
              <w:top w:val="single" w:sz="4" w:space="0" w:color="auto"/>
              <w:bottom w:val="single" w:sz="4" w:space="0" w:color="auto"/>
              <w:right w:val="single" w:sz="4" w:space="0" w:color="auto"/>
            </w:tcBorders>
            <w:shd w:val="clear" w:color="auto" w:fill="auto"/>
            <w:tcMar>
              <w:left w:w="58" w:type="dxa"/>
              <w:right w:w="58" w:type="dxa"/>
            </w:tcMar>
            <w:vAlign w:val="center"/>
          </w:tcPr>
          <w:p w:rsidR="00FF501D" w:rsidRPr="00BA38DA" w:rsidRDefault="00FF501D" w:rsidP="00D72ECE">
            <w:pPr>
              <w:jc w:val="center"/>
              <w:rPr>
                <w:sz w:val="20"/>
                <w:szCs w:val="20"/>
              </w:rPr>
            </w:pPr>
            <w:r>
              <w:rPr>
                <w:sz w:val="20"/>
                <w:szCs w:val="20"/>
              </w:rPr>
              <w:t>269.6</w:t>
            </w:r>
          </w:p>
        </w:tc>
        <w:tc>
          <w:tcPr>
            <w:tcW w:w="196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FF501D" w:rsidRDefault="00FF501D" w:rsidP="00D72ECE">
            <w:pPr>
              <w:jc w:val="center"/>
              <w:rPr>
                <w:sz w:val="20"/>
                <w:szCs w:val="20"/>
              </w:rPr>
            </w:pPr>
            <w:r>
              <w:rPr>
                <w:sz w:val="20"/>
                <w:szCs w:val="20"/>
              </w:rPr>
              <w:t>279.5</w:t>
            </w:r>
          </w:p>
        </w:tc>
        <w:tc>
          <w:tcPr>
            <w:tcW w:w="1846" w:type="dxa"/>
            <w:tcBorders>
              <w:top w:val="single" w:sz="4" w:space="0" w:color="auto"/>
              <w:left w:val="single" w:sz="4" w:space="0" w:color="auto"/>
              <w:bottom w:val="single" w:sz="4" w:space="0" w:color="auto"/>
              <w:right w:val="double" w:sz="4" w:space="0" w:color="auto"/>
            </w:tcBorders>
            <w:tcMar>
              <w:left w:w="58" w:type="dxa"/>
              <w:right w:w="58" w:type="dxa"/>
            </w:tcMar>
            <w:vAlign w:val="center"/>
          </w:tcPr>
          <w:p w:rsidR="00FF501D" w:rsidRDefault="00FF501D" w:rsidP="00D72ECE">
            <w:pPr>
              <w:jc w:val="center"/>
              <w:rPr>
                <w:sz w:val="20"/>
                <w:szCs w:val="20"/>
              </w:rPr>
            </w:pPr>
            <w:r>
              <w:rPr>
                <w:sz w:val="20"/>
                <w:szCs w:val="20"/>
              </w:rPr>
              <w:t>273.0</w:t>
            </w:r>
          </w:p>
        </w:tc>
        <w:tc>
          <w:tcPr>
            <w:tcW w:w="1782" w:type="dxa"/>
            <w:tcBorders>
              <w:top w:val="single" w:sz="4" w:space="0" w:color="auto"/>
              <w:left w:val="single" w:sz="4" w:space="0" w:color="auto"/>
              <w:bottom w:val="single" w:sz="4" w:space="0" w:color="auto"/>
              <w:right w:val="double" w:sz="4" w:space="0" w:color="auto"/>
            </w:tcBorders>
            <w:vAlign w:val="center"/>
          </w:tcPr>
          <w:p w:rsidR="00FF501D" w:rsidRDefault="00FF501D" w:rsidP="00D72ECE">
            <w:pPr>
              <w:jc w:val="center"/>
              <w:rPr>
                <w:sz w:val="20"/>
                <w:szCs w:val="20"/>
              </w:rPr>
            </w:pPr>
            <w:r>
              <w:rPr>
                <w:sz w:val="20"/>
                <w:szCs w:val="20"/>
              </w:rPr>
              <w:t>267.2</w:t>
            </w:r>
          </w:p>
        </w:tc>
      </w:tr>
      <w:tr w:rsidR="00FF501D" w:rsidRPr="00BA38DA" w:rsidTr="00C01DCB">
        <w:trPr>
          <w:trHeight w:val="432"/>
          <w:jc w:val="center"/>
        </w:trPr>
        <w:tc>
          <w:tcPr>
            <w:tcW w:w="1785" w:type="dxa"/>
            <w:tcBorders>
              <w:left w:val="double" w:sz="4" w:space="0" w:color="auto"/>
              <w:bottom w:val="single" w:sz="4" w:space="0" w:color="auto"/>
              <w:right w:val="single" w:sz="4" w:space="0" w:color="auto"/>
            </w:tcBorders>
            <w:shd w:val="clear" w:color="auto" w:fill="auto"/>
            <w:tcMar>
              <w:left w:w="58" w:type="dxa"/>
              <w:right w:w="58" w:type="dxa"/>
            </w:tcMar>
            <w:vAlign w:val="center"/>
          </w:tcPr>
          <w:p w:rsidR="00FF501D" w:rsidRPr="00BA38DA" w:rsidRDefault="00FF501D" w:rsidP="004C4F47">
            <w:pPr>
              <w:ind w:left="18" w:firstLine="22"/>
              <w:rPr>
                <w:sz w:val="20"/>
                <w:szCs w:val="20"/>
              </w:rPr>
            </w:pPr>
            <w:r>
              <w:rPr>
                <w:sz w:val="20"/>
                <w:szCs w:val="20"/>
              </w:rPr>
              <w:t>Fatal</w:t>
            </w:r>
          </w:p>
        </w:tc>
        <w:tc>
          <w:tcPr>
            <w:tcW w:w="1080" w:type="dxa"/>
            <w:tcBorders>
              <w:top w:val="single" w:sz="4" w:space="0" w:color="auto"/>
              <w:left w:val="single" w:sz="4" w:space="0" w:color="auto"/>
              <w:bottom w:val="single" w:sz="4" w:space="0" w:color="auto"/>
              <w:right w:val="double" w:sz="4" w:space="0" w:color="auto"/>
            </w:tcBorders>
            <w:shd w:val="clear" w:color="auto" w:fill="auto"/>
            <w:tcMar>
              <w:left w:w="58" w:type="dxa"/>
              <w:right w:w="58" w:type="dxa"/>
            </w:tcMar>
            <w:vAlign w:val="center"/>
          </w:tcPr>
          <w:p w:rsidR="00FF501D" w:rsidRPr="00BA38DA" w:rsidRDefault="00FF501D" w:rsidP="00D72ECE">
            <w:pPr>
              <w:ind w:firstLine="0"/>
              <w:jc w:val="center"/>
              <w:rPr>
                <w:sz w:val="20"/>
                <w:szCs w:val="20"/>
              </w:rPr>
            </w:pPr>
            <w:r>
              <w:rPr>
                <w:sz w:val="20"/>
                <w:szCs w:val="20"/>
              </w:rPr>
              <w:t>39</w:t>
            </w:r>
          </w:p>
        </w:tc>
        <w:tc>
          <w:tcPr>
            <w:tcW w:w="1995" w:type="dxa"/>
            <w:tcBorders>
              <w:top w:val="single" w:sz="4" w:space="0" w:color="auto"/>
              <w:left w:val="double" w:sz="4" w:space="0" w:color="auto"/>
              <w:bottom w:val="single" w:sz="4" w:space="0" w:color="auto"/>
              <w:right w:val="single" w:sz="4" w:space="0" w:color="auto"/>
            </w:tcBorders>
            <w:tcMar>
              <w:left w:w="58" w:type="dxa"/>
              <w:right w:w="58" w:type="dxa"/>
            </w:tcMar>
            <w:vAlign w:val="center"/>
          </w:tcPr>
          <w:p w:rsidR="00FF501D" w:rsidRDefault="00FF501D" w:rsidP="00D72ECE">
            <w:pPr>
              <w:jc w:val="center"/>
              <w:rPr>
                <w:sz w:val="20"/>
                <w:szCs w:val="20"/>
              </w:rPr>
            </w:pPr>
            <w:r>
              <w:rPr>
                <w:sz w:val="20"/>
                <w:szCs w:val="20"/>
              </w:rPr>
              <w:t>52.0</w:t>
            </w:r>
          </w:p>
        </w:tc>
        <w:tc>
          <w:tcPr>
            <w:tcW w:w="1890" w:type="dxa"/>
            <w:tcBorders>
              <w:top w:val="single" w:sz="4" w:space="0" w:color="auto"/>
              <w:left w:val="single" w:sz="4" w:space="0" w:color="auto"/>
              <w:bottom w:val="single" w:sz="4" w:space="0" w:color="auto"/>
            </w:tcBorders>
            <w:shd w:val="clear" w:color="auto" w:fill="auto"/>
            <w:tcMar>
              <w:left w:w="58" w:type="dxa"/>
              <w:right w:w="58" w:type="dxa"/>
            </w:tcMar>
            <w:vAlign w:val="center"/>
          </w:tcPr>
          <w:p w:rsidR="00FF501D" w:rsidRPr="00BA38DA" w:rsidRDefault="00FF501D" w:rsidP="00D72ECE">
            <w:pPr>
              <w:jc w:val="center"/>
              <w:rPr>
                <w:sz w:val="20"/>
                <w:szCs w:val="20"/>
              </w:rPr>
            </w:pPr>
            <w:r>
              <w:rPr>
                <w:sz w:val="20"/>
                <w:szCs w:val="20"/>
              </w:rPr>
              <w:t>48.3</w:t>
            </w:r>
          </w:p>
        </w:tc>
        <w:tc>
          <w:tcPr>
            <w:tcW w:w="1890" w:type="dxa"/>
            <w:tcBorders>
              <w:top w:val="single" w:sz="4" w:space="0" w:color="auto"/>
              <w:bottom w:val="single" w:sz="4" w:space="0" w:color="auto"/>
              <w:right w:val="single" w:sz="4" w:space="0" w:color="auto"/>
            </w:tcBorders>
            <w:shd w:val="clear" w:color="auto" w:fill="auto"/>
            <w:tcMar>
              <w:left w:w="58" w:type="dxa"/>
              <w:right w:w="58" w:type="dxa"/>
            </w:tcMar>
            <w:vAlign w:val="center"/>
          </w:tcPr>
          <w:p w:rsidR="00FF501D" w:rsidRPr="00BA38DA" w:rsidRDefault="00FF501D" w:rsidP="00D72ECE">
            <w:pPr>
              <w:jc w:val="center"/>
              <w:rPr>
                <w:sz w:val="20"/>
                <w:szCs w:val="20"/>
              </w:rPr>
            </w:pPr>
            <w:r>
              <w:rPr>
                <w:sz w:val="20"/>
                <w:szCs w:val="20"/>
              </w:rPr>
              <w:t>44.8</w:t>
            </w:r>
          </w:p>
        </w:tc>
        <w:tc>
          <w:tcPr>
            <w:tcW w:w="1960"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FF501D" w:rsidRDefault="00FF501D" w:rsidP="00D72ECE">
            <w:pPr>
              <w:jc w:val="center"/>
              <w:rPr>
                <w:sz w:val="20"/>
                <w:szCs w:val="20"/>
              </w:rPr>
            </w:pPr>
            <w:r>
              <w:rPr>
                <w:sz w:val="20"/>
                <w:szCs w:val="20"/>
              </w:rPr>
              <w:t>50.7</w:t>
            </w:r>
          </w:p>
        </w:tc>
        <w:tc>
          <w:tcPr>
            <w:tcW w:w="1846" w:type="dxa"/>
            <w:tcBorders>
              <w:top w:val="single" w:sz="4" w:space="0" w:color="auto"/>
              <w:left w:val="single" w:sz="4" w:space="0" w:color="auto"/>
              <w:bottom w:val="single" w:sz="4" w:space="0" w:color="auto"/>
              <w:right w:val="double" w:sz="4" w:space="0" w:color="auto"/>
            </w:tcBorders>
            <w:tcMar>
              <w:left w:w="58" w:type="dxa"/>
              <w:right w:w="58" w:type="dxa"/>
            </w:tcMar>
            <w:vAlign w:val="center"/>
          </w:tcPr>
          <w:p w:rsidR="00FF501D" w:rsidRDefault="00FF501D" w:rsidP="00D72ECE">
            <w:pPr>
              <w:jc w:val="center"/>
              <w:rPr>
                <w:sz w:val="20"/>
                <w:szCs w:val="20"/>
              </w:rPr>
            </w:pPr>
            <w:r>
              <w:rPr>
                <w:sz w:val="20"/>
                <w:szCs w:val="20"/>
              </w:rPr>
              <w:t>46.9</w:t>
            </w:r>
          </w:p>
        </w:tc>
        <w:tc>
          <w:tcPr>
            <w:tcW w:w="1782" w:type="dxa"/>
            <w:tcBorders>
              <w:top w:val="single" w:sz="4" w:space="0" w:color="auto"/>
              <w:left w:val="single" w:sz="4" w:space="0" w:color="auto"/>
              <w:bottom w:val="single" w:sz="4" w:space="0" w:color="auto"/>
              <w:right w:val="double" w:sz="4" w:space="0" w:color="auto"/>
            </w:tcBorders>
            <w:vAlign w:val="center"/>
          </w:tcPr>
          <w:p w:rsidR="00FF501D" w:rsidRDefault="00FF501D" w:rsidP="00D72ECE">
            <w:pPr>
              <w:jc w:val="center"/>
              <w:rPr>
                <w:sz w:val="20"/>
                <w:szCs w:val="20"/>
              </w:rPr>
            </w:pPr>
            <w:r>
              <w:rPr>
                <w:sz w:val="20"/>
                <w:szCs w:val="20"/>
              </w:rPr>
              <w:t>43.7</w:t>
            </w:r>
          </w:p>
        </w:tc>
      </w:tr>
      <w:tr w:rsidR="00FF501D" w:rsidRPr="00BA38DA" w:rsidTr="00C01DCB">
        <w:trPr>
          <w:trHeight w:val="432"/>
          <w:jc w:val="center"/>
        </w:trPr>
        <w:tc>
          <w:tcPr>
            <w:tcW w:w="2865" w:type="dxa"/>
            <w:gridSpan w:val="2"/>
            <w:tcBorders>
              <w:top w:val="single" w:sz="4" w:space="0" w:color="auto"/>
              <w:left w:val="double" w:sz="4" w:space="0" w:color="auto"/>
              <w:bottom w:val="double" w:sz="4" w:space="0" w:color="auto"/>
              <w:right w:val="double" w:sz="4" w:space="0" w:color="auto"/>
            </w:tcBorders>
            <w:shd w:val="clear" w:color="auto" w:fill="auto"/>
            <w:tcMar>
              <w:left w:w="58" w:type="dxa"/>
              <w:right w:w="58" w:type="dxa"/>
            </w:tcMar>
            <w:vAlign w:val="center"/>
          </w:tcPr>
          <w:p w:rsidR="00FF501D" w:rsidRPr="00BA38DA" w:rsidRDefault="00FF501D" w:rsidP="004C4F47">
            <w:pPr>
              <w:spacing w:line="240" w:lineRule="auto"/>
              <w:ind w:firstLine="0"/>
              <w:jc w:val="left"/>
              <w:rPr>
                <w:sz w:val="20"/>
                <w:szCs w:val="20"/>
              </w:rPr>
            </w:pPr>
            <w:r w:rsidRPr="00BA38DA">
              <w:rPr>
                <w:sz w:val="20"/>
                <w:szCs w:val="20"/>
              </w:rPr>
              <w:t>Mean Absolute Percentage Error</w:t>
            </w:r>
            <w:r>
              <w:rPr>
                <w:sz w:val="20"/>
                <w:szCs w:val="20"/>
              </w:rPr>
              <w:t xml:space="preserve"> (MAPE)</w:t>
            </w:r>
          </w:p>
        </w:tc>
        <w:tc>
          <w:tcPr>
            <w:tcW w:w="1995" w:type="dxa"/>
            <w:tcBorders>
              <w:top w:val="single" w:sz="4" w:space="0" w:color="auto"/>
              <w:left w:val="double" w:sz="4" w:space="0" w:color="auto"/>
              <w:bottom w:val="double" w:sz="4" w:space="0" w:color="auto"/>
              <w:right w:val="single" w:sz="4" w:space="0" w:color="auto"/>
            </w:tcBorders>
            <w:tcMar>
              <w:left w:w="58" w:type="dxa"/>
              <w:right w:w="58" w:type="dxa"/>
            </w:tcMar>
            <w:vAlign w:val="center"/>
          </w:tcPr>
          <w:p w:rsidR="00FF501D" w:rsidRDefault="00FF501D" w:rsidP="00D72ECE">
            <w:pPr>
              <w:jc w:val="center"/>
              <w:rPr>
                <w:sz w:val="20"/>
                <w:szCs w:val="20"/>
              </w:rPr>
            </w:pPr>
            <w:r>
              <w:rPr>
                <w:sz w:val="20"/>
                <w:szCs w:val="20"/>
              </w:rPr>
              <w:t>13.01%</w:t>
            </w:r>
          </w:p>
        </w:tc>
        <w:tc>
          <w:tcPr>
            <w:tcW w:w="1890" w:type="dxa"/>
            <w:tcBorders>
              <w:top w:val="single" w:sz="4" w:space="0" w:color="auto"/>
              <w:left w:val="single" w:sz="4" w:space="0" w:color="auto"/>
              <w:bottom w:val="double" w:sz="4" w:space="0" w:color="auto"/>
            </w:tcBorders>
            <w:shd w:val="clear" w:color="auto" w:fill="auto"/>
            <w:tcMar>
              <w:left w:w="58" w:type="dxa"/>
              <w:right w:w="58" w:type="dxa"/>
            </w:tcMar>
            <w:vAlign w:val="center"/>
          </w:tcPr>
          <w:p w:rsidR="00FF501D" w:rsidRPr="00BA38DA" w:rsidRDefault="00FF501D" w:rsidP="00D72ECE">
            <w:pPr>
              <w:jc w:val="center"/>
              <w:rPr>
                <w:sz w:val="20"/>
                <w:szCs w:val="20"/>
              </w:rPr>
            </w:pPr>
            <w:r>
              <w:rPr>
                <w:sz w:val="20"/>
                <w:szCs w:val="20"/>
              </w:rPr>
              <w:t>9.92%</w:t>
            </w:r>
          </w:p>
        </w:tc>
        <w:tc>
          <w:tcPr>
            <w:tcW w:w="1890" w:type="dxa"/>
            <w:tcBorders>
              <w:top w:val="single" w:sz="4" w:space="0" w:color="auto"/>
              <w:bottom w:val="double" w:sz="4" w:space="0" w:color="auto"/>
              <w:right w:val="single" w:sz="4" w:space="0" w:color="auto"/>
            </w:tcBorders>
            <w:shd w:val="clear" w:color="auto" w:fill="auto"/>
            <w:tcMar>
              <w:left w:w="58" w:type="dxa"/>
              <w:right w:w="58" w:type="dxa"/>
            </w:tcMar>
            <w:vAlign w:val="center"/>
          </w:tcPr>
          <w:p w:rsidR="00FF501D" w:rsidRPr="00BA38DA" w:rsidRDefault="00FF501D" w:rsidP="00D72ECE">
            <w:pPr>
              <w:jc w:val="center"/>
              <w:rPr>
                <w:sz w:val="20"/>
                <w:szCs w:val="20"/>
              </w:rPr>
            </w:pPr>
            <w:r>
              <w:rPr>
                <w:sz w:val="20"/>
                <w:szCs w:val="20"/>
              </w:rPr>
              <w:t>7.77%</w:t>
            </w:r>
          </w:p>
        </w:tc>
        <w:tc>
          <w:tcPr>
            <w:tcW w:w="1960" w:type="dxa"/>
            <w:tcBorders>
              <w:top w:val="single" w:sz="4" w:space="0" w:color="auto"/>
              <w:left w:val="single" w:sz="4" w:space="0" w:color="auto"/>
              <w:bottom w:val="double" w:sz="4" w:space="0" w:color="auto"/>
              <w:right w:val="single" w:sz="4" w:space="0" w:color="auto"/>
            </w:tcBorders>
            <w:tcMar>
              <w:left w:w="58" w:type="dxa"/>
              <w:right w:w="58" w:type="dxa"/>
            </w:tcMar>
            <w:vAlign w:val="center"/>
          </w:tcPr>
          <w:p w:rsidR="00FF501D" w:rsidRPr="00BA38DA" w:rsidRDefault="00FF501D" w:rsidP="00D72ECE">
            <w:pPr>
              <w:jc w:val="center"/>
              <w:rPr>
                <w:sz w:val="20"/>
                <w:szCs w:val="20"/>
              </w:rPr>
            </w:pPr>
            <w:r>
              <w:rPr>
                <w:sz w:val="20"/>
                <w:szCs w:val="20"/>
              </w:rPr>
              <w:t>12.99%</w:t>
            </w:r>
          </w:p>
        </w:tc>
        <w:tc>
          <w:tcPr>
            <w:tcW w:w="1846" w:type="dxa"/>
            <w:tcBorders>
              <w:top w:val="single" w:sz="4" w:space="0" w:color="auto"/>
              <w:left w:val="single" w:sz="4" w:space="0" w:color="auto"/>
              <w:bottom w:val="double" w:sz="4" w:space="0" w:color="auto"/>
              <w:right w:val="double" w:sz="4" w:space="0" w:color="auto"/>
            </w:tcBorders>
            <w:tcMar>
              <w:left w:w="58" w:type="dxa"/>
              <w:right w:w="58" w:type="dxa"/>
            </w:tcMar>
            <w:vAlign w:val="center"/>
          </w:tcPr>
          <w:p w:rsidR="00FF501D" w:rsidRPr="00BA38DA" w:rsidRDefault="00FF501D" w:rsidP="00D72ECE">
            <w:pPr>
              <w:jc w:val="center"/>
              <w:rPr>
                <w:sz w:val="20"/>
                <w:szCs w:val="20"/>
              </w:rPr>
            </w:pPr>
            <w:r>
              <w:rPr>
                <w:sz w:val="20"/>
                <w:szCs w:val="20"/>
              </w:rPr>
              <w:t>8.99%</w:t>
            </w:r>
          </w:p>
        </w:tc>
        <w:tc>
          <w:tcPr>
            <w:tcW w:w="1782" w:type="dxa"/>
            <w:tcBorders>
              <w:top w:val="single" w:sz="4" w:space="0" w:color="auto"/>
              <w:left w:val="single" w:sz="4" w:space="0" w:color="auto"/>
              <w:bottom w:val="double" w:sz="4" w:space="0" w:color="auto"/>
              <w:right w:val="double" w:sz="4" w:space="0" w:color="auto"/>
            </w:tcBorders>
            <w:vAlign w:val="center"/>
          </w:tcPr>
          <w:p w:rsidR="00FF501D" w:rsidRDefault="00FF501D" w:rsidP="00D72ECE">
            <w:pPr>
              <w:jc w:val="center"/>
              <w:rPr>
                <w:sz w:val="20"/>
                <w:szCs w:val="20"/>
              </w:rPr>
            </w:pPr>
            <w:r>
              <w:rPr>
                <w:sz w:val="20"/>
                <w:szCs w:val="20"/>
              </w:rPr>
              <w:t>6.92%</w:t>
            </w:r>
          </w:p>
        </w:tc>
      </w:tr>
    </w:tbl>
    <w:p w:rsidR="00FF501D" w:rsidRDefault="00FF501D" w:rsidP="004C4F47">
      <w:pPr>
        <w:tabs>
          <w:tab w:val="left" w:pos="9270"/>
        </w:tabs>
        <w:spacing w:after="60"/>
        <w:ind w:firstLine="0"/>
        <w:jc w:val="center"/>
        <w:rPr>
          <w:sz w:val="20"/>
          <w:szCs w:val="20"/>
        </w:rPr>
        <w:sectPr w:rsidR="00FF501D" w:rsidSect="00BA6025">
          <w:pgSz w:w="15840" w:h="12240" w:orient="landscape"/>
          <w:pgMar w:top="1440" w:right="1440" w:bottom="1440" w:left="1440" w:header="720" w:footer="720" w:gutter="0"/>
          <w:cols w:space="720"/>
          <w:docGrid w:linePitch="360"/>
        </w:sectPr>
      </w:pPr>
    </w:p>
    <w:p w:rsidR="00FF501D" w:rsidRPr="00D83357" w:rsidRDefault="00FF501D" w:rsidP="004C4F47">
      <w:pPr>
        <w:tabs>
          <w:tab w:val="left" w:pos="9270"/>
        </w:tabs>
        <w:spacing w:line="240" w:lineRule="auto"/>
        <w:ind w:firstLine="0"/>
        <w:jc w:val="center"/>
        <w:rPr>
          <w:b/>
          <w:caps/>
          <w:sz w:val="22"/>
        </w:rPr>
      </w:pPr>
      <w:r w:rsidRPr="00D83357">
        <w:rPr>
          <w:b/>
          <w:sz w:val="22"/>
        </w:rPr>
        <w:lastRenderedPageBreak/>
        <w:t xml:space="preserve">Table 4: Aggregate-Level Elasticity Effects </w:t>
      </w:r>
      <w:r w:rsidR="007E14AA" w:rsidRPr="00D83357">
        <w:rPr>
          <w:b/>
          <w:sz w:val="22"/>
        </w:rPr>
        <w:t xml:space="preserve">for the </w:t>
      </w:r>
      <w:r w:rsidR="00D83357">
        <w:rPr>
          <w:b/>
          <w:sz w:val="22"/>
        </w:rPr>
        <w:t>T</w:t>
      </w:r>
      <w:r w:rsidR="007E14AA" w:rsidRPr="00D83357">
        <w:rPr>
          <w:b/>
          <w:sz w:val="22"/>
        </w:rPr>
        <w:t xml:space="preserve">wo </w:t>
      </w:r>
      <w:r w:rsidR="00D83357">
        <w:rPr>
          <w:b/>
          <w:sz w:val="22"/>
        </w:rPr>
        <w:t>M</w:t>
      </w:r>
      <w:r w:rsidR="007E14AA" w:rsidRPr="00D83357">
        <w:rPr>
          <w:b/>
          <w:sz w:val="22"/>
        </w:rPr>
        <w:t xml:space="preserve">ost </w:t>
      </w:r>
      <w:r w:rsidR="00D83357">
        <w:rPr>
          <w:b/>
          <w:sz w:val="22"/>
        </w:rPr>
        <w:t>S</w:t>
      </w:r>
      <w:r w:rsidR="007E14AA" w:rsidRPr="00D83357">
        <w:rPr>
          <w:b/>
          <w:sz w:val="22"/>
        </w:rPr>
        <w:t xml:space="preserve">evere </w:t>
      </w:r>
      <w:r w:rsidR="00D83357">
        <w:rPr>
          <w:b/>
          <w:sz w:val="22"/>
        </w:rPr>
        <w:t>Injury L</w:t>
      </w:r>
      <w:r w:rsidR="007E14AA" w:rsidRPr="00D83357">
        <w:rPr>
          <w:b/>
          <w:sz w:val="22"/>
        </w:rPr>
        <w:t xml:space="preserve">evels </w:t>
      </w:r>
      <w:r w:rsidRPr="00D83357">
        <w:rPr>
          <w:b/>
          <w:sz w:val="22"/>
        </w:rPr>
        <w:t>(t-stat</w:t>
      </w:r>
      <w:r w:rsidR="007E14AA" w:rsidRPr="00D83357">
        <w:rPr>
          <w:b/>
          <w:sz w:val="22"/>
        </w:rPr>
        <w:t>s</w:t>
      </w:r>
      <w:r w:rsidRPr="00D83357">
        <w:rPr>
          <w:b/>
          <w:sz w:val="22"/>
        </w:rPr>
        <w:t xml:space="preserve"> in parenthesis)</w:t>
      </w:r>
    </w:p>
    <w:tbl>
      <w:tblPr>
        <w:tblW w:w="10269" w:type="dxa"/>
        <w:jc w:val="center"/>
        <w:tblLayout w:type="fixed"/>
        <w:tblLook w:val="00A0" w:firstRow="1" w:lastRow="0" w:firstColumn="1" w:lastColumn="0" w:noHBand="0" w:noVBand="0"/>
      </w:tblPr>
      <w:tblGrid>
        <w:gridCol w:w="3765"/>
        <w:gridCol w:w="1084"/>
        <w:gridCol w:w="1084"/>
        <w:gridCol w:w="1083"/>
        <w:gridCol w:w="1085"/>
        <w:gridCol w:w="1084"/>
        <w:gridCol w:w="1084"/>
      </w:tblGrid>
      <w:tr w:rsidR="00947C1B" w:rsidRPr="004F3B85" w:rsidTr="00E429FF">
        <w:trPr>
          <w:trHeight w:val="411"/>
          <w:jc w:val="center"/>
        </w:trPr>
        <w:tc>
          <w:tcPr>
            <w:tcW w:w="3765" w:type="dxa"/>
            <w:vMerge w:val="restart"/>
            <w:tcBorders>
              <w:top w:val="double" w:sz="4" w:space="0" w:color="auto"/>
              <w:left w:val="double" w:sz="4" w:space="0" w:color="auto"/>
              <w:bottom w:val="nil"/>
              <w:right w:val="double" w:sz="4" w:space="0" w:color="auto"/>
            </w:tcBorders>
            <w:noWrap/>
            <w:tcMar>
              <w:left w:w="58" w:type="dxa"/>
              <w:right w:w="58" w:type="dxa"/>
            </w:tcMar>
            <w:vAlign w:val="center"/>
          </w:tcPr>
          <w:p w:rsidR="00947C1B" w:rsidRPr="004F3B85" w:rsidRDefault="00947C1B" w:rsidP="00D72ECE">
            <w:pPr>
              <w:spacing w:line="240" w:lineRule="auto"/>
              <w:ind w:firstLine="0"/>
              <w:jc w:val="center"/>
              <w:rPr>
                <w:b/>
                <w:color w:val="000000"/>
                <w:sz w:val="20"/>
                <w:szCs w:val="16"/>
              </w:rPr>
            </w:pPr>
            <w:r w:rsidRPr="004F3B85">
              <w:rPr>
                <w:b/>
                <w:color w:val="000000"/>
                <w:sz w:val="20"/>
                <w:szCs w:val="16"/>
              </w:rPr>
              <w:t>Variable</w:t>
            </w:r>
          </w:p>
        </w:tc>
        <w:tc>
          <w:tcPr>
            <w:tcW w:w="2168" w:type="dxa"/>
            <w:gridSpan w:val="2"/>
            <w:tcBorders>
              <w:top w:val="double" w:sz="4" w:space="0" w:color="auto"/>
              <w:left w:val="double" w:sz="4" w:space="0" w:color="auto"/>
              <w:bottom w:val="single" w:sz="4" w:space="0" w:color="auto"/>
              <w:right w:val="double" w:sz="4" w:space="0" w:color="auto"/>
            </w:tcBorders>
            <w:noWrap/>
            <w:tcMar>
              <w:left w:w="58" w:type="dxa"/>
              <w:right w:w="58" w:type="dxa"/>
            </w:tcMar>
            <w:vAlign w:val="center"/>
          </w:tcPr>
          <w:p w:rsidR="00947C1B" w:rsidRPr="004F3B85" w:rsidRDefault="00947C1B" w:rsidP="00D72ECE">
            <w:pPr>
              <w:spacing w:line="240" w:lineRule="auto"/>
              <w:ind w:firstLine="0"/>
              <w:jc w:val="center"/>
              <w:rPr>
                <w:b/>
                <w:color w:val="000000"/>
                <w:sz w:val="20"/>
              </w:rPr>
            </w:pPr>
            <w:r>
              <w:rPr>
                <w:b/>
                <w:color w:val="000000"/>
                <w:sz w:val="20"/>
              </w:rPr>
              <w:t xml:space="preserve">Multivariate </w:t>
            </w:r>
            <w:proofErr w:type="spellStart"/>
            <w:r>
              <w:rPr>
                <w:b/>
                <w:color w:val="000000"/>
                <w:sz w:val="20"/>
              </w:rPr>
              <w:t>Aspatial</w:t>
            </w:r>
            <w:proofErr w:type="spellEnd"/>
            <w:r>
              <w:rPr>
                <w:b/>
                <w:color w:val="000000"/>
                <w:sz w:val="20"/>
              </w:rPr>
              <w:t xml:space="preserve"> Count (MAC) Model</w:t>
            </w:r>
          </w:p>
        </w:tc>
        <w:tc>
          <w:tcPr>
            <w:tcW w:w="2168" w:type="dxa"/>
            <w:gridSpan w:val="2"/>
            <w:tcBorders>
              <w:top w:val="double" w:sz="4" w:space="0" w:color="auto"/>
              <w:left w:val="double" w:sz="4" w:space="0" w:color="auto"/>
              <w:bottom w:val="single" w:sz="4" w:space="0" w:color="auto"/>
              <w:right w:val="double" w:sz="4" w:space="0" w:color="auto"/>
            </w:tcBorders>
            <w:vAlign w:val="center"/>
          </w:tcPr>
          <w:p w:rsidR="00947C1B" w:rsidRPr="004F3B85" w:rsidRDefault="00947C1B" w:rsidP="00D72ECE">
            <w:pPr>
              <w:spacing w:line="240" w:lineRule="auto"/>
              <w:ind w:firstLine="0"/>
              <w:jc w:val="center"/>
              <w:rPr>
                <w:b/>
                <w:color w:val="000000"/>
                <w:sz w:val="20"/>
              </w:rPr>
            </w:pPr>
            <w:r>
              <w:rPr>
                <w:b/>
                <w:color w:val="000000"/>
                <w:sz w:val="20"/>
              </w:rPr>
              <w:t>Multivariate Constrained Spatial Count (MCSC) Model</w:t>
            </w:r>
          </w:p>
        </w:tc>
        <w:tc>
          <w:tcPr>
            <w:tcW w:w="2168" w:type="dxa"/>
            <w:gridSpan w:val="2"/>
            <w:tcBorders>
              <w:top w:val="double" w:sz="4" w:space="0" w:color="auto"/>
              <w:left w:val="double" w:sz="4" w:space="0" w:color="auto"/>
              <w:bottom w:val="single" w:sz="4" w:space="0" w:color="auto"/>
              <w:right w:val="double" w:sz="4" w:space="0" w:color="auto"/>
            </w:tcBorders>
            <w:vAlign w:val="center"/>
          </w:tcPr>
          <w:p w:rsidR="00947C1B" w:rsidRDefault="00947C1B" w:rsidP="00D72ECE">
            <w:pPr>
              <w:spacing w:line="240" w:lineRule="auto"/>
              <w:ind w:firstLine="0"/>
              <w:jc w:val="center"/>
              <w:rPr>
                <w:b/>
                <w:color w:val="000000"/>
                <w:sz w:val="20"/>
              </w:rPr>
            </w:pPr>
            <w:r>
              <w:rPr>
                <w:b/>
                <w:color w:val="000000"/>
                <w:sz w:val="20"/>
              </w:rPr>
              <w:t>Multivariate Unconstrained Spatial Count (MUSC) Model</w:t>
            </w:r>
          </w:p>
        </w:tc>
      </w:tr>
      <w:tr w:rsidR="00947C1B" w:rsidRPr="004F3B85" w:rsidTr="00E429FF">
        <w:trPr>
          <w:trHeight w:val="300"/>
          <w:jc w:val="center"/>
        </w:trPr>
        <w:tc>
          <w:tcPr>
            <w:tcW w:w="3765" w:type="dxa"/>
            <w:vMerge/>
            <w:tcBorders>
              <w:top w:val="nil"/>
              <w:left w:val="double" w:sz="4" w:space="0" w:color="auto"/>
              <w:bottom w:val="double" w:sz="4" w:space="0" w:color="auto"/>
              <w:right w:val="double" w:sz="4" w:space="0" w:color="auto"/>
            </w:tcBorders>
            <w:tcMar>
              <w:left w:w="58" w:type="dxa"/>
              <w:right w:w="58" w:type="dxa"/>
            </w:tcMar>
            <w:vAlign w:val="center"/>
          </w:tcPr>
          <w:p w:rsidR="00947C1B" w:rsidRPr="004F3B85" w:rsidRDefault="00947C1B" w:rsidP="00D72ECE">
            <w:pPr>
              <w:spacing w:line="240" w:lineRule="auto"/>
              <w:jc w:val="center"/>
              <w:rPr>
                <w:b/>
                <w:color w:val="000000"/>
                <w:sz w:val="20"/>
                <w:szCs w:val="16"/>
              </w:rPr>
            </w:pPr>
          </w:p>
        </w:tc>
        <w:tc>
          <w:tcPr>
            <w:tcW w:w="1084" w:type="dxa"/>
            <w:tcBorders>
              <w:top w:val="single" w:sz="4" w:space="0" w:color="auto"/>
              <w:left w:val="single" w:sz="4" w:space="0" w:color="auto"/>
              <w:bottom w:val="double" w:sz="4" w:space="0" w:color="auto"/>
              <w:right w:val="single" w:sz="4" w:space="0" w:color="auto"/>
            </w:tcBorders>
            <w:noWrap/>
            <w:tcMar>
              <w:left w:w="58" w:type="dxa"/>
              <w:right w:w="58" w:type="dxa"/>
            </w:tcMar>
            <w:vAlign w:val="center"/>
          </w:tcPr>
          <w:p w:rsidR="00947C1B" w:rsidRPr="004F3B85" w:rsidRDefault="00947C1B" w:rsidP="00D72ECE">
            <w:pPr>
              <w:spacing w:line="240" w:lineRule="auto"/>
              <w:ind w:firstLine="0"/>
              <w:jc w:val="center"/>
              <w:rPr>
                <w:b/>
                <w:color w:val="000000"/>
                <w:sz w:val="20"/>
              </w:rPr>
            </w:pPr>
            <w:proofErr w:type="spellStart"/>
            <w:r w:rsidRPr="004F3B85">
              <w:rPr>
                <w:b/>
                <w:color w:val="000000"/>
                <w:sz w:val="20"/>
              </w:rPr>
              <w:t>Incapac</w:t>
            </w:r>
            <w:proofErr w:type="spellEnd"/>
            <w:r>
              <w:rPr>
                <w:b/>
                <w:color w:val="000000"/>
                <w:sz w:val="20"/>
              </w:rPr>
              <w:t>.</w:t>
            </w:r>
          </w:p>
        </w:tc>
        <w:tc>
          <w:tcPr>
            <w:tcW w:w="1084" w:type="dxa"/>
            <w:tcBorders>
              <w:top w:val="single" w:sz="4" w:space="0" w:color="auto"/>
              <w:left w:val="single" w:sz="4" w:space="0" w:color="auto"/>
              <w:bottom w:val="double" w:sz="4" w:space="0" w:color="auto"/>
              <w:right w:val="double" w:sz="4" w:space="0" w:color="auto"/>
            </w:tcBorders>
            <w:noWrap/>
            <w:tcMar>
              <w:left w:w="58" w:type="dxa"/>
              <w:right w:w="58" w:type="dxa"/>
            </w:tcMar>
            <w:vAlign w:val="center"/>
          </w:tcPr>
          <w:p w:rsidR="00947C1B" w:rsidRPr="004F3B85" w:rsidRDefault="00947C1B" w:rsidP="00D72ECE">
            <w:pPr>
              <w:spacing w:line="240" w:lineRule="auto"/>
              <w:ind w:firstLine="0"/>
              <w:jc w:val="center"/>
              <w:rPr>
                <w:b/>
                <w:color w:val="000000"/>
                <w:sz w:val="20"/>
              </w:rPr>
            </w:pPr>
            <w:r w:rsidRPr="004F3B85">
              <w:rPr>
                <w:b/>
                <w:color w:val="000000"/>
                <w:sz w:val="20"/>
              </w:rPr>
              <w:t>Fatal</w:t>
            </w:r>
          </w:p>
        </w:tc>
        <w:tc>
          <w:tcPr>
            <w:tcW w:w="1083" w:type="dxa"/>
            <w:tcBorders>
              <w:top w:val="single" w:sz="4" w:space="0" w:color="auto"/>
              <w:left w:val="single" w:sz="4" w:space="0" w:color="auto"/>
              <w:bottom w:val="double" w:sz="4" w:space="0" w:color="auto"/>
              <w:right w:val="single" w:sz="4" w:space="0" w:color="auto"/>
            </w:tcBorders>
            <w:vAlign w:val="center"/>
          </w:tcPr>
          <w:p w:rsidR="00947C1B" w:rsidRPr="004F3B85" w:rsidRDefault="00947C1B" w:rsidP="00D72ECE">
            <w:pPr>
              <w:spacing w:line="240" w:lineRule="auto"/>
              <w:ind w:firstLine="0"/>
              <w:jc w:val="center"/>
              <w:rPr>
                <w:b/>
                <w:color w:val="000000"/>
                <w:sz w:val="20"/>
              </w:rPr>
            </w:pPr>
            <w:proofErr w:type="spellStart"/>
            <w:r w:rsidRPr="004F3B85">
              <w:rPr>
                <w:b/>
                <w:color w:val="000000"/>
                <w:sz w:val="20"/>
              </w:rPr>
              <w:t>Incapac</w:t>
            </w:r>
            <w:proofErr w:type="spellEnd"/>
            <w:r>
              <w:rPr>
                <w:b/>
                <w:color w:val="000000"/>
                <w:sz w:val="20"/>
              </w:rPr>
              <w:t>.</w:t>
            </w:r>
          </w:p>
        </w:tc>
        <w:tc>
          <w:tcPr>
            <w:tcW w:w="1085" w:type="dxa"/>
            <w:tcBorders>
              <w:top w:val="single" w:sz="4" w:space="0" w:color="auto"/>
              <w:left w:val="single" w:sz="4" w:space="0" w:color="auto"/>
              <w:bottom w:val="double" w:sz="4" w:space="0" w:color="auto"/>
              <w:right w:val="double" w:sz="4" w:space="0" w:color="auto"/>
            </w:tcBorders>
            <w:vAlign w:val="center"/>
          </w:tcPr>
          <w:p w:rsidR="00947C1B" w:rsidRPr="004F3B85" w:rsidRDefault="00947C1B" w:rsidP="00D72ECE">
            <w:pPr>
              <w:spacing w:line="240" w:lineRule="auto"/>
              <w:ind w:firstLine="0"/>
              <w:jc w:val="center"/>
              <w:rPr>
                <w:b/>
                <w:color w:val="000000"/>
                <w:sz w:val="20"/>
              </w:rPr>
            </w:pPr>
            <w:r w:rsidRPr="004F3B85">
              <w:rPr>
                <w:b/>
                <w:color w:val="000000"/>
                <w:sz w:val="20"/>
              </w:rPr>
              <w:t>Fatal</w:t>
            </w:r>
          </w:p>
        </w:tc>
        <w:tc>
          <w:tcPr>
            <w:tcW w:w="1084" w:type="dxa"/>
            <w:tcBorders>
              <w:top w:val="single" w:sz="4" w:space="0" w:color="auto"/>
              <w:left w:val="single" w:sz="4" w:space="0" w:color="auto"/>
              <w:bottom w:val="double" w:sz="4" w:space="0" w:color="auto"/>
              <w:right w:val="single" w:sz="4" w:space="0" w:color="auto"/>
            </w:tcBorders>
            <w:vAlign w:val="center"/>
          </w:tcPr>
          <w:p w:rsidR="00947C1B" w:rsidRPr="004F3B85" w:rsidRDefault="00947C1B" w:rsidP="00D72ECE">
            <w:pPr>
              <w:spacing w:line="240" w:lineRule="auto"/>
              <w:ind w:firstLine="0"/>
              <w:jc w:val="center"/>
              <w:rPr>
                <w:b/>
                <w:color w:val="000000"/>
                <w:sz w:val="20"/>
              </w:rPr>
            </w:pPr>
            <w:proofErr w:type="spellStart"/>
            <w:r w:rsidRPr="004F3B85">
              <w:rPr>
                <w:b/>
                <w:color w:val="000000"/>
                <w:sz w:val="20"/>
              </w:rPr>
              <w:t>Incapac</w:t>
            </w:r>
            <w:proofErr w:type="spellEnd"/>
            <w:r>
              <w:rPr>
                <w:b/>
                <w:color w:val="000000"/>
                <w:sz w:val="20"/>
              </w:rPr>
              <w:t>.</w:t>
            </w:r>
          </w:p>
        </w:tc>
        <w:tc>
          <w:tcPr>
            <w:tcW w:w="1084" w:type="dxa"/>
            <w:tcBorders>
              <w:top w:val="single" w:sz="4" w:space="0" w:color="auto"/>
              <w:left w:val="single" w:sz="4" w:space="0" w:color="auto"/>
              <w:bottom w:val="double" w:sz="4" w:space="0" w:color="auto"/>
              <w:right w:val="double" w:sz="4" w:space="0" w:color="auto"/>
            </w:tcBorders>
            <w:vAlign w:val="center"/>
          </w:tcPr>
          <w:p w:rsidR="00947C1B" w:rsidRPr="004F3B85" w:rsidRDefault="00947C1B" w:rsidP="00D72ECE">
            <w:pPr>
              <w:spacing w:line="240" w:lineRule="auto"/>
              <w:ind w:firstLine="0"/>
              <w:jc w:val="center"/>
              <w:rPr>
                <w:b/>
                <w:color w:val="000000"/>
                <w:sz w:val="20"/>
              </w:rPr>
            </w:pPr>
            <w:r w:rsidRPr="004F3B85">
              <w:rPr>
                <w:b/>
                <w:color w:val="000000"/>
                <w:sz w:val="20"/>
              </w:rPr>
              <w:t>Fatal</w:t>
            </w:r>
          </w:p>
        </w:tc>
      </w:tr>
      <w:tr w:rsidR="0000599A" w:rsidRPr="004F3B85" w:rsidTr="00E429FF">
        <w:trPr>
          <w:trHeight w:val="630"/>
          <w:jc w:val="center"/>
        </w:trPr>
        <w:tc>
          <w:tcPr>
            <w:tcW w:w="3765" w:type="dxa"/>
            <w:tcBorders>
              <w:top w:val="double" w:sz="4" w:space="0" w:color="auto"/>
              <w:left w:val="double" w:sz="4" w:space="0" w:color="auto"/>
              <w:right w:val="double" w:sz="4" w:space="0" w:color="auto"/>
            </w:tcBorders>
            <w:noWrap/>
            <w:tcMar>
              <w:left w:w="58" w:type="dxa"/>
              <w:right w:w="58" w:type="dxa"/>
            </w:tcMar>
            <w:vAlign w:val="center"/>
          </w:tcPr>
          <w:p w:rsidR="0000599A" w:rsidRPr="00C7214B" w:rsidRDefault="0000599A" w:rsidP="004C4F47">
            <w:pPr>
              <w:spacing w:line="240" w:lineRule="auto"/>
              <w:ind w:firstLine="0"/>
              <w:jc w:val="left"/>
              <w:rPr>
                <w:i/>
                <w:color w:val="000000"/>
                <w:sz w:val="20"/>
                <w:szCs w:val="16"/>
              </w:rPr>
            </w:pPr>
            <w:r w:rsidRPr="00C7214B">
              <w:rPr>
                <w:i/>
                <w:color w:val="000000"/>
                <w:sz w:val="20"/>
                <w:szCs w:val="16"/>
              </w:rPr>
              <w:t>Socio-Demographic Variables</w:t>
            </w:r>
          </w:p>
        </w:tc>
        <w:tc>
          <w:tcPr>
            <w:tcW w:w="1084" w:type="dxa"/>
            <w:tcBorders>
              <w:top w:val="double" w:sz="4" w:space="0" w:color="auto"/>
              <w:left w:val="nil"/>
              <w:right w:val="single" w:sz="4" w:space="0" w:color="auto"/>
            </w:tcBorders>
            <w:noWrap/>
            <w:tcMar>
              <w:left w:w="58" w:type="dxa"/>
              <w:right w:w="58" w:type="dxa"/>
            </w:tcMar>
            <w:vAlign w:val="center"/>
          </w:tcPr>
          <w:p w:rsidR="0000599A" w:rsidRDefault="0000599A" w:rsidP="00D72ECE">
            <w:pPr>
              <w:spacing w:line="240" w:lineRule="auto"/>
              <w:ind w:firstLine="0"/>
              <w:jc w:val="center"/>
              <w:rPr>
                <w:sz w:val="20"/>
              </w:rPr>
            </w:pPr>
          </w:p>
        </w:tc>
        <w:tc>
          <w:tcPr>
            <w:tcW w:w="1084" w:type="dxa"/>
            <w:tcBorders>
              <w:top w:val="double" w:sz="4" w:space="0" w:color="auto"/>
              <w:left w:val="nil"/>
              <w:right w:val="double" w:sz="4" w:space="0" w:color="auto"/>
            </w:tcBorders>
            <w:noWrap/>
            <w:tcMar>
              <w:left w:w="58" w:type="dxa"/>
              <w:right w:w="58" w:type="dxa"/>
            </w:tcMar>
            <w:vAlign w:val="center"/>
          </w:tcPr>
          <w:p w:rsidR="0000599A" w:rsidRDefault="0000599A" w:rsidP="00D72ECE">
            <w:pPr>
              <w:spacing w:line="240" w:lineRule="auto"/>
              <w:ind w:firstLine="0"/>
              <w:jc w:val="center"/>
              <w:rPr>
                <w:sz w:val="20"/>
              </w:rPr>
            </w:pPr>
          </w:p>
        </w:tc>
        <w:tc>
          <w:tcPr>
            <w:tcW w:w="1083" w:type="dxa"/>
            <w:tcBorders>
              <w:top w:val="double" w:sz="4" w:space="0" w:color="auto"/>
              <w:left w:val="single" w:sz="4" w:space="0" w:color="auto"/>
              <w:right w:val="single" w:sz="4" w:space="0" w:color="auto"/>
            </w:tcBorders>
            <w:vAlign w:val="center"/>
          </w:tcPr>
          <w:p w:rsidR="0000599A" w:rsidRDefault="0000599A" w:rsidP="00D72ECE">
            <w:pPr>
              <w:spacing w:line="240" w:lineRule="auto"/>
              <w:ind w:firstLine="0"/>
              <w:jc w:val="center"/>
              <w:rPr>
                <w:sz w:val="20"/>
              </w:rPr>
            </w:pPr>
          </w:p>
        </w:tc>
        <w:tc>
          <w:tcPr>
            <w:tcW w:w="1085" w:type="dxa"/>
            <w:tcBorders>
              <w:top w:val="double" w:sz="4" w:space="0" w:color="auto"/>
              <w:left w:val="single" w:sz="4" w:space="0" w:color="auto"/>
              <w:right w:val="double" w:sz="4" w:space="0" w:color="auto"/>
            </w:tcBorders>
            <w:vAlign w:val="center"/>
          </w:tcPr>
          <w:p w:rsidR="0000599A" w:rsidRDefault="0000599A" w:rsidP="00D72ECE">
            <w:pPr>
              <w:spacing w:line="240" w:lineRule="auto"/>
              <w:ind w:firstLine="0"/>
              <w:jc w:val="center"/>
              <w:rPr>
                <w:sz w:val="20"/>
              </w:rPr>
            </w:pPr>
          </w:p>
        </w:tc>
        <w:tc>
          <w:tcPr>
            <w:tcW w:w="1084" w:type="dxa"/>
            <w:tcBorders>
              <w:top w:val="double" w:sz="4" w:space="0" w:color="auto"/>
              <w:left w:val="single" w:sz="4" w:space="0" w:color="auto"/>
              <w:right w:val="single" w:sz="4" w:space="0" w:color="auto"/>
            </w:tcBorders>
            <w:vAlign w:val="center"/>
          </w:tcPr>
          <w:p w:rsidR="0000599A" w:rsidRDefault="0000599A" w:rsidP="00D72ECE">
            <w:pPr>
              <w:spacing w:line="240" w:lineRule="auto"/>
              <w:ind w:firstLine="0"/>
              <w:jc w:val="center"/>
              <w:rPr>
                <w:sz w:val="20"/>
              </w:rPr>
            </w:pPr>
          </w:p>
        </w:tc>
        <w:tc>
          <w:tcPr>
            <w:tcW w:w="1084" w:type="dxa"/>
            <w:tcBorders>
              <w:top w:val="double" w:sz="4" w:space="0" w:color="auto"/>
              <w:left w:val="single" w:sz="4" w:space="0" w:color="auto"/>
              <w:right w:val="double" w:sz="4" w:space="0" w:color="auto"/>
            </w:tcBorders>
            <w:vAlign w:val="center"/>
          </w:tcPr>
          <w:p w:rsidR="0000599A" w:rsidRDefault="0000599A" w:rsidP="00D72ECE">
            <w:pPr>
              <w:spacing w:line="240" w:lineRule="auto"/>
              <w:ind w:firstLine="0"/>
              <w:jc w:val="center"/>
              <w:rPr>
                <w:sz w:val="20"/>
              </w:rPr>
            </w:pPr>
          </w:p>
        </w:tc>
      </w:tr>
      <w:tr w:rsidR="00947C1B" w:rsidRPr="004F3B85" w:rsidTr="00E429FF">
        <w:trPr>
          <w:trHeight w:val="630"/>
          <w:jc w:val="center"/>
        </w:trPr>
        <w:tc>
          <w:tcPr>
            <w:tcW w:w="3765" w:type="dxa"/>
            <w:tcBorders>
              <w:left w:val="double" w:sz="4" w:space="0" w:color="auto"/>
              <w:bottom w:val="nil"/>
              <w:right w:val="double" w:sz="4" w:space="0" w:color="auto"/>
            </w:tcBorders>
            <w:noWrap/>
            <w:tcMar>
              <w:left w:w="58" w:type="dxa"/>
              <w:right w:w="58" w:type="dxa"/>
            </w:tcMar>
            <w:vAlign w:val="center"/>
          </w:tcPr>
          <w:p w:rsidR="00947C1B" w:rsidRPr="004F3B85" w:rsidRDefault="0000599A" w:rsidP="004C4F47">
            <w:pPr>
              <w:spacing w:line="240" w:lineRule="auto"/>
              <w:ind w:firstLine="0"/>
              <w:jc w:val="left"/>
              <w:rPr>
                <w:color w:val="000000"/>
                <w:sz w:val="20"/>
                <w:szCs w:val="16"/>
              </w:rPr>
            </w:pPr>
            <w:r>
              <w:rPr>
                <w:color w:val="000000"/>
                <w:sz w:val="20"/>
                <w:szCs w:val="16"/>
              </w:rPr>
              <w:t xml:space="preserve">     </w:t>
            </w:r>
            <w:r w:rsidR="00494D24">
              <w:rPr>
                <w:color w:val="000000"/>
                <w:sz w:val="20"/>
                <w:szCs w:val="16"/>
              </w:rPr>
              <w:t xml:space="preserve">  </w:t>
            </w:r>
            <w:r>
              <w:rPr>
                <w:color w:val="000000"/>
                <w:sz w:val="20"/>
                <w:szCs w:val="16"/>
              </w:rPr>
              <w:t xml:space="preserve">Log of </w:t>
            </w:r>
            <w:r w:rsidR="00947C1B">
              <w:rPr>
                <w:color w:val="000000"/>
                <w:sz w:val="20"/>
                <w:szCs w:val="16"/>
              </w:rPr>
              <w:t xml:space="preserve">Population </w:t>
            </w:r>
            <w:r>
              <w:rPr>
                <w:color w:val="000000"/>
                <w:sz w:val="20"/>
                <w:szCs w:val="16"/>
              </w:rPr>
              <w:t>D</w:t>
            </w:r>
            <w:r w:rsidR="00947C1B" w:rsidRPr="004F3B85">
              <w:rPr>
                <w:color w:val="000000"/>
                <w:sz w:val="20"/>
                <w:szCs w:val="16"/>
              </w:rPr>
              <w:t>ensity</w:t>
            </w:r>
          </w:p>
        </w:tc>
        <w:tc>
          <w:tcPr>
            <w:tcW w:w="1084" w:type="dxa"/>
            <w:tcBorders>
              <w:left w:val="nil"/>
              <w:right w:val="single" w:sz="4" w:space="0" w:color="auto"/>
            </w:tcBorders>
            <w:noWrap/>
            <w:tcMar>
              <w:left w:w="58" w:type="dxa"/>
              <w:right w:w="58" w:type="dxa"/>
            </w:tcMar>
            <w:vAlign w:val="center"/>
          </w:tcPr>
          <w:p w:rsidR="00947C1B" w:rsidRDefault="00947C1B" w:rsidP="00D72ECE">
            <w:pPr>
              <w:spacing w:line="240" w:lineRule="auto"/>
              <w:ind w:firstLine="0"/>
              <w:jc w:val="center"/>
              <w:rPr>
                <w:sz w:val="20"/>
              </w:rPr>
            </w:pPr>
            <w:r>
              <w:rPr>
                <w:sz w:val="20"/>
              </w:rPr>
              <w:t>5.7</w:t>
            </w:r>
          </w:p>
          <w:p w:rsidR="00947C1B" w:rsidRPr="004F3B85" w:rsidRDefault="00947C1B" w:rsidP="00D72ECE">
            <w:pPr>
              <w:spacing w:line="240" w:lineRule="auto"/>
              <w:ind w:firstLine="0"/>
              <w:jc w:val="center"/>
              <w:rPr>
                <w:sz w:val="20"/>
              </w:rPr>
            </w:pPr>
            <w:r>
              <w:rPr>
                <w:sz w:val="20"/>
              </w:rPr>
              <w:t>(1.84)</w:t>
            </w:r>
          </w:p>
        </w:tc>
        <w:tc>
          <w:tcPr>
            <w:tcW w:w="1084" w:type="dxa"/>
            <w:tcBorders>
              <w:left w:val="nil"/>
              <w:right w:val="double" w:sz="4" w:space="0" w:color="auto"/>
            </w:tcBorders>
            <w:noWrap/>
            <w:tcMar>
              <w:left w:w="58" w:type="dxa"/>
              <w:right w:w="58" w:type="dxa"/>
            </w:tcMar>
            <w:vAlign w:val="center"/>
          </w:tcPr>
          <w:p w:rsidR="00947C1B" w:rsidRDefault="00947C1B" w:rsidP="00D72ECE">
            <w:pPr>
              <w:spacing w:line="240" w:lineRule="auto"/>
              <w:ind w:firstLine="0"/>
              <w:jc w:val="center"/>
              <w:rPr>
                <w:sz w:val="20"/>
              </w:rPr>
            </w:pPr>
            <w:r>
              <w:rPr>
                <w:sz w:val="20"/>
              </w:rPr>
              <w:t>25.7</w:t>
            </w:r>
          </w:p>
          <w:p w:rsidR="00947C1B" w:rsidRPr="004F3B85" w:rsidRDefault="00947C1B" w:rsidP="00D72ECE">
            <w:pPr>
              <w:spacing w:line="240" w:lineRule="auto"/>
              <w:ind w:firstLine="0"/>
              <w:jc w:val="center"/>
              <w:rPr>
                <w:sz w:val="20"/>
              </w:rPr>
            </w:pPr>
            <w:r>
              <w:rPr>
                <w:sz w:val="20"/>
              </w:rPr>
              <w:t>(5.15)</w:t>
            </w:r>
          </w:p>
        </w:tc>
        <w:tc>
          <w:tcPr>
            <w:tcW w:w="1083" w:type="dxa"/>
            <w:tcBorders>
              <w:left w:val="single" w:sz="4" w:space="0" w:color="auto"/>
              <w:right w:val="single" w:sz="4" w:space="0" w:color="auto"/>
            </w:tcBorders>
            <w:vAlign w:val="center"/>
          </w:tcPr>
          <w:p w:rsidR="00947C1B" w:rsidRDefault="00947C1B" w:rsidP="00D72ECE">
            <w:pPr>
              <w:spacing w:line="240" w:lineRule="auto"/>
              <w:ind w:firstLine="0"/>
              <w:jc w:val="center"/>
              <w:rPr>
                <w:sz w:val="20"/>
              </w:rPr>
            </w:pPr>
            <w:r>
              <w:rPr>
                <w:sz w:val="20"/>
              </w:rPr>
              <w:t>6.5</w:t>
            </w:r>
          </w:p>
          <w:p w:rsidR="00947C1B" w:rsidRPr="004F3B85" w:rsidRDefault="00947C1B" w:rsidP="00D72ECE">
            <w:pPr>
              <w:spacing w:line="240" w:lineRule="auto"/>
              <w:ind w:firstLine="0"/>
              <w:jc w:val="center"/>
              <w:rPr>
                <w:sz w:val="20"/>
              </w:rPr>
            </w:pPr>
            <w:r>
              <w:rPr>
                <w:sz w:val="20"/>
              </w:rPr>
              <w:t>(1.81)</w:t>
            </w:r>
          </w:p>
        </w:tc>
        <w:tc>
          <w:tcPr>
            <w:tcW w:w="1085" w:type="dxa"/>
            <w:tcBorders>
              <w:left w:val="single" w:sz="4" w:space="0" w:color="auto"/>
              <w:right w:val="double" w:sz="4" w:space="0" w:color="auto"/>
            </w:tcBorders>
            <w:vAlign w:val="center"/>
          </w:tcPr>
          <w:p w:rsidR="00947C1B" w:rsidRDefault="00947C1B" w:rsidP="00D72ECE">
            <w:pPr>
              <w:spacing w:line="240" w:lineRule="auto"/>
              <w:ind w:firstLine="0"/>
              <w:jc w:val="center"/>
              <w:rPr>
                <w:sz w:val="20"/>
              </w:rPr>
            </w:pPr>
            <w:r>
              <w:rPr>
                <w:sz w:val="20"/>
              </w:rPr>
              <w:t>33.0</w:t>
            </w:r>
          </w:p>
          <w:p w:rsidR="00947C1B" w:rsidRPr="004F3B85" w:rsidRDefault="00947C1B" w:rsidP="00D72ECE">
            <w:pPr>
              <w:spacing w:line="240" w:lineRule="auto"/>
              <w:ind w:firstLine="0"/>
              <w:jc w:val="center"/>
              <w:rPr>
                <w:sz w:val="20"/>
              </w:rPr>
            </w:pPr>
            <w:r>
              <w:rPr>
                <w:sz w:val="20"/>
              </w:rPr>
              <w:t>(5.29)</w:t>
            </w:r>
          </w:p>
        </w:tc>
        <w:tc>
          <w:tcPr>
            <w:tcW w:w="1084" w:type="dxa"/>
            <w:tcBorders>
              <w:left w:val="single" w:sz="4" w:space="0" w:color="auto"/>
              <w:right w:val="single" w:sz="4" w:space="0" w:color="auto"/>
            </w:tcBorders>
            <w:vAlign w:val="center"/>
          </w:tcPr>
          <w:p w:rsidR="00947C1B" w:rsidRDefault="00947C1B" w:rsidP="00D72ECE">
            <w:pPr>
              <w:spacing w:line="240" w:lineRule="auto"/>
              <w:ind w:firstLine="0"/>
              <w:jc w:val="center"/>
              <w:rPr>
                <w:sz w:val="20"/>
              </w:rPr>
            </w:pPr>
            <w:r>
              <w:rPr>
                <w:sz w:val="20"/>
              </w:rPr>
              <w:t>5.8</w:t>
            </w:r>
          </w:p>
          <w:p w:rsidR="00947C1B" w:rsidRPr="004F3B85" w:rsidRDefault="00947C1B" w:rsidP="00D72ECE">
            <w:pPr>
              <w:spacing w:line="240" w:lineRule="auto"/>
              <w:ind w:firstLine="0"/>
              <w:jc w:val="center"/>
              <w:rPr>
                <w:sz w:val="20"/>
              </w:rPr>
            </w:pPr>
            <w:r>
              <w:rPr>
                <w:sz w:val="20"/>
              </w:rPr>
              <w:t>(1.86)</w:t>
            </w:r>
          </w:p>
        </w:tc>
        <w:tc>
          <w:tcPr>
            <w:tcW w:w="1084" w:type="dxa"/>
            <w:tcBorders>
              <w:left w:val="single" w:sz="4" w:space="0" w:color="auto"/>
              <w:right w:val="double" w:sz="4" w:space="0" w:color="auto"/>
            </w:tcBorders>
            <w:vAlign w:val="center"/>
          </w:tcPr>
          <w:p w:rsidR="00947C1B" w:rsidRDefault="00947C1B" w:rsidP="00D72ECE">
            <w:pPr>
              <w:spacing w:line="240" w:lineRule="auto"/>
              <w:ind w:firstLine="0"/>
              <w:jc w:val="center"/>
              <w:rPr>
                <w:sz w:val="20"/>
              </w:rPr>
            </w:pPr>
            <w:r>
              <w:rPr>
                <w:sz w:val="20"/>
              </w:rPr>
              <w:t>44.3</w:t>
            </w:r>
          </w:p>
          <w:p w:rsidR="00947C1B" w:rsidRPr="004F3B85" w:rsidRDefault="00947C1B" w:rsidP="00D72ECE">
            <w:pPr>
              <w:spacing w:line="240" w:lineRule="auto"/>
              <w:ind w:firstLine="0"/>
              <w:jc w:val="center"/>
              <w:rPr>
                <w:sz w:val="20"/>
              </w:rPr>
            </w:pPr>
            <w:r>
              <w:rPr>
                <w:sz w:val="20"/>
              </w:rPr>
              <w:t>(6.70)</w:t>
            </w:r>
          </w:p>
        </w:tc>
      </w:tr>
      <w:tr w:rsidR="00947C1B" w:rsidRPr="004F3B85" w:rsidTr="00E429FF">
        <w:trPr>
          <w:trHeight w:val="600"/>
          <w:jc w:val="center"/>
        </w:trPr>
        <w:tc>
          <w:tcPr>
            <w:tcW w:w="3765" w:type="dxa"/>
            <w:tcBorders>
              <w:top w:val="nil"/>
              <w:left w:val="double" w:sz="4" w:space="0" w:color="auto"/>
              <w:bottom w:val="nil"/>
              <w:right w:val="double" w:sz="4" w:space="0" w:color="auto"/>
            </w:tcBorders>
            <w:noWrap/>
            <w:tcMar>
              <w:left w:w="58" w:type="dxa"/>
              <w:right w:w="58" w:type="dxa"/>
            </w:tcMar>
            <w:vAlign w:val="center"/>
          </w:tcPr>
          <w:p w:rsidR="00947C1B" w:rsidRDefault="00995B29" w:rsidP="004C4F47">
            <w:pPr>
              <w:spacing w:line="240" w:lineRule="auto"/>
              <w:ind w:firstLine="0"/>
              <w:jc w:val="left"/>
              <w:rPr>
                <w:color w:val="000000"/>
                <w:sz w:val="20"/>
                <w:szCs w:val="16"/>
              </w:rPr>
            </w:pPr>
            <w:r>
              <w:rPr>
                <w:color w:val="000000"/>
                <w:sz w:val="20"/>
                <w:szCs w:val="16"/>
              </w:rPr>
              <w:t xml:space="preserve">    </w:t>
            </w:r>
            <w:r w:rsidR="00494D24">
              <w:rPr>
                <w:color w:val="000000"/>
                <w:sz w:val="20"/>
                <w:szCs w:val="16"/>
              </w:rPr>
              <w:t xml:space="preserve">  </w:t>
            </w:r>
            <w:r>
              <w:rPr>
                <w:color w:val="000000"/>
                <w:sz w:val="20"/>
                <w:szCs w:val="16"/>
              </w:rPr>
              <w:t xml:space="preserve"> </w:t>
            </w:r>
            <w:r w:rsidR="00947C1B">
              <w:rPr>
                <w:color w:val="000000"/>
                <w:sz w:val="20"/>
                <w:szCs w:val="16"/>
              </w:rPr>
              <w:t>Proportion of population  ≤19</w:t>
            </w:r>
            <w:r>
              <w:rPr>
                <w:color w:val="000000"/>
                <w:sz w:val="20"/>
                <w:szCs w:val="16"/>
              </w:rPr>
              <w:t xml:space="preserve"> years</w:t>
            </w:r>
          </w:p>
        </w:tc>
        <w:tc>
          <w:tcPr>
            <w:tcW w:w="1084" w:type="dxa"/>
            <w:tcBorders>
              <w:top w:val="nil"/>
              <w:left w:val="nil"/>
              <w:right w:val="single" w:sz="4" w:space="0" w:color="auto"/>
            </w:tcBorders>
            <w:noWrap/>
            <w:tcMar>
              <w:left w:w="58" w:type="dxa"/>
              <w:right w:w="58" w:type="dxa"/>
            </w:tcMar>
            <w:vAlign w:val="center"/>
          </w:tcPr>
          <w:p w:rsidR="00947C1B" w:rsidRDefault="00947C1B" w:rsidP="00D72ECE">
            <w:pPr>
              <w:spacing w:line="240" w:lineRule="auto"/>
              <w:ind w:firstLine="0"/>
              <w:jc w:val="center"/>
              <w:rPr>
                <w:sz w:val="20"/>
              </w:rPr>
            </w:pPr>
            <w:r>
              <w:rPr>
                <w:sz w:val="20"/>
              </w:rPr>
              <w:t>-6.8</w:t>
            </w:r>
          </w:p>
          <w:p w:rsidR="00947C1B" w:rsidRPr="004F3B85" w:rsidRDefault="00947C1B" w:rsidP="00D72ECE">
            <w:pPr>
              <w:spacing w:line="240" w:lineRule="auto"/>
              <w:ind w:firstLine="0"/>
              <w:jc w:val="center"/>
              <w:rPr>
                <w:sz w:val="20"/>
              </w:rPr>
            </w:pPr>
            <w:r>
              <w:rPr>
                <w:sz w:val="20"/>
              </w:rPr>
              <w:t>(-6.72)</w:t>
            </w:r>
          </w:p>
        </w:tc>
        <w:tc>
          <w:tcPr>
            <w:tcW w:w="1084" w:type="dxa"/>
            <w:tcBorders>
              <w:top w:val="nil"/>
              <w:left w:val="nil"/>
              <w:right w:val="double" w:sz="4" w:space="0" w:color="auto"/>
            </w:tcBorders>
            <w:noWrap/>
            <w:tcMar>
              <w:left w:w="58" w:type="dxa"/>
              <w:right w:w="58" w:type="dxa"/>
            </w:tcMar>
            <w:vAlign w:val="center"/>
          </w:tcPr>
          <w:p w:rsidR="00947C1B" w:rsidRPr="004F3B85" w:rsidRDefault="00947C1B" w:rsidP="00D72ECE">
            <w:pPr>
              <w:spacing w:line="240" w:lineRule="auto"/>
              <w:ind w:firstLine="0"/>
              <w:jc w:val="center"/>
              <w:rPr>
                <w:sz w:val="20"/>
              </w:rPr>
            </w:pPr>
            <w:r>
              <w:rPr>
                <w:sz w:val="20"/>
              </w:rPr>
              <w:t>0.0</w:t>
            </w:r>
          </w:p>
        </w:tc>
        <w:tc>
          <w:tcPr>
            <w:tcW w:w="1083" w:type="dxa"/>
            <w:tcBorders>
              <w:top w:val="nil"/>
              <w:left w:val="single" w:sz="4" w:space="0" w:color="auto"/>
              <w:right w:val="single" w:sz="4" w:space="0" w:color="auto"/>
            </w:tcBorders>
            <w:vAlign w:val="center"/>
          </w:tcPr>
          <w:p w:rsidR="00947C1B" w:rsidRDefault="00947C1B" w:rsidP="00D72ECE">
            <w:pPr>
              <w:spacing w:line="240" w:lineRule="auto"/>
              <w:ind w:firstLine="0"/>
              <w:jc w:val="center"/>
              <w:rPr>
                <w:sz w:val="20"/>
              </w:rPr>
            </w:pPr>
            <w:r>
              <w:rPr>
                <w:sz w:val="20"/>
              </w:rPr>
              <w:t>-7.8</w:t>
            </w:r>
          </w:p>
          <w:p w:rsidR="00947C1B" w:rsidRPr="004F3B85" w:rsidRDefault="00947C1B" w:rsidP="00D72ECE">
            <w:pPr>
              <w:spacing w:line="240" w:lineRule="auto"/>
              <w:ind w:firstLine="0"/>
              <w:jc w:val="center"/>
              <w:rPr>
                <w:sz w:val="20"/>
              </w:rPr>
            </w:pPr>
            <w:r>
              <w:rPr>
                <w:sz w:val="20"/>
              </w:rPr>
              <w:t>(-7.24)</w:t>
            </w:r>
          </w:p>
        </w:tc>
        <w:tc>
          <w:tcPr>
            <w:tcW w:w="1085" w:type="dxa"/>
            <w:tcBorders>
              <w:top w:val="nil"/>
              <w:left w:val="single" w:sz="4" w:space="0" w:color="auto"/>
              <w:right w:val="double" w:sz="4" w:space="0" w:color="auto"/>
            </w:tcBorders>
            <w:vAlign w:val="center"/>
          </w:tcPr>
          <w:p w:rsidR="00947C1B" w:rsidRPr="004F3B85" w:rsidRDefault="00947C1B" w:rsidP="00D72ECE">
            <w:pPr>
              <w:spacing w:line="240" w:lineRule="auto"/>
              <w:ind w:firstLine="0"/>
              <w:jc w:val="center"/>
              <w:rPr>
                <w:sz w:val="20"/>
              </w:rPr>
            </w:pPr>
            <w:r>
              <w:rPr>
                <w:sz w:val="20"/>
              </w:rPr>
              <w:t>0.0</w:t>
            </w:r>
          </w:p>
        </w:tc>
        <w:tc>
          <w:tcPr>
            <w:tcW w:w="1084" w:type="dxa"/>
            <w:tcBorders>
              <w:top w:val="nil"/>
              <w:left w:val="single" w:sz="4" w:space="0" w:color="auto"/>
              <w:right w:val="single" w:sz="4" w:space="0" w:color="auto"/>
            </w:tcBorders>
            <w:vAlign w:val="center"/>
          </w:tcPr>
          <w:p w:rsidR="00947C1B" w:rsidRDefault="00947C1B" w:rsidP="00D72ECE">
            <w:pPr>
              <w:spacing w:line="240" w:lineRule="auto"/>
              <w:ind w:firstLine="0"/>
              <w:jc w:val="center"/>
              <w:rPr>
                <w:sz w:val="20"/>
              </w:rPr>
            </w:pPr>
            <w:r>
              <w:rPr>
                <w:sz w:val="20"/>
              </w:rPr>
              <w:t>-10.7</w:t>
            </w:r>
          </w:p>
          <w:p w:rsidR="00947C1B" w:rsidRPr="004F3B85" w:rsidRDefault="00947C1B" w:rsidP="00D72ECE">
            <w:pPr>
              <w:spacing w:line="240" w:lineRule="auto"/>
              <w:ind w:firstLine="0"/>
              <w:jc w:val="center"/>
              <w:rPr>
                <w:sz w:val="20"/>
              </w:rPr>
            </w:pPr>
            <w:r>
              <w:rPr>
                <w:sz w:val="20"/>
              </w:rPr>
              <w:t>(-7.30)</w:t>
            </w:r>
          </w:p>
        </w:tc>
        <w:tc>
          <w:tcPr>
            <w:tcW w:w="1084" w:type="dxa"/>
            <w:tcBorders>
              <w:top w:val="nil"/>
              <w:left w:val="single" w:sz="4" w:space="0" w:color="auto"/>
              <w:right w:val="double" w:sz="4" w:space="0" w:color="auto"/>
            </w:tcBorders>
            <w:vAlign w:val="center"/>
          </w:tcPr>
          <w:p w:rsidR="00947C1B" w:rsidRPr="004F3B85" w:rsidRDefault="00947C1B" w:rsidP="00D72ECE">
            <w:pPr>
              <w:spacing w:line="240" w:lineRule="auto"/>
              <w:ind w:firstLine="0"/>
              <w:jc w:val="center"/>
              <w:rPr>
                <w:sz w:val="20"/>
              </w:rPr>
            </w:pPr>
            <w:r>
              <w:rPr>
                <w:sz w:val="20"/>
              </w:rPr>
              <w:t>0.0</w:t>
            </w:r>
          </w:p>
        </w:tc>
      </w:tr>
      <w:tr w:rsidR="00947C1B" w:rsidRPr="004F3B85" w:rsidTr="00E429FF">
        <w:trPr>
          <w:trHeight w:val="600"/>
          <w:jc w:val="center"/>
        </w:trPr>
        <w:tc>
          <w:tcPr>
            <w:tcW w:w="3765" w:type="dxa"/>
            <w:tcBorders>
              <w:top w:val="nil"/>
              <w:left w:val="double" w:sz="4" w:space="0" w:color="auto"/>
              <w:bottom w:val="nil"/>
              <w:right w:val="double" w:sz="4" w:space="0" w:color="auto"/>
            </w:tcBorders>
            <w:noWrap/>
            <w:tcMar>
              <w:left w:w="58" w:type="dxa"/>
              <w:right w:w="58" w:type="dxa"/>
            </w:tcMar>
            <w:vAlign w:val="center"/>
          </w:tcPr>
          <w:p w:rsidR="00995B29" w:rsidRDefault="00995B29" w:rsidP="004C4F47">
            <w:pPr>
              <w:spacing w:line="240" w:lineRule="auto"/>
              <w:ind w:firstLine="0"/>
              <w:jc w:val="left"/>
              <w:rPr>
                <w:color w:val="000000"/>
                <w:sz w:val="20"/>
                <w:szCs w:val="16"/>
              </w:rPr>
            </w:pPr>
            <w:r>
              <w:rPr>
                <w:color w:val="000000"/>
                <w:sz w:val="20"/>
                <w:szCs w:val="16"/>
              </w:rPr>
              <w:t xml:space="preserve">    </w:t>
            </w:r>
            <w:r w:rsidR="00494D24">
              <w:rPr>
                <w:color w:val="000000"/>
                <w:sz w:val="20"/>
                <w:szCs w:val="16"/>
              </w:rPr>
              <w:t xml:space="preserve">  </w:t>
            </w:r>
            <w:r w:rsidR="00947C1B">
              <w:rPr>
                <w:color w:val="000000"/>
                <w:sz w:val="20"/>
                <w:szCs w:val="16"/>
              </w:rPr>
              <w:t>Proportion of population ≥18</w:t>
            </w:r>
            <w:r>
              <w:rPr>
                <w:color w:val="000000"/>
                <w:sz w:val="20"/>
                <w:szCs w:val="16"/>
              </w:rPr>
              <w:t xml:space="preserve"> years</w:t>
            </w:r>
            <w:r w:rsidR="00947C1B">
              <w:rPr>
                <w:color w:val="000000"/>
                <w:sz w:val="20"/>
                <w:szCs w:val="16"/>
              </w:rPr>
              <w:t xml:space="preserve"> </w:t>
            </w:r>
            <w:r>
              <w:rPr>
                <w:color w:val="000000"/>
                <w:sz w:val="20"/>
                <w:szCs w:val="16"/>
              </w:rPr>
              <w:t xml:space="preserve"> </w:t>
            </w:r>
          </w:p>
          <w:p w:rsidR="00947C1B" w:rsidRDefault="00995B29" w:rsidP="00D72ECE">
            <w:pPr>
              <w:spacing w:line="240" w:lineRule="auto"/>
              <w:ind w:firstLine="0"/>
              <w:jc w:val="left"/>
              <w:rPr>
                <w:color w:val="000000"/>
                <w:sz w:val="20"/>
                <w:szCs w:val="16"/>
              </w:rPr>
            </w:pPr>
            <w:r>
              <w:rPr>
                <w:color w:val="000000"/>
                <w:sz w:val="20"/>
                <w:szCs w:val="16"/>
              </w:rPr>
              <w:t xml:space="preserve">    </w:t>
            </w:r>
            <w:r w:rsidR="00494D24">
              <w:rPr>
                <w:color w:val="000000"/>
                <w:sz w:val="20"/>
                <w:szCs w:val="16"/>
              </w:rPr>
              <w:t xml:space="preserve">  </w:t>
            </w:r>
            <w:r w:rsidR="00947C1B">
              <w:rPr>
                <w:color w:val="000000"/>
                <w:sz w:val="20"/>
                <w:szCs w:val="16"/>
              </w:rPr>
              <w:t>without high school degree</w:t>
            </w:r>
          </w:p>
        </w:tc>
        <w:tc>
          <w:tcPr>
            <w:tcW w:w="1084" w:type="dxa"/>
            <w:tcBorders>
              <w:top w:val="nil"/>
              <w:left w:val="nil"/>
              <w:right w:val="single" w:sz="4" w:space="0" w:color="auto"/>
            </w:tcBorders>
            <w:noWrap/>
            <w:tcMar>
              <w:left w:w="58" w:type="dxa"/>
              <w:right w:w="58" w:type="dxa"/>
            </w:tcMar>
            <w:vAlign w:val="center"/>
          </w:tcPr>
          <w:p w:rsidR="00947C1B" w:rsidRDefault="00947C1B" w:rsidP="00D72ECE">
            <w:pPr>
              <w:spacing w:line="240" w:lineRule="auto"/>
              <w:ind w:firstLine="0"/>
              <w:jc w:val="center"/>
              <w:rPr>
                <w:sz w:val="20"/>
              </w:rPr>
            </w:pPr>
            <w:r>
              <w:rPr>
                <w:sz w:val="20"/>
              </w:rPr>
              <w:t>8.2</w:t>
            </w:r>
          </w:p>
          <w:p w:rsidR="00947C1B" w:rsidRPr="004F3B85" w:rsidRDefault="00947C1B" w:rsidP="00D72ECE">
            <w:pPr>
              <w:spacing w:line="240" w:lineRule="auto"/>
              <w:ind w:firstLine="0"/>
              <w:jc w:val="center"/>
              <w:rPr>
                <w:sz w:val="20"/>
              </w:rPr>
            </w:pPr>
            <w:r>
              <w:rPr>
                <w:sz w:val="20"/>
              </w:rPr>
              <w:t>(8.07)</w:t>
            </w:r>
          </w:p>
        </w:tc>
        <w:tc>
          <w:tcPr>
            <w:tcW w:w="1084" w:type="dxa"/>
            <w:tcBorders>
              <w:top w:val="nil"/>
              <w:left w:val="nil"/>
              <w:right w:val="double" w:sz="4" w:space="0" w:color="auto"/>
            </w:tcBorders>
            <w:noWrap/>
            <w:tcMar>
              <w:left w:w="58" w:type="dxa"/>
              <w:right w:w="58" w:type="dxa"/>
            </w:tcMar>
            <w:vAlign w:val="center"/>
          </w:tcPr>
          <w:p w:rsidR="00947C1B" w:rsidRPr="004F3B85" w:rsidRDefault="00947C1B" w:rsidP="00D72ECE">
            <w:pPr>
              <w:spacing w:line="240" w:lineRule="auto"/>
              <w:ind w:firstLine="0"/>
              <w:jc w:val="center"/>
              <w:rPr>
                <w:sz w:val="20"/>
              </w:rPr>
            </w:pPr>
            <w:r>
              <w:rPr>
                <w:sz w:val="20"/>
              </w:rPr>
              <w:t>0.0</w:t>
            </w:r>
          </w:p>
        </w:tc>
        <w:tc>
          <w:tcPr>
            <w:tcW w:w="1083" w:type="dxa"/>
            <w:tcBorders>
              <w:top w:val="nil"/>
              <w:left w:val="single" w:sz="4" w:space="0" w:color="auto"/>
              <w:right w:val="single" w:sz="4" w:space="0" w:color="auto"/>
            </w:tcBorders>
            <w:vAlign w:val="center"/>
          </w:tcPr>
          <w:p w:rsidR="00947C1B" w:rsidRDefault="00947C1B" w:rsidP="00D72ECE">
            <w:pPr>
              <w:spacing w:line="240" w:lineRule="auto"/>
              <w:ind w:firstLine="0"/>
              <w:jc w:val="center"/>
              <w:rPr>
                <w:sz w:val="20"/>
              </w:rPr>
            </w:pPr>
            <w:r>
              <w:rPr>
                <w:sz w:val="20"/>
              </w:rPr>
              <w:t>10.8</w:t>
            </w:r>
          </w:p>
          <w:p w:rsidR="00947C1B" w:rsidRPr="004F3B85" w:rsidRDefault="00947C1B" w:rsidP="00D72ECE">
            <w:pPr>
              <w:spacing w:line="240" w:lineRule="auto"/>
              <w:ind w:firstLine="0"/>
              <w:jc w:val="center"/>
              <w:rPr>
                <w:sz w:val="20"/>
              </w:rPr>
            </w:pPr>
            <w:r>
              <w:rPr>
                <w:sz w:val="20"/>
              </w:rPr>
              <w:t>(8.31)</w:t>
            </w:r>
          </w:p>
        </w:tc>
        <w:tc>
          <w:tcPr>
            <w:tcW w:w="1085" w:type="dxa"/>
            <w:tcBorders>
              <w:top w:val="nil"/>
              <w:left w:val="single" w:sz="4" w:space="0" w:color="auto"/>
              <w:right w:val="double" w:sz="4" w:space="0" w:color="auto"/>
            </w:tcBorders>
            <w:vAlign w:val="center"/>
          </w:tcPr>
          <w:p w:rsidR="00947C1B" w:rsidRPr="004F3B85" w:rsidRDefault="00947C1B" w:rsidP="00D72ECE">
            <w:pPr>
              <w:spacing w:line="240" w:lineRule="auto"/>
              <w:ind w:firstLine="0"/>
              <w:jc w:val="center"/>
              <w:rPr>
                <w:sz w:val="20"/>
              </w:rPr>
            </w:pPr>
            <w:r>
              <w:rPr>
                <w:sz w:val="20"/>
              </w:rPr>
              <w:t>0.0</w:t>
            </w:r>
          </w:p>
        </w:tc>
        <w:tc>
          <w:tcPr>
            <w:tcW w:w="1084" w:type="dxa"/>
            <w:tcBorders>
              <w:top w:val="nil"/>
              <w:left w:val="single" w:sz="4" w:space="0" w:color="auto"/>
              <w:right w:val="single" w:sz="4" w:space="0" w:color="auto"/>
            </w:tcBorders>
            <w:vAlign w:val="center"/>
          </w:tcPr>
          <w:p w:rsidR="00947C1B" w:rsidRDefault="00947C1B" w:rsidP="00D72ECE">
            <w:pPr>
              <w:spacing w:line="240" w:lineRule="auto"/>
              <w:ind w:firstLine="0"/>
              <w:jc w:val="center"/>
              <w:rPr>
                <w:sz w:val="20"/>
              </w:rPr>
            </w:pPr>
            <w:r>
              <w:rPr>
                <w:sz w:val="20"/>
              </w:rPr>
              <w:t>15.3</w:t>
            </w:r>
          </w:p>
          <w:p w:rsidR="00947C1B" w:rsidRPr="004F3B85" w:rsidRDefault="00947C1B" w:rsidP="00D72ECE">
            <w:pPr>
              <w:spacing w:line="240" w:lineRule="auto"/>
              <w:ind w:firstLine="0"/>
              <w:jc w:val="center"/>
              <w:rPr>
                <w:sz w:val="20"/>
              </w:rPr>
            </w:pPr>
            <w:r>
              <w:rPr>
                <w:sz w:val="20"/>
              </w:rPr>
              <w:t>(9.10)</w:t>
            </w:r>
          </w:p>
        </w:tc>
        <w:tc>
          <w:tcPr>
            <w:tcW w:w="1084" w:type="dxa"/>
            <w:tcBorders>
              <w:top w:val="nil"/>
              <w:left w:val="single" w:sz="4" w:space="0" w:color="auto"/>
              <w:right w:val="double" w:sz="4" w:space="0" w:color="auto"/>
            </w:tcBorders>
            <w:vAlign w:val="center"/>
          </w:tcPr>
          <w:p w:rsidR="00947C1B" w:rsidRPr="004F3B85" w:rsidRDefault="00947C1B" w:rsidP="00D72ECE">
            <w:pPr>
              <w:spacing w:line="240" w:lineRule="auto"/>
              <w:ind w:firstLine="0"/>
              <w:jc w:val="center"/>
              <w:rPr>
                <w:sz w:val="20"/>
              </w:rPr>
            </w:pPr>
            <w:r>
              <w:rPr>
                <w:sz w:val="20"/>
              </w:rPr>
              <w:t>0.0</w:t>
            </w:r>
          </w:p>
        </w:tc>
      </w:tr>
      <w:tr w:rsidR="00995B29" w:rsidRPr="004F3B85" w:rsidTr="00E429FF">
        <w:trPr>
          <w:trHeight w:val="600"/>
          <w:jc w:val="center"/>
        </w:trPr>
        <w:tc>
          <w:tcPr>
            <w:tcW w:w="3765" w:type="dxa"/>
            <w:tcBorders>
              <w:top w:val="nil"/>
              <w:left w:val="double" w:sz="4" w:space="0" w:color="auto"/>
              <w:bottom w:val="nil"/>
              <w:right w:val="double" w:sz="4" w:space="0" w:color="auto"/>
            </w:tcBorders>
            <w:noWrap/>
            <w:tcMar>
              <w:left w:w="58" w:type="dxa"/>
              <w:right w:w="58" w:type="dxa"/>
            </w:tcMar>
            <w:vAlign w:val="center"/>
          </w:tcPr>
          <w:p w:rsidR="00995B29" w:rsidRDefault="00995B29" w:rsidP="004C4F47">
            <w:pPr>
              <w:spacing w:line="240" w:lineRule="auto"/>
              <w:ind w:firstLine="0"/>
              <w:jc w:val="left"/>
              <w:rPr>
                <w:color w:val="000000"/>
                <w:sz w:val="20"/>
                <w:szCs w:val="16"/>
              </w:rPr>
            </w:pPr>
            <w:r>
              <w:rPr>
                <w:color w:val="000000"/>
                <w:sz w:val="20"/>
                <w:szCs w:val="16"/>
              </w:rPr>
              <w:t xml:space="preserve">    </w:t>
            </w:r>
            <w:r w:rsidR="00494D24">
              <w:rPr>
                <w:color w:val="000000"/>
                <w:sz w:val="20"/>
                <w:szCs w:val="16"/>
              </w:rPr>
              <w:t xml:space="preserve">  </w:t>
            </w:r>
            <w:r w:rsidRPr="004F3B85">
              <w:rPr>
                <w:color w:val="000000"/>
                <w:sz w:val="20"/>
                <w:szCs w:val="16"/>
              </w:rPr>
              <w:t>Proportion of Hispanic population</w:t>
            </w:r>
          </w:p>
        </w:tc>
        <w:tc>
          <w:tcPr>
            <w:tcW w:w="1084" w:type="dxa"/>
            <w:tcBorders>
              <w:top w:val="nil"/>
              <w:left w:val="nil"/>
              <w:right w:val="single" w:sz="4" w:space="0" w:color="auto"/>
            </w:tcBorders>
            <w:noWrap/>
            <w:tcMar>
              <w:left w:w="58" w:type="dxa"/>
              <w:right w:w="58" w:type="dxa"/>
            </w:tcMar>
            <w:vAlign w:val="center"/>
          </w:tcPr>
          <w:p w:rsidR="00995B29" w:rsidRDefault="00995B29" w:rsidP="00D72ECE">
            <w:pPr>
              <w:spacing w:line="240" w:lineRule="auto"/>
              <w:ind w:firstLine="0"/>
              <w:jc w:val="center"/>
              <w:rPr>
                <w:sz w:val="20"/>
              </w:rPr>
            </w:pPr>
            <w:r>
              <w:rPr>
                <w:sz w:val="20"/>
              </w:rPr>
              <w:t>9.8</w:t>
            </w:r>
          </w:p>
          <w:p w:rsidR="00995B29" w:rsidRDefault="00995B29" w:rsidP="00D72ECE">
            <w:pPr>
              <w:spacing w:line="240" w:lineRule="auto"/>
              <w:ind w:firstLine="0"/>
              <w:jc w:val="center"/>
              <w:rPr>
                <w:sz w:val="20"/>
              </w:rPr>
            </w:pPr>
            <w:r>
              <w:rPr>
                <w:sz w:val="20"/>
              </w:rPr>
              <w:t>(5.20)</w:t>
            </w:r>
          </w:p>
        </w:tc>
        <w:tc>
          <w:tcPr>
            <w:tcW w:w="1084" w:type="dxa"/>
            <w:tcBorders>
              <w:top w:val="nil"/>
              <w:left w:val="nil"/>
              <w:right w:val="double" w:sz="4" w:space="0" w:color="auto"/>
            </w:tcBorders>
            <w:noWrap/>
            <w:tcMar>
              <w:left w:w="58" w:type="dxa"/>
              <w:right w:w="58" w:type="dxa"/>
            </w:tcMar>
            <w:vAlign w:val="center"/>
          </w:tcPr>
          <w:p w:rsidR="00995B29" w:rsidRDefault="00995B29" w:rsidP="00D72ECE">
            <w:pPr>
              <w:spacing w:line="240" w:lineRule="auto"/>
              <w:ind w:firstLine="0"/>
              <w:jc w:val="center"/>
              <w:rPr>
                <w:sz w:val="20"/>
              </w:rPr>
            </w:pPr>
            <w:r>
              <w:rPr>
                <w:sz w:val="20"/>
              </w:rPr>
              <w:t>21.8</w:t>
            </w:r>
          </w:p>
          <w:p w:rsidR="00995B29" w:rsidRDefault="00995B29" w:rsidP="00D72ECE">
            <w:pPr>
              <w:spacing w:line="240" w:lineRule="auto"/>
              <w:ind w:firstLine="0"/>
              <w:jc w:val="center"/>
              <w:rPr>
                <w:sz w:val="20"/>
              </w:rPr>
            </w:pPr>
            <w:r>
              <w:rPr>
                <w:sz w:val="20"/>
              </w:rPr>
              <w:t>(7.10)</w:t>
            </w:r>
          </w:p>
        </w:tc>
        <w:tc>
          <w:tcPr>
            <w:tcW w:w="1083" w:type="dxa"/>
            <w:tcBorders>
              <w:top w:val="nil"/>
              <w:left w:val="single" w:sz="4" w:space="0" w:color="auto"/>
              <w:right w:val="single" w:sz="4" w:space="0" w:color="auto"/>
            </w:tcBorders>
            <w:vAlign w:val="center"/>
          </w:tcPr>
          <w:p w:rsidR="00995B29" w:rsidRDefault="00995B29" w:rsidP="00D72ECE">
            <w:pPr>
              <w:spacing w:line="240" w:lineRule="auto"/>
              <w:ind w:firstLine="0"/>
              <w:jc w:val="center"/>
              <w:rPr>
                <w:sz w:val="20"/>
              </w:rPr>
            </w:pPr>
            <w:r>
              <w:rPr>
                <w:sz w:val="20"/>
              </w:rPr>
              <w:t>13.9</w:t>
            </w:r>
          </w:p>
          <w:p w:rsidR="00995B29" w:rsidRDefault="00995B29" w:rsidP="00D72ECE">
            <w:pPr>
              <w:spacing w:line="240" w:lineRule="auto"/>
              <w:ind w:firstLine="0"/>
              <w:jc w:val="center"/>
              <w:rPr>
                <w:sz w:val="20"/>
              </w:rPr>
            </w:pPr>
            <w:r>
              <w:rPr>
                <w:sz w:val="20"/>
              </w:rPr>
              <w:t>(5.37)</w:t>
            </w:r>
          </w:p>
        </w:tc>
        <w:tc>
          <w:tcPr>
            <w:tcW w:w="1085" w:type="dxa"/>
            <w:tcBorders>
              <w:top w:val="nil"/>
              <w:left w:val="single" w:sz="4" w:space="0" w:color="auto"/>
              <w:right w:val="double" w:sz="4" w:space="0" w:color="auto"/>
            </w:tcBorders>
            <w:vAlign w:val="center"/>
          </w:tcPr>
          <w:p w:rsidR="00995B29" w:rsidRDefault="00995B29" w:rsidP="00D72ECE">
            <w:pPr>
              <w:spacing w:line="240" w:lineRule="auto"/>
              <w:ind w:firstLine="0"/>
              <w:jc w:val="center"/>
              <w:rPr>
                <w:sz w:val="20"/>
              </w:rPr>
            </w:pPr>
            <w:r>
              <w:rPr>
                <w:sz w:val="20"/>
              </w:rPr>
              <w:t>33.8</w:t>
            </w:r>
          </w:p>
          <w:p w:rsidR="00995B29" w:rsidRDefault="00995B29" w:rsidP="00D72ECE">
            <w:pPr>
              <w:spacing w:line="240" w:lineRule="auto"/>
              <w:ind w:firstLine="0"/>
              <w:jc w:val="center"/>
              <w:rPr>
                <w:sz w:val="20"/>
              </w:rPr>
            </w:pPr>
            <w:r>
              <w:rPr>
                <w:sz w:val="20"/>
              </w:rPr>
              <w:t>(6.91)</w:t>
            </w:r>
          </w:p>
        </w:tc>
        <w:tc>
          <w:tcPr>
            <w:tcW w:w="1084" w:type="dxa"/>
            <w:tcBorders>
              <w:top w:val="nil"/>
              <w:left w:val="single" w:sz="4" w:space="0" w:color="auto"/>
              <w:right w:val="single" w:sz="4" w:space="0" w:color="auto"/>
            </w:tcBorders>
            <w:vAlign w:val="center"/>
          </w:tcPr>
          <w:p w:rsidR="00995B29" w:rsidRDefault="00995B29" w:rsidP="00D72ECE">
            <w:pPr>
              <w:spacing w:line="240" w:lineRule="auto"/>
              <w:ind w:firstLine="0"/>
              <w:jc w:val="center"/>
              <w:rPr>
                <w:sz w:val="20"/>
              </w:rPr>
            </w:pPr>
            <w:r>
              <w:rPr>
                <w:sz w:val="20"/>
              </w:rPr>
              <w:t>17.6</w:t>
            </w:r>
          </w:p>
          <w:p w:rsidR="00995B29" w:rsidRDefault="00995B29" w:rsidP="00D72ECE">
            <w:pPr>
              <w:spacing w:line="240" w:lineRule="auto"/>
              <w:ind w:firstLine="0"/>
              <w:jc w:val="center"/>
              <w:rPr>
                <w:sz w:val="20"/>
              </w:rPr>
            </w:pPr>
            <w:r>
              <w:rPr>
                <w:sz w:val="20"/>
              </w:rPr>
              <w:t>(5.35)</w:t>
            </w:r>
          </w:p>
        </w:tc>
        <w:tc>
          <w:tcPr>
            <w:tcW w:w="1084" w:type="dxa"/>
            <w:tcBorders>
              <w:top w:val="nil"/>
              <w:left w:val="single" w:sz="4" w:space="0" w:color="auto"/>
              <w:right w:val="double" w:sz="4" w:space="0" w:color="auto"/>
            </w:tcBorders>
            <w:vAlign w:val="center"/>
          </w:tcPr>
          <w:p w:rsidR="00995B29" w:rsidRDefault="00995B29" w:rsidP="00D72ECE">
            <w:pPr>
              <w:spacing w:line="240" w:lineRule="auto"/>
              <w:ind w:firstLine="0"/>
              <w:jc w:val="center"/>
              <w:rPr>
                <w:sz w:val="20"/>
              </w:rPr>
            </w:pPr>
            <w:r>
              <w:rPr>
                <w:sz w:val="20"/>
              </w:rPr>
              <w:t>46.1</w:t>
            </w:r>
          </w:p>
          <w:p w:rsidR="00995B29" w:rsidRDefault="00995B29" w:rsidP="00D72ECE">
            <w:pPr>
              <w:spacing w:line="240" w:lineRule="auto"/>
              <w:ind w:firstLine="0"/>
              <w:jc w:val="center"/>
              <w:rPr>
                <w:sz w:val="20"/>
              </w:rPr>
            </w:pPr>
            <w:r>
              <w:rPr>
                <w:sz w:val="20"/>
              </w:rPr>
              <w:t>(7.23)</w:t>
            </w:r>
          </w:p>
        </w:tc>
      </w:tr>
      <w:tr w:rsidR="00995B29" w:rsidRPr="004F3B85" w:rsidTr="00E429FF">
        <w:trPr>
          <w:trHeight w:val="600"/>
          <w:jc w:val="center"/>
        </w:trPr>
        <w:tc>
          <w:tcPr>
            <w:tcW w:w="3765" w:type="dxa"/>
            <w:tcBorders>
              <w:top w:val="nil"/>
              <w:left w:val="double" w:sz="4" w:space="0" w:color="auto"/>
              <w:bottom w:val="nil"/>
              <w:right w:val="double" w:sz="4" w:space="0" w:color="auto"/>
            </w:tcBorders>
            <w:noWrap/>
            <w:tcMar>
              <w:left w:w="58" w:type="dxa"/>
              <w:right w:w="58" w:type="dxa"/>
            </w:tcMar>
            <w:vAlign w:val="center"/>
          </w:tcPr>
          <w:p w:rsidR="00995B29" w:rsidRDefault="00995B29" w:rsidP="00656052">
            <w:pPr>
              <w:spacing w:line="240" w:lineRule="auto"/>
              <w:ind w:firstLine="0"/>
              <w:jc w:val="left"/>
              <w:rPr>
                <w:color w:val="000000"/>
                <w:sz w:val="20"/>
                <w:szCs w:val="16"/>
              </w:rPr>
            </w:pPr>
            <w:r>
              <w:rPr>
                <w:color w:val="000000"/>
                <w:sz w:val="20"/>
                <w:szCs w:val="16"/>
              </w:rPr>
              <w:t xml:space="preserve">    </w:t>
            </w:r>
            <w:r w:rsidR="00494D24">
              <w:rPr>
                <w:color w:val="000000"/>
                <w:sz w:val="20"/>
                <w:szCs w:val="16"/>
              </w:rPr>
              <w:t xml:space="preserve">  </w:t>
            </w:r>
            <w:r>
              <w:rPr>
                <w:color w:val="000000"/>
                <w:sz w:val="20"/>
                <w:szCs w:val="16"/>
              </w:rPr>
              <w:t>Median household income</w:t>
            </w:r>
            <w:r w:rsidR="00E429FF">
              <w:rPr>
                <w:color w:val="000000"/>
                <w:sz w:val="20"/>
                <w:szCs w:val="16"/>
              </w:rPr>
              <w:t xml:space="preserve"> </w:t>
            </w:r>
            <w:r>
              <w:rPr>
                <w:color w:val="000000"/>
                <w:sz w:val="20"/>
                <w:szCs w:val="16"/>
              </w:rPr>
              <w:t xml:space="preserve">(in </w:t>
            </w:r>
            <w:r w:rsidR="009407BA">
              <w:rPr>
                <w:color w:val="000000"/>
                <w:sz w:val="20"/>
                <w:szCs w:val="16"/>
              </w:rPr>
              <w:t>$10</w:t>
            </w:r>
            <w:r w:rsidR="009C0630">
              <w:rPr>
                <w:color w:val="000000"/>
                <w:sz w:val="20"/>
                <w:szCs w:val="16"/>
              </w:rPr>
              <w:t>0</w:t>
            </w:r>
            <w:r w:rsidR="006557AF">
              <w:rPr>
                <w:color w:val="000000"/>
                <w:sz w:val="20"/>
                <w:szCs w:val="16"/>
              </w:rPr>
              <w:t>,000</w:t>
            </w:r>
            <w:r>
              <w:rPr>
                <w:color w:val="000000"/>
                <w:sz w:val="20"/>
                <w:szCs w:val="16"/>
              </w:rPr>
              <w:t>)</w:t>
            </w:r>
          </w:p>
        </w:tc>
        <w:tc>
          <w:tcPr>
            <w:tcW w:w="1084" w:type="dxa"/>
            <w:tcBorders>
              <w:top w:val="nil"/>
              <w:left w:val="nil"/>
              <w:right w:val="single" w:sz="4" w:space="0" w:color="auto"/>
            </w:tcBorders>
            <w:noWrap/>
            <w:tcMar>
              <w:left w:w="58" w:type="dxa"/>
              <w:right w:w="58" w:type="dxa"/>
            </w:tcMar>
            <w:vAlign w:val="center"/>
          </w:tcPr>
          <w:p w:rsidR="00995B29" w:rsidRPr="004F3B85" w:rsidRDefault="00995B29" w:rsidP="00D72ECE">
            <w:pPr>
              <w:spacing w:line="240" w:lineRule="auto"/>
              <w:ind w:firstLine="0"/>
              <w:jc w:val="center"/>
              <w:rPr>
                <w:sz w:val="20"/>
              </w:rPr>
            </w:pPr>
            <w:r>
              <w:rPr>
                <w:sz w:val="20"/>
              </w:rPr>
              <w:t>0.0</w:t>
            </w:r>
          </w:p>
        </w:tc>
        <w:tc>
          <w:tcPr>
            <w:tcW w:w="1084" w:type="dxa"/>
            <w:tcBorders>
              <w:top w:val="nil"/>
              <w:left w:val="nil"/>
              <w:right w:val="double" w:sz="4" w:space="0" w:color="auto"/>
            </w:tcBorders>
            <w:noWrap/>
            <w:tcMar>
              <w:left w:w="58" w:type="dxa"/>
              <w:right w:w="58" w:type="dxa"/>
            </w:tcMar>
            <w:vAlign w:val="center"/>
          </w:tcPr>
          <w:p w:rsidR="00995B29" w:rsidRDefault="00995B29" w:rsidP="00D72ECE">
            <w:pPr>
              <w:spacing w:line="240" w:lineRule="auto"/>
              <w:ind w:firstLine="0"/>
              <w:jc w:val="center"/>
              <w:rPr>
                <w:sz w:val="20"/>
              </w:rPr>
            </w:pPr>
            <w:r>
              <w:rPr>
                <w:sz w:val="20"/>
              </w:rPr>
              <w:t>-40.3</w:t>
            </w:r>
          </w:p>
          <w:p w:rsidR="00995B29" w:rsidRPr="004F3B85" w:rsidRDefault="00995B29" w:rsidP="00D72ECE">
            <w:pPr>
              <w:spacing w:line="240" w:lineRule="auto"/>
              <w:ind w:firstLine="0"/>
              <w:jc w:val="center"/>
              <w:rPr>
                <w:sz w:val="20"/>
              </w:rPr>
            </w:pPr>
            <w:r>
              <w:rPr>
                <w:sz w:val="20"/>
              </w:rPr>
              <w:t>(-9.32)</w:t>
            </w:r>
          </w:p>
        </w:tc>
        <w:tc>
          <w:tcPr>
            <w:tcW w:w="1083" w:type="dxa"/>
            <w:tcBorders>
              <w:top w:val="nil"/>
              <w:left w:val="single" w:sz="4" w:space="0" w:color="auto"/>
              <w:right w:val="single" w:sz="4" w:space="0" w:color="auto"/>
            </w:tcBorders>
            <w:vAlign w:val="center"/>
          </w:tcPr>
          <w:p w:rsidR="00995B29" w:rsidRPr="004F3B85" w:rsidRDefault="00995B29" w:rsidP="00D72ECE">
            <w:pPr>
              <w:spacing w:line="240" w:lineRule="auto"/>
              <w:ind w:firstLine="0"/>
              <w:jc w:val="center"/>
              <w:rPr>
                <w:sz w:val="20"/>
              </w:rPr>
            </w:pPr>
            <w:r>
              <w:rPr>
                <w:sz w:val="20"/>
              </w:rPr>
              <w:t>0.0</w:t>
            </w:r>
          </w:p>
        </w:tc>
        <w:tc>
          <w:tcPr>
            <w:tcW w:w="1085" w:type="dxa"/>
            <w:tcBorders>
              <w:top w:val="nil"/>
              <w:left w:val="single" w:sz="4" w:space="0" w:color="auto"/>
              <w:right w:val="double" w:sz="4" w:space="0" w:color="auto"/>
            </w:tcBorders>
            <w:vAlign w:val="center"/>
          </w:tcPr>
          <w:p w:rsidR="00995B29" w:rsidRDefault="00995B29" w:rsidP="00D72ECE">
            <w:pPr>
              <w:spacing w:line="240" w:lineRule="auto"/>
              <w:ind w:firstLine="0"/>
              <w:jc w:val="center"/>
              <w:rPr>
                <w:sz w:val="20"/>
              </w:rPr>
            </w:pPr>
            <w:r>
              <w:rPr>
                <w:sz w:val="20"/>
              </w:rPr>
              <w:t>-48.9</w:t>
            </w:r>
          </w:p>
          <w:p w:rsidR="00995B29" w:rsidRPr="004F3B85" w:rsidRDefault="00995B29" w:rsidP="00D72ECE">
            <w:pPr>
              <w:spacing w:line="240" w:lineRule="auto"/>
              <w:ind w:firstLine="0"/>
              <w:jc w:val="center"/>
              <w:rPr>
                <w:sz w:val="20"/>
              </w:rPr>
            </w:pPr>
            <w:r>
              <w:rPr>
                <w:sz w:val="20"/>
              </w:rPr>
              <w:t>(-9.81)</w:t>
            </w:r>
          </w:p>
        </w:tc>
        <w:tc>
          <w:tcPr>
            <w:tcW w:w="1084" w:type="dxa"/>
            <w:tcBorders>
              <w:top w:val="nil"/>
              <w:left w:val="single" w:sz="4" w:space="0" w:color="auto"/>
              <w:right w:val="single" w:sz="4" w:space="0" w:color="auto"/>
            </w:tcBorders>
            <w:vAlign w:val="center"/>
          </w:tcPr>
          <w:p w:rsidR="00995B29" w:rsidRPr="004F3B85" w:rsidRDefault="00995B29" w:rsidP="00D72ECE">
            <w:pPr>
              <w:spacing w:line="240" w:lineRule="auto"/>
              <w:ind w:firstLine="0"/>
              <w:jc w:val="center"/>
              <w:rPr>
                <w:sz w:val="20"/>
              </w:rPr>
            </w:pPr>
            <w:r>
              <w:rPr>
                <w:sz w:val="20"/>
              </w:rPr>
              <w:t>0.0</w:t>
            </w:r>
          </w:p>
        </w:tc>
        <w:tc>
          <w:tcPr>
            <w:tcW w:w="1084" w:type="dxa"/>
            <w:tcBorders>
              <w:top w:val="nil"/>
              <w:left w:val="single" w:sz="4" w:space="0" w:color="auto"/>
              <w:right w:val="double" w:sz="4" w:space="0" w:color="auto"/>
            </w:tcBorders>
            <w:vAlign w:val="center"/>
          </w:tcPr>
          <w:p w:rsidR="00995B29" w:rsidRDefault="00995B29" w:rsidP="00D72ECE">
            <w:pPr>
              <w:spacing w:line="240" w:lineRule="auto"/>
              <w:ind w:firstLine="0"/>
              <w:jc w:val="center"/>
              <w:rPr>
                <w:sz w:val="20"/>
              </w:rPr>
            </w:pPr>
            <w:r>
              <w:rPr>
                <w:sz w:val="20"/>
              </w:rPr>
              <w:t>-57.7</w:t>
            </w:r>
          </w:p>
          <w:p w:rsidR="00995B29" w:rsidRPr="004F3B85" w:rsidRDefault="00995B29" w:rsidP="00D72ECE">
            <w:pPr>
              <w:spacing w:line="240" w:lineRule="auto"/>
              <w:ind w:firstLine="0"/>
              <w:jc w:val="center"/>
              <w:rPr>
                <w:sz w:val="20"/>
              </w:rPr>
            </w:pPr>
            <w:r>
              <w:rPr>
                <w:sz w:val="20"/>
              </w:rPr>
              <w:t>(-10.53)</w:t>
            </w:r>
          </w:p>
        </w:tc>
      </w:tr>
      <w:tr w:rsidR="00995B29" w:rsidRPr="004F3B85" w:rsidTr="00E429FF">
        <w:trPr>
          <w:trHeight w:val="600"/>
          <w:jc w:val="center"/>
        </w:trPr>
        <w:tc>
          <w:tcPr>
            <w:tcW w:w="3765" w:type="dxa"/>
            <w:tcBorders>
              <w:top w:val="nil"/>
              <w:left w:val="double" w:sz="4" w:space="0" w:color="auto"/>
              <w:bottom w:val="nil"/>
              <w:right w:val="double" w:sz="4" w:space="0" w:color="auto"/>
            </w:tcBorders>
            <w:noWrap/>
            <w:tcMar>
              <w:left w:w="58" w:type="dxa"/>
              <w:right w:w="58" w:type="dxa"/>
            </w:tcMar>
            <w:vAlign w:val="center"/>
          </w:tcPr>
          <w:p w:rsidR="00995B29" w:rsidRPr="00C7214B" w:rsidRDefault="00995B29" w:rsidP="004C4F47">
            <w:pPr>
              <w:spacing w:line="240" w:lineRule="auto"/>
              <w:ind w:firstLine="0"/>
              <w:jc w:val="left"/>
              <w:rPr>
                <w:i/>
                <w:color w:val="000000"/>
                <w:sz w:val="20"/>
                <w:szCs w:val="16"/>
              </w:rPr>
            </w:pPr>
            <w:r w:rsidRPr="00C7214B">
              <w:rPr>
                <w:i/>
                <w:color w:val="000000"/>
                <w:sz w:val="20"/>
                <w:szCs w:val="16"/>
              </w:rPr>
              <w:t>Land-use and Road Network Variables</w:t>
            </w:r>
          </w:p>
        </w:tc>
        <w:tc>
          <w:tcPr>
            <w:tcW w:w="1084" w:type="dxa"/>
            <w:tcBorders>
              <w:top w:val="nil"/>
              <w:left w:val="nil"/>
              <w:right w:val="single" w:sz="4" w:space="0" w:color="auto"/>
            </w:tcBorders>
            <w:noWrap/>
            <w:tcMar>
              <w:left w:w="58" w:type="dxa"/>
              <w:right w:w="58" w:type="dxa"/>
            </w:tcMar>
            <w:vAlign w:val="center"/>
          </w:tcPr>
          <w:p w:rsidR="00995B29" w:rsidRDefault="00995B29" w:rsidP="00D72ECE">
            <w:pPr>
              <w:spacing w:line="240" w:lineRule="auto"/>
              <w:ind w:firstLine="0"/>
              <w:jc w:val="center"/>
              <w:rPr>
                <w:sz w:val="20"/>
              </w:rPr>
            </w:pPr>
          </w:p>
        </w:tc>
        <w:tc>
          <w:tcPr>
            <w:tcW w:w="1084" w:type="dxa"/>
            <w:tcBorders>
              <w:top w:val="nil"/>
              <w:left w:val="nil"/>
              <w:right w:val="double" w:sz="4" w:space="0" w:color="auto"/>
            </w:tcBorders>
            <w:noWrap/>
            <w:tcMar>
              <w:left w:w="58" w:type="dxa"/>
              <w:right w:w="58" w:type="dxa"/>
            </w:tcMar>
            <w:vAlign w:val="center"/>
          </w:tcPr>
          <w:p w:rsidR="00995B29" w:rsidRDefault="00995B29" w:rsidP="00D72ECE">
            <w:pPr>
              <w:spacing w:line="240" w:lineRule="auto"/>
              <w:ind w:firstLine="0"/>
              <w:jc w:val="center"/>
              <w:rPr>
                <w:sz w:val="20"/>
              </w:rPr>
            </w:pPr>
          </w:p>
        </w:tc>
        <w:tc>
          <w:tcPr>
            <w:tcW w:w="1083" w:type="dxa"/>
            <w:tcBorders>
              <w:top w:val="nil"/>
              <w:left w:val="single" w:sz="4" w:space="0" w:color="auto"/>
              <w:right w:val="single" w:sz="4" w:space="0" w:color="auto"/>
            </w:tcBorders>
            <w:vAlign w:val="center"/>
          </w:tcPr>
          <w:p w:rsidR="00995B29" w:rsidRDefault="00995B29" w:rsidP="00D72ECE">
            <w:pPr>
              <w:spacing w:line="240" w:lineRule="auto"/>
              <w:ind w:firstLine="0"/>
              <w:jc w:val="center"/>
              <w:rPr>
                <w:sz w:val="20"/>
              </w:rPr>
            </w:pPr>
          </w:p>
        </w:tc>
        <w:tc>
          <w:tcPr>
            <w:tcW w:w="1085" w:type="dxa"/>
            <w:tcBorders>
              <w:top w:val="nil"/>
              <w:left w:val="single" w:sz="4" w:space="0" w:color="auto"/>
              <w:right w:val="double" w:sz="4" w:space="0" w:color="auto"/>
            </w:tcBorders>
            <w:vAlign w:val="center"/>
          </w:tcPr>
          <w:p w:rsidR="00995B29" w:rsidRDefault="00995B29" w:rsidP="00D72ECE">
            <w:pPr>
              <w:spacing w:line="240" w:lineRule="auto"/>
              <w:ind w:firstLine="0"/>
              <w:jc w:val="center"/>
              <w:rPr>
                <w:sz w:val="20"/>
              </w:rPr>
            </w:pPr>
          </w:p>
        </w:tc>
        <w:tc>
          <w:tcPr>
            <w:tcW w:w="1084" w:type="dxa"/>
            <w:tcBorders>
              <w:top w:val="nil"/>
              <w:left w:val="single" w:sz="4" w:space="0" w:color="auto"/>
              <w:right w:val="single" w:sz="4" w:space="0" w:color="auto"/>
            </w:tcBorders>
            <w:vAlign w:val="center"/>
          </w:tcPr>
          <w:p w:rsidR="00995B29" w:rsidRDefault="00995B29" w:rsidP="00D72ECE">
            <w:pPr>
              <w:spacing w:line="240" w:lineRule="auto"/>
              <w:ind w:firstLine="0"/>
              <w:jc w:val="center"/>
              <w:rPr>
                <w:sz w:val="20"/>
              </w:rPr>
            </w:pPr>
          </w:p>
        </w:tc>
        <w:tc>
          <w:tcPr>
            <w:tcW w:w="1084" w:type="dxa"/>
            <w:tcBorders>
              <w:top w:val="nil"/>
              <w:left w:val="single" w:sz="4" w:space="0" w:color="auto"/>
              <w:right w:val="double" w:sz="4" w:space="0" w:color="auto"/>
            </w:tcBorders>
            <w:vAlign w:val="center"/>
          </w:tcPr>
          <w:p w:rsidR="00995B29" w:rsidRDefault="00995B29" w:rsidP="00D72ECE">
            <w:pPr>
              <w:spacing w:line="240" w:lineRule="auto"/>
              <w:ind w:firstLine="0"/>
              <w:jc w:val="center"/>
              <w:rPr>
                <w:sz w:val="20"/>
              </w:rPr>
            </w:pPr>
          </w:p>
        </w:tc>
      </w:tr>
      <w:tr w:rsidR="00995B29" w:rsidRPr="004F3B85" w:rsidTr="00E429FF">
        <w:trPr>
          <w:trHeight w:val="600"/>
          <w:jc w:val="center"/>
        </w:trPr>
        <w:tc>
          <w:tcPr>
            <w:tcW w:w="3765" w:type="dxa"/>
            <w:tcBorders>
              <w:top w:val="nil"/>
              <w:left w:val="double" w:sz="4" w:space="0" w:color="auto"/>
              <w:bottom w:val="nil"/>
              <w:right w:val="double" w:sz="4" w:space="0" w:color="auto"/>
            </w:tcBorders>
            <w:noWrap/>
            <w:tcMar>
              <w:left w:w="58" w:type="dxa"/>
              <w:right w:w="58" w:type="dxa"/>
            </w:tcMar>
            <w:vAlign w:val="center"/>
          </w:tcPr>
          <w:p w:rsidR="00995B29" w:rsidRPr="004F3B85" w:rsidRDefault="00995B29" w:rsidP="004C4F47">
            <w:pPr>
              <w:spacing w:line="240" w:lineRule="auto"/>
              <w:ind w:firstLine="0"/>
              <w:jc w:val="left"/>
              <w:rPr>
                <w:color w:val="000000"/>
                <w:sz w:val="20"/>
                <w:szCs w:val="16"/>
              </w:rPr>
            </w:pPr>
            <w:r>
              <w:rPr>
                <w:color w:val="000000"/>
                <w:sz w:val="20"/>
                <w:szCs w:val="16"/>
              </w:rPr>
              <w:t xml:space="preserve">   </w:t>
            </w:r>
            <w:r w:rsidR="00494D24">
              <w:rPr>
                <w:color w:val="000000"/>
                <w:sz w:val="20"/>
                <w:szCs w:val="16"/>
              </w:rPr>
              <w:t xml:space="preserve">  </w:t>
            </w:r>
            <w:r>
              <w:rPr>
                <w:color w:val="000000"/>
                <w:sz w:val="20"/>
                <w:szCs w:val="16"/>
              </w:rPr>
              <w:t xml:space="preserve"> Proportion of commercial l</w:t>
            </w:r>
            <w:r w:rsidRPr="004F3B85">
              <w:rPr>
                <w:color w:val="000000"/>
                <w:sz w:val="20"/>
                <w:szCs w:val="16"/>
              </w:rPr>
              <w:t>and-use</w:t>
            </w:r>
          </w:p>
        </w:tc>
        <w:tc>
          <w:tcPr>
            <w:tcW w:w="1084" w:type="dxa"/>
            <w:tcBorders>
              <w:top w:val="nil"/>
              <w:left w:val="nil"/>
              <w:right w:val="single" w:sz="4" w:space="0" w:color="auto"/>
            </w:tcBorders>
            <w:noWrap/>
            <w:tcMar>
              <w:left w:w="58" w:type="dxa"/>
              <w:right w:w="58" w:type="dxa"/>
            </w:tcMar>
            <w:vAlign w:val="center"/>
          </w:tcPr>
          <w:p w:rsidR="00995B29" w:rsidRDefault="00995B29" w:rsidP="00D72ECE">
            <w:pPr>
              <w:spacing w:line="240" w:lineRule="auto"/>
              <w:ind w:firstLine="0"/>
              <w:jc w:val="center"/>
              <w:rPr>
                <w:sz w:val="20"/>
              </w:rPr>
            </w:pPr>
            <w:r>
              <w:rPr>
                <w:sz w:val="20"/>
              </w:rPr>
              <w:t>10.9</w:t>
            </w:r>
          </w:p>
          <w:p w:rsidR="00995B29" w:rsidRPr="004F3B85" w:rsidRDefault="00995B29" w:rsidP="00D72ECE">
            <w:pPr>
              <w:spacing w:line="240" w:lineRule="auto"/>
              <w:ind w:firstLine="0"/>
              <w:jc w:val="center"/>
              <w:rPr>
                <w:sz w:val="20"/>
              </w:rPr>
            </w:pPr>
            <w:r>
              <w:rPr>
                <w:sz w:val="20"/>
              </w:rPr>
              <w:t>(5.17)</w:t>
            </w:r>
          </w:p>
        </w:tc>
        <w:tc>
          <w:tcPr>
            <w:tcW w:w="1084" w:type="dxa"/>
            <w:tcBorders>
              <w:top w:val="nil"/>
              <w:left w:val="nil"/>
              <w:right w:val="double" w:sz="4" w:space="0" w:color="auto"/>
            </w:tcBorders>
            <w:noWrap/>
            <w:tcMar>
              <w:left w:w="58" w:type="dxa"/>
              <w:right w:w="58" w:type="dxa"/>
            </w:tcMar>
            <w:vAlign w:val="center"/>
          </w:tcPr>
          <w:p w:rsidR="00995B29" w:rsidRPr="004F3B85" w:rsidRDefault="00995B29" w:rsidP="00D72ECE">
            <w:pPr>
              <w:spacing w:line="240" w:lineRule="auto"/>
              <w:ind w:firstLine="0"/>
              <w:jc w:val="center"/>
              <w:rPr>
                <w:sz w:val="20"/>
              </w:rPr>
            </w:pPr>
            <w:r>
              <w:rPr>
                <w:sz w:val="20"/>
              </w:rPr>
              <w:t>0.0</w:t>
            </w:r>
          </w:p>
        </w:tc>
        <w:tc>
          <w:tcPr>
            <w:tcW w:w="1083" w:type="dxa"/>
            <w:tcBorders>
              <w:top w:val="nil"/>
              <w:left w:val="single" w:sz="4" w:space="0" w:color="auto"/>
              <w:right w:val="single" w:sz="4" w:space="0" w:color="auto"/>
            </w:tcBorders>
            <w:vAlign w:val="center"/>
          </w:tcPr>
          <w:p w:rsidR="00995B29" w:rsidRDefault="00995B29" w:rsidP="00D72ECE">
            <w:pPr>
              <w:spacing w:line="240" w:lineRule="auto"/>
              <w:ind w:firstLine="0"/>
              <w:jc w:val="center"/>
              <w:rPr>
                <w:sz w:val="20"/>
              </w:rPr>
            </w:pPr>
            <w:r>
              <w:rPr>
                <w:sz w:val="20"/>
              </w:rPr>
              <w:t>12.9</w:t>
            </w:r>
          </w:p>
          <w:p w:rsidR="00995B29" w:rsidRPr="004F3B85" w:rsidRDefault="00995B29" w:rsidP="00D72ECE">
            <w:pPr>
              <w:spacing w:line="240" w:lineRule="auto"/>
              <w:ind w:firstLine="0"/>
              <w:jc w:val="center"/>
              <w:rPr>
                <w:sz w:val="20"/>
              </w:rPr>
            </w:pPr>
            <w:r>
              <w:rPr>
                <w:sz w:val="20"/>
              </w:rPr>
              <w:t>(5.27)</w:t>
            </w:r>
          </w:p>
        </w:tc>
        <w:tc>
          <w:tcPr>
            <w:tcW w:w="1085" w:type="dxa"/>
            <w:tcBorders>
              <w:top w:val="nil"/>
              <w:left w:val="single" w:sz="4" w:space="0" w:color="auto"/>
              <w:right w:val="double" w:sz="4" w:space="0" w:color="auto"/>
            </w:tcBorders>
            <w:vAlign w:val="center"/>
          </w:tcPr>
          <w:p w:rsidR="00995B29" w:rsidRPr="004F3B85" w:rsidRDefault="00995B29" w:rsidP="00D72ECE">
            <w:pPr>
              <w:spacing w:line="240" w:lineRule="auto"/>
              <w:ind w:firstLine="0"/>
              <w:jc w:val="center"/>
              <w:rPr>
                <w:sz w:val="20"/>
              </w:rPr>
            </w:pPr>
            <w:r>
              <w:rPr>
                <w:sz w:val="20"/>
              </w:rPr>
              <w:t>0.0</w:t>
            </w:r>
          </w:p>
        </w:tc>
        <w:tc>
          <w:tcPr>
            <w:tcW w:w="1084" w:type="dxa"/>
            <w:tcBorders>
              <w:top w:val="nil"/>
              <w:left w:val="single" w:sz="4" w:space="0" w:color="auto"/>
              <w:right w:val="single" w:sz="4" w:space="0" w:color="auto"/>
            </w:tcBorders>
            <w:vAlign w:val="center"/>
          </w:tcPr>
          <w:p w:rsidR="00995B29" w:rsidRDefault="00995B29" w:rsidP="00D72ECE">
            <w:pPr>
              <w:spacing w:line="240" w:lineRule="auto"/>
              <w:ind w:firstLine="0"/>
              <w:jc w:val="center"/>
              <w:rPr>
                <w:sz w:val="20"/>
              </w:rPr>
            </w:pPr>
            <w:r>
              <w:rPr>
                <w:sz w:val="20"/>
              </w:rPr>
              <w:t>19.1</w:t>
            </w:r>
          </w:p>
          <w:p w:rsidR="00995B29" w:rsidRPr="004F3B85" w:rsidRDefault="00995B29" w:rsidP="00D72ECE">
            <w:pPr>
              <w:spacing w:line="240" w:lineRule="auto"/>
              <w:ind w:firstLine="0"/>
              <w:jc w:val="center"/>
              <w:rPr>
                <w:sz w:val="20"/>
              </w:rPr>
            </w:pPr>
            <w:r>
              <w:rPr>
                <w:sz w:val="20"/>
              </w:rPr>
              <w:t>(6.01)</w:t>
            </w:r>
          </w:p>
        </w:tc>
        <w:tc>
          <w:tcPr>
            <w:tcW w:w="1084" w:type="dxa"/>
            <w:tcBorders>
              <w:top w:val="nil"/>
              <w:left w:val="single" w:sz="4" w:space="0" w:color="auto"/>
              <w:right w:val="double" w:sz="4" w:space="0" w:color="auto"/>
            </w:tcBorders>
            <w:vAlign w:val="center"/>
          </w:tcPr>
          <w:p w:rsidR="00995B29" w:rsidRPr="004F3B85" w:rsidRDefault="00995B29" w:rsidP="00D72ECE">
            <w:pPr>
              <w:spacing w:line="240" w:lineRule="auto"/>
              <w:ind w:firstLine="0"/>
              <w:jc w:val="center"/>
              <w:rPr>
                <w:sz w:val="20"/>
              </w:rPr>
            </w:pPr>
            <w:r>
              <w:rPr>
                <w:sz w:val="20"/>
              </w:rPr>
              <w:t>0.0</w:t>
            </w:r>
          </w:p>
        </w:tc>
      </w:tr>
      <w:tr w:rsidR="00995B29" w:rsidRPr="004F3B85" w:rsidTr="00E429FF">
        <w:trPr>
          <w:trHeight w:val="600"/>
          <w:jc w:val="center"/>
        </w:trPr>
        <w:tc>
          <w:tcPr>
            <w:tcW w:w="3765" w:type="dxa"/>
            <w:tcBorders>
              <w:top w:val="nil"/>
              <w:left w:val="double" w:sz="4" w:space="0" w:color="auto"/>
              <w:bottom w:val="nil"/>
              <w:right w:val="double" w:sz="4" w:space="0" w:color="auto"/>
            </w:tcBorders>
            <w:noWrap/>
            <w:tcMar>
              <w:left w:w="58" w:type="dxa"/>
              <w:right w:w="58" w:type="dxa"/>
            </w:tcMar>
            <w:vAlign w:val="center"/>
          </w:tcPr>
          <w:p w:rsidR="00995B29" w:rsidRDefault="00995B29" w:rsidP="004C4F47">
            <w:pPr>
              <w:spacing w:line="240" w:lineRule="auto"/>
              <w:ind w:firstLine="0"/>
              <w:jc w:val="left"/>
              <w:rPr>
                <w:color w:val="000000"/>
                <w:sz w:val="20"/>
                <w:szCs w:val="16"/>
              </w:rPr>
            </w:pPr>
            <w:r>
              <w:rPr>
                <w:color w:val="000000"/>
                <w:sz w:val="20"/>
                <w:szCs w:val="16"/>
              </w:rPr>
              <w:t xml:space="preserve">    </w:t>
            </w:r>
            <w:r w:rsidR="00494D24">
              <w:rPr>
                <w:color w:val="000000"/>
                <w:sz w:val="20"/>
                <w:szCs w:val="16"/>
              </w:rPr>
              <w:t xml:space="preserve">  </w:t>
            </w:r>
            <w:r>
              <w:rPr>
                <w:color w:val="000000"/>
                <w:sz w:val="20"/>
                <w:szCs w:val="16"/>
              </w:rPr>
              <w:t>Proportion of residential land-use</w:t>
            </w:r>
          </w:p>
        </w:tc>
        <w:tc>
          <w:tcPr>
            <w:tcW w:w="1084" w:type="dxa"/>
            <w:tcBorders>
              <w:top w:val="nil"/>
              <w:left w:val="nil"/>
              <w:right w:val="single" w:sz="4" w:space="0" w:color="auto"/>
            </w:tcBorders>
            <w:noWrap/>
            <w:tcMar>
              <w:left w:w="58" w:type="dxa"/>
              <w:right w:w="58" w:type="dxa"/>
            </w:tcMar>
            <w:vAlign w:val="center"/>
          </w:tcPr>
          <w:p w:rsidR="00995B29" w:rsidRDefault="00995B29" w:rsidP="00D72ECE">
            <w:pPr>
              <w:spacing w:line="240" w:lineRule="auto"/>
              <w:ind w:firstLine="0"/>
              <w:jc w:val="center"/>
              <w:rPr>
                <w:sz w:val="20"/>
              </w:rPr>
            </w:pPr>
            <w:r>
              <w:rPr>
                <w:sz w:val="20"/>
              </w:rPr>
              <w:t>12.1</w:t>
            </w:r>
          </w:p>
          <w:p w:rsidR="00995B29" w:rsidRPr="004F3B85" w:rsidRDefault="00995B29" w:rsidP="00D72ECE">
            <w:pPr>
              <w:spacing w:line="240" w:lineRule="auto"/>
              <w:ind w:firstLine="0"/>
              <w:jc w:val="center"/>
              <w:rPr>
                <w:sz w:val="20"/>
              </w:rPr>
            </w:pPr>
            <w:r>
              <w:rPr>
                <w:sz w:val="20"/>
              </w:rPr>
              <w:t>(5.25)</w:t>
            </w:r>
          </w:p>
        </w:tc>
        <w:tc>
          <w:tcPr>
            <w:tcW w:w="1084" w:type="dxa"/>
            <w:tcBorders>
              <w:top w:val="nil"/>
              <w:left w:val="nil"/>
              <w:right w:val="double" w:sz="4" w:space="0" w:color="auto"/>
            </w:tcBorders>
            <w:noWrap/>
            <w:tcMar>
              <w:left w:w="58" w:type="dxa"/>
              <w:right w:w="58" w:type="dxa"/>
            </w:tcMar>
            <w:vAlign w:val="center"/>
          </w:tcPr>
          <w:p w:rsidR="00995B29" w:rsidRPr="004F3B85" w:rsidRDefault="00995B29" w:rsidP="00D72ECE">
            <w:pPr>
              <w:spacing w:line="240" w:lineRule="auto"/>
              <w:ind w:firstLine="0"/>
              <w:jc w:val="center"/>
              <w:rPr>
                <w:sz w:val="20"/>
              </w:rPr>
            </w:pPr>
            <w:r>
              <w:rPr>
                <w:sz w:val="20"/>
              </w:rPr>
              <w:t>0.0</w:t>
            </w:r>
          </w:p>
        </w:tc>
        <w:tc>
          <w:tcPr>
            <w:tcW w:w="1083" w:type="dxa"/>
            <w:tcBorders>
              <w:top w:val="nil"/>
              <w:left w:val="single" w:sz="4" w:space="0" w:color="auto"/>
              <w:right w:val="single" w:sz="4" w:space="0" w:color="auto"/>
            </w:tcBorders>
            <w:vAlign w:val="center"/>
          </w:tcPr>
          <w:p w:rsidR="00995B29" w:rsidRDefault="00995B29" w:rsidP="00D72ECE">
            <w:pPr>
              <w:spacing w:line="240" w:lineRule="auto"/>
              <w:ind w:firstLine="0"/>
              <w:jc w:val="center"/>
              <w:rPr>
                <w:sz w:val="20"/>
              </w:rPr>
            </w:pPr>
            <w:r>
              <w:rPr>
                <w:sz w:val="20"/>
              </w:rPr>
              <w:t>15.1</w:t>
            </w:r>
          </w:p>
          <w:p w:rsidR="00995B29" w:rsidRPr="004F3B85" w:rsidRDefault="00995B29" w:rsidP="00D72ECE">
            <w:pPr>
              <w:spacing w:line="240" w:lineRule="auto"/>
              <w:ind w:firstLine="0"/>
              <w:jc w:val="center"/>
              <w:rPr>
                <w:sz w:val="20"/>
              </w:rPr>
            </w:pPr>
            <w:r>
              <w:rPr>
                <w:sz w:val="20"/>
              </w:rPr>
              <w:t>(6.05)</w:t>
            </w:r>
          </w:p>
        </w:tc>
        <w:tc>
          <w:tcPr>
            <w:tcW w:w="1085" w:type="dxa"/>
            <w:tcBorders>
              <w:top w:val="nil"/>
              <w:left w:val="single" w:sz="4" w:space="0" w:color="auto"/>
              <w:right w:val="double" w:sz="4" w:space="0" w:color="auto"/>
            </w:tcBorders>
            <w:vAlign w:val="center"/>
          </w:tcPr>
          <w:p w:rsidR="00995B29" w:rsidRPr="004F3B85" w:rsidRDefault="00995B29" w:rsidP="00D72ECE">
            <w:pPr>
              <w:spacing w:line="240" w:lineRule="auto"/>
              <w:ind w:firstLine="0"/>
              <w:jc w:val="center"/>
              <w:rPr>
                <w:sz w:val="20"/>
              </w:rPr>
            </w:pPr>
            <w:r>
              <w:rPr>
                <w:sz w:val="20"/>
              </w:rPr>
              <w:t>0.0</w:t>
            </w:r>
          </w:p>
        </w:tc>
        <w:tc>
          <w:tcPr>
            <w:tcW w:w="1084" w:type="dxa"/>
            <w:tcBorders>
              <w:top w:val="nil"/>
              <w:left w:val="single" w:sz="4" w:space="0" w:color="auto"/>
              <w:right w:val="single" w:sz="4" w:space="0" w:color="auto"/>
            </w:tcBorders>
            <w:vAlign w:val="center"/>
          </w:tcPr>
          <w:p w:rsidR="00995B29" w:rsidRDefault="00995B29" w:rsidP="00D72ECE">
            <w:pPr>
              <w:spacing w:line="240" w:lineRule="auto"/>
              <w:ind w:firstLine="0"/>
              <w:jc w:val="center"/>
              <w:rPr>
                <w:sz w:val="20"/>
              </w:rPr>
            </w:pPr>
            <w:r>
              <w:rPr>
                <w:sz w:val="20"/>
              </w:rPr>
              <w:t>18.2</w:t>
            </w:r>
          </w:p>
          <w:p w:rsidR="00995B29" w:rsidRPr="004F3B85" w:rsidRDefault="00995B29" w:rsidP="00D72ECE">
            <w:pPr>
              <w:spacing w:line="240" w:lineRule="auto"/>
              <w:ind w:firstLine="0"/>
              <w:jc w:val="center"/>
              <w:rPr>
                <w:sz w:val="20"/>
              </w:rPr>
            </w:pPr>
            <w:r>
              <w:rPr>
                <w:sz w:val="20"/>
              </w:rPr>
              <w:t>(6.26)</w:t>
            </w:r>
          </w:p>
        </w:tc>
        <w:tc>
          <w:tcPr>
            <w:tcW w:w="1084" w:type="dxa"/>
            <w:tcBorders>
              <w:top w:val="nil"/>
              <w:left w:val="single" w:sz="4" w:space="0" w:color="auto"/>
              <w:right w:val="double" w:sz="4" w:space="0" w:color="auto"/>
            </w:tcBorders>
            <w:vAlign w:val="center"/>
          </w:tcPr>
          <w:p w:rsidR="00995B29" w:rsidRPr="004F3B85" w:rsidRDefault="00995B29" w:rsidP="00D72ECE">
            <w:pPr>
              <w:spacing w:line="240" w:lineRule="auto"/>
              <w:ind w:firstLine="0"/>
              <w:jc w:val="center"/>
              <w:rPr>
                <w:sz w:val="20"/>
              </w:rPr>
            </w:pPr>
            <w:r>
              <w:rPr>
                <w:sz w:val="20"/>
              </w:rPr>
              <w:t>0.0</w:t>
            </w:r>
          </w:p>
        </w:tc>
      </w:tr>
      <w:tr w:rsidR="00995B29" w:rsidRPr="004F3B85" w:rsidTr="00E429FF">
        <w:trPr>
          <w:trHeight w:val="600"/>
          <w:jc w:val="center"/>
        </w:trPr>
        <w:tc>
          <w:tcPr>
            <w:tcW w:w="3765" w:type="dxa"/>
            <w:tcBorders>
              <w:top w:val="nil"/>
              <w:left w:val="double" w:sz="4" w:space="0" w:color="auto"/>
              <w:bottom w:val="nil"/>
              <w:right w:val="double" w:sz="4" w:space="0" w:color="auto"/>
            </w:tcBorders>
            <w:noWrap/>
            <w:tcMar>
              <w:left w:w="58" w:type="dxa"/>
              <w:right w:w="58" w:type="dxa"/>
            </w:tcMar>
            <w:vAlign w:val="center"/>
          </w:tcPr>
          <w:p w:rsidR="00995B29" w:rsidRDefault="00995B29" w:rsidP="004C4F47">
            <w:pPr>
              <w:spacing w:line="240" w:lineRule="auto"/>
              <w:ind w:firstLine="0"/>
              <w:jc w:val="left"/>
              <w:rPr>
                <w:color w:val="000000"/>
                <w:sz w:val="20"/>
                <w:szCs w:val="16"/>
              </w:rPr>
            </w:pPr>
            <w:r>
              <w:rPr>
                <w:color w:val="000000"/>
                <w:sz w:val="20"/>
                <w:szCs w:val="16"/>
              </w:rPr>
              <w:t xml:space="preserve">    </w:t>
            </w:r>
            <w:r w:rsidR="00494D24">
              <w:rPr>
                <w:color w:val="000000"/>
                <w:sz w:val="20"/>
                <w:szCs w:val="16"/>
              </w:rPr>
              <w:t xml:space="preserve">  </w:t>
            </w:r>
            <w:r>
              <w:rPr>
                <w:color w:val="000000"/>
                <w:sz w:val="20"/>
                <w:szCs w:val="16"/>
              </w:rPr>
              <w:t xml:space="preserve">Proportion of local neighborhood roads </w:t>
            </w:r>
          </w:p>
          <w:p w:rsidR="00995B29" w:rsidRDefault="00995B29" w:rsidP="00D72ECE">
            <w:pPr>
              <w:spacing w:line="240" w:lineRule="auto"/>
              <w:ind w:firstLine="0"/>
              <w:jc w:val="left"/>
              <w:rPr>
                <w:color w:val="000000"/>
                <w:sz w:val="20"/>
                <w:szCs w:val="16"/>
              </w:rPr>
            </w:pPr>
            <w:r>
              <w:rPr>
                <w:color w:val="000000"/>
                <w:sz w:val="20"/>
                <w:szCs w:val="16"/>
              </w:rPr>
              <w:t xml:space="preserve">    </w:t>
            </w:r>
            <w:r w:rsidR="00494D24">
              <w:rPr>
                <w:color w:val="000000"/>
                <w:sz w:val="20"/>
                <w:szCs w:val="16"/>
              </w:rPr>
              <w:t xml:space="preserve">  </w:t>
            </w:r>
            <w:r>
              <w:rPr>
                <w:color w:val="000000"/>
                <w:sz w:val="20"/>
                <w:szCs w:val="16"/>
              </w:rPr>
              <w:t>and city streets</w:t>
            </w:r>
          </w:p>
        </w:tc>
        <w:tc>
          <w:tcPr>
            <w:tcW w:w="1084" w:type="dxa"/>
            <w:tcBorders>
              <w:top w:val="nil"/>
              <w:left w:val="nil"/>
              <w:right w:val="single" w:sz="4" w:space="0" w:color="auto"/>
            </w:tcBorders>
            <w:noWrap/>
            <w:tcMar>
              <w:left w:w="58" w:type="dxa"/>
              <w:right w:w="58" w:type="dxa"/>
            </w:tcMar>
            <w:vAlign w:val="center"/>
          </w:tcPr>
          <w:p w:rsidR="00995B29" w:rsidRPr="004F3B85" w:rsidRDefault="00995B29" w:rsidP="00D72ECE">
            <w:pPr>
              <w:spacing w:line="240" w:lineRule="auto"/>
              <w:ind w:firstLine="0"/>
              <w:jc w:val="center"/>
              <w:rPr>
                <w:sz w:val="20"/>
              </w:rPr>
            </w:pPr>
            <w:r>
              <w:rPr>
                <w:sz w:val="20"/>
              </w:rPr>
              <w:t>0.0</w:t>
            </w:r>
          </w:p>
        </w:tc>
        <w:tc>
          <w:tcPr>
            <w:tcW w:w="1084" w:type="dxa"/>
            <w:tcBorders>
              <w:top w:val="nil"/>
              <w:left w:val="nil"/>
              <w:right w:val="double" w:sz="4" w:space="0" w:color="auto"/>
            </w:tcBorders>
            <w:noWrap/>
            <w:tcMar>
              <w:left w:w="58" w:type="dxa"/>
              <w:right w:w="58" w:type="dxa"/>
            </w:tcMar>
            <w:vAlign w:val="center"/>
          </w:tcPr>
          <w:p w:rsidR="00995B29" w:rsidRDefault="00995B29" w:rsidP="00D72ECE">
            <w:pPr>
              <w:spacing w:line="240" w:lineRule="auto"/>
              <w:ind w:firstLine="0"/>
              <w:jc w:val="center"/>
              <w:rPr>
                <w:sz w:val="20"/>
              </w:rPr>
            </w:pPr>
            <w:r>
              <w:rPr>
                <w:sz w:val="20"/>
              </w:rPr>
              <w:t>-6.0</w:t>
            </w:r>
          </w:p>
          <w:p w:rsidR="00995B29" w:rsidRPr="004F3B85" w:rsidRDefault="00995B29" w:rsidP="00D72ECE">
            <w:pPr>
              <w:spacing w:line="240" w:lineRule="auto"/>
              <w:ind w:firstLine="0"/>
              <w:jc w:val="center"/>
              <w:rPr>
                <w:sz w:val="20"/>
              </w:rPr>
            </w:pPr>
            <w:r>
              <w:rPr>
                <w:sz w:val="20"/>
              </w:rPr>
              <w:t>(-7.28)</w:t>
            </w:r>
          </w:p>
        </w:tc>
        <w:tc>
          <w:tcPr>
            <w:tcW w:w="1083" w:type="dxa"/>
            <w:tcBorders>
              <w:top w:val="nil"/>
              <w:left w:val="single" w:sz="4" w:space="0" w:color="auto"/>
              <w:right w:val="single" w:sz="4" w:space="0" w:color="auto"/>
            </w:tcBorders>
            <w:vAlign w:val="center"/>
          </w:tcPr>
          <w:p w:rsidR="00995B29" w:rsidRPr="004F3B85" w:rsidRDefault="00995B29" w:rsidP="00D72ECE">
            <w:pPr>
              <w:spacing w:line="240" w:lineRule="auto"/>
              <w:ind w:firstLine="0"/>
              <w:jc w:val="center"/>
              <w:rPr>
                <w:sz w:val="20"/>
              </w:rPr>
            </w:pPr>
            <w:r>
              <w:rPr>
                <w:sz w:val="20"/>
              </w:rPr>
              <w:t>0.0</w:t>
            </w:r>
          </w:p>
        </w:tc>
        <w:tc>
          <w:tcPr>
            <w:tcW w:w="1085" w:type="dxa"/>
            <w:tcBorders>
              <w:top w:val="nil"/>
              <w:left w:val="single" w:sz="4" w:space="0" w:color="auto"/>
              <w:right w:val="double" w:sz="4" w:space="0" w:color="auto"/>
            </w:tcBorders>
            <w:vAlign w:val="center"/>
          </w:tcPr>
          <w:p w:rsidR="00995B29" w:rsidRDefault="00995B29" w:rsidP="00D72ECE">
            <w:pPr>
              <w:spacing w:line="240" w:lineRule="auto"/>
              <w:ind w:firstLine="0"/>
              <w:jc w:val="center"/>
              <w:rPr>
                <w:sz w:val="20"/>
              </w:rPr>
            </w:pPr>
            <w:r>
              <w:rPr>
                <w:sz w:val="20"/>
              </w:rPr>
              <w:t>-9.2</w:t>
            </w:r>
          </w:p>
          <w:p w:rsidR="00995B29" w:rsidRPr="004F3B85" w:rsidRDefault="00995B29" w:rsidP="00D72ECE">
            <w:pPr>
              <w:spacing w:line="240" w:lineRule="auto"/>
              <w:ind w:firstLine="0"/>
              <w:jc w:val="center"/>
              <w:rPr>
                <w:sz w:val="20"/>
              </w:rPr>
            </w:pPr>
            <w:r>
              <w:rPr>
                <w:sz w:val="20"/>
              </w:rPr>
              <w:t>(-7.22)</w:t>
            </w:r>
          </w:p>
        </w:tc>
        <w:tc>
          <w:tcPr>
            <w:tcW w:w="1084" w:type="dxa"/>
            <w:tcBorders>
              <w:top w:val="nil"/>
              <w:left w:val="single" w:sz="4" w:space="0" w:color="auto"/>
              <w:right w:val="single" w:sz="4" w:space="0" w:color="auto"/>
            </w:tcBorders>
            <w:vAlign w:val="center"/>
          </w:tcPr>
          <w:p w:rsidR="00995B29" w:rsidRPr="004F3B85" w:rsidRDefault="00995B29" w:rsidP="00D72ECE">
            <w:pPr>
              <w:spacing w:line="240" w:lineRule="auto"/>
              <w:ind w:firstLine="0"/>
              <w:jc w:val="center"/>
              <w:rPr>
                <w:sz w:val="20"/>
              </w:rPr>
            </w:pPr>
            <w:r>
              <w:rPr>
                <w:sz w:val="20"/>
              </w:rPr>
              <w:t>0.0</w:t>
            </w:r>
          </w:p>
        </w:tc>
        <w:tc>
          <w:tcPr>
            <w:tcW w:w="1084" w:type="dxa"/>
            <w:tcBorders>
              <w:top w:val="nil"/>
              <w:left w:val="single" w:sz="4" w:space="0" w:color="auto"/>
              <w:right w:val="double" w:sz="4" w:space="0" w:color="auto"/>
            </w:tcBorders>
            <w:vAlign w:val="center"/>
          </w:tcPr>
          <w:p w:rsidR="00995B29" w:rsidRDefault="00995B29" w:rsidP="00D72ECE">
            <w:pPr>
              <w:spacing w:line="240" w:lineRule="auto"/>
              <w:ind w:firstLine="0"/>
              <w:jc w:val="center"/>
              <w:rPr>
                <w:sz w:val="20"/>
              </w:rPr>
            </w:pPr>
            <w:r>
              <w:rPr>
                <w:sz w:val="20"/>
              </w:rPr>
              <w:t>-11.4</w:t>
            </w:r>
          </w:p>
          <w:p w:rsidR="00995B29" w:rsidRPr="004F3B85" w:rsidRDefault="00995B29" w:rsidP="00D72ECE">
            <w:pPr>
              <w:spacing w:line="240" w:lineRule="auto"/>
              <w:ind w:firstLine="0"/>
              <w:jc w:val="center"/>
              <w:rPr>
                <w:sz w:val="20"/>
              </w:rPr>
            </w:pPr>
            <w:r>
              <w:rPr>
                <w:sz w:val="20"/>
              </w:rPr>
              <w:t>(-6.79)</w:t>
            </w:r>
          </w:p>
        </w:tc>
      </w:tr>
      <w:tr w:rsidR="00995B29" w:rsidRPr="004F3B85" w:rsidTr="00E429FF">
        <w:trPr>
          <w:trHeight w:val="600"/>
          <w:jc w:val="center"/>
        </w:trPr>
        <w:tc>
          <w:tcPr>
            <w:tcW w:w="3765" w:type="dxa"/>
            <w:tcBorders>
              <w:top w:val="nil"/>
              <w:left w:val="double" w:sz="4" w:space="0" w:color="auto"/>
              <w:bottom w:val="nil"/>
              <w:right w:val="double" w:sz="4" w:space="0" w:color="auto"/>
            </w:tcBorders>
            <w:noWrap/>
            <w:tcMar>
              <w:left w:w="58" w:type="dxa"/>
              <w:right w:w="58" w:type="dxa"/>
            </w:tcMar>
            <w:vAlign w:val="center"/>
          </w:tcPr>
          <w:p w:rsidR="00995B29" w:rsidRPr="00C7214B" w:rsidRDefault="00995B29" w:rsidP="004C4F47">
            <w:pPr>
              <w:spacing w:line="240" w:lineRule="auto"/>
              <w:ind w:firstLine="0"/>
              <w:jc w:val="left"/>
              <w:rPr>
                <w:i/>
                <w:color w:val="000000"/>
                <w:sz w:val="20"/>
                <w:szCs w:val="16"/>
              </w:rPr>
            </w:pPr>
            <w:r w:rsidRPr="00C7214B">
              <w:rPr>
                <w:i/>
                <w:color w:val="000000"/>
                <w:sz w:val="20"/>
                <w:szCs w:val="16"/>
              </w:rPr>
              <w:t>Activity Intensity Variables</w:t>
            </w:r>
          </w:p>
        </w:tc>
        <w:tc>
          <w:tcPr>
            <w:tcW w:w="1084" w:type="dxa"/>
            <w:tcBorders>
              <w:top w:val="nil"/>
              <w:left w:val="nil"/>
              <w:right w:val="single" w:sz="4" w:space="0" w:color="auto"/>
            </w:tcBorders>
            <w:noWrap/>
            <w:tcMar>
              <w:left w:w="58" w:type="dxa"/>
              <w:right w:w="58" w:type="dxa"/>
            </w:tcMar>
            <w:vAlign w:val="center"/>
          </w:tcPr>
          <w:p w:rsidR="00995B29" w:rsidRDefault="00995B29" w:rsidP="00D72ECE">
            <w:pPr>
              <w:spacing w:line="240" w:lineRule="auto"/>
              <w:ind w:firstLine="0"/>
              <w:jc w:val="center"/>
              <w:rPr>
                <w:sz w:val="20"/>
              </w:rPr>
            </w:pPr>
          </w:p>
        </w:tc>
        <w:tc>
          <w:tcPr>
            <w:tcW w:w="1084" w:type="dxa"/>
            <w:tcBorders>
              <w:top w:val="nil"/>
              <w:left w:val="nil"/>
              <w:right w:val="double" w:sz="4" w:space="0" w:color="auto"/>
            </w:tcBorders>
            <w:noWrap/>
            <w:tcMar>
              <w:left w:w="58" w:type="dxa"/>
              <w:right w:w="58" w:type="dxa"/>
            </w:tcMar>
            <w:vAlign w:val="center"/>
          </w:tcPr>
          <w:p w:rsidR="00995B29" w:rsidRDefault="00995B29" w:rsidP="00D72ECE">
            <w:pPr>
              <w:spacing w:line="240" w:lineRule="auto"/>
              <w:ind w:firstLine="0"/>
              <w:jc w:val="center"/>
              <w:rPr>
                <w:sz w:val="20"/>
              </w:rPr>
            </w:pPr>
          </w:p>
        </w:tc>
        <w:tc>
          <w:tcPr>
            <w:tcW w:w="1083" w:type="dxa"/>
            <w:tcBorders>
              <w:top w:val="nil"/>
              <w:left w:val="single" w:sz="4" w:space="0" w:color="auto"/>
              <w:right w:val="single" w:sz="4" w:space="0" w:color="auto"/>
            </w:tcBorders>
            <w:vAlign w:val="center"/>
          </w:tcPr>
          <w:p w:rsidR="00995B29" w:rsidRDefault="00995B29" w:rsidP="00D72ECE">
            <w:pPr>
              <w:spacing w:line="240" w:lineRule="auto"/>
              <w:ind w:firstLine="0"/>
              <w:jc w:val="center"/>
              <w:rPr>
                <w:sz w:val="20"/>
              </w:rPr>
            </w:pPr>
          </w:p>
        </w:tc>
        <w:tc>
          <w:tcPr>
            <w:tcW w:w="1085" w:type="dxa"/>
            <w:tcBorders>
              <w:top w:val="nil"/>
              <w:left w:val="single" w:sz="4" w:space="0" w:color="auto"/>
              <w:right w:val="double" w:sz="4" w:space="0" w:color="auto"/>
            </w:tcBorders>
            <w:vAlign w:val="center"/>
          </w:tcPr>
          <w:p w:rsidR="00995B29" w:rsidRDefault="00995B29" w:rsidP="00D72ECE">
            <w:pPr>
              <w:spacing w:line="240" w:lineRule="auto"/>
              <w:ind w:firstLine="0"/>
              <w:jc w:val="center"/>
              <w:rPr>
                <w:sz w:val="20"/>
              </w:rPr>
            </w:pPr>
          </w:p>
        </w:tc>
        <w:tc>
          <w:tcPr>
            <w:tcW w:w="1084" w:type="dxa"/>
            <w:tcBorders>
              <w:top w:val="nil"/>
              <w:left w:val="single" w:sz="4" w:space="0" w:color="auto"/>
              <w:right w:val="single" w:sz="4" w:space="0" w:color="auto"/>
            </w:tcBorders>
            <w:vAlign w:val="center"/>
          </w:tcPr>
          <w:p w:rsidR="00995B29" w:rsidRDefault="00995B29" w:rsidP="00D72ECE">
            <w:pPr>
              <w:spacing w:line="240" w:lineRule="auto"/>
              <w:ind w:firstLine="0"/>
              <w:jc w:val="center"/>
              <w:rPr>
                <w:sz w:val="20"/>
              </w:rPr>
            </w:pPr>
          </w:p>
        </w:tc>
        <w:tc>
          <w:tcPr>
            <w:tcW w:w="1084" w:type="dxa"/>
            <w:tcBorders>
              <w:top w:val="nil"/>
              <w:left w:val="single" w:sz="4" w:space="0" w:color="auto"/>
              <w:right w:val="double" w:sz="4" w:space="0" w:color="auto"/>
            </w:tcBorders>
            <w:vAlign w:val="center"/>
          </w:tcPr>
          <w:p w:rsidR="00995B29" w:rsidRDefault="00995B29" w:rsidP="00D72ECE">
            <w:pPr>
              <w:spacing w:line="240" w:lineRule="auto"/>
              <w:ind w:firstLine="0"/>
              <w:jc w:val="center"/>
              <w:rPr>
                <w:sz w:val="20"/>
              </w:rPr>
            </w:pPr>
          </w:p>
        </w:tc>
      </w:tr>
      <w:tr w:rsidR="00995B29" w:rsidRPr="004F3B85" w:rsidTr="00E429FF">
        <w:trPr>
          <w:trHeight w:val="600"/>
          <w:jc w:val="center"/>
        </w:trPr>
        <w:tc>
          <w:tcPr>
            <w:tcW w:w="3765" w:type="dxa"/>
            <w:tcBorders>
              <w:top w:val="nil"/>
              <w:left w:val="double" w:sz="4" w:space="0" w:color="auto"/>
              <w:bottom w:val="nil"/>
              <w:right w:val="double" w:sz="4" w:space="0" w:color="auto"/>
            </w:tcBorders>
            <w:noWrap/>
            <w:tcMar>
              <w:left w:w="58" w:type="dxa"/>
              <w:right w:w="58" w:type="dxa"/>
            </w:tcMar>
            <w:vAlign w:val="center"/>
          </w:tcPr>
          <w:p w:rsidR="00995B29" w:rsidRDefault="00995B29" w:rsidP="004C4F47">
            <w:pPr>
              <w:spacing w:line="240" w:lineRule="auto"/>
              <w:ind w:firstLine="0"/>
              <w:jc w:val="left"/>
              <w:rPr>
                <w:color w:val="000000"/>
                <w:sz w:val="20"/>
                <w:szCs w:val="16"/>
              </w:rPr>
            </w:pPr>
            <w:r>
              <w:rPr>
                <w:color w:val="000000"/>
                <w:sz w:val="20"/>
                <w:szCs w:val="16"/>
              </w:rPr>
              <w:t xml:space="preserve">    </w:t>
            </w:r>
            <w:r w:rsidR="00494D24">
              <w:rPr>
                <w:color w:val="000000"/>
                <w:sz w:val="20"/>
                <w:szCs w:val="16"/>
              </w:rPr>
              <w:t xml:space="preserve">  </w:t>
            </w:r>
            <w:r>
              <w:rPr>
                <w:color w:val="000000"/>
                <w:sz w:val="20"/>
                <w:szCs w:val="16"/>
              </w:rPr>
              <w:t>Intensity of retail activity</w:t>
            </w:r>
          </w:p>
        </w:tc>
        <w:tc>
          <w:tcPr>
            <w:tcW w:w="1084" w:type="dxa"/>
            <w:tcBorders>
              <w:top w:val="nil"/>
              <w:left w:val="nil"/>
              <w:right w:val="single" w:sz="4" w:space="0" w:color="auto"/>
            </w:tcBorders>
            <w:noWrap/>
            <w:tcMar>
              <w:left w:w="58" w:type="dxa"/>
              <w:right w:w="58" w:type="dxa"/>
            </w:tcMar>
            <w:vAlign w:val="center"/>
          </w:tcPr>
          <w:p w:rsidR="00995B29" w:rsidRDefault="00995B29" w:rsidP="00D72ECE">
            <w:pPr>
              <w:spacing w:line="240" w:lineRule="auto"/>
              <w:ind w:firstLine="0"/>
              <w:jc w:val="center"/>
              <w:rPr>
                <w:sz w:val="20"/>
              </w:rPr>
            </w:pPr>
            <w:r>
              <w:rPr>
                <w:sz w:val="20"/>
              </w:rPr>
              <w:t>16.6</w:t>
            </w:r>
          </w:p>
          <w:p w:rsidR="00995B29" w:rsidRPr="004F3B85" w:rsidRDefault="00995B29" w:rsidP="00D72ECE">
            <w:pPr>
              <w:spacing w:line="240" w:lineRule="auto"/>
              <w:ind w:firstLine="0"/>
              <w:jc w:val="center"/>
              <w:rPr>
                <w:sz w:val="20"/>
              </w:rPr>
            </w:pPr>
            <w:r>
              <w:rPr>
                <w:sz w:val="20"/>
              </w:rPr>
              <w:t>(11.24)</w:t>
            </w:r>
          </w:p>
        </w:tc>
        <w:tc>
          <w:tcPr>
            <w:tcW w:w="1084" w:type="dxa"/>
            <w:tcBorders>
              <w:top w:val="nil"/>
              <w:left w:val="nil"/>
              <w:right w:val="double" w:sz="4" w:space="0" w:color="auto"/>
            </w:tcBorders>
            <w:noWrap/>
            <w:tcMar>
              <w:left w:w="58" w:type="dxa"/>
              <w:right w:w="58" w:type="dxa"/>
            </w:tcMar>
            <w:vAlign w:val="center"/>
          </w:tcPr>
          <w:p w:rsidR="00995B29" w:rsidRPr="004F3B85" w:rsidRDefault="00995B29" w:rsidP="00D72ECE">
            <w:pPr>
              <w:spacing w:line="240" w:lineRule="auto"/>
              <w:ind w:firstLine="0"/>
              <w:jc w:val="center"/>
              <w:rPr>
                <w:sz w:val="20"/>
              </w:rPr>
            </w:pPr>
            <w:r>
              <w:rPr>
                <w:sz w:val="20"/>
              </w:rPr>
              <w:t>0.0</w:t>
            </w:r>
          </w:p>
        </w:tc>
        <w:tc>
          <w:tcPr>
            <w:tcW w:w="1083" w:type="dxa"/>
            <w:tcBorders>
              <w:top w:val="nil"/>
              <w:left w:val="single" w:sz="4" w:space="0" w:color="auto"/>
              <w:right w:val="single" w:sz="4" w:space="0" w:color="auto"/>
            </w:tcBorders>
            <w:vAlign w:val="center"/>
          </w:tcPr>
          <w:p w:rsidR="00995B29" w:rsidRDefault="00995B29" w:rsidP="00D72ECE">
            <w:pPr>
              <w:spacing w:line="240" w:lineRule="auto"/>
              <w:ind w:firstLine="0"/>
              <w:jc w:val="center"/>
              <w:rPr>
                <w:sz w:val="20"/>
              </w:rPr>
            </w:pPr>
            <w:r>
              <w:rPr>
                <w:sz w:val="20"/>
              </w:rPr>
              <w:t>19.2</w:t>
            </w:r>
          </w:p>
          <w:p w:rsidR="00995B29" w:rsidRPr="004F3B85" w:rsidRDefault="00995B29" w:rsidP="00D72ECE">
            <w:pPr>
              <w:spacing w:line="240" w:lineRule="auto"/>
              <w:ind w:firstLine="0"/>
              <w:jc w:val="center"/>
              <w:rPr>
                <w:sz w:val="20"/>
              </w:rPr>
            </w:pPr>
            <w:r>
              <w:rPr>
                <w:sz w:val="20"/>
              </w:rPr>
              <w:t>(11.81)</w:t>
            </w:r>
          </w:p>
        </w:tc>
        <w:tc>
          <w:tcPr>
            <w:tcW w:w="1085" w:type="dxa"/>
            <w:tcBorders>
              <w:top w:val="nil"/>
              <w:left w:val="single" w:sz="4" w:space="0" w:color="auto"/>
              <w:right w:val="double" w:sz="4" w:space="0" w:color="auto"/>
            </w:tcBorders>
            <w:vAlign w:val="center"/>
          </w:tcPr>
          <w:p w:rsidR="00995B29" w:rsidRPr="004F3B85" w:rsidRDefault="00995B29" w:rsidP="00D72ECE">
            <w:pPr>
              <w:spacing w:line="240" w:lineRule="auto"/>
              <w:ind w:firstLine="0"/>
              <w:jc w:val="center"/>
              <w:rPr>
                <w:sz w:val="20"/>
              </w:rPr>
            </w:pPr>
            <w:r>
              <w:rPr>
                <w:sz w:val="20"/>
              </w:rPr>
              <w:t>0.0</w:t>
            </w:r>
          </w:p>
        </w:tc>
        <w:tc>
          <w:tcPr>
            <w:tcW w:w="1084" w:type="dxa"/>
            <w:tcBorders>
              <w:top w:val="nil"/>
              <w:left w:val="single" w:sz="4" w:space="0" w:color="auto"/>
              <w:right w:val="single" w:sz="4" w:space="0" w:color="auto"/>
            </w:tcBorders>
            <w:vAlign w:val="center"/>
          </w:tcPr>
          <w:p w:rsidR="00995B29" w:rsidRDefault="00995B29" w:rsidP="00D72ECE">
            <w:pPr>
              <w:spacing w:line="240" w:lineRule="auto"/>
              <w:ind w:firstLine="0"/>
              <w:jc w:val="center"/>
              <w:rPr>
                <w:sz w:val="20"/>
              </w:rPr>
            </w:pPr>
            <w:r>
              <w:rPr>
                <w:sz w:val="20"/>
              </w:rPr>
              <w:t>21.3</w:t>
            </w:r>
          </w:p>
          <w:p w:rsidR="00995B29" w:rsidRPr="004F3B85" w:rsidRDefault="00995B29" w:rsidP="00D72ECE">
            <w:pPr>
              <w:spacing w:line="240" w:lineRule="auto"/>
              <w:ind w:firstLine="0"/>
              <w:jc w:val="center"/>
              <w:rPr>
                <w:sz w:val="20"/>
              </w:rPr>
            </w:pPr>
            <w:r>
              <w:rPr>
                <w:sz w:val="20"/>
              </w:rPr>
              <w:t>(12.24)</w:t>
            </w:r>
          </w:p>
        </w:tc>
        <w:tc>
          <w:tcPr>
            <w:tcW w:w="1084" w:type="dxa"/>
            <w:tcBorders>
              <w:top w:val="nil"/>
              <w:left w:val="single" w:sz="4" w:space="0" w:color="auto"/>
              <w:right w:val="double" w:sz="4" w:space="0" w:color="auto"/>
            </w:tcBorders>
            <w:vAlign w:val="center"/>
          </w:tcPr>
          <w:p w:rsidR="00995B29" w:rsidRPr="004F3B85" w:rsidRDefault="00995B29" w:rsidP="00D72ECE">
            <w:pPr>
              <w:spacing w:line="240" w:lineRule="auto"/>
              <w:ind w:firstLine="0"/>
              <w:jc w:val="center"/>
              <w:rPr>
                <w:sz w:val="20"/>
              </w:rPr>
            </w:pPr>
            <w:r>
              <w:rPr>
                <w:sz w:val="20"/>
              </w:rPr>
              <w:t>0.0</w:t>
            </w:r>
          </w:p>
        </w:tc>
      </w:tr>
      <w:tr w:rsidR="00995B29" w:rsidRPr="004F3B85" w:rsidTr="00E429FF">
        <w:trPr>
          <w:trHeight w:val="600"/>
          <w:jc w:val="center"/>
        </w:trPr>
        <w:tc>
          <w:tcPr>
            <w:tcW w:w="3765" w:type="dxa"/>
            <w:tcBorders>
              <w:top w:val="nil"/>
              <w:left w:val="double" w:sz="4" w:space="0" w:color="auto"/>
              <w:bottom w:val="nil"/>
              <w:right w:val="double" w:sz="4" w:space="0" w:color="auto"/>
            </w:tcBorders>
            <w:noWrap/>
            <w:tcMar>
              <w:left w:w="58" w:type="dxa"/>
              <w:right w:w="58" w:type="dxa"/>
            </w:tcMar>
            <w:vAlign w:val="center"/>
          </w:tcPr>
          <w:p w:rsidR="00995B29" w:rsidRDefault="00995B29" w:rsidP="004C4F47">
            <w:pPr>
              <w:spacing w:line="240" w:lineRule="auto"/>
              <w:ind w:firstLine="0"/>
              <w:jc w:val="left"/>
              <w:rPr>
                <w:color w:val="000000"/>
                <w:sz w:val="20"/>
                <w:szCs w:val="16"/>
              </w:rPr>
            </w:pPr>
            <w:r>
              <w:rPr>
                <w:color w:val="000000"/>
                <w:sz w:val="20"/>
                <w:szCs w:val="16"/>
              </w:rPr>
              <w:t xml:space="preserve">   </w:t>
            </w:r>
            <w:r w:rsidR="00494D24">
              <w:rPr>
                <w:color w:val="000000"/>
                <w:sz w:val="20"/>
                <w:szCs w:val="16"/>
              </w:rPr>
              <w:t xml:space="preserve">  </w:t>
            </w:r>
            <w:r>
              <w:rPr>
                <w:color w:val="000000"/>
                <w:sz w:val="20"/>
                <w:szCs w:val="16"/>
              </w:rPr>
              <w:t xml:space="preserve"> Number of schools</w:t>
            </w:r>
          </w:p>
        </w:tc>
        <w:tc>
          <w:tcPr>
            <w:tcW w:w="1084" w:type="dxa"/>
            <w:tcBorders>
              <w:top w:val="nil"/>
              <w:left w:val="nil"/>
              <w:right w:val="single" w:sz="4" w:space="0" w:color="auto"/>
            </w:tcBorders>
            <w:noWrap/>
            <w:tcMar>
              <w:left w:w="58" w:type="dxa"/>
              <w:right w:w="58" w:type="dxa"/>
            </w:tcMar>
            <w:vAlign w:val="center"/>
          </w:tcPr>
          <w:p w:rsidR="00995B29" w:rsidRDefault="00995B29" w:rsidP="00D72ECE">
            <w:pPr>
              <w:spacing w:line="240" w:lineRule="auto"/>
              <w:ind w:firstLine="0"/>
              <w:jc w:val="center"/>
              <w:rPr>
                <w:sz w:val="20"/>
              </w:rPr>
            </w:pPr>
            <w:r>
              <w:rPr>
                <w:sz w:val="20"/>
              </w:rPr>
              <w:t>5.6</w:t>
            </w:r>
          </w:p>
          <w:p w:rsidR="00995B29" w:rsidRPr="004F3B85" w:rsidRDefault="00995B29" w:rsidP="00D72ECE">
            <w:pPr>
              <w:spacing w:line="240" w:lineRule="auto"/>
              <w:ind w:firstLine="0"/>
              <w:jc w:val="center"/>
              <w:rPr>
                <w:sz w:val="20"/>
              </w:rPr>
            </w:pPr>
            <w:r>
              <w:rPr>
                <w:sz w:val="20"/>
              </w:rPr>
              <w:t>(3.27)</w:t>
            </w:r>
          </w:p>
        </w:tc>
        <w:tc>
          <w:tcPr>
            <w:tcW w:w="1084" w:type="dxa"/>
            <w:tcBorders>
              <w:top w:val="nil"/>
              <w:left w:val="nil"/>
              <w:right w:val="double" w:sz="4" w:space="0" w:color="auto"/>
            </w:tcBorders>
            <w:noWrap/>
            <w:tcMar>
              <w:left w:w="58" w:type="dxa"/>
              <w:right w:w="58" w:type="dxa"/>
            </w:tcMar>
            <w:vAlign w:val="center"/>
          </w:tcPr>
          <w:p w:rsidR="00995B29" w:rsidRPr="004F3B85" w:rsidRDefault="00995B29" w:rsidP="00D72ECE">
            <w:pPr>
              <w:spacing w:line="240" w:lineRule="auto"/>
              <w:ind w:firstLine="0"/>
              <w:jc w:val="center"/>
              <w:rPr>
                <w:sz w:val="20"/>
              </w:rPr>
            </w:pPr>
            <w:r>
              <w:rPr>
                <w:sz w:val="20"/>
              </w:rPr>
              <w:t>0.0</w:t>
            </w:r>
          </w:p>
        </w:tc>
        <w:tc>
          <w:tcPr>
            <w:tcW w:w="1083" w:type="dxa"/>
            <w:tcBorders>
              <w:top w:val="nil"/>
              <w:left w:val="single" w:sz="4" w:space="0" w:color="auto"/>
              <w:right w:val="single" w:sz="4" w:space="0" w:color="auto"/>
            </w:tcBorders>
            <w:vAlign w:val="center"/>
          </w:tcPr>
          <w:p w:rsidR="00995B29" w:rsidRDefault="00995B29" w:rsidP="00D72ECE">
            <w:pPr>
              <w:spacing w:line="240" w:lineRule="auto"/>
              <w:ind w:firstLine="0"/>
              <w:jc w:val="center"/>
              <w:rPr>
                <w:sz w:val="20"/>
              </w:rPr>
            </w:pPr>
            <w:r>
              <w:rPr>
                <w:sz w:val="20"/>
              </w:rPr>
              <w:t>5.9</w:t>
            </w:r>
          </w:p>
          <w:p w:rsidR="00995B29" w:rsidRPr="004F3B85" w:rsidRDefault="00995B29" w:rsidP="00D72ECE">
            <w:pPr>
              <w:spacing w:line="240" w:lineRule="auto"/>
              <w:ind w:firstLine="0"/>
              <w:jc w:val="center"/>
              <w:rPr>
                <w:sz w:val="20"/>
              </w:rPr>
            </w:pPr>
            <w:r>
              <w:rPr>
                <w:sz w:val="20"/>
              </w:rPr>
              <w:t>(3.10)</w:t>
            </w:r>
          </w:p>
        </w:tc>
        <w:tc>
          <w:tcPr>
            <w:tcW w:w="1085" w:type="dxa"/>
            <w:tcBorders>
              <w:top w:val="nil"/>
              <w:left w:val="single" w:sz="4" w:space="0" w:color="auto"/>
              <w:right w:val="double" w:sz="4" w:space="0" w:color="auto"/>
            </w:tcBorders>
            <w:vAlign w:val="center"/>
          </w:tcPr>
          <w:p w:rsidR="00995B29" w:rsidRPr="004F3B85" w:rsidRDefault="00995B29" w:rsidP="00D72ECE">
            <w:pPr>
              <w:spacing w:line="240" w:lineRule="auto"/>
              <w:ind w:firstLine="0"/>
              <w:jc w:val="center"/>
              <w:rPr>
                <w:sz w:val="20"/>
              </w:rPr>
            </w:pPr>
            <w:r>
              <w:rPr>
                <w:sz w:val="20"/>
              </w:rPr>
              <w:t>0.0</w:t>
            </w:r>
          </w:p>
        </w:tc>
        <w:tc>
          <w:tcPr>
            <w:tcW w:w="1084" w:type="dxa"/>
            <w:tcBorders>
              <w:top w:val="nil"/>
              <w:left w:val="single" w:sz="4" w:space="0" w:color="auto"/>
              <w:right w:val="single" w:sz="4" w:space="0" w:color="auto"/>
            </w:tcBorders>
            <w:vAlign w:val="center"/>
          </w:tcPr>
          <w:p w:rsidR="00995B29" w:rsidRDefault="00995B29" w:rsidP="00D72ECE">
            <w:pPr>
              <w:spacing w:line="240" w:lineRule="auto"/>
              <w:ind w:firstLine="0"/>
              <w:jc w:val="center"/>
              <w:rPr>
                <w:sz w:val="20"/>
              </w:rPr>
            </w:pPr>
            <w:r>
              <w:rPr>
                <w:sz w:val="20"/>
              </w:rPr>
              <w:t>6.5</w:t>
            </w:r>
          </w:p>
          <w:p w:rsidR="00995B29" w:rsidRPr="004F3B85" w:rsidRDefault="00995B29" w:rsidP="00D72ECE">
            <w:pPr>
              <w:spacing w:line="240" w:lineRule="auto"/>
              <w:ind w:firstLine="0"/>
              <w:jc w:val="center"/>
              <w:rPr>
                <w:sz w:val="20"/>
              </w:rPr>
            </w:pPr>
            <w:r>
              <w:rPr>
                <w:sz w:val="20"/>
              </w:rPr>
              <w:t>(3.23)</w:t>
            </w:r>
          </w:p>
        </w:tc>
        <w:tc>
          <w:tcPr>
            <w:tcW w:w="1084" w:type="dxa"/>
            <w:tcBorders>
              <w:top w:val="nil"/>
              <w:left w:val="single" w:sz="4" w:space="0" w:color="auto"/>
              <w:right w:val="double" w:sz="4" w:space="0" w:color="auto"/>
            </w:tcBorders>
            <w:vAlign w:val="center"/>
          </w:tcPr>
          <w:p w:rsidR="00995B29" w:rsidRPr="004F3B85" w:rsidRDefault="00995B29" w:rsidP="00D72ECE">
            <w:pPr>
              <w:spacing w:line="240" w:lineRule="auto"/>
              <w:ind w:firstLine="0"/>
              <w:jc w:val="center"/>
              <w:rPr>
                <w:sz w:val="20"/>
              </w:rPr>
            </w:pPr>
            <w:r>
              <w:rPr>
                <w:sz w:val="20"/>
              </w:rPr>
              <w:t>0.0</w:t>
            </w:r>
          </w:p>
        </w:tc>
      </w:tr>
      <w:tr w:rsidR="00995B29" w:rsidRPr="004F3B85" w:rsidTr="00E429FF">
        <w:trPr>
          <w:trHeight w:val="600"/>
          <w:jc w:val="center"/>
        </w:trPr>
        <w:tc>
          <w:tcPr>
            <w:tcW w:w="3765" w:type="dxa"/>
            <w:tcBorders>
              <w:top w:val="nil"/>
              <w:left w:val="double" w:sz="4" w:space="0" w:color="auto"/>
              <w:right w:val="double" w:sz="4" w:space="0" w:color="auto"/>
            </w:tcBorders>
            <w:noWrap/>
            <w:tcMar>
              <w:left w:w="58" w:type="dxa"/>
              <w:right w:w="58" w:type="dxa"/>
            </w:tcMar>
            <w:vAlign w:val="center"/>
          </w:tcPr>
          <w:p w:rsidR="00995B29" w:rsidRPr="00C7214B" w:rsidRDefault="00995B29" w:rsidP="004C4F47">
            <w:pPr>
              <w:spacing w:line="240" w:lineRule="auto"/>
              <w:ind w:firstLine="0"/>
              <w:jc w:val="left"/>
              <w:rPr>
                <w:i/>
                <w:color w:val="000000"/>
                <w:sz w:val="20"/>
                <w:szCs w:val="16"/>
              </w:rPr>
            </w:pPr>
            <w:r w:rsidRPr="00C7214B">
              <w:rPr>
                <w:i/>
                <w:color w:val="000000"/>
                <w:sz w:val="20"/>
                <w:szCs w:val="16"/>
              </w:rPr>
              <w:t>Commute Mode Shares and Transit Supply</w:t>
            </w:r>
          </w:p>
        </w:tc>
        <w:tc>
          <w:tcPr>
            <w:tcW w:w="1084" w:type="dxa"/>
            <w:tcBorders>
              <w:top w:val="nil"/>
              <w:left w:val="nil"/>
              <w:right w:val="single" w:sz="4" w:space="0" w:color="auto"/>
            </w:tcBorders>
            <w:noWrap/>
            <w:tcMar>
              <w:left w:w="58" w:type="dxa"/>
              <w:right w:w="58" w:type="dxa"/>
            </w:tcMar>
            <w:vAlign w:val="center"/>
          </w:tcPr>
          <w:p w:rsidR="00995B29" w:rsidRDefault="00995B29" w:rsidP="00D72ECE">
            <w:pPr>
              <w:spacing w:line="240" w:lineRule="auto"/>
              <w:ind w:firstLine="0"/>
              <w:jc w:val="center"/>
              <w:rPr>
                <w:sz w:val="20"/>
              </w:rPr>
            </w:pPr>
          </w:p>
        </w:tc>
        <w:tc>
          <w:tcPr>
            <w:tcW w:w="1084" w:type="dxa"/>
            <w:tcBorders>
              <w:top w:val="nil"/>
              <w:left w:val="nil"/>
              <w:right w:val="double" w:sz="4" w:space="0" w:color="auto"/>
            </w:tcBorders>
            <w:noWrap/>
            <w:tcMar>
              <w:left w:w="58" w:type="dxa"/>
              <w:right w:w="58" w:type="dxa"/>
            </w:tcMar>
            <w:vAlign w:val="center"/>
          </w:tcPr>
          <w:p w:rsidR="00995B29" w:rsidRDefault="00995B29" w:rsidP="00D72ECE">
            <w:pPr>
              <w:spacing w:line="240" w:lineRule="auto"/>
              <w:ind w:firstLine="0"/>
              <w:jc w:val="center"/>
              <w:rPr>
                <w:sz w:val="20"/>
              </w:rPr>
            </w:pPr>
          </w:p>
        </w:tc>
        <w:tc>
          <w:tcPr>
            <w:tcW w:w="1083" w:type="dxa"/>
            <w:tcBorders>
              <w:top w:val="nil"/>
              <w:left w:val="single" w:sz="4" w:space="0" w:color="auto"/>
              <w:right w:val="single" w:sz="4" w:space="0" w:color="auto"/>
            </w:tcBorders>
            <w:vAlign w:val="center"/>
          </w:tcPr>
          <w:p w:rsidR="00995B29" w:rsidRDefault="00995B29" w:rsidP="00D72ECE">
            <w:pPr>
              <w:spacing w:line="240" w:lineRule="auto"/>
              <w:ind w:firstLine="0"/>
              <w:jc w:val="center"/>
              <w:rPr>
                <w:sz w:val="20"/>
              </w:rPr>
            </w:pPr>
          </w:p>
        </w:tc>
        <w:tc>
          <w:tcPr>
            <w:tcW w:w="1085" w:type="dxa"/>
            <w:tcBorders>
              <w:top w:val="nil"/>
              <w:left w:val="single" w:sz="4" w:space="0" w:color="auto"/>
              <w:right w:val="double" w:sz="4" w:space="0" w:color="auto"/>
            </w:tcBorders>
            <w:vAlign w:val="center"/>
          </w:tcPr>
          <w:p w:rsidR="00995B29" w:rsidRDefault="00995B29" w:rsidP="00D72ECE">
            <w:pPr>
              <w:spacing w:line="240" w:lineRule="auto"/>
              <w:ind w:firstLine="0"/>
              <w:jc w:val="center"/>
              <w:rPr>
                <w:sz w:val="20"/>
              </w:rPr>
            </w:pPr>
          </w:p>
        </w:tc>
        <w:tc>
          <w:tcPr>
            <w:tcW w:w="1084" w:type="dxa"/>
            <w:tcBorders>
              <w:top w:val="nil"/>
              <w:left w:val="single" w:sz="4" w:space="0" w:color="auto"/>
              <w:right w:val="single" w:sz="4" w:space="0" w:color="auto"/>
            </w:tcBorders>
            <w:vAlign w:val="center"/>
          </w:tcPr>
          <w:p w:rsidR="00995B29" w:rsidRDefault="00995B29" w:rsidP="00D72ECE">
            <w:pPr>
              <w:spacing w:line="240" w:lineRule="auto"/>
              <w:ind w:firstLine="0"/>
              <w:jc w:val="center"/>
              <w:rPr>
                <w:sz w:val="20"/>
              </w:rPr>
            </w:pPr>
          </w:p>
        </w:tc>
        <w:tc>
          <w:tcPr>
            <w:tcW w:w="1084" w:type="dxa"/>
            <w:tcBorders>
              <w:top w:val="nil"/>
              <w:left w:val="single" w:sz="4" w:space="0" w:color="auto"/>
              <w:right w:val="double" w:sz="4" w:space="0" w:color="auto"/>
            </w:tcBorders>
            <w:vAlign w:val="center"/>
          </w:tcPr>
          <w:p w:rsidR="00995B29" w:rsidRDefault="00995B29" w:rsidP="00D72ECE">
            <w:pPr>
              <w:spacing w:line="240" w:lineRule="auto"/>
              <w:ind w:firstLine="0"/>
              <w:jc w:val="center"/>
              <w:rPr>
                <w:sz w:val="20"/>
              </w:rPr>
            </w:pPr>
          </w:p>
        </w:tc>
      </w:tr>
      <w:tr w:rsidR="00995B29" w:rsidRPr="004F3B85" w:rsidTr="00E429FF">
        <w:trPr>
          <w:trHeight w:val="600"/>
          <w:jc w:val="center"/>
        </w:trPr>
        <w:tc>
          <w:tcPr>
            <w:tcW w:w="3765" w:type="dxa"/>
            <w:tcBorders>
              <w:top w:val="nil"/>
              <w:left w:val="double" w:sz="4" w:space="0" w:color="auto"/>
              <w:bottom w:val="double" w:sz="4" w:space="0" w:color="auto"/>
              <w:right w:val="double" w:sz="4" w:space="0" w:color="auto"/>
            </w:tcBorders>
            <w:noWrap/>
            <w:tcMar>
              <w:left w:w="58" w:type="dxa"/>
              <w:right w:w="58" w:type="dxa"/>
            </w:tcMar>
            <w:vAlign w:val="center"/>
          </w:tcPr>
          <w:p w:rsidR="00995B29" w:rsidRPr="004F3B85" w:rsidRDefault="00995B29" w:rsidP="004C4F47">
            <w:pPr>
              <w:spacing w:line="240" w:lineRule="auto"/>
              <w:ind w:firstLine="0"/>
              <w:jc w:val="left"/>
              <w:rPr>
                <w:color w:val="000000"/>
                <w:sz w:val="20"/>
                <w:szCs w:val="16"/>
              </w:rPr>
            </w:pPr>
            <w:r>
              <w:rPr>
                <w:color w:val="000000"/>
                <w:sz w:val="20"/>
                <w:szCs w:val="16"/>
              </w:rPr>
              <w:t xml:space="preserve">    </w:t>
            </w:r>
            <w:r w:rsidR="00494D24">
              <w:rPr>
                <w:color w:val="000000"/>
                <w:sz w:val="20"/>
                <w:szCs w:val="16"/>
              </w:rPr>
              <w:t xml:space="preserve">  </w:t>
            </w:r>
            <w:r>
              <w:rPr>
                <w:color w:val="000000"/>
                <w:sz w:val="20"/>
                <w:szCs w:val="16"/>
              </w:rPr>
              <w:t>Walk commute mode share</w:t>
            </w:r>
          </w:p>
        </w:tc>
        <w:tc>
          <w:tcPr>
            <w:tcW w:w="1084" w:type="dxa"/>
            <w:tcBorders>
              <w:top w:val="nil"/>
              <w:left w:val="nil"/>
              <w:bottom w:val="double" w:sz="4" w:space="0" w:color="auto"/>
              <w:right w:val="single" w:sz="4" w:space="0" w:color="auto"/>
            </w:tcBorders>
            <w:noWrap/>
            <w:tcMar>
              <w:left w:w="58" w:type="dxa"/>
              <w:right w:w="58" w:type="dxa"/>
            </w:tcMar>
            <w:vAlign w:val="center"/>
          </w:tcPr>
          <w:p w:rsidR="00995B29" w:rsidRPr="004F3B85" w:rsidRDefault="00995B29" w:rsidP="00D72ECE">
            <w:pPr>
              <w:spacing w:line="240" w:lineRule="auto"/>
              <w:ind w:firstLine="0"/>
              <w:jc w:val="center"/>
              <w:rPr>
                <w:sz w:val="20"/>
              </w:rPr>
            </w:pPr>
            <w:r>
              <w:rPr>
                <w:sz w:val="20"/>
              </w:rPr>
              <w:t>0.0</w:t>
            </w:r>
          </w:p>
        </w:tc>
        <w:tc>
          <w:tcPr>
            <w:tcW w:w="1084" w:type="dxa"/>
            <w:tcBorders>
              <w:top w:val="nil"/>
              <w:left w:val="nil"/>
              <w:bottom w:val="double" w:sz="4" w:space="0" w:color="auto"/>
              <w:right w:val="double" w:sz="4" w:space="0" w:color="auto"/>
            </w:tcBorders>
            <w:noWrap/>
            <w:tcMar>
              <w:left w:w="58" w:type="dxa"/>
              <w:right w:w="58" w:type="dxa"/>
            </w:tcMar>
            <w:vAlign w:val="center"/>
          </w:tcPr>
          <w:p w:rsidR="00995B29" w:rsidRDefault="00995B29" w:rsidP="00D72ECE">
            <w:pPr>
              <w:spacing w:line="240" w:lineRule="auto"/>
              <w:ind w:firstLine="0"/>
              <w:jc w:val="center"/>
              <w:rPr>
                <w:sz w:val="20"/>
              </w:rPr>
            </w:pPr>
            <w:r>
              <w:rPr>
                <w:sz w:val="20"/>
              </w:rPr>
              <w:t>30.2</w:t>
            </w:r>
          </w:p>
          <w:p w:rsidR="00995B29" w:rsidRPr="004F3B85" w:rsidRDefault="00995B29" w:rsidP="00D72ECE">
            <w:pPr>
              <w:spacing w:line="240" w:lineRule="auto"/>
              <w:ind w:firstLine="0"/>
              <w:jc w:val="center"/>
              <w:rPr>
                <w:sz w:val="20"/>
              </w:rPr>
            </w:pPr>
            <w:r>
              <w:rPr>
                <w:sz w:val="20"/>
              </w:rPr>
              <w:t>(9.65)</w:t>
            </w:r>
          </w:p>
        </w:tc>
        <w:tc>
          <w:tcPr>
            <w:tcW w:w="1083" w:type="dxa"/>
            <w:tcBorders>
              <w:top w:val="nil"/>
              <w:left w:val="single" w:sz="4" w:space="0" w:color="auto"/>
              <w:bottom w:val="double" w:sz="4" w:space="0" w:color="auto"/>
              <w:right w:val="single" w:sz="4" w:space="0" w:color="auto"/>
            </w:tcBorders>
            <w:vAlign w:val="center"/>
          </w:tcPr>
          <w:p w:rsidR="00995B29" w:rsidRPr="004F3B85" w:rsidRDefault="00995B29" w:rsidP="00D72ECE">
            <w:pPr>
              <w:spacing w:line="240" w:lineRule="auto"/>
              <w:ind w:firstLine="0"/>
              <w:jc w:val="center"/>
              <w:rPr>
                <w:sz w:val="20"/>
              </w:rPr>
            </w:pPr>
            <w:r>
              <w:rPr>
                <w:sz w:val="20"/>
              </w:rPr>
              <w:t>0.0</w:t>
            </w:r>
          </w:p>
        </w:tc>
        <w:tc>
          <w:tcPr>
            <w:tcW w:w="1085" w:type="dxa"/>
            <w:tcBorders>
              <w:top w:val="nil"/>
              <w:left w:val="single" w:sz="4" w:space="0" w:color="auto"/>
              <w:bottom w:val="double" w:sz="4" w:space="0" w:color="auto"/>
              <w:right w:val="double" w:sz="4" w:space="0" w:color="auto"/>
            </w:tcBorders>
            <w:vAlign w:val="center"/>
          </w:tcPr>
          <w:p w:rsidR="00995B29" w:rsidRDefault="00995B29" w:rsidP="00D72ECE">
            <w:pPr>
              <w:spacing w:line="240" w:lineRule="auto"/>
              <w:ind w:firstLine="0"/>
              <w:jc w:val="center"/>
              <w:rPr>
                <w:sz w:val="20"/>
              </w:rPr>
            </w:pPr>
            <w:r>
              <w:rPr>
                <w:sz w:val="20"/>
              </w:rPr>
              <w:t>34.1</w:t>
            </w:r>
          </w:p>
          <w:p w:rsidR="00995B29" w:rsidRPr="004F3B85" w:rsidRDefault="00995B29" w:rsidP="00D72ECE">
            <w:pPr>
              <w:spacing w:line="240" w:lineRule="auto"/>
              <w:ind w:firstLine="0"/>
              <w:jc w:val="center"/>
              <w:rPr>
                <w:sz w:val="20"/>
              </w:rPr>
            </w:pPr>
            <w:r>
              <w:rPr>
                <w:sz w:val="20"/>
              </w:rPr>
              <w:t>(10.91)</w:t>
            </w:r>
          </w:p>
        </w:tc>
        <w:tc>
          <w:tcPr>
            <w:tcW w:w="1084" w:type="dxa"/>
            <w:tcBorders>
              <w:top w:val="nil"/>
              <w:left w:val="single" w:sz="4" w:space="0" w:color="auto"/>
              <w:bottom w:val="double" w:sz="4" w:space="0" w:color="auto"/>
              <w:right w:val="single" w:sz="4" w:space="0" w:color="auto"/>
            </w:tcBorders>
            <w:vAlign w:val="center"/>
          </w:tcPr>
          <w:p w:rsidR="00995B29" w:rsidRPr="004F3B85" w:rsidRDefault="00995B29" w:rsidP="00D72ECE">
            <w:pPr>
              <w:spacing w:line="240" w:lineRule="auto"/>
              <w:ind w:firstLine="0"/>
              <w:jc w:val="center"/>
              <w:rPr>
                <w:sz w:val="20"/>
              </w:rPr>
            </w:pPr>
            <w:r>
              <w:rPr>
                <w:sz w:val="20"/>
              </w:rPr>
              <w:t>0.0</w:t>
            </w:r>
          </w:p>
        </w:tc>
        <w:tc>
          <w:tcPr>
            <w:tcW w:w="1084" w:type="dxa"/>
            <w:tcBorders>
              <w:top w:val="nil"/>
              <w:left w:val="single" w:sz="4" w:space="0" w:color="auto"/>
              <w:bottom w:val="double" w:sz="4" w:space="0" w:color="auto"/>
              <w:right w:val="double" w:sz="4" w:space="0" w:color="auto"/>
            </w:tcBorders>
            <w:vAlign w:val="center"/>
          </w:tcPr>
          <w:p w:rsidR="00995B29" w:rsidRDefault="00995B29" w:rsidP="00D72ECE">
            <w:pPr>
              <w:spacing w:line="240" w:lineRule="auto"/>
              <w:ind w:firstLine="0"/>
              <w:jc w:val="center"/>
              <w:rPr>
                <w:sz w:val="20"/>
              </w:rPr>
            </w:pPr>
            <w:r>
              <w:rPr>
                <w:sz w:val="20"/>
              </w:rPr>
              <w:t>39.7</w:t>
            </w:r>
          </w:p>
          <w:p w:rsidR="00995B29" w:rsidRPr="004F3B85" w:rsidRDefault="00995B29" w:rsidP="00D72ECE">
            <w:pPr>
              <w:spacing w:line="240" w:lineRule="auto"/>
              <w:ind w:firstLine="0"/>
              <w:jc w:val="center"/>
              <w:rPr>
                <w:sz w:val="20"/>
              </w:rPr>
            </w:pPr>
            <w:r>
              <w:rPr>
                <w:sz w:val="20"/>
              </w:rPr>
              <w:t>(9.58)</w:t>
            </w:r>
          </w:p>
        </w:tc>
      </w:tr>
    </w:tbl>
    <w:p w:rsidR="00FF501D" w:rsidRDefault="00FF501D" w:rsidP="004C4F47">
      <w:pPr>
        <w:tabs>
          <w:tab w:val="left" w:pos="9270"/>
        </w:tabs>
        <w:spacing w:after="60"/>
        <w:ind w:firstLine="0"/>
        <w:jc w:val="left"/>
        <w:rPr>
          <w:sz w:val="20"/>
          <w:szCs w:val="20"/>
        </w:rPr>
        <w:sectPr w:rsidR="00FF501D" w:rsidSect="00BA6025">
          <w:pgSz w:w="12240" w:h="15840"/>
          <w:pgMar w:top="1440" w:right="1440" w:bottom="1440" w:left="1440" w:header="576" w:footer="720" w:gutter="0"/>
          <w:cols w:space="720"/>
          <w:docGrid w:linePitch="360"/>
        </w:sectPr>
      </w:pPr>
    </w:p>
    <w:p w:rsidR="004C3913" w:rsidRDefault="004C3913" w:rsidP="00D72ECE">
      <w:pPr>
        <w:ind w:firstLine="0"/>
        <w:rPr>
          <w:b/>
          <w:u w:val="single"/>
        </w:rPr>
      </w:pPr>
    </w:p>
    <w:p w:rsidR="004C3913" w:rsidRDefault="004C3913" w:rsidP="00D72ECE">
      <w:pPr>
        <w:ind w:firstLine="0"/>
        <w:rPr>
          <w:b/>
          <w:u w:val="single"/>
        </w:rPr>
      </w:pPr>
      <w:bookmarkStart w:id="2" w:name="_GoBack"/>
      <w:bookmarkEnd w:id="2"/>
    </w:p>
    <w:p w:rsidR="004C3913" w:rsidRDefault="004C3913" w:rsidP="00D72ECE">
      <w:pPr>
        <w:ind w:firstLine="0"/>
        <w:rPr>
          <w:b/>
          <w:u w:val="single"/>
        </w:rPr>
      </w:pPr>
    </w:p>
    <w:p w:rsidR="004C3913" w:rsidRDefault="004C3913" w:rsidP="00D72ECE">
      <w:pPr>
        <w:ind w:firstLine="0"/>
        <w:rPr>
          <w:b/>
          <w:u w:val="single"/>
        </w:rPr>
      </w:pPr>
    </w:p>
    <w:p w:rsidR="0052404D" w:rsidRPr="00D12873" w:rsidRDefault="0052404D" w:rsidP="00D72ECE">
      <w:pPr>
        <w:ind w:firstLine="0"/>
        <w:rPr>
          <w:b/>
          <w:u w:val="single"/>
        </w:rPr>
      </w:pPr>
      <w:r w:rsidRPr="00D12873">
        <w:rPr>
          <w:b/>
          <w:u w:val="single"/>
        </w:rPr>
        <w:lastRenderedPageBreak/>
        <w:t>APPENDIX A: Procedure to Predict the Expected Count Values for each Census Tract</w:t>
      </w:r>
    </w:p>
    <w:p w:rsidR="0052404D" w:rsidRPr="000A4191" w:rsidRDefault="0052404D" w:rsidP="00D72ECE">
      <w:pPr>
        <w:ind w:firstLine="0"/>
        <w:contextualSpacing/>
      </w:pPr>
      <w:r w:rsidRPr="000A4191">
        <w:t xml:space="preserve">The expected value of injury count in </w:t>
      </w:r>
      <w:r w:rsidR="00725139">
        <w:t>c</w:t>
      </w:r>
      <w:r w:rsidRPr="000A4191">
        <w:t xml:space="preserve">ensus tract </w:t>
      </w:r>
      <w:r w:rsidRPr="000A4191">
        <w:rPr>
          <w:i/>
        </w:rPr>
        <w:t>q</w:t>
      </w:r>
      <w:r>
        <w:t xml:space="preserve"> for </w:t>
      </w:r>
      <w:r w:rsidRPr="000A4191">
        <w:t xml:space="preserve">injury severity level </w:t>
      </w:r>
      <w:r>
        <w:rPr>
          <w:i/>
        </w:rPr>
        <w:t>j</w:t>
      </w:r>
      <w:r w:rsidRPr="000A4191">
        <w:t xml:space="preserve"> may be written as: </w:t>
      </w:r>
    </w:p>
    <w:p w:rsidR="0052404D" w:rsidRPr="000A4191" w:rsidRDefault="00647605" w:rsidP="00D72ECE">
      <w:pPr>
        <w:tabs>
          <w:tab w:val="right" w:pos="9360"/>
        </w:tabs>
        <w:spacing w:before="120" w:after="120"/>
        <w:ind w:firstLine="0"/>
        <w:contextualSpacing/>
      </w:pPr>
      <w:r w:rsidRPr="000A4191">
        <w:rPr>
          <w:rFonts w:eastAsia="Times New Roman"/>
          <w:position w:val="-28"/>
        </w:rPr>
        <w:object w:dxaOrig="2560" w:dyaOrig="680">
          <v:shape id="_x0000_i1190" type="#_x0000_t75" style="width:128.25pt;height:33.75pt" o:ole="" o:preferrelative="f">
            <v:imagedata r:id="rId320" o:title=""/>
            <o:lock v:ext="edit" aspectratio="f"/>
          </v:shape>
          <o:OLEObject Type="Embed" ProgID="Equation.3" ShapeID="_x0000_i1190" DrawAspect="Content" ObjectID="_1555512579" r:id="rId321"/>
        </w:object>
      </w:r>
      <w:r w:rsidR="0052404D">
        <w:t xml:space="preserve"> </w:t>
      </w:r>
      <w:r w:rsidR="0052404D">
        <w:tab/>
        <w:t>(A.1</w:t>
      </w:r>
      <w:r w:rsidR="0052404D" w:rsidRPr="000A4191">
        <w:t>)</w:t>
      </w:r>
    </w:p>
    <w:p w:rsidR="0052404D" w:rsidRPr="000A4191" w:rsidRDefault="0052404D" w:rsidP="00D72ECE">
      <w:pPr>
        <w:ind w:firstLine="0"/>
        <w:contextualSpacing/>
      </w:pPr>
      <w:proofErr w:type="gramStart"/>
      <w:r w:rsidRPr="001F51EB">
        <w:t>where</w:t>
      </w:r>
      <w:proofErr w:type="gramEnd"/>
      <w:r w:rsidRPr="001F51EB">
        <w:t xml:space="preserve"> </w:t>
      </w:r>
      <w:r w:rsidR="00647605" w:rsidRPr="001F51EB">
        <w:rPr>
          <w:rFonts w:eastAsia="Times New Roman"/>
          <w:position w:val="-14"/>
        </w:rPr>
        <w:object w:dxaOrig="1060" w:dyaOrig="380">
          <v:shape id="_x0000_i1191" type="#_x0000_t75" style="width:53.25pt;height:18.75pt" o:ole="" o:preferrelative="f">
            <v:imagedata r:id="rId322" o:title=""/>
            <o:lock v:ext="edit" aspectratio="f"/>
          </v:shape>
          <o:OLEObject Type="Embed" ProgID="Equation.3" ShapeID="_x0000_i1191" DrawAspect="Content" ObjectID="_1555512580" r:id="rId323"/>
        </w:object>
      </w:r>
      <w:r w:rsidRPr="001F51EB">
        <w:t xml:space="preserve"> is the probability of occurrence of </w:t>
      </w:r>
      <w:r w:rsidRPr="001F51EB">
        <w:rPr>
          <w:i/>
        </w:rPr>
        <w:t xml:space="preserve">k </w:t>
      </w:r>
      <w:r>
        <w:t xml:space="preserve">injuries at </w:t>
      </w:r>
      <w:r w:rsidRPr="001F51EB">
        <w:t>injury severity level</w:t>
      </w:r>
      <w:r>
        <w:t xml:space="preserve"> </w:t>
      </w:r>
      <w:r>
        <w:rPr>
          <w:i/>
        </w:rPr>
        <w:t>j</w:t>
      </w:r>
      <w:r w:rsidRPr="001F51EB">
        <w:t xml:space="preserve"> in </w:t>
      </w:r>
      <w:r w:rsidR="00725139">
        <w:t>c</w:t>
      </w:r>
      <w:r w:rsidRPr="001F51EB">
        <w:t xml:space="preserve">ensus tract </w:t>
      </w:r>
      <w:r w:rsidRPr="001F51EB">
        <w:rPr>
          <w:i/>
        </w:rPr>
        <w:t>q</w:t>
      </w:r>
      <w:r w:rsidRPr="001F51EB">
        <w:t xml:space="preserve">. Although the summation in the equation above extends until infinity in our count model, we consider counts only up to </w:t>
      </w:r>
      <w:r w:rsidRPr="001F51EB">
        <w:rPr>
          <w:i/>
        </w:rPr>
        <w:t xml:space="preserve">k </w:t>
      </w:r>
      <w:r w:rsidRPr="001F51EB">
        <w:t>= 25 in our prediction procedure (this value represents the maximum</w:t>
      </w:r>
      <w:r w:rsidRPr="000A4191">
        <w:t xml:space="preserve"> count of injuries across </w:t>
      </w:r>
      <w:r w:rsidR="00725139">
        <w:t>c</w:t>
      </w:r>
      <w:r w:rsidRPr="000A4191">
        <w:t xml:space="preserve">ensus tracts </w:t>
      </w:r>
      <w:r>
        <w:t xml:space="preserve">and across </w:t>
      </w:r>
      <w:r w:rsidRPr="000A4191">
        <w:t>injury severity level</w:t>
      </w:r>
      <w:r>
        <w:t>s</w:t>
      </w:r>
      <w:r w:rsidRPr="000A4191">
        <w:t xml:space="preserve"> in the estimation sample, corresponding to the possible injury severity level for pe</w:t>
      </w:r>
      <w:r>
        <w:t>destrian injuries</w:t>
      </w:r>
      <w:r w:rsidRPr="000A4191">
        <w:t>). Beyond the count value of 25, the probabilities are very close to zero and hence do not have any significant impact on the predicted value. The expected value in Equation (</w:t>
      </w:r>
      <w:r>
        <w:t xml:space="preserve">A.1) for a tract is a function of the </w:t>
      </w:r>
      <w:r w:rsidRPr="000A4191">
        <w:t xml:space="preserve">exogenous variables for all </w:t>
      </w:r>
      <w:r w:rsidRPr="000A4191">
        <w:rPr>
          <w:i/>
        </w:rPr>
        <w:t>Q</w:t>
      </w:r>
      <w:r>
        <w:t xml:space="preserve"> </w:t>
      </w:r>
      <w:r w:rsidR="00725139">
        <w:t>c</w:t>
      </w:r>
      <w:r>
        <w:t xml:space="preserve">ensus tracts for the spatial models (but only the exogenous variables for that tract for the </w:t>
      </w:r>
      <w:proofErr w:type="spellStart"/>
      <w:r>
        <w:t>aspatial</w:t>
      </w:r>
      <w:proofErr w:type="spellEnd"/>
      <w:r>
        <w:t xml:space="preserve"> models)</w:t>
      </w:r>
      <w:r w:rsidRPr="000A4191">
        <w:t xml:space="preserve">, as well as a function of the variable vector </w:t>
      </w:r>
      <w:r w:rsidR="00647605" w:rsidRPr="000A4191">
        <w:rPr>
          <w:rFonts w:eastAsia="Times New Roman"/>
          <w:position w:val="-14"/>
        </w:rPr>
        <w:object w:dxaOrig="260" w:dyaOrig="380">
          <v:shape id="_x0000_i1192" type="#_x0000_t75" style="width:13.5pt;height:18.75pt" o:ole="" o:preferrelative="f">
            <v:imagedata r:id="rId324" o:title=""/>
            <o:lock v:ext="edit" aspectratio="f"/>
          </v:shape>
          <o:OLEObject Type="Embed" ProgID="Equation.3" ShapeID="_x0000_i1192" DrawAspect="Content" ObjectID="_1555512581" r:id="rId325"/>
        </w:object>
      </w:r>
      <w:r w:rsidRPr="000A4191">
        <w:t xml:space="preserve"> embedded </w:t>
      </w:r>
      <w:r>
        <w:t>in the thresholds in Equation (2</w:t>
      </w:r>
      <w:r w:rsidRPr="000A4191">
        <w:t>).</w:t>
      </w:r>
    </w:p>
    <w:p w:rsidR="005D6752" w:rsidRPr="00084023" w:rsidRDefault="0052404D" w:rsidP="007C759E">
      <w:pPr>
        <w:contextualSpacing/>
      </w:pPr>
      <w:r>
        <w:t xml:space="preserve">For all the models, we adopt the same approach to develop an </w:t>
      </w:r>
      <w:r w:rsidRPr="000A4191">
        <w:t xml:space="preserve">estimate </w:t>
      </w:r>
      <w:proofErr w:type="gramStart"/>
      <w:r w:rsidRPr="000A4191">
        <w:t xml:space="preserve">of </w:t>
      </w:r>
      <w:proofErr w:type="gramEnd"/>
      <w:r w:rsidR="00647605" w:rsidRPr="000A4191">
        <w:rPr>
          <w:rFonts w:eastAsia="Times New Roman"/>
          <w:position w:val="-14"/>
        </w:rPr>
        <w:object w:dxaOrig="1120" w:dyaOrig="380">
          <v:shape id="_x0000_i1193" type="#_x0000_t75" style="width:56.25pt;height:18.75pt" o:ole="" o:preferrelative="f">
            <v:imagedata r:id="rId326" o:title=""/>
            <o:lock v:ext="edit" aspectratio="f"/>
          </v:shape>
          <o:OLEObject Type="Embed" ProgID="Equation.3" ShapeID="_x0000_i1193" DrawAspect="Content" ObjectID="_1555512582" r:id="rId327"/>
        </w:object>
      </w:r>
      <w:r>
        <w:t xml:space="preserve">, even though, for some simpler models, a more customized version may be used. Specifically,  </w:t>
      </w:r>
      <w:r w:rsidRPr="000A4191">
        <w:t xml:space="preserve">we simulate the </w:t>
      </w:r>
      <w:r>
        <w:rPr>
          <w:i/>
        </w:rPr>
        <w:t>Q</w:t>
      </w:r>
      <w:r w:rsidRPr="000A4191">
        <w:rPr>
          <w:i/>
        </w:rPr>
        <w:t>J×</w:t>
      </w:r>
      <w:r w:rsidRPr="000A4191">
        <w:t>1 – vector</w:t>
      </w:r>
      <w:r w:rsidR="006D0744">
        <w:t xml:space="preserve"> </w:t>
      </w:r>
      <w:r w:rsidR="006D0744" w:rsidRPr="000A4191">
        <w:rPr>
          <w:rFonts w:eastAsia="Times New Roman"/>
          <w:position w:val="-14"/>
        </w:rPr>
        <w:object w:dxaOrig="300" w:dyaOrig="405">
          <v:shape id="_x0000_i1194" type="#_x0000_t75" style="width:15pt;height:20.25pt" o:ole="" o:preferrelative="f">
            <v:imagedata r:id="rId328" o:title=""/>
            <o:lock v:ext="edit" aspectratio="f"/>
          </v:shape>
          <o:OLEObject Type="Embed" ProgID="Equation.3" ShapeID="_x0000_i1194" DrawAspect="Content" ObjectID="_1555512583" r:id="rId329"/>
        </w:object>
      </w:r>
      <w:r>
        <w:t xml:space="preserve"> (as </w:t>
      </w:r>
      <w:r w:rsidR="006D0744" w:rsidRPr="00CB2244">
        <w:rPr>
          <w:position w:val="-14"/>
        </w:rPr>
        <w:object w:dxaOrig="1900" w:dyaOrig="400">
          <v:shape id="_x0000_i1195" type="#_x0000_t75" style="width:95.25pt;height:20.25pt" o:ole="" o:preferrelative="f">
            <v:imagedata r:id="rId330" o:title=""/>
            <o:lock v:ext="edit" aspectratio="f"/>
          </v:shape>
          <o:OLEObject Type="Embed" ProgID="Equation.3" ShapeID="_x0000_i1195" DrawAspect="Content" ObjectID="_1555512584" r:id="rId331"/>
        </w:object>
      </w:r>
      <w:r w:rsidRPr="00CB2244">
        <w:t>, where</w:t>
      </w:r>
      <w:r w:rsidR="006D0744">
        <w:t xml:space="preserve"> </w:t>
      </w:r>
      <w:r w:rsidR="006D0744" w:rsidRPr="00CB2244">
        <w:rPr>
          <w:position w:val="-6"/>
        </w:rPr>
        <w:object w:dxaOrig="900" w:dyaOrig="279">
          <v:shape id="_x0000_i1196" type="#_x0000_t75" style="width:45pt;height:13.5pt" o:ole="" o:preferrelative="f">
            <v:imagedata r:id="rId332" o:title=""/>
            <o:lock v:ext="edit" aspectratio="f"/>
          </v:shape>
          <o:OLEObject Type="Embed" ProgID="Equation.3" ShapeID="_x0000_i1196" DrawAspect="Content" ObjectID="_1555512585" r:id="rId333"/>
        </w:object>
      </w:r>
      <w:r w:rsidRPr="00CB2244">
        <w:t xml:space="preserve"> and </w:t>
      </w:r>
      <w:r w:rsidR="006D0744" w:rsidRPr="00B86406">
        <w:rPr>
          <w:position w:val="-14"/>
        </w:rPr>
        <w:object w:dxaOrig="2620" w:dyaOrig="420">
          <v:shape id="_x0000_i1197" type="#_x0000_t75" style="width:130.5pt;height:20.25pt" o:ole="" o:preferrelative="f">
            <v:imagedata r:id="rId334" o:title=""/>
            <o:lock v:ext="edit" aspectratio="f"/>
          </v:shape>
          <o:OLEObject Type="Embed" ProgID="Equation.3" ShapeID="_x0000_i1197" DrawAspect="Content" ObjectID="_1555512586" r:id="rId335"/>
        </w:object>
      </w:r>
      <w:r>
        <w:t xml:space="preserve">) </w:t>
      </w:r>
      <w:r w:rsidRPr="000A4191">
        <w:t xml:space="preserve"> five hundred times using the estimated values of</w:t>
      </w:r>
      <w:r>
        <w:t xml:space="preserve"> </w:t>
      </w:r>
      <w:r w:rsidR="006D0744" w:rsidRPr="00C1775D">
        <w:rPr>
          <w:position w:val="-10"/>
        </w:rPr>
        <w:object w:dxaOrig="260" w:dyaOrig="380">
          <v:shape id="_x0000_i1198" type="#_x0000_t75" style="width:13.5pt;height:18.75pt" o:ole="" o:preferrelative="f">
            <v:imagedata r:id="rId336" o:title=""/>
            <o:lock v:ext="edit" aspectratio="f"/>
          </v:shape>
          <o:OLEObject Type="Embed" ProgID="Equation.3" ShapeID="_x0000_i1198" DrawAspect="Content" ObjectID="_1555512587" r:id="rId337"/>
        </w:object>
      </w:r>
      <w:r w:rsidR="006D0744">
        <w:t xml:space="preserve"> </w:t>
      </w:r>
      <w:r w:rsidRPr="000A4191">
        <w:rPr>
          <w:b/>
          <w:i/>
        </w:rPr>
        <w:t>b</w:t>
      </w:r>
      <w:r w:rsidRPr="000A4191">
        <w:t xml:space="preserve">, and </w:t>
      </w:r>
      <w:r>
        <w:t xml:space="preserve">the covariance matrix </w:t>
      </w:r>
      <w:r w:rsidRPr="00340283">
        <w:rPr>
          <w:position w:val="-4"/>
        </w:rPr>
        <w:object w:dxaOrig="220" w:dyaOrig="260">
          <v:shape id="_x0000_i1199" type="#_x0000_t75" style="width:10.5pt;height:13.5pt" o:ole="">
            <v:imagedata r:id="rId338" o:title=""/>
          </v:shape>
          <o:OLEObject Type="Embed" ProgID="Equation.3" ShapeID="_x0000_i1199" DrawAspect="Content" ObjectID="_1555512588" r:id="rId339"/>
        </w:object>
      </w:r>
      <w:r>
        <w:t xml:space="preserve"> of</w:t>
      </w:r>
      <w:r w:rsidRPr="0031218E">
        <w:t xml:space="preserve"> </w:t>
      </w:r>
      <w:r w:rsidR="006D0744" w:rsidRPr="00C1775D">
        <w:rPr>
          <w:position w:val="-10"/>
        </w:rPr>
        <w:object w:dxaOrig="300" w:dyaOrig="380">
          <v:shape id="_x0000_i1200" type="#_x0000_t75" style="width:15pt;height:18.75pt" o:ole="" o:preferrelative="f">
            <v:imagedata r:id="rId340" o:title=""/>
            <o:lock v:ext="edit" aspectratio="f"/>
          </v:shape>
          <o:OLEObject Type="Embed" ProgID="Equation.3" ShapeID="_x0000_i1200" DrawAspect="Content" ObjectID="_1555512589" r:id="rId341"/>
        </w:object>
      </w:r>
      <w:r w:rsidRPr="000A4191">
        <w:t xml:space="preserve"> Subsequently, we compa</w:t>
      </w:r>
      <w:r>
        <w:t>re each of the 5</w:t>
      </w:r>
      <w:r w:rsidRPr="000A4191">
        <w:t xml:space="preserve">00 draws of the </w:t>
      </w:r>
      <w:r w:rsidRPr="000A4191">
        <w:rPr>
          <w:rFonts w:eastAsia="Times New Roman"/>
          <w:position w:val="-10"/>
        </w:rPr>
        <w:object w:dxaOrig="345" w:dyaOrig="360">
          <v:shape id="_x0000_i1201" type="#_x0000_t75" style="width:16.5pt;height:16.5pt" o:ole="">
            <v:imagedata r:id="rId342" o:title=""/>
          </v:shape>
          <o:OLEObject Type="Embed" ProgID="Equation.3" ShapeID="_x0000_i1201" DrawAspect="Content" ObjectID="_1555512590" r:id="rId343"/>
        </w:object>
      </w:r>
      <w:r w:rsidRPr="000A4191">
        <w:t xml:space="preserve"> element of </w:t>
      </w:r>
      <w:r w:rsidR="006D0744" w:rsidRPr="000A4191">
        <w:rPr>
          <w:rFonts w:eastAsia="Times New Roman"/>
          <w:position w:val="-14"/>
        </w:rPr>
        <w:object w:dxaOrig="300" w:dyaOrig="405">
          <v:shape id="_x0000_i1202" type="#_x0000_t75" style="width:15pt;height:20.25pt" o:ole="" o:preferrelative="f">
            <v:imagedata r:id="rId344" o:title=""/>
            <o:lock v:ext="edit" aspectratio="f"/>
          </v:shape>
          <o:OLEObject Type="Embed" ProgID="Equation.3" ShapeID="_x0000_i1202" DrawAspect="Content" ObjectID="_1555512591" r:id="rId345"/>
        </w:object>
      </w:r>
      <w:r w:rsidRPr="000A4191">
        <w:t xml:space="preserve">with the corresponding thresholds </w:t>
      </w:r>
      <w:r>
        <w:t xml:space="preserve">(estimated from Equation (2), after obtaining estimates of the </w:t>
      </w:r>
      <w:r w:rsidR="006D0744" w:rsidRPr="00340283">
        <w:rPr>
          <w:position w:val="-10"/>
        </w:rPr>
        <w:object w:dxaOrig="840" w:dyaOrig="320">
          <v:shape id="_x0000_i1203" type="#_x0000_t75" style="width:42pt;height:16.5pt" o:ole="" o:preferrelative="f">
            <v:imagedata r:id="rId346" o:title=""/>
            <o:lock v:ext="edit" aspectratio="f"/>
          </v:shape>
          <o:OLEObject Type="Embed" ProgID="Equation.3" ShapeID="_x0000_i1203" DrawAspect="Content" ObjectID="_1555512592" r:id="rId347"/>
        </w:object>
      </w:r>
      <w:r w:rsidR="006D0744">
        <w:t xml:space="preserve"> </w:t>
      </w:r>
      <w:r>
        <w:t>vectors)</w:t>
      </w:r>
      <w:r w:rsidRPr="000A4191">
        <w:t xml:space="preserve">, and assign the count value for each of the 500 draws based on this </w:t>
      </w:r>
      <w:r>
        <w:t>c</w:t>
      </w:r>
      <w:r w:rsidRPr="000A4191">
        <w:t xml:space="preserve">omparison. The share of each count </w:t>
      </w:r>
      <w:r>
        <w:t>prediction is taken across the 5</w:t>
      </w:r>
      <w:r w:rsidRPr="000A4191">
        <w:t>00 draws to estimate</w:t>
      </w:r>
      <w:r w:rsidR="006D0744" w:rsidRPr="000A4191">
        <w:rPr>
          <w:rFonts w:eastAsia="Times New Roman"/>
          <w:position w:val="-14"/>
        </w:rPr>
        <w:object w:dxaOrig="1060" w:dyaOrig="380">
          <v:shape id="_x0000_i1204" type="#_x0000_t75" style="width:53.25pt;height:18.75pt" o:ole="" o:preferrelative="f">
            <v:imagedata r:id="rId348" o:title=""/>
            <o:lock v:ext="edit" aspectratio="f"/>
          </v:shape>
          <o:OLEObject Type="Embed" ProgID="Equation.3" ShapeID="_x0000_i1204" DrawAspect="Content" ObjectID="_1555512593" r:id="rId349"/>
        </w:object>
      </w:r>
      <w:r w:rsidRPr="000A4191">
        <w:t>.</w:t>
      </w:r>
      <w:r w:rsidRPr="000A4191">
        <w:rPr>
          <w:rStyle w:val="FootnoteReference"/>
        </w:rPr>
        <w:footnoteReference w:id="14"/>
      </w:r>
      <w:r w:rsidR="007C759E">
        <w:t xml:space="preserve"> </w:t>
      </w:r>
    </w:p>
    <w:sectPr w:rsidR="005D6752" w:rsidRPr="00084023" w:rsidSect="00BA602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7A4" w:rsidRDefault="007817A4" w:rsidP="00691CF7">
      <w:r>
        <w:separator/>
      </w:r>
    </w:p>
  </w:endnote>
  <w:endnote w:type="continuationSeparator" w:id="0">
    <w:p w:rsidR="007817A4" w:rsidRDefault="007817A4" w:rsidP="00691CF7">
      <w:r>
        <w:continuationSeparator/>
      </w:r>
    </w:p>
  </w:endnote>
  <w:endnote w:type="continuationNotice" w:id="1">
    <w:p w:rsidR="007817A4" w:rsidRDefault="007817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8EB" w:rsidRDefault="00D628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579331"/>
      <w:docPartObj>
        <w:docPartGallery w:val="Page Numbers (Bottom of Page)"/>
        <w:docPartUnique/>
      </w:docPartObj>
    </w:sdtPr>
    <w:sdtEndPr>
      <w:rPr>
        <w:noProof/>
        <w:sz w:val="24"/>
        <w:szCs w:val="24"/>
      </w:rPr>
    </w:sdtEndPr>
    <w:sdtContent>
      <w:p w:rsidR="00D628EB" w:rsidRPr="00CF5A9A" w:rsidRDefault="00D628EB" w:rsidP="00060B72">
        <w:pPr>
          <w:pStyle w:val="Footer"/>
          <w:jc w:val="center"/>
          <w:rPr>
            <w:sz w:val="24"/>
            <w:szCs w:val="24"/>
          </w:rPr>
        </w:pPr>
        <w:r w:rsidRPr="00CF5A9A">
          <w:rPr>
            <w:sz w:val="24"/>
            <w:szCs w:val="24"/>
          </w:rPr>
          <w:fldChar w:fldCharType="begin"/>
        </w:r>
        <w:r w:rsidRPr="00CF5A9A">
          <w:rPr>
            <w:sz w:val="24"/>
            <w:szCs w:val="24"/>
          </w:rPr>
          <w:instrText xml:space="preserve"> PAGE   \* MERGEFORMAT </w:instrText>
        </w:r>
        <w:r w:rsidRPr="00CF5A9A">
          <w:rPr>
            <w:sz w:val="24"/>
            <w:szCs w:val="24"/>
          </w:rPr>
          <w:fldChar w:fldCharType="separate"/>
        </w:r>
        <w:r w:rsidR="00BA6025">
          <w:rPr>
            <w:noProof/>
            <w:sz w:val="24"/>
            <w:szCs w:val="24"/>
          </w:rPr>
          <w:t>19</w:t>
        </w:r>
        <w:r w:rsidRPr="00CF5A9A">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7A4" w:rsidRDefault="007817A4" w:rsidP="00691CF7">
      <w:r>
        <w:separator/>
      </w:r>
    </w:p>
  </w:footnote>
  <w:footnote w:type="continuationSeparator" w:id="0">
    <w:p w:rsidR="007817A4" w:rsidRDefault="007817A4" w:rsidP="00691CF7">
      <w:r>
        <w:continuationSeparator/>
      </w:r>
    </w:p>
  </w:footnote>
  <w:footnote w:type="continuationNotice" w:id="1">
    <w:p w:rsidR="007817A4" w:rsidRDefault="007817A4">
      <w:pPr>
        <w:spacing w:line="240" w:lineRule="auto"/>
      </w:pPr>
    </w:p>
  </w:footnote>
  <w:footnote w:id="2">
    <w:p w:rsidR="00D628EB" w:rsidRPr="00BF6017" w:rsidRDefault="00D628EB" w:rsidP="00647A97">
      <w:pPr>
        <w:pStyle w:val="Footer"/>
        <w:rPr>
          <w:lang w:val="en-US"/>
        </w:rPr>
      </w:pPr>
      <w:r>
        <w:rPr>
          <w:rStyle w:val="FootnoteReference"/>
        </w:rPr>
        <w:footnoteRef/>
      </w:r>
      <w:r w:rsidR="0070440D">
        <w:rPr>
          <w:lang w:val="en-US"/>
        </w:rPr>
        <w:t xml:space="preserve"> </w:t>
      </w:r>
      <w:r w:rsidRPr="00BF6017">
        <w:t xml:space="preserve">Crash data include information on the individuals who are hurt and the level of injury sustained by each individual (typically in such categories as no injury, possible injury, non-incapacitating injury, incapacitating injury, and fatal injury). At an aggregate level of a </w:t>
      </w:r>
      <w:r>
        <w:rPr>
          <w:lang w:val="en-US"/>
        </w:rPr>
        <w:t>c</w:t>
      </w:r>
      <w:proofErr w:type="spellStart"/>
      <w:r w:rsidRPr="00BF6017">
        <w:t>ensus</w:t>
      </w:r>
      <w:proofErr w:type="spellEnd"/>
      <w:r w:rsidRPr="00BF6017">
        <w:t xml:space="preserve"> tract, one can then obtain, over a specific time period, the number of pedestrians involved in traffic crashes by injury severity level.  </w:t>
      </w:r>
    </w:p>
  </w:footnote>
  <w:footnote w:id="3">
    <w:p w:rsidR="00D628EB" w:rsidRPr="008159D4" w:rsidRDefault="00D628EB" w:rsidP="008159D4">
      <w:pPr>
        <w:pStyle w:val="FootnoteText"/>
        <w:spacing w:line="240" w:lineRule="auto"/>
        <w:ind w:firstLine="0"/>
        <w:rPr>
          <w:lang w:val="en-US"/>
        </w:rPr>
      </w:pPr>
      <w:r>
        <w:rPr>
          <w:rStyle w:val="FootnoteReference"/>
        </w:rPr>
        <w:footnoteRef/>
      </w:r>
      <w:r>
        <w:rPr>
          <w:lang w:val="en-US"/>
        </w:rPr>
        <w:t xml:space="preserve"> Two recent studies do accommodate covariance across random parameters in a flexible latent class setting; </w:t>
      </w:r>
      <w:r>
        <w:t xml:space="preserve">see </w:t>
      </w:r>
      <w:proofErr w:type="spellStart"/>
      <w:r>
        <w:t>Buddhavarapu</w:t>
      </w:r>
      <w:proofErr w:type="spellEnd"/>
      <w:r>
        <w:t xml:space="preserve"> et al.</w:t>
      </w:r>
      <w:r>
        <w:rPr>
          <w:lang w:val="en-US"/>
        </w:rPr>
        <w:t xml:space="preserve"> (</w:t>
      </w:r>
      <w:r>
        <w:t>2016</w:t>
      </w:r>
      <w:r>
        <w:rPr>
          <w:lang w:val="en-US"/>
        </w:rPr>
        <w:t>)</w:t>
      </w:r>
      <w:r>
        <w:t xml:space="preserve"> and </w:t>
      </w:r>
      <w:proofErr w:type="spellStart"/>
      <w:r>
        <w:t>Heydari</w:t>
      </w:r>
      <w:proofErr w:type="spellEnd"/>
      <w:r>
        <w:t xml:space="preserve"> et al.</w:t>
      </w:r>
      <w:r>
        <w:rPr>
          <w:lang w:val="en-US"/>
        </w:rPr>
        <w:t xml:space="preserve"> (</w:t>
      </w:r>
      <w:r>
        <w:t>2017</w:t>
      </w:r>
      <w:r>
        <w:rPr>
          <w:lang w:val="en-US"/>
        </w:rPr>
        <w:t xml:space="preserve">). </w:t>
      </w:r>
      <w:r>
        <w:t xml:space="preserve"> </w:t>
      </w:r>
      <w:r>
        <w:rPr>
          <w:lang w:val="en-US"/>
        </w:rPr>
        <w:t xml:space="preserve">The first study is, however, a univariate model, and the second, like Anastasopoulos (2016), does not </w:t>
      </w:r>
      <w:r>
        <w:t>consider spatial dependence as we do in the current paper.</w:t>
      </w:r>
    </w:p>
  </w:footnote>
  <w:footnote w:id="4">
    <w:p w:rsidR="00D628EB" w:rsidRPr="00BF6017" w:rsidRDefault="00D628EB" w:rsidP="00821161">
      <w:pPr>
        <w:pStyle w:val="Default"/>
        <w:jc w:val="both"/>
        <w:rPr>
          <w:rFonts w:ascii="Times New Roman" w:hAnsi="Times New Roman" w:cs="Times New Roman"/>
          <w:sz w:val="20"/>
          <w:szCs w:val="20"/>
        </w:rPr>
      </w:pPr>
      <w:r w:rsidRPr="00BF6017">
        <w:rPr>
          <w:rStyle w:val="FootnoteReference"/>
          <w:rFonts w:ascii="Times New Roman" w:hAnsi="Times New Roman" w:cs="Times New Roman"/>
          <w:sz w:val="20"/>
          <w:szCs w:val="20"/>
        </w:rPr>
        <w:footnoteRef/>
      </w:r>
      <w:r w:rsidRPr="00BF6017">
        <w:rPr>
          <w:rFonts w:ascii="Times New Roman" w:hAnsi="Times New Roman" w:cs="Times New Roman"/>
          <w:sz w:val="20"/>
          <w:szCs w:val="20"/>
        </w:rPr>
        <w:t>As indicated by Bhat (2015</w:t>
      </w:r>
      <w:r>
        <w:rPr>
          <w:rFonts w:ascii="Times New Roman" w:hAnsi="Times New Roman" w:cs="Times New Roman"/>
          <w:sz w:val="20"/>
          <w:szCs w:val="20"/>
        </w:rPr>
        <w:t>a</w:t>
      </w:r>
      <w:r w:rsidRPr="00BF6017">
        <w:rPr>
          <w:rFonts w:ascii="Times New Roman" w:hAnsi="Times New Roman" w:cs="Times New Roman"/>
          <w:sz w:val="20"/>
          <w:szCs w:val="20"/>
        </w:rPr>
        <w:t xml:space="preserve">), in the spatial literature, the so-called “spatial drift” effects have typically been incorporated using the geographically weighted regression (GWR) approach of </w:t>
      </w:r>
      <w:proofErr w:type="spellStart"/>
      <w:r w:rsidRPr="002A1750">
        <w:rPr>
          <w:rFonts w:ascii="Times New Roman" w:hAnsi="Times New Roman" w:cs="Times New Roman"/>
          <w:sz w:val="20"/>
          <w:szCs w:val="20"/>
        </w:rPr>
        <w:t>Brunsdon</w:t>
      </w:r>
      <w:proofErr w:type="spellEnd"/>
      <w:r w:rsidRPr="002A1750">
        <w:rPr>
          <w:rFonts w:ascii="Times New Roman" w:hAnsi="Times New Roman" w:cs="Times New Roman"/>
          <w:sz w:val="20"/>
          <w:szCs w:val="20"/>
        </w:rPr>
        <w:t xml:space="preserve"> </w:t>
      </w:r>
      <w:r w:rsidRPr="00C7214B">
        <w:rPr>
          <w:rFonts w:ascii="Times New Roman" w:hAnsi="Times New Roman" w:cs="Times New Roman"/>
          <w:sz w:val="20"/>
          <w:szCs w:val="20"/>
        </w:rPr>
        <w:t>et al</w:t>
      </w:r>
      <w:r w:rsidRPr="00947C1B">
        <w:rPr>
          <w:rFonts w:ascii="Times New Roman" w:hAnsi="Times New Roman" w:cs="Times New Roman"/>
          <w:sz w:val="20"/>
          <w:szCs w:val="20"/>
        </w:rPr>
        <w:t>.</w:t>
      </w:r>
      <w:r w:rsidRPr="002A1750">
        <w:rPr>
          <w:rFonts w:ascii="Times New Roman" w:hAnsi="Times New Roman" w:cs="Times New Roman"/>
          <w:sz w:val="20"/>
          <w:szCs w:val="20"/>
        </w:rPr>
        <w:t xml:space="preserve"> (1998).</w:t>
      </w:r>
      <w:r w:rsidRPr="00BF6017">
        <w:rPr>
          <w:rFonts w:ascii="Times New Roman" w:hAnsi="Times New Roman" w:cs="Times New Roman"/>
          <w:sz w:val="20"/>
          <w:szCs w:val="20"/>
        </w:rPr>
        <w:t xml:space="preserve"> For recent application</w:t>
      </w:r>
      <w:r>
        <w:rPr>
          <w:rFonts w:ascii="Times New Roman" w:hAnsi="Times New Roman" w:cs="Times New Roman"/>
          <w:sz w:val="20"/>
          <w:szCs w:val="20"/>
        </w:rPr>
        <w:t>s</w:t>
      </w:r>
      <w:r w:rsidRPr="00BF6017">
        <w:rPr>
          <w:rFonts w:ascii="Times New Roman" w:hAnsi="Times New Roman" w:cs="Times New Roman"/>
          <w:sz w:val="20"/>
          <w:szCs w:val="20"/>
        </w:rPr>
        <w:t xml:space="preserve"> of GWR in the crash literature, see </w:t>
      </w:r>
      <w:r w:rsidRPr="005B6B28">
        <w:rPr>
          <w:rFonts w:ascii="Times New Roman" w:hAnsi="Times New Roman" w:cs="Times New Roman"/>
          <w:sz w:val="20"/>
          <w:szCs w:val="20"/>
        </w:rPr>
        <w:t>Xu and Huang</w:t>
      </w:r>
      <w:r w:rsidRPr="00BF6017">
        <w:rPr>
          <w:rFonts w:ascii="Times New Roman" w:hAnsi="Times New Roman" w:cs="Times New Roman"/>
          <w:sz w:val="20"/>
          <w:szCs w:val="20"/>
        </w:rPr>
        <w:t xml:space="preserve"> (2015)</w:t>
      </w:r>
      <w:r>
        <w:rPr>
          <w:rFonts w:ascii="Times New Roman" w:hAnsi="Times New Roman" w:cs="Times New Roman"/>
          <w:sz w:val="20"/>
          <w:szCs w:val="20"/>
        </w:rPr>
        <w:t xml:space="preserve"> and </w:t>
      </w:r>
      <w:proofErr w:type="spellStart"/>
      <w:r>
        <w:rPr>
          <w:rFonts w:ascii="Times New Roman" w:hAnsi="Times New Roman" w:cs="Times New Roman"/>
          <w:sz w:val="20"/>
          <w:szCs w:val="20"/>
        </w:rPr>
        <w:t>Amoh-Gyimah</w:t>
      </w:r>
      <w:proofErr w:type="spellEnd"/>
      <w:r>
        <w:rPr>
          <w:rFonts w:ascii="Times New Roman" w:hAnsi="Times New Roman" w:cs="Times New Roman"/>
          <w:sz w:val="20"/>
          <w:szCs w:val="20"/>
        </w:rPr>
        <w:t xml:space="preserve"> et al. (2017)</w:t>
      </w:r>
      <w:r w:rsidRPr="00BF6017">
        <w:rPr>
          <w:rFonts w:ascii="Times New Roman" w:hAnsi="Times New Roman" w:cs="Times New Roman"/>
          <w:sz w:val="20"/>
          <w:szCs w:val="20"/>
        </w:rPr>
        <w:t>. The GWR approach, however, is relatively exploratory in nature compared to our approach. Besides, the GWR approach essentially allows spatial variations in the regression coefficients based on observed exogenous variables, by allowing variable coefficients at a point to be a function of exogenous attributes at that point and exogenous attributes at proximally located points. That is, the GWR engenders spatial heterogeneity due to varying exogenous attributes over space, while also capturing spatial dependence through the recognition of exogenous attributes within a certain proximal space. But it fundamentally and completely ignores the presence of unobserved location attributes that impact the effects of exogenous variables</w:t>
      </w:r>
      <w:r>
        <w:rPr>
          <w:rFonts w:ascii="Times New Roman" w:hAnsi="Times New Roman" w:cs="Times New Roman"/>
          <w:sz w:val="20"/>
          <w:szCs w:val="20"/>
        </w:rPr>
        <w:t>,</w:t>
      </w:r>
      <w:r w:rsidRPr="00BF6017">
        <w:rPr>
          <w:rFonts w:ascii="Times New Roman" w:hAnsi="Times New Roman" w:cs="Times New Roman"/>
          <w:sz w:val="20"/>
          <w:szCs w:val="20"/>
        </w:rPr>
        <w:t xml:space="preserve"> and also ignores the spatial dependence in this unobserved location heterogeneity. Our approach is conceptually more general in that it allows spatial heterogeneity, as well as spatial dependence, in the effects of both observed as well as unobserved factors. Additionally, even within the context of observed variable effects, our approach enables the direct and immediate disentangling of the effect of a variable at a point in space (direct parameter effect) from the effects of the corresponding variable values at proximal points in spaces (spatial spillover or indirect effects), while the GWR essentially combines the two into a single effect. One final issue regarding terminology, because the term “spatial drift” is used in different ways in the literature. We will specifically use the term “spatial drift” in the rest of this paper to refer to the spatial dependence pattern among unobserved effects of variables, </w:t>
      </w:r>
      <w:r>
        <w:rPr>
          <w:rFonts w:ascii="Times New Roman" w:hAnsi="Times New Roman" w:cs="Times New Roman"/>
          <w:sz w:val="20"/>
          <w:szCs w:val="20"/>
        </w:rPr>
        <w:t>while reserving</w:t>
      </w:r>
      <w:r w:rsidRPr="00BF6017">
        <w:rPr>
          <w:rFonts w:ascii="Times New Roman" w:hAnsi="Times New Roman" w:cs="Times New Roman"/>
          <w:sz w:val="20"/>
          <w:szCs w:val="20"/>
        </w:rPr>
        <w:t xml:space="preserve"> the term “spatial spillover” to refer to the spatial dependence caused by the effects of observed variables characterizing proximally located spatial units. In this terminology, the GWR accommodates “spatial spillover” (even though it combines this effect with the direct parameter effect), while the GWR actually ignores the “spatial drift” effect. The CAR and SAR structures ignore both the spatial spillover as well as spatial drift effects.  </w:t>
      </w:r>
    </w:p>
  </w:footnote>
  <w:footnote w:id="5">
    <w:p w:rsidR="00D628EB" w:rsidRDefault="00D628EB" w:rsidP="003354F1">
      <w:pPr>
        <w:pStyle w:val="FootnoteText"/>
        <w:spacing w:line="240" w:lineRule="auto"/>
        <w:ind w:firstLine="0"/>
      </w:pPr>
      <w:r w:rsidRPr="00CD7BDA">
        <w:rPr>
          <w:rStyle w:val="FootnoteReference"/>
        </w:rPr>
        <w:footnoteRef/>
      </w:r>
      <w:r w:rsidRPr="00CD7BDA">
        <w:t xml:space="preserve"> Some explanatory variables may not</w:t>
      </w:r>
      <w:r>
        <w:t xml:space="preserve"> be important for </w:t>
      </w:r>
      <w:r>
        <w:rPr>
          <w:lang w:val="en-US"/>
        </w:rPr>
        <w:t xml:space="preserve">a </w:t>
      </w:r>
      <w:r>
        <w:t xml:space="preserve">specific </w:t>
      </w:r>
      <w:r>
        <w:rPr>
          <w:lang w:val="en-US"/>
        </w:rPr>
        <w:t>injury type</w:t>
      </w:r>
      <w:r>
        <w:t xml:space="preserve"> </w:t>
      </w:r>
      <w:r w:rsidRPr="008159D4">
        <w:rPr>
          <w:i/>
        </w:rPr>
        <w:t>j</w:t>
      </w:r>
      <w:r w:rsidRPr="00CD7BDA">
        <w:t>. This situation is accommodated within our notation system by letting the corresponding elements in the vector</w:t>
      </w:r>
      <w:r>
        <w:rPr>
          <w:lang w:val="en-US"/>
        </w:rPr>
        <w:t xml:space="preserve"> </w:t>
      </w:r>
      <w:r w:rsidRPr="00647A97">
        <w:rPr>
          <w:b/>
          <w:i/>
          <w:lang w:val="en-US"/>
        </w:rPr>
        <w:t>β</w:t>
      </w:r>
      <w:proofErr w:type="spellStart"/>
      <w:r w:rsidRPr="00647A97">
        <w:rPr>
          <w:i/>
          <w:position w:val="-2"/>
          <w:vertAlign w:val="subscript"/>
          <w:lang w:val="en-US"/>
        </w:rPr>
        <w:t>qj</w:t>
      </w:r>
      <w:proofErr w:type="spellEnd"/>
      <w:r>
        <w:rPr>
          <w:lang w:val="en-US"/>
        </w:rPr>
        <w:t xml:space="preserve"> </w:t>
      </w:r>
      <w:r w:rsidRPr="00CD7BDA">
        <w:t xml:space="preserve">be equal to zero. </w:t>
      </w:r>
    </w:p>
  </w:footnote>
  <w:footnote w:id="6">
    <w:p w:rsidR="00D628EB" w:rsidRPr="00D72ECE" w:rsidRDefault="00D628EB" w:rsidP="005B1DF1">
      <w:pPr>
        <w:pStyle w:val="FootnoteText"/>
        <w:spacing w:line="240" w:lineRule="auto"/>
        <w:ind w:firstLine="0"/>
        <w:rPr>
          <w:lang w:val="en-US"/>
        </w:rPr>
      </w:pPr>
      <w:r>
        <w:rPr>
          <w:rStyle w:val="FootnoteReference"/>
        </w:rPr>
        <w:footnoteRef/>
      </w:r>
      <w:r>
        <w:rPr>
          <w:lang w:val="en-US"/>
        </w:rPr>
        <w:t xml:space="preserve"> </w:t>
      </w:r>
      <w:bookmarkStart w:id="0" w:name="_Hlk481056606"/>
      <w:r>
        <w:rPr>
          <w:lang w:val="en-US"/>
        </w:rPr>
        <w:t xml:space="preserve">We also attempted to estimate models that used a threshold structure in Equation (2) that adds a parameter that serves the same purpose as the dispersion parameter (in a traditional negative binomial count or NBC model) in the spirit of capturing additional overall unobserved heterogeneity. This more general structure, when combined with the many assumptions just stated (including imposing the restriction of no unobserved heterogeneity in the </w:t>
      </w:r>
      <w:r w:rsidRPr="00647A97">
        <w:rPr>
          <w:b/>
          <w:i/>
          <w:lang w:val="en-US"/>
        </w:rPr>
        <w:t>β</w:t>
      </w:r>
      <w:proofErr w:type="spellStart"/>
      <w:r w:rsidRPr="00647A97">
        <w:rPr>
          <w:i/>
          <w:position w:val="-2"/>
          <w:vertAlign w:val="subscript"/>
          <w:lang w:val="en-US"/>
        </w:rPr>
        <w:t>qj</w:t>
      </w:r>
      <w:proofErr w:type="spellEnd"/>
      <w:r>
        <w:rPr>
          <w:lang w:val="en-US"/>
        </w:rPr>
        <w:t xml:space="preserve"> coefficients on exogenous variables), would collapse to a traditional NBC model for each crash type (see Bhat, 2015b and Bhat et al., 2014b, 2016 for such formulations for the threshold). However, in our empirical results, this additional parameter in the threshold became very large for each (and all) crash types and resulted in estimation instability as soon as we incorporated unobserved heterogeneity in the effects of exogenous variables through the </w:t>
      </w:r>
      <w:r w:rsidRPr="00647A97">
        <w:rPr>
          <w:b/>
          <w:i/>
          <w:lang w:val="en-US"/>
        </w:rPr>
        <w:t>β</w:t>
      </w:r>
      <w:proofErr w:type="spellStart"/>
      <w:r w:rsidRPr="00647A97">
        <w:rPr>
          <w:i/>
          <w:position w:val="-2"/>
          <w:vertAlign w:val="subscript"/>
          <w:lang w:val="en-US"/>
        </w:rPr>
        <w:t>qj</w:t>
      </w:r>
      <w:proofErr w:type="spellEnd"/>
      <w:r>
        <w:rPr>
          <w:lang w:val="en-US"/>
        </w:rPr>
        <w:t xml:space="preserve"> coefficients (when the parameter tends to infinity in our formulation, the threshold specification collapses to that used in Equation (2); in the more simple traditional context, this would be the same as the NBC model collapsing to the Poisson model). The implication is that our random coefficients specification for </w:t>
      </w:r>
      <w:r w:rsidR="009E30C8" w:rsidRPr="00647A97">
        <w:rPr>
          <w:b/>
          <w:i/>
          <w:lang w:val="en-US"/>
        </w:rPr>
        <w:t>β</w:t>
      </w:r>
      <w:proofErr w:type="spellStart"/>
      <w:r w:rsidR="009E30C8" w:rsidRPr="00647A97">
        <w:rPr>
          <w:i/>
          <w:position w:val="-2"/>
          <w:vertAlign w:val="subscript"/>
          <w:lang w:val="en-US"/>
        </w:rPr>
        <w:t>qj</w:t>
      </w:r>
      <w:proofErr w:type="spellEnd"/>
      <w:r w:rsidR="009E30C8">
        <w:rPr>
          <w:lang w:val="en-US"/>
        </w:rPr>
        <w:t xml:space="preserve"> </w:t>
      </w:r>
      <w:r>
        <w:rPr>
          <w:lang w:val="en-US"/>
        </w:rPr>
        <w:t xml:space="preserve">already captures unobserved heterogeneity that otherwise would manifest itself in the additional parameter in the generalized variant of Equation (2). Thus, we have chosen to present the model structure with the simpler notation of Equation (2) to streamline the presentation and focus on other substantial methodological enhancements. However, this should not detract from the flexibility of the model presented here, which can potentially include another dispersion-related term in Equation (2). At the same time, our results here also suggest that the traditional negative binomial model specification used in many empirical contexts may actually be a </w:t>
      </w:r>
      <w:proofErr w:type="spellStart"/>
      <w:r>
        <w:rPr>
          <w:lang w:val="en-US"/>
        </w:rPr>
        <w:t>mis</w:t>
      </w:r>
      <w:proofErr w:type="spellEnd"/>
      <w:r>
        <w:rPr>
          <w:lang w:val="en-US"/>
        </w:rPr>
        <w:t xml:space="preserve">-specification because it may simply be capturing the ignored heterogeneity in the effects of exogenous variables and thrusting all these relevant sensitivity variations to exogenous variables into a single composite “misleading” heterogeneity term. Also to be noted is that, in addition to associating unobserved heterogeneity to individual exogenous variables, our model framework has a separate mechanism (through the </w:t>
      </w:r>
      <w:r w:rsidR="009E30C8" w:rsidRPr="008D374A">
        <w:rPr>
          <w:position w:val="-16"/>
        </w:rPr>
        <w:object w:dxaOrig="520" w:dyaOrig="400">
          <v:shape id="_x0000_i1206" type="#_x0000_t75" style="width:22.5pt;height:17.25pt" o:ole="">
            <v:imagedata r:id="rId1" o:title=""/>
          </v:shape>
          <o:OLEObject Type="Embed" ProgID="Equation.3" ShapeID="_x0000_i1206" DrawAspect="Content" ObjectID="_1555512594" r:id="rId2"/>
        </w:object>
      </w:r>
      <w:r>
        <w:rPr>
          <w:lang w:val="en-US"/>
        </w:rPr>
        <w:t xml:space="preserve">parameters) to accommodate “spikes” at specific count values. </w:t>
      </w:r>
    </w:p>
    <w:bookmarkEnd w:id="0"/>
  </w:footnote>
  <w:footnote w:id="7">
    <w:p w:rsidR="00D628EB" w:rsidRPr="003354F1" w:rsidRDefault="00D628EB" w:rsidP="00BF6017">
      <w:pPr>
        <w:pStyle w:val="FootnoteText"/>
        <w:spacing w:line="240" w:lineRule="auto"/>
        <w:ind w:firstLine="0"/>
        <w:rPr>
          <w:lang w:val="en-US"/>
        </w:rPr>
      </w:pPr>
      <w:r w:rsidRPr="003354F1">
        <w:rPr>
          <w:rStyle w:val="FootnoteReference"/>
        </w:rPr>
        <w:footnoteRef/>
      </w:r>
      <w:r>
        <w:rPr>
          <w:lang w:val="en-US"/>
        </w:rPr>
        <w:t xml:space="preserve"> </w:t>
      </w:r>
      <w:r w:rsidRPr="003354F1">
        <w:rPr>
          <w:lang w:val="en-US"/>
        </w:rPr>
        <w:t>The traditional SAR model (and an analog to the CAR model) is obtained when the</w:t>
      </w:r>
      <w:r>
        <w:rPr>
          <w:lang w:val="en-US"/>
        </w:rPr>
        <w:t xml:space="preserve"> </w:t>
      </w:r>
      <w:r w:rsidRPr="00647A97">
        <w:rPr>
          <w:b/>
          <w:lang w:val="en-US"/>
        </w:rPr>
        <w:t xml:space="preserve">C </w:t>
      </w:r>
      <w:r w:rsidRPr="003354F1">
        <w:rPr>
          <w:lang w:val="en-US"/>
        </w:rPr>
        <w:t xml:space="preserve">matrix is applied only to the second term, as in </w:t>
      </w:r>
      <w:r w:rsidR="009E30C8" w:rsidRPr="003354F1">
        <w:rPr>
          <w:position w:val="-10"/>
        </w:rPr>
        <w:object w:dxaOrig="1520" w:dyaOrig="380">
          <v:shape id="_x0000_i1208" type="#_x0000_t75" style="width:65.25pt;height:15.75pt" o:ole="" o:preferrelative="f">
            <v:imagedata r:id="rId3" o:title=""/>
          </v:shape>
          <o:OLEObject Type="Embed" ProgID="Equation.3" ShapeID="_x0000_i1208" DrawAspect="Content" ObjectID="_1555512595" r:id="rId4"/>
        </w:object>
      </w:r>
      <w:r w:rsidRPr="003354F1">
        <w:rPr>
          <w:lang w:val="en-US"/>
        </w:rPr>
        <w:t xml:space="preserve"> combined with the </w:t>
      </w:r>
      <w:r w:rsidR="009E30C8" w:rsidRPr="003354F1">
        <w:rPr>
          <w:position w:val="-6"/>
        </w:rPr>
        <w:object w:dxaOrig="220" w:dyaOrig="279">
          <v:shape id="_x0000_i1210" type="#_x0000_t75" style="width:9pt;height:12pt" o:ole="" o:preferrelative="f">
            <v:imagedata r:id="rId5" o:title=""/>
          </v:shape>
          <o:OLEObject Type="Embed" ProgID="Equation.3" ShapeID="_x0000_i1210" DrawAspect="Content" ObjectID="_1555512596" r:id="rId6"/>
        </w:object>
      </w:r>
      <w:r w:rsidRPr="003354F1">
        <w:rPr>
          <w:lang w:val="en-US"/>
        </w:rPr>
        <w:t xml:space="preserve"> matrix including only the constant term in each </w:t>
      </w:r>
      <w:r w:rsidR="009E30C8" w:rsidRPr="003354F1">
        <w:rPr>
          <w:position w:val="-14"/>
        </w:rPr>
        <w:object w:dxaOrig="300" w:dyaOrig="400">
          <v:shape id="_x0000_i1212" type="#_x0000_t75" style="width:12.75pt;height:17.25pt" o:ole="" o:preferrelative="f">
            <v:imagedata r:id="rId7" o:title=""/>
          </v:shape>
          <o:OLEObject Type="Embed" ProgID="Equation.3" ShapeID="_x0000_i1212" DrawAspect="Content" ObjectID="_1555512597" r:id="rId8"/>
        </w:object>
      </w:r>
      <w:r w:rsidRPr="003354F1">
        <w:rPr>
          <w:lang w:val="en-US"/>
        </w:rPr>
        <w:t xml:space="preserve">vector. The traditional random parameters model accommodating spatial heterogeneity is obtained when there is no spatial dependence assumed, as in </w:t>
      </w:r>
      <w:r w:rsidR="009E30C8" w:rsidRPr="003354F1">
        <w:rPr>
          <w:position w:val="-10"/>
        </w:rPr>
        <w:object w:dxaOrig="1359" w:dyaOrig="380">
          <v:shape id="_x0000_i1214" type="#_x0000_t75" style="width:56.25pt;height:14.25pt" o:ole="" o:preferrelative="f">
            <v:imagedata r:id="rId9" o:title=""/>
          </v:shape>
          <o:OLEObject Type="Embed" ProgID="Equation.3" ShapeID="_x0000_i1214" DrawAspect="Content" ObjectID="_1555512598" r:id="rId10"/>
        </w:object>
      </w:r>
      <w:r w:rsidRPr="003354F1">
        <w:rPr>
          <w:lang w:val="en-US"/>
        </w:rPr>
        <w:t xml:space="preserve"> </w:t>
      </w:r>
      <w:proofErr w:type="gramStart"/>
      <w:r w:rsidRPr="003354F1">
        <w:rPr>
          <w:lang w:val="en-US"/>
        </w:rPr>
        <w:t>An</w:t>
      </w:r>
      <w:proofErr w:type="gramEnd"/>
      <w:r w:rsidRPr="003354F1">
        <w:rPr>
          <w:lang w:val="en-US"/>
        </w:rPr>
        <w:t xml:space="preserve"> analog to the traditional GWR model is obtained when the</w:t>
      </w:r>
      <w:r>
        <w:rPr>
          <w:lang w:val="en-US"/>
        </w:rPr>
        <w:t xml:space="preserve"> </w:t>
      </w:r>
      <w:r w:rsidRPr="00647A97">
        <w:rPr>
          <w:b/>
          <w:lang w:val="en-US"/>
        </w:rPr>
        <w:t>C</w:t>
      </w:r>
      <w:r w:rsidRPr="003354F1">
        <w:rPr>
          <w:lang w:val="en-US"/>
        </w:rPr>
        <w:t xml:space="preserve"> matrix is applied only to the first term, as in </w:t>
      </w:r>
      <w:r w:rsidR="00BE5C1D" w:rsidRPr="003354F1">
        <w:rPr>
          <w:position w:val="-10"/>
        </w:rPr>
        <w:object w:dxaOrig="1520" w:dyaOrig="380">
          <v:shape id="_x0000_i1216" type="#_x0000_t75" style="width:65.25pt;height:15.75pt" o:ole="" o:preferrelative="f">
            <v:imagedata r:id="rId11" o:title=""/>
          </v:shape>
          <o:OLEObject Type="Embed" ProgID="Equation.3" ShapeID="_x0000_i1216" DrawAspect="Content" ObjectID="_1555512599" r:id="rId12"/>
        </w:object>
      </w:r>
      <w:r w:rsidRPr="003354F1">
        <w:rPr>
          <w:lang w:val="en-US"/>
        </w:rPr>
        <w:t xml:space="preserve"> combined with the </w:t>
      </w:r>
      <w:r w:rsidR="00BE5C1D" w:rsidRPr="003354F1">
        <w:rPr>
          <w:position w:val="-6"/>
        </w:rPr>
        <w:object w:dxaOrig="220" w:dyaOrig="279">
          <v:shape id="_x0000_i1218" type="#_x0000_t75" style="width:9pt;height:12pt" o:ole="" o:preferrelative="f">
            <v:imagedata r:id="rId5" o:title=""/>
          </v:shape>
          <o:OLEObject Type="Embed" ProgID="Equation.3" ShapeID="_x0000_i1218" DrawAspect="Content" ObjectID="_1555512600" r:id="rId13"/>
        </w:object>
      </w:r>
      <w:r w:rsidRPr="003354F1">
        <w:rPr>
          <w:lang w:val="en-US"/>
        </w:rPr>
        <w:t xml:space="preserve"> matrix including only the constant term in each </w:t>
      </w:r>
      <w:r w:rsidR="00BE5C1D" w:rsidRPr="003354F1">
        <w:rPr>
          <w:position w:val="-14"/>
        </w:rPr>
        <w:object w:dxaOrig="300" w:dyaOrig="400">
          <v:shape id="_x0000_i1220" type="#_x0000_t75" style="width:12.75pt;height:17.25pt" o:ole="" o:preferrelative="f">
            <v:imagedata r:id="rId7" o:title=""/>
          </v:shape>
          <o:OLEObject Type="Embed" ProgID="Equation.3" ShapeID="_x0000_i1220" DrawAspect="Content" ObjectID="_1555512601" r:id="rId14"/>
        </w:object>
      </w:r>
      <w:r>
        <w:rPr>
          <w:lang w:val="en-US"/>
        </w:rPr>
        <w:t xml:space="preserve"> </w:t>
      </w:r>
      <w:r w:rsidRPr="003354F1">
        <w:rPr>
          <w:lang w:val="en-US"/>
        </w:rPr>
        <w:t>vector.</w:t>
      </w:r>
    </w:p>
  </w:footnote>
  <w:footnote w:id="8">
    <w:p w:rsidR="00D628EB" w:rsidRPr="008159D4" w:rsidRDefault="00D628EB" w:rsidP="000966FA">
      <w:pPr>
        <w:pStyle w:val="FootnoteText"/>
        <w:spacing w:after="120" w:line="240" w:lineRule="auto"/>
        <w:ind w:firstLine="0"/>
        <w:rPr>
          <w:lang w:val="en-US"/>
        </w:rPr>
      </w:pPr>
      <w:r>
        <w:rPr>
          <w:rStyle w:val="FootnoteReference"/>
        </w:rPr>
        <w:footnoteRef/>
      </w:r>
      <w:r>
        <w:rPr>
          <w:lang w:val="en-US"/>
        </w:rPr>
        <w:t xml:space="preserve"> An injury from a crash that results in death within 30 days of the crash is labeled as a “fatal” injury. </w:t>
      </w:r>
    </w:p>
  </w:footnote>
  <w:footnote w:id="9">
    <w:p w:rsidR="00D628EB" w:rsidRPr="00727391" w:rsidRDefault="00D628EB" w:rsidP="00117A71">
      <w:pPr>
        <w:pStyle w:val="FootnoteText"/>
        <w:spacing w:line="240" w:lineRule="auto"/>
        <w:ind w:firstLine="0"/>
        <w:rPr>
          <w:lang w:val="en-US"/>
        </w:rPr>
      </w:pPr>
      <w:r>
        <w:rPr>
          <w:rStyle w:val="FootnoteReference"/>
        </w:rPr>
        <w:footnoteRef/>
      </w:r>
      <w:r>
        <w:t xml:space="preserve"> </w:t>
      </w:r>
      <w:r>
        <w:rPr>
          <w:lang w:val="en-US"/>
        </w:rPr>
        <w:t xml:space="preserve">A note here regarding the empirical analysis. As in almost all earlier pedestrian crash studies, especially those undertaken at the macro-level, we have not included pedestrian infrastructure variables in our analysis because of lack of suitable and easily available data. Thus, the empirical results and policy implications discussed in this paper need to be viewed and scrutinized with some caution, even though we have attempted to develop many proxy variables for pedestrian infrastructure quality, as just listed and discussed more later.  </w:t>
      </w:r>
    </w:p>
  </w:footnote>
  <w:footnote w:id="10">
    <w:p w:rsidR="00D628EB" w:rsidRDefault="00D628EB" w:rsidP="00BF6017">
      <w:pPr>
        <w:pStyle w:val="FootnoteText"/>
        <w:spacing w:line="240" w:lineRule="auto"/>
        <w:ind w:firstLine="0"/>
      </w:pPr>
      <w:r w:rsidRPr="006B6960">
        <w:rPr>
          <w:rStyle w:val="FootnoteReference"/>
        </w:rPr>
        <w:footnoteRef/>
      </w:r>
      <w:r w:rsidRPr="006B6960">
        <w:t xml:space="preserve"> </w:t>
      </w:r>
      <w:r w:rsidRPr="00CD7BDA">
        <w:t xml:space="preserve">Technically speaking, a more appropriate comparison with the US racial profile would be to compute the overall race proportions in the entire Manhattan population (as opposed to computing the proportions by race in each </w:t>
      </w:r>
      <w:r>
        <w:rPr>
          <w:lang w:val="en-US"/>
        </w:rPr>
        <w:t>c</w:t>
      </w:r>
      <w:proofErr w:type="spellStart"/>
      <w:r w:rsidRPr="00CD7BDA">
        <w:t>ensus</w:t>
      </w:r>
      <w:proofErr w:type="spellEnd"/>
      <w:r w:rsidRPr="00CD7BDA">
        <w:t xml:space="preserve"> tract in Manhattan and then taking the average of these proportions across </w:t>
      </w:r>
      <w:r>
        <w:rPr>
          <w:lang w:val="en-US"/>
        </w:rPr>
        <w:t>c</w:t>
      </w:r>
      <w:proofErr w:type="spellStart"/>
      <w:r w:rsidRPr="00CD7BDA">
        <w:t>ensus</w:t>
      </w:r>
      <w:proofErr w:type="spellEnd"/>
      <w:r w:rsidRPr="00CD7BDA">
        <w:t xml:space="preserve"> tracts, as we have done here). However, the intent here is to provide a general picture of the Manhattan study area, while retaining the disaggregation by </w:t>
      </w:r>
      <w:r>
        <w:rPr>
          <w:lang w:val="en-US"/>
        </w:rPr>
        <w:t>c</w:t>
      </w:r>
      <w:proofErr w:type="spellStart"/>
      <w:r w:rsidRPr="00CD7BDA">
        <w:t>ensus</w:t>
      </w:r>
      <w:proofErr w:type="spellEnd"/>
      <w:r w:rsidRPr="00CD7BDA">
        <w:t xml:space="preserve"> tracts (which is the unit of spatial analysis in the current paper). Overall, however, the </w:t>
      </w:r>
      <w:r>
        <w:rPr>
          <w:lang w:val="en-US"/>
        </w:rPr>
        <w:t>c</w:t>
      </w:r>
      <w:proofErr w:type="spellStart"/>
      <w:r w:rsidRPr="00CD7BDA">
        <w:t>ensus</w:t>
      </w:r>
      <w:proofErr w:type="spellEnd"/>
      <w:r w:rsidRPr="00CD7BDA">
        <w:t xml:space="preserve"> tract-based mean racial proportions computed for Manhattan (as we have done) is close to the racial proportions for the entire Manhattan area population (48% non-Hispanic White, 12.9% non-Hispanic Black, 11.2% non-Hispanic Asian, 25.4% Hispanic, and 2.5% other; as per the American Community Survey data, U</w:t>
      </w:r>
      <w:r>
        <w:rPr>
          <w:lang w:val="en-US"/>
        </w:rPr>
        <w:t>.</w:t>
      </w:r>
      <w:r w:rsidRPr="00CD7BDA">
        <w:t>S</w:t>
      </w:r>
      <w:r>
        <w:rPr>
          <w:lang w:val="en-US"/>
        </w:rPr>
        <w:t>.</w:t>
      </w:r>
      <w:r w:rsidRPr="00CD7BDA">
        <w:t xml:space="preserve"> Census Bureau). The point of this footnote also applies to some other comparisons undertaken in this section, but we will not belabor over this technicality in the rest of this section. </w:t>
      </w:r>
    </w:p>
  </w:footnote>
  <w:footnote w:id="11">
    <w:p w:rsidR="00D628EB" w:rsidRDefault="00D628EB" w:rsidP="008159D4">
      <w:pPr>
        <w:pStyle w:val="FootnoteText"/>
        <w:spacing w:line="240" w:lineRule="auto"/>
        <w:ind w:firstLine="0"/>
      </w:pPr>
      <w:r w:rsidRPr="00CD7BDA">
        <w:rPr>
          <w:rStyle w:val="FootnoteReference"/>
        </w:rPr>
        <w:footnoteRef/>
      </w:r>
      <w:r>
        <w:rPr>
          <w:lang w:val="en-US"/>
        </w:rPr>
        <w:t xml:space="preserve"> </w:t>
      </w:r>
      <w:r>
        <w:t>Technically speaking, t</w:t>
      </w:r>
      <w:r w:rsidRPr="00CD7BDA">
        <w:t xml:space="preserve">he net floor area </w:t>
      </w:r>
      <w:r>
        <w:t>in</w:t>
      </w:r>
      <w:r>
        <w:rPr>
          <w:lang w:val="en-US"/>
        </w:rPr>
        <w:t xml:space="preserve"> retail </w:t>
      </w:r>
      <w:r w:rsidRPr="00CD7BDA">
        <w:t xml:space="preserve">in a </w:t>
      </w:r>
      <w:r>
        <w:rPr>
          <w:lang w:val="en-US"/>
        </w:rPr>
        <w:t>c</w:t>
      </w:r>
      <w:proofErr w:type="spellStart"/>
      <w:r w:rsidRPr="00CD7BDA">
        <w:t>ensus</w:t>
      </w:r>
      <w:proofErr w:type="spellEnd"/>
      <w:r w:rsidRPr="00CD7BDA">
        <w:t xml:space="preserve"> tract can be more than </w:t>
      </w:r>
      <w:r>
        <w:t>the</w:t>
      </w:r>
      <w:r w:rsidRPr="00CD7BDA">
        <w:t xml:space="preserve"> land area</w:t>
      </w:r>
      <w:r>
        <w:t xml:space="preserve"> of the </w:t>
      </w:r>
      <w:r>
        <w:rPr>
          <w:lang w:val="en-US"/>
        </w:rPr>
        <w:t>c</w:t>
      </w:r>
      <w:proofErr w:type="spellStart"/>
      <w:r>
        <w:t>ensus</w:t>
      </w:r>
      <w:proofErr w:type="spellEnd"/>
      <w:r>
        <w:t xml:space="preserve"> tract (because of the vertical build-up). Thus, the </w:t>
      </w:r>
      <w:r>
        <w:rPr>
          <w:lang w:val="en-US"/>
        </w:rPr>
        <w:t xml:space="preserve">retail </w:t>
      </w:r>
      <w:r>
        <w:t xml:space="preserve">intensity measure </w:t>
      </w:r>
      <w:r w:rsidRPr="00CD7BDA">
        <w:t xml:space="preserve">can be </w:t>
      </w:r>
      <w:r>
        <w:t xml:space="preserve">higher </w:t>
      </w:r>
      <w:r w:rsidRPr="00CD7BDA">
        <w:t xml:space="preserve">than 1 </w:t>
      </w:r>
      <w:r>
        <w:t>(the land-</w:t>
      </w:r>
      <w:r w:rsidRPr="00CD7BDA">
        <w:t>use measures previously discussed</w:t>
      </w:r>
      <w:r>
        <w:t>, however, are confined to the 0-1 range).</w:t>
      </w:r>
    </w:p>
  </w:footnote>
  <w:footnote w:id="12">
    <w:p w:rsidR="00D628EB" w:rsidRPr="005244C6" w:rsidRDefault="00D628EB" w:rsidP="005244C6">
      <w:pPr>
        <w:tabs>
          <w:tab w:val="left" w:pos="720"/>
        </w:tabs>
        <w:autoSpaceDE w:val="0"/>
        <w:autoSpaceDN w:val="0"/>
        <w:adjustRightInd w:val="0"/>
        <w:spacing w:line="240" w:lineRule="auto"/>
        <w:ind w:firstLine="0"/>
        <w:rPr>
          <w:sz w:val="20"/>
          <w:szCs w:val="20"/>
          <w:highlight w:val="yellow"/>
        </w:rPr>
      </w:pPr>
      <w:r w:rsidRPr="00B31A53">
        <w:rPr>
          <w:rStyle w:val="FootnoteReference"/>
          <w:sz w:val="20"/>
          <w:szCs w:val="20"/>
        </w:rPr>
        <w:footnoteRef/>
      </w:r>
      <w:r>
        <w:rPr>
          <w:sz w:val="20"/>
          <w:szCs w:val="20"/>
        </w:rPr>
        <w:t xml:space="preserve"> </w:t>
      </w:r>
      <w:r w:rsidRPr="008159D4">
        <w:rPr>
          <w:sz w:val="20"/>
          <w:szCs w:val="20"/>
        </w:rPr>
        <w:t>The covariance estimates, all significant at the 95% level, were as follows: 0.132 (between the constants in the “possible” and “non-incapacitating” injury categories), 0.262 (between the constants in the “non-incapacitating” and “incapacitating” injury categories), 0.177 (between the constants in the “non-incapacitating” and “fatal” injury categories), and 0.396 (between the constants in the “incapacitating” and “fatal” injury categories)</w:t>
      </w:r>
      <w:r>
        <w:rPr>
          <w:sz w:val="20"/>
          <w:szCs w:val="20"/>
        </w:rPr>
        <w:t>.</w:t>
      </w:r>
    </w:p>
  </w:footnote>
  <w:footnote w:id="13">
    <w:p w:rsidR="00D628EB" w:rsidRPr="008159D4" w:rsidRDefault="00D628EB" w:rsidP="008159D4">
      <w:pPr>
        <w:pStyle w:val="FootnoteText"/>
        <w:spacing w:line="240" w:lineRule="auto"/>
        <w:ind w:firstLine="0"/>
        <w:rPr>
          <w:lang w:val="en-US"/>
        </w:rPr>
      </w:pPr>
      <w:r>
        <w:rPr>
          <w:rStyle w:val="FootnoteReference"/>
        </w:rPr>
        <w:footnoteRef/>
      </w:r>
      <w:r>
        <w:rPr>
          <w:lang w:val="en-US"/>
        </w:rPr>
        <w:t xml:space="preserve"> The variable specifications did not change between the many different models, and so all the models are nested versions of the MUSC model. </w:t>
      </w:r>
    </w:p>
  </w:footnote>
  <w:footnote w:id="14">
    <w:p w:rsidR="00D628EB" w:rsidRDefault="00D628EB" w:rsidP="008159D4">
      <w:pPr>
        <w:pStyle w:val="FootnoteText"/>
        <w:spacing w:line="240" w:lineRule="auto"/>
        <w:ind w:firstLine="0"/>
      </w:pPr>
      <w:r w:rsidRPr="000A4191">
        <w:rPr>
          <w:rStyle w:val="FootnoteReference"/>
        </w:rPr>
        <w:footnoteRef/>
      </w:r>
      <w:r w:rsidRPr="000A4191">
        <w:t xml:space="preserve"> The predictions were not sensitive to the number of draws beyond about 400 draws, and so we settled on 500 draws.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8EB" w:rsidRDefault="00D628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11466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12C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CC5F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463C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FA41F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8A01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2AC4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1854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986B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020F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C008FA"/>
    <w:multiLevelType w:val="hybridMultilevel"/>
    <w:tmpl w:val="FB442476"/>
    <w:lvl w:ilvl="0" w:tplc="0DB4EFEC">
      <w:start w:val="1"/>
      <w:numFmt w:val="bullet"/>
      <w:lvlText w:val=""/>
      <w:lvlJc w:val="left"/>
      <w:pPr>
        <w:tabs>
          <w:tab w:val="num" w:pos="720"/>
        </w:tabs>
        <w:ind w:left="720" w:hanging="360"/>
      </w:pPr>
      <w:rPr>
        <w:rFonts w:ascii="Wingdings" w:hAnsi="Wingdings" w:hint="default"/>
      </w:rPr>
    </w:lvl>
    <w:lvl w:ilvl="1" w:tplc="D28CD2AA" w:tentative="1">
      <w:start w:val="1"/>
      <w:numFmt w:val="bullet"/>
      <w:lvlText w:val=""/>
      <w:lvlJc w:val="left"/>
      <w:pPr>
        <w:tabs>
          <w:tab w:val="num" w:pos="1440"/>
        </w:tabs>
        <w:ind w:left="1440" w:hanging="360"/>
      </w:pPr>
      <w:rPr>
        <w:rFonts w:ascii="Wingdings" w:hAnsi="Wingdings" w:hint="default"/>
      </w:rPr>
    </w:lvl>
    <w:lvl w:ilvl="2" w:tplc="3A821A68" w:tentative="1">
      <w:start w:val="1"/>
      <w:numFmt w:val="bullet"/>
      <w:lvlText w:val=""/>
      <w:lvlJc w:val="left"/>
      <w:pPr>
        <w:tabs>
          <w:tab w:val="num" w:pos="2160"/>
        </w:tabs>
        <w:ind w:left="2160" w:hanging="360"/>
      </w:pPr>
      <w:rPr>
        <w:rFonts w:ascii="Wingdings" w:hAnsi="Wingdings" w:hint="default"/>
      </w:rPr>
    </w:lvl>
    <w:lvl w:ilvl="3" w:tplc="711A89BA">
      <w:start w:val="1"/>
      <w:numFmt w:val="bullet"/>
      <w:lvlText w:val=""/>
      <w:lvlJc w:val="left"/>
      <w:pPr>
        <w:tabs>
          <w:tab w:val="num" w:pos="2880"/>
        </w:tabs>
        <w:ind w:left="2880" w:hanging="360"/>
      </w:pPr>
      <w:rPr>
        <w:rFonts w:ascii="Wingdings" w:hAnsi="Wingdings" w:hint="default"/>
      </w:rPr>
    </w:lvl>
    <w:lvl w:ilvl="4" w:tplc="34EC9894" w:tentative="1">
      <w:start w:val="1"/>
      <w:numFmt w:val="bullet"/>
      <w:lvlText w:val=""/>
      <w:lvlJc w:val="left"/>
      <w:pPr>
        <w:tabs>
          <w:tab w:val="num" w:pos="3600"/>
        </w:tabs>
        <w:ind w:left="3600" w:hanging="360"/>
      </w:pPr>
      <w:rPr>
        <w:rFonts w:ascii="Wingdings" w:hAnsi="Wingdings" w:hint="default"/>
      </w:rPr>
    </w:lvl>
    <w:lvl w:ilvl="5" w:tplc="FFD8CE7E" w:tentative="1">
      <w:start w:val="1"/>
      <w:numFmt w:val="bullet"/>
      <w:lvlText w:val=""/>
      <w:lvlJc w:val="left"/>
      <w:pPr>
        <w:tabs>
          <w:tab w:val="num" w:pos="4320"/>
        </w:tabs>
        <w:ind w:left="4320" w:hanging="360"/>
      </w:pPr>
      <w:rPr>
        <w:rFonts w:ascii="Wingdings" w:hAnsi="Wingdings" w:hint="default"/>
      </w:rPr>
    </w:lvl>
    <w:lvl w:ilvl="6" w:tplc="634CEC50" w:tentative="1">
      <w:start w:val="1"/>
      <w:numFmt w:val="bullet"/>
      <w:lvlText w:val=""/>
      <w:lvlJc w:val="left"/>
      <w:pPr>
        <w:tabs>
          <w:tab w:val="num" w:pos="5040"/>
        </w:tabs>
        <w:ind w:left="5040" w:hanging="360"/>
      </w:pPr>
      <w:rPr>
        <w:rFonts w:ascii="Wingdings" w:hAnsi="Wingdings" w:hint="default"/>
      </w:rPr>
    </w:lvl>
    <w:lvl w:ilvl="7" w:tplc="5628C900" w:tentative="1">
      <w:start w:val="1"/>
      <w:numFmt w:val="bullet"/>
      <w:lvlText w:val=""/>
      <w:lvlJc w:val="left"/>
      <w:pPr>
        <w:tabs>
          <w:tab w:val="num" w:pos="5760"/>
        </w:tabs>
        <w:ind w:left="5760" w:hanging="360"/>
      </w:pPr>
      <w:rPr>
        <w:rFonts w:ascii="Wingdings" w:hAnsi="Wingdings" w:hint="default"/>
      </w:rPr>
    </w:lvl>
    <w:lvl w:ilvl="8" w:tplc="9152A36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B38F3"/>
    <w:multiLevelType w:val="hybridMultilevel"/>
    <w:tmpl w:val="F0522930"/>
    <w:lvl w:ilvl="0" w:tplc="A940A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850FF1"/>
    <w:multiLevelType w:val="hybridMultilevel"/>
    <w:tmpl w:val="FD9CD52C"/>
    <w:lvl w:ilvl="0" w:tplc="C1F433F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1B5658BE"/>
    <w:multiLevelType w:val="hybridMultilevel"/>
    <w:tmpl w:val="F3CC5DAC"/>
    <w:lvl w:ilvl="0" w:tplc="EE282F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BC20761"/>
    <w:multiLevelType w:val="multilevel"/>
    <w:tmpl w:val="85DE1B7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076BB9"/>
    <w:multiLevelType w:val="multilevel"/>
    <w:tmpl w:val="C220F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FE190C"/>
    <w:multiLevelType w:val="multilevel"/>
    <w:tmpl w:val="350C804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1472D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72B72BE"/>
    <w:multiLevelType w:val="hybridMultilevel"/>
    <w:tmpl w:val="49CED1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4AC945EA"/>
    <w:multiLevelType w:val="hybridMultilevel"/>
    <w:tmpl w:val="CF4C3A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B05B8F"/>
    <w:multiLevelType w:val="hybridMultilevel"/>
    <w:tmpl w:val="8AC8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F50A0B"/>
    <w:multiLevelType w:val="hybridMultilevel"/>
    <w:tmpl w:val="DD5CB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6C4991"/>
    <w:multiLevelType w:val="hybridMultilevel"/>
    <w:tmpl w:val="12F6D7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22D11"/>
    <w:multiLevelType w:val="multilevel"/>
    <w:tmpl w:val="15A01762"/>
    <w:lvl w:ilvl="0">
      <w:start w:val="1"/>
      <w:numFmt w:val="decimal"/>
      <w:pStyle w:val="FirstLevelHeading"/>
      <w:lvlText w:val="%1."/>
      <w:lvlJc w:val="left"/>
      <w:pPr>
        <w:ind w:left="360" w:hanging="360"/>
      </w:pPr>
      <w:rPr>
        <w:rFonts w:cs="Times New Roman" w:hint="default"/>
        <w:b/>
      </w:rPr>
    </w:lvl>
    <w:lvl w:ilvl="1">
      <w:start w:val="1"/>
      <w:numFmt w:val="decimal"/>
      <w:pStyle w:val="SecondLevelHeading"/>
      <w:lvlText w:val="%1.%2"/>
      <w:lvlJc w:val="left"/>
      <w:pPr>
        <w:ind w:left="360" w:hanging="360"/>
      </w:pPr>
      <w:rPr>
        <w:rFonts w:cs="Times New Roman" w:hint="default"/>
        <w:b/>
      </w:rPr>
    </w:lvl>
    <w:lvl w:ilvl="2">
      <w:start w:val="1"/>
      <w:numFmt w:val="decimal"/>
      <w:pStyle w:val="ThirdLevelList"/>
      <w:lvlText w:val="%1.%2.%3"/>
      <w:lvlJc w:val="left"/>
      <w:pPr>
        <w:ind w:left="720" w:hanging="720"/>
      </w:pPr>
      <w:rPr>
        <w:rFonts w:cs="Times New Roman" w:hint="default"/>
        <w:b/>
      </w:rPr>
    </w:lvl>
    <w:lvl w:ilvl="3">
      <w:start w:val="1"/>
      <w:numFmt w:val="decimal"/>
      <w:pStyle w:val="FourthLevelList"/>
      <w:lvlText w:val="%1.%2.%3.%4"/>
      <w:lvlJc w:val="left"/>
      <w:pPr>
        <w:ind w:left="720" w:hanging="720"/>
      </w:pPr>
      <w:rPr>
        <w:rFonts w:cs="Times New Roman" w:hint="default"/>
        <w:b w:val="0"/>
        <w:u w:val="single"/>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24" w15:restartNumberingAfterBreak="0">
    <w:nsid w:val="7DDA5FE4"/>
    <w:multiLevelType w:val="hybridMultilevel"/>
    <w:tmpl w:val="CC1E214C"/>
    <w:lvl w:ilvl="0" w:tplc="1068C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0"/>
  </w:num>
  <w:num w:numId="15">
    <w:abstractNumId w:val="1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2"/>
  </w:num>
  <w:num w:numId="19">
    <w:abstractNumId w:val="17"/>
  </w:num>
  <w:num w:numId="20">
    <w:abstractNumId w:val="21"/>
  </w:num>
  <w:num w:numId="21">
    <w:abstractNumId w:val="13"/>
  </w:num>
  <w:num w:numId="22">
    <w:abstractNumId w:val="24"/>
  </w:num>
  <w:num w:numId="23">
    <w:abstractNumId w:val="14"/>
  </w:num>
  <w:num w:numId="24">
    <w:abstractNumId w:val="16"/>
  </w:num>
  <w:num w:numId="25">
    <w:abstractNumId w:val="17"/>
    <w:lvlOverride w:ilvl="0">
      <w:startOverride w:val="4"/>
    </w:lvlOverride>
    <w:lvlOverride w:ilvl="1">
      <w:startOverride w:val="9"/>
    </w:lvlOverride>
  </w:num>
  <w:num w:numId="26">
    <w:abstractNumId w:val="20"/>
  </w:num>
  <w:num w:numId="27">
    <w:abstractNumId w:val="17"/>
    <w:lvlOverride w:ilvl="0">
      <w:startOverride w:val="4"/>
    </w:lvlOverride>
    <w:lvlOverride w:ilvl="1">
      <w:startOverride w:val="5"/>
    </w:lvlOverride>
    <w:lvlOverride w:ilvl="2">
      <w:startOverride w:val="1"/>
    </w:lvlOverride>
  </w:num>
  <w:num w:numId="28">
    <w:abstractNumId w:val="11"/>
  </w:num>
  <w:num w:numId="29">
    <w:abstractNumId w:val="17"/>
    <w:lvlOverride w:ilvl="0">
      <w:startOverride w:val="4"/>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fr-FR" w:vendorID="64" w:dllVersion="6" w:nlCheck="1" w:checkStyle="0"/>
  <w:activeWritingStyle w:appName="MSWord" w:lang="es-CL" w:vendorID="64" w:dllVersion="6" w:nlCheck="1" w:checkStyle="0"/>
  <w:activeWritingStyle w:appName="MSWord" w:lang="en-US" w:vendorID="64" w:dllVersion="131078" w:nlCheck="1" w:checkStyle="1"/>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A0"/>
    <w:rsid w:val="00000C9A"/>
    <w:rsid w:val="000013CC"/>
    <w:rsid w:val="000016BA"/>
    <w:rsid w:val="00002AC3"/>
    <w:rsid w:val="00002B5A"/>
    <w:rsid w:val="00003F77"/>
    <w:rsid w:val="00004055"/>
    <w:rsid w:val="0000407D"/>
    <w:rsid w:val="00004737"/>
    <w:rsid w:val="0000599A"/>
    <w:rsid w:val="000059DB"/>
    <w:rsid w:val="00005A7F"/>
    <w:rsid w:val="00005B0B"/>
    <w:rsid w:val="00005B67"/>
    <w:rsid w:val="00005C49"/>
    <w:rsid w:val="00006E41"/>
    <w:rsid w:val="00010C22"/>
    <w:rsid w:val="00011009"/>
    <w:rsid w:val="00011EC4"/>
    <w:rsid w:val="0001307C"/>
    <w:rsid w:val="00013537"/>
    <w:rsid w:val="00013BD8"/>
    <w:rsid w:val="00014745"/>
    <w:rsid w:val="00014C1E"/>
    <w:rsid w:val="00015096"/>
    <w:rsid w:val="00015904"/>
    <w:rsid w:val="0002070A"/>
    <w:rsid w:val="00021D1C"/>
    <w:rsid w:val="0002314F"/>
    <w:rsid w:val="00023961"/>
    <w:rsid w:val="00024BEA"/>
    <w:rsid w:val="00030974"/>
    <w:rsid w:val="00030D2F"/>
    <w:rsid w:val="00030D79"/>
    <w:rsid w:val="00031AB1"/>
    <w:rsid w:val="00031FB6"/>
    <w:rsid w:val="00032F12"/>
    <w:rsid w:val="000331EE"/>
    <w:rsid w:val="00033711"/>
    <w:rsid w:val="000344A8"/>
    <w:rsid w:val="00034C6F"/>
    <w:rsid w:val="000351E0"/>
    <w:rsid w:val="00035FB3"/>
    <w:rsid w:val="0003713E"/>
    <w:rsid w:val="00037C77"/>
    <w:rsid w:val="000401CC"/>
    <w:rsid w:val="00041374"/>
    <w:rsid w:val="00041507"/>
    <w:rsid w:val="0004153D"/>
    <w:rsid w:val="000417BE"/>
    <w:rsid w:val="000433A1"/>
    <w:rsid w:val="0004409E"/>
    <w:rsid w:val="0004510C"/>
    <w:rsid w:val="000456D7"/>
    <w:rsid w:val="00045E21"/>
    <w:rsid w:val="00046C01"/>
    <w:rsid w:val="00046FD1"/>
    <w:rsid w:val="000475E9"/>
    <w:rsid w:val="00047CCB"/>
    <w:rsid w:val="00047EB2"/>
    <w:rsid w:val="00047FC8"/>
    <w:rsid w:val="0005030A"/>
    <w:rsid w:val="00050919"/>
    <w:rsid w:val="00051236"/>
    <w:rsid w:val="000517F1"/>
    <w:rsid w:val="00051CEE"/>
    <w:rsid w:val="00055874"/>
    <w:rsid w:val="00055C35"/>
    <w:rsid w:val="00056B51"/>
    <w:rsid w:val="00056D4C"/>
    <w:rsid w:val="000573BA"/>
    <w:rsid w:val="00057920"/>
    <w:rsid w:val="00057C2F"/>
    <w:rsid w:val="00057EE0"/>
    <w:rsid w:val="0006067F"/>
    <w:rsid w:val="00060B72"/>
    <w:rsid w:val="0006125C"/>
    <w:rsid w:val="00061A57"/>
    <w:rsid w:val="00062330"/>
    <w:rsid w:val="0006288D"/>
    <w:rsid w:val="00063A53"/>
    <w:rsid w:val="000661AC"/>
    <w:rsid w:val="0006723B"/>
    <w:rsid w:val="00070546"/>
    <w:rsid w:val="000708EA"/>
    <w:rsid w:val="0007233E"/>
    <w:rsid w:val="00072AFA"/>
    <w:rsid w:val="00073615"/>
    <w:rsid w:val="0007627A"/>
    <w:rsid w:val="00076A2D"/>
    <w:rsid w:val="0007717C"/>
    <w:rsid w:val="00080001"/>
    <w:rsid w:val="000802D6"/>
    <w:rsid w:val="000803C8"/>
    <w:rsid w:val="00082D23"/>
    <w:rsid w:val="00084023"/>
    <w:rsid w:val="00084C93"/>
    <w:rsid w:val="00084FB9"/>
    <w:rsid w:val="0008504F"/>
    <w:rsid w:val="000857D7"/>
    <w:rsid w:val="00086029"/>
    <w:rsid w:val="0009061D"/>
    <w:rsid w:val="00090C8B"/>
    <w:rsid w:val="000917C4"/>
    <w:rsid w:val="00091991"/>
    <w:rsid w:val="00091A00"/>
    <w:rsid w:val="0009298F"/>
    <w:rsid w:val="00092FC7"/>
    <w:rsid w:val="00093FE8"/>
    <w:rsid w:val="00094FBA"/>
    <w:rsid w:val="0009527C"/>
    <w:rsid w:val="00095537"/>
    <w:rsid w:val="00095CF0"/>
    <w:rsid w:val="00095F65"/>
    <w:rsid w:val="000966D2"/>
    <w:rsid w:val="000966FA"/>
    <w:rsid w:val="00097187"/>
    <w:rsid w:val="0009772F"/>
    <w:rsid w:val="00097A27"/>
    <w:rsid w:val="00097D28"/>
    <w:rsid w:val="000A048E"/>
    <w:rsid w:val="000A061F"/>
    <w:rsid w:val="000A1B6A"/>
    <w:rsid w:val="000A229D"/>
    <w:rsid w:val="000A2999"/>
    <w:rsid w:val="000A2A79"/>
    <w:rsid w:val="000A35CC"/>
    <w:rsid w:val="000A3710"/>
    <w:rsid w:val="000A3725"/>
    <w:rsid w:val="000A37FC"/>
    <w:rsid w:val="000A3A42"/>
    <w:rsid w:val="000A4BCC"/>
    <w:rsid w:val="000A7316"/>
    <w:rsid w:val="000A7BD2"/>
    <w:rsid w:val="000B031F"/>
    <w:rsid w:val="000B1190"/>
    <w:rsid w:val="000B2516"/>
    <w:rsid w:val="000B3890"/>
    <w:rsid w:val="000B38DC"/>
    <w:rsid w:val="000B3C79"/>
    <w:rsid w:val="000B53B9"/>
    <w:rsid w:val="000B5A47"/>
    <w:rsid w:val="000B7219"/>
    <w:rsid w:val="000B77D1"/>
    <w:rsid w:val="000C0297"/>
    <w:rsid w:val="000C0467"/>
    <w:rsid w:val="000C080A"/>
    <w:rsid w:val="000C08F3"/>
    <w:rsid w:val="000C1A9A"/>
    <w:rsid w:val="000C1B27"/>
    <w:rsid w:val="000C205F"/>
    <w:rsid w:val="000C3B26"/>
    <w:rsid w:val="000C3CD3"/>
    <w:rsid w:val="000C4106"/>
    <w:rsid w:val="000C50CD"/>
    <w:rsid w:val="000C6D30"/>
    <w:rsid w:val="000C7580"/>
    <w:rsid w:val="000D0556"/>
    <w:rsid w:val="000D1811"/>
    <w:rsid w:val="000D2016"/>
    <w:rsid w:val="000D3762"/>
    <w:rsid w:val="000D3E5D"/>
    <w:rsid w:val="000D4F41"/>
    <w:rsid w:val="000D59DA"/>
    <w:rsid w:val="000D63CC"/>
    <w:rsid w:val="000D7D1E"/>
    <w:rsid w:val="000E0A13"/>
    <w:rsid w:val="000E11A4"/>
    <w:rsid w:val="000E295B"/>
    <w:rsid w:val="000E320E"/>
    <w:rsid w:val="000E5625"/>
    <w:rsid w:val="000E59A7"/>
    <w:rsid w:val="000E5E4C"/>
    <w:rsid w:val="000E5E60"/>
    <w:rsid w:val="000E60F3"/>
    <w:rsid w:val="000E7603"/>
    <w:rsid w:val="000E7B82"/>
    <w:rsid w:val="000F05F2"/>
    <w:rsid w:val="000F0BFD"/>
    <w:rsid w:val="000F15D6"/>
    <w:rsid w:val="000F1FBA"/>
    <w:rsid w:val="000F3351"/>
    <w:rsid w:val="000F38C6"/>
    <w:rsid w:val="000F4299"/>
    <w:rsid w:val="000F4BA0"/>
    <w:rsid w:val="000F631B"/>
    <w:rsid w:val="000F69C6"/>
    <w:rsid w:val="000F6EA1"/>
    <w:rsid w:val="000F6ECD"/>
    <w:rsid w:val="000F7329"/>
    <w:rsid w:val="000F7E5C"/>
    <w:rsid w:val="00100B02"/>
    <w:rsid w:val="00100CE4"/>
    <w:rsid w:val="001011CC"/>
    <w:rsid w:val="00103419"/>
    <w:rsid w:val="00103DDB"/>
    <w:rsid w:val="00105636"/>
    <w:rsid w:val="00105786"/>
    <w:rsid w:val="00105817"/>
    <w:rsid w:val="00105FAD"/>
    <w:rsid w:val="001065D2"/>
    <w:rsid w:val="00106D87"/>
    <w:rsid w:val="0010797B"/>
    <w:rsid w:val="001105EF"/>
    <w:rsid w:val="00110F5F"/>
    <w:rsid w:val="0011112E"/>
    <w:rsid w:val="001111BA"/>
    <w:rsid w:val="001115CF"/>
    <w:rsid w:val="00111737"/>
    <w:rsid w:val="00112D83"/>
    <w:rsid w:val="001138B1"/>
    <w:rsid w:val="00113E1B"/>
    <w:rsid w:val="00114DE3"/>
    <w:rsid w:val="00116637"/>
    <w:rsid w:val="001169F8"/>
    <w:rsid w:val="00117602"/>
    <w:rsid w:val="00117655"/>
    <w:rsid w:val="00117921"/>
    <w:rsid w:val="00117A71"/>
    <w:rsid w:val="00120286"/>
    <w:rsid w:val="001209D5"/>
    <w:rsid w:val="00120CBB"/>
    <w:rsid w:val="00121E4E"/>
    <w:rsid w:val="0012295D"/>
    <w:rsid w:val="00122BC1"/>
    <w:rsid w:val="001238A4"/>
    <w:rsid w:val="001240B5"/>
    <w:rsid w:val="001266B5"/>
    <w:rsid w:val="00126A51"/>
    <w:rsid w:val="0012725F"/>
    <w:rsid w:val="00127DD9"/>
    <w:rsid w:val="00131F67"/>
    <w:rsid w:val="00132BD7"/>
    <w:rsid w:val="001347B9"/>
    <w:rsid w:val="0013515F"/>
    <w:rsid w:val="001361A1"/>
    <w:rsid w:val="00136486"/>
    <w:rsid w:val="001365F4"/>
    <w:rsid w:val="001367A8"/>
    <w:rsid w:val="00137DE0"/>
    <w:rsid w:val="00137F49"/>
    <w:rsid w:val="00140B8E"/>
    <w:rsid w:val="001429B8"/>
    <w:rsid w:val="00142B07"/>
    <w:rsid w:val="0014546D"/>
    <w:rsid w:val="001468BA"/>
    <w:rsid w:val="00147D4A"/>
    <w:rsid w:val="00147F71"/>
    <w:rsid w:val="0015033F"/>
    <w:rsid w:val="00151294"/>
    <w:rsid w:val="001512D8"/>
    <w:rsid w:val="00151D00"/>
    <w:rsid w:val="00152EB2"/>
    <w:rsid w:val="001542A8"/>
    <w:rsid w:val="00154A99"/>
    <w:rsid w:val="0015544B"/>
    <w:rsid w:val="00155A07"/>
    <w:rsid w:val="001565B4"/>
    <w:rsid w:val="00156C04"/>
    <w:rsid w:val="00157267"/>
    <w:rsid w:val="001572EC"/>
    <w:rsid w:val="00157B4D"/>
    <w:rsid w:val="00160144"/>
    <w:rsid w:val="0016092E"/>
    <w:rsid w:val="00161B9F"/>
    <w:rsid w:val="00162420"/>
    <w:rsid w:val="00162B44"/>
    <w:rsid w:val="00163C95"/>
    <w:rsid w:val="00164D48"/>
    <w:rsid w:val="001653F5"/>
    <w:rsid w:val="001678C4"/>
    <w:rsid w:val="001700A6"/>
    <w:rsid w:val="0017038B"/>
    <w:rsid w:val="00170AD7"/>
    <w:rsid w:val="0017146B"/>
    <w:rsid w:val="0017166B"/>
    <w:rsid w:val="001724CC"/>
    <w:rsid w:val="00172BEE"/>
    <w:rsid w:val="00173785"/>
    <w:rsid w:val="00174C62"/>
    <w:rsid w:val="0017511E"/>
    <w:rsid w:val="00175230"/>
    <w:rsid w:val="001761BA"/>
    <w:rsid w:val="001768CC"/>
    <w:rsid w:val="00177E4A"/>
    <w:rsid w:val="00177FFA"/>
    <w:rsid w:val="001806B2"/>
    <w:rsid w:val="00181C08"/>
    <w:rsid w:val="001821F3"/>
    <w:rsid w:val="00183410"/>
    <w:rsid w:val="0018474F"/>
    <w:rsid w:val="0018587C"/>
    <w:rsid w:val="00186F4F"/>
    <w:rsid w:val="00187D1E"/>
    <w:rsid w:val="00190526"/>
    <w:rsid w:val="00191D6B"/>
    <w:rsid w:val="0019207D"/>
    <w:rsid w:val="0019303C"/>
    <w:rsid w:val="001942D2"/>
    <w:rsid w:val="00194927"/>
    <w:rsid w:val="00194939"/>
    <w:rsid w:val="001955BE"/>
    <w:rsid w:val="0019608A"/>
    <w:rsid w:val="00196C24"/>
    <w:rsid w:val="00196FAD"/>
    <w:rsid w:val="001A02B4"/>
    <w:rsid w:val="001A14BD"/>
    <w:rsid w:val="001A2030"/>
    <w:rsid w:val="001A3D31"/>
    <w:rsid w:val="001A4874"/>
    <w:rsid w:val="001A4BC3"/>
    <w:rsid w:val="001A5513"/>
    <w:rsid w:val="001A5A7E"/>
    <w:rsid w:val="001B037F"/>
    <w:rsid w:val="001B1699"/>
    <w:rsid w:val="001B31FC"/>
    <w:rsid w:val="001B36E0"/>
    <w:rsid w:val="001B4590"/>
    <w:rsid w:val="001B5030"/>
    <w:rsid w:val="001B585A"/>
    <w:rsid w:val="001B5947"/>
    <w:rsid w:val="001B5F12"/>
    <w:rsid w:val="001B63ED"/>
    <w:rsid w:val="001B6CC7"/>
    <w:rsid w:val="001B7460"/>
    <w:rsid w:val="001C06EC"/>
    <w:rsid w:val="001C0C91"/>
    <w:rsid w:val="001C0DCE"/>
    <w:rsid w:val="001C11A9"/>
    <w:rsid w:val="001C3B45"/>
    <w:rsid w:val="001C43B4"/>
    <w:rsid w:val="001C564C"/>
    <w:rsid w:val="001C67BB"/>
    <w:rsid w:val="001C6898"/>
    <w:rsid w:val="001C69C6"/>
    <w:rsid w:val="001D0014"/>
    <w:rsid w:val="001D1045"/>
    <w:rsid w:val="001D2784"/>
    <w:rsid w:val="001D3218"/>
    <w:rsid w:val="001D5477"/>
    <w:rsid w:val="001D5F66"/>
    <w:rsid w:val="001D7792"/>
    <w:rsid w:val="001E029E"/>
    <w:rsid w:val="001E1EB9"/>
    <w:rsid w:val="001E2105"/>
    <w:rsid w:val="001E25B1"/>
    <w:rsid w:val="001E3332"/>
    <w:rsid w:val="001E3BC6"/>
    <w:rsid w:val="001E4726"/>
    <w:rsid w:val="001E4921"/>
    <w:rsid w:val="001E567D"/>
    <w:rsid w:val="001E581E"/>
    <w:rsid w:val="001E5A60"/>
    <w:rsid w:val="001E617C"/>
    <w:rsid w:val="001E6248"/>
    <w:rsid w:val="001E62BA"/>
    <w:rsid w:val="001E6566"/>
    <w:rsid w:val="001E6A47"/>
    <w:rsid w:val="001E726D"/>
    <w:rsid w:val="001E76AD"/>
    <w:rsid w:val="001F0429"/>
    <w:rsid w:val="001F07D5"/>
    <w:rsid w:val="001F0DBB"/>
    <w:rsid w:val="001F1C02"/>
    <w:rsid w:val="001F1E6E"/>
    <w:rsid w:val="001F1F1D"/>
    <w:rsid w:val="001F2185"/>
    <w:rsid w:val="001F3230"/>
    <w:rsid w:val="001F3691"/>
    <w:rsid w:val="001F443A"/>
    <w:rsid w:val="001F4A23"/>
    <w:rsid w:val="001F5C4D"/>
    <w:rsid w:val="001F5CFC"/>
    <w:rsid w:val="001F6BBD"/>
    <w:rsid w:val="001F728D"/>
    <w:rsid w:val="001F7336"/>
    <w:rsid w:val="00200389"/>
    <w:rsid w:val="00200F45"/>
    <w:rsid w:val="002014CB"/>
    <w:rsid w:val="00201BBE"/>
    <w:rsid w:val="0020252C"/>
    <w:rsid w:val="0020279E"/>
    <w:rsid w:val="00202819"/>
    <w:rsid w:val="00202A1A"/>
    <w:rsid w:val="00202AEB"/>
    <w:rsid w:val="00202D5F"/>
    <w:rsid w:val="00202E64"/>
    <w:rsid w:val="002065F8"/>
    <w:rsid w:val="00206EDD"/>
    <w:rsid w:val="00206F41"/>
    <w:rsid w:val="00207D0C"/>
    <w:rsid w:val="00207E47"/>
    <w:rsid w:val="00207E49"/>
    <w:rsid w:val="00210D68"/>
    <w:rsid w:val="002117F6"/>
    <w:rsid w:val="00211FEA"/>
    <w:rsid w:val="0021267D"/>
    <w:rsid w:val="002137A4"/>
    <w:rsid w:val="00213C72"/>
    <w:rsid w:val="00213E99"/>
    <w:rsid w:val="00214AAB"/>
    <w:rsid w:val="00215577"/>
    <w:rsid w:val="00215A3B"/>
    <w:rsid w:val="0021634B"/>
    <w:rsid w:val="002165EE"/>
    <w:rsid w:val="00217424"/>
    <w:rsid w:val="0021786C"/>
    <w:rsid w:val="00217F1F"/>
    <w:rsid w:val="00217FC6"/>
    <w:rsid w:val="00220516"/>
    <w:rsid w:val="0022127C"/>
    <w:rsid w:val="00221DDA"/>
    <w:rsid w:val="002229BD"/>
    <w:rsid w:val="0022376F"/>
    <w:rsid w:val="00224779"/>
    <w:rsid w:val="00225A5D"/>
    <w:rsid w:val="002263B9"/>
    <w:rsid w:val="00226891"/>
    <w:rsid w:val="002270B4"/>
    <w:rsid w:val="00227138"/>
    <w:rsid w:val="00227417"/>
    <w:rsid w:val="002302B1"/>
    <w:rsid w:val="00231728"/>
    <w:rsid w:val="0023271C"/>
    <w:rsid w:val="00232BAC"/>
    <w:rsid w:val="0023338D"/>
    <w:rsid w:val="002335BE"/>
    <w:rsid w:val="00233E8C"/>
    <w:rsid w:val="00234057"/>
    <w:rsid w:val="0023411C"/>
    <w:rsid w:val="002347FF"/>
    <w:rsid w:val="00234BF6"/>
    <w:rsid w:val="002355C8"/>
    <w:rsid w:val="002360BF"/>
    <w:rsid w:val="00236201"/>
    <w:rsid w:val="00236326"/>
    <w:rsid w:val="0023645F"/>
    <w:rsid w:val="00236D03"/>
    <w:rsid w:val="002408A4"/>
    <w:rsid w:val="00240FF7"/>
    <w:rsid w:val="00241345"/>
    <w:rsid w:val="00242491"/>
    <w:rsid w:val="0024276C"/>
    <w:rsid w:val="002431B4"/>
    <w:rsid w:val="00243B9C"/>
    <w:rsid w:val="00244ED1"/>
    <w:rsid w:val="00245DC4"/>
    <w:rsid w:val="00247985"/>
    <w:rsid w:val="0025213A"/>
    <w:rsid w:val="00255340"/>
    <w:rsid w:val="00256F35"/>
    <w:rsid w:val="00257445"/>
    <w:rsid w:val="00260771"/>
    <w:rsid w:val="00260FEC"/>
    <w:rsid w:val="00261608"/>
    <w:rsid w:val="00261C1B"/>
    <w:rsid w:val="00262AC2"/>
    <w:rsid w:val="002636C8"/>
    <w:rsid w:val="002639EA"/>
    <w:rsid w:val="00263DED"/>
    <w:rsid w:val="00264E7B"/>
    <w:rsid w:val="00266A5F"/>
    <w:rsid w:val="00266C18"/>
    <w:rsid w:val="002674D0"/>
    <w:rsid w:val="002700DF"/>
    <w:rsid w:val="00270E6B"/>
    <w:rsid w:val="002712D9"/>
    <w:rsid w:val="0027284D"/>
    <w:rsid w:val="002729BF"/>
    <w:rsid w:val="00274764"/>
    <w:rsid w:val="00275D52"/>
    <w:rsid w:val="00276FEF"/>
    <w:rsid w:val="00277546"/>
    <w:rsid w:val="00277772"/>
    <w:rsid w:val="00277D12"/>
    <w:rsid w:val="00280356"/>
    <w:rsid w:val="00280F13"/>
    <w:rsid w:val="00282565"/>
    <w:rsid w:val="0028279A"/>
    <w:rsid w:val="002844FB"/>
    <w:rsid w:val="00284A74"/>
    <w:rsid w:val="00285074"/>
    <w:rsid w:val="00285A4B"/>
    <w:rsid w:val="00285B07"/>
    <w:rsid w:val="00285EEF"/>
    <w:rsid w:val="00286194"/>
    <w:rsid w:val="00287C86"/>
    <w:rsid w:val="00287DAF"/>
    <w:rsid w:val="00291006"/>
    <w:rsid w:val="002915D6"/>
    <w:rsid w:val="00291DFE"/>
    <w:rsid w:val="002937A2"/>
    <w:rsid w:val="002939B0"/>
    <w:rsid w:val="002945B7"/>
    <w:rsid w:val="00294DF1"/>
    <w:rsid w:val="00294FDD"/>
    <w:rsid w:val="0029526A"/>
    <w:rsid w:val="00295D07"/>
    <w:rsid w:val="00297175"/>
    <w:rsid w:val="0029730D"/>
    <w:rsid w:val="00297420"/>
    <w:rsid w:val="002A1750"/>
    <w:rsid w:val="002A241F"/>
    <w:rsid w:val="002A3E0C"/>
    <w:rsid w:val="002A3F42"/>
    <w:rsid w:val="002A410F"/>
    <w:rsid w:val="002A4BE1"/>
    <w:rsid w:val="002A6047"/>
    <w:rsid w:val="002A64D6"/>
    <w:rsid w:val="002B0303"/>
    <w:rsid w:val="002B134B"/>
    <w:rsid w:val="002B1ECC"/>
    <w:rsid w:val="002B1F7E"/>
    <w:rsid w:val="002B256B"/>
    <w:rsid w:val="002B2B28"/>
    <w:rsid w:val="002B346A"/>
    <w:rsid w:val="002B3E67"/>
    <w:rsid w:val="002B4F57"/>
    <w:rsid w:val="002B6BCB"/>
    <w:rsid w:val="002B6C76"/>
    <w:rsid w:val="002B7C02"/>
    <w:rsid w:val="002C02E2"/>
    <w:rsid w:val="002C0F02"/>
    <w:rsid w:val="002C2663"/>
    <w:rsid w:val="002C3B22"/>
    <w:rsid w:val="002C493A"/>
    <w:rsid w:val="002C4B52"/>
    <w:rsid w:val="002C50BB"/>
    <w:rsid w:val="002C6097"/>
    <w:rsid w:val="002C66EE"/>
    <w:rsid w:val="002C6E73"/>
    <w:rsid w:val="002C7924"/>
    <w:rsid w:val="002C7A22"/>
    <w:rsid w:val="002D08E0"/>
    <w:rsid w:val="002D13E6"/>
    <w:rsid w:val="002D1E11"/>
    <w:rsid w:val="002D385F"/>
    <w:rsid w:val="002D3C26"/>
    <w:rsid w:val="002D3E58"/>
    <w:rsid w:val="002D3F6C"/>
    <w:rsid w:val="002D4AB7"/>
    <w:rsid w:val="002D6455"/>
    <w:rsid w:val="002D6F1C"/>
    <w:rsid w:val="002D7204"/>
    <w:rsid w:val="002D7327"/>
    <w:rsid w:val="002E0093"/>
    <w:rsid w:val="002E09C5"/>
    <w:rsid w:val="002E22BA"/>
    <w:rsid w:val="002E2944"/>
    <w:rsid w:val="002E4AEC"/>
    <w:rsid w:val="002E5EE1"/>
    <w:rsid w:val="002E63F9"/>
    <w:rsid w:val="002E6A0E"/>
    <w:rsid w:val="002E6C6B"/>
    <w:rsid w:val="002E7638"/>
    <w:rsid w:val="002E7EB4"/>
    <w:rsid w:val="002F1DC8"/>
    <w:rsid w:val="002F33D2"/>
    <w:rsid w:val="002F380F"/>
    <w:rsid w:val="002F4F55"/>
    <w:rsid w:val="002F506A"/>
    <w:rsid w:val="002F5CEA"/>
    <w:rsid w:val="002F6C83"/>
    <w:rsid w:val="002F7A21"/>
    <w:rsid w:val="00300D9A"/>
    <w:rsid w:val="00301312"/>
    <w:rsid w:val="003022AA"/>
    <w:rsid w:val="00302AFF"/>
    <w:rsid w:val="00302DF3"/>
    <w:rsid w:val="00304BB8"/>
    <w:rsid w:val="00305A32"/>
    <w:rsid w:val="00307AF8"/>
    <w:rsid w:val="00307E07"/>
    <w:rsid w:val="00307EF0"/>
    <w:rsid w:val="00310B2B"/>
    <w:rsid w:val="00311652"/>
    <w:rsid w:val="00311DF3"/>
    <w:rsid w:val="003121E7"/>
    <w:rsid w:val="00312C7F"/>
    <w:rsid w:val="003145A2"/>
    <w:rsid w:val="00314ACC"/>
    <w:rsid w:val="00315529"/>
    <w:rsid w:val="00315870"/>
    <w:rsid w:val="0031599C"/>
    <w:rsid w:val="00316126"/>
    <w:rsid w:val="00317209"/>
    <w:rsid w:val="003174AB"/>
    <w:rsid w:val="00317712"/>
    <w:rsid w:val="00317B5A"/>
    <w:rsid w:val="003204EF"/>
    <w:rsid w:val="00320A9C"/>
    <w:rsid w:val="00320DC7"/>
    <w:rsid w:val="003218C2"/>
    <w:rsid w:val="00322ACD"/>
    <w:rsid w:val="00322F69"/>
    <w:rsid w:val="003233C3"/>
    <w:rsid w:val="00323AA9"/>
    <w:rsid w:val="00323D01"/>
    <w:rsid w:val="0032402B"/>
    <w:rsid w:val="0032423F"/>
    <w:rsid w:val="003270C5"/>
    <w:rsid w:val="003308A2"/>
    <w:rsid w:val="003316B8"/>
    <w:rsid w:val="00331BE8"/>
    <w:rsid w:val="00331E21"/>
    <w:rsid w:val="003321CA"/>
    <w:rsid w:val="00333E3A"/>
    <w:rsid w:val="003343C3"/>
    <w:rsid w:val="003343F0"/>
    <w:rsid w:val="0033457B"/>
    <w:rsid w:val="003354F1"/>
    <w:rsid w:val="00335AA3"/>
    <w:rsid w:val="003402C7"/>
    <w:rsid w:val="00340B4C"/>
    <w:rsid w:val="00340E0D"/>
    <w:rsid w:val="00341257"/>
    <w:rsid w:val="0034196A"/>
    <w:rsid w:val="00342348"/>
    <w:rsid w:val="00343C36"/>
    <w:rsid w:val="0034404E"/>
    <w:rsid w:val="00345563"/>
    <w:rsid w:val="0034576C"/>
    <w:rsid w:val="003458AD"/>
    <w:rsid w:val="003458D5"/>
    <w:rsid w:val="00345BDA"/>
    <w:rsid w:val="00347258"/>
    <w:rsid w:val="00347884"/>
    <w:rsid w:val="0034793F"/>
    <w:rsid w:val="00351436"/>
    <w:rsid w:val="00351C91"/>
    <w:rsid w:val="003524BC"/>
    <w:rsid w:val="003524FC"/>
    <w:rsid w:val="00353521"/>
    <w:rsid w:val="003547E5"/>
    <w:rsid w:val="00355208"/>
    <w:rsid w:val="0035541D"/>
    <w:rsid w:val="00356877"/>
    <w:rsid w:val="003576E4"/>
    <w:rsid w:val="00357C7F"/>
    <w:rsid w:val="003611EA"/>
    <w:rsid w:val="003632CE"/>
    <w:rsid w:val="003633B8"/>
    <w:rsid w:val="0036440D"/>
    <w:rsid w:val="00364513"/>
    <w:rsid w:val="003645F6"/>
    <w:rsid w:val="00364620"/>
    <w:rsid w:val="00364DC9"/>
    <w:rsid w:val="0036565F"/>
    <w:rsid w:val="00366221"/>
    <w:rsid w:val="00367149"/>
    <w:rsid w:val="0037033D"/>
    <w:rsid w:val="0037210E"/>
    <w:rsid w:val="00372CF4"/>
    <w:rsid w:val="00373C50"/>
    <w:rsid w:val="00373DF4"/>
    <w:rsid w:val="0037406C"/>
    <w:rsid w:val="00374612"/>
    <w:rsid w:val="00375301"/>
    <w:rsid w:val="0037601E"/>
    <w:rsid w:val="0037768A"/>
    <w:rsid w:val="00381F7A"/>
    <w:rsid w:val="00382800"/>
    <w:rsid w:val="00383D56"/>
    <w:rsid w:val="00384262"/>
    <w:rsid w:val="0038431B"/>
    <w:rsid w:val="003855EE"/>
    <w:rsid w:val="003856AE"/>
    <w:rsid w:val="00385895"/>
    <w:rsid w:val="00387B71"/>
    <w:rsid w:val="00390A62"/>
    <w:rsid w:val="00390E88"/>
    <w:rsid w:val="0039140B"/>
    <w:rsid w:val="003916C4"/>
    <w:rsid w:val="00392B27"/>
    <w:rsid w:val="00392BCB"/>
    <w:rsid w:val="00393194"/>
    <w:rsid w:val="003932FC"/>
    <w:rsid w:val="00393D68"/>
    <w:rsid w:val="00393DFB"/>
    <w:rsid w:val="00395E36"/>
    <w:rsid w:val="00396003"/>
    <w:rsid w:val="00397EDD"/>
    <w:rsid w:val="003A073A"/>
    <w:rsid w:val="003A1DE3"/>
    <w:rsid w:val="003A21EE"/>
    <w:rsid w:val="003A22D0"/>
    <w:rsid w:val="003A294C"/>
    <w:rsid w:val="003A2D3F"/>
    <w:rsid w:val="003A3F15"/>
    <w:rsid w:val="003A5107"/>
    <w:rsid w:val="003A57FB"/>
    <w:rsid w:val="003A58E9"/>
    <w:rsid w:val="003A7492"/>
    <w:rsid w:val="003A7E0B"/>
    <w:rsid w:val="003B0247"/>
    <w:rsid w:val="003B1238"/>
    <w:rsid w:val="003B18F7"/>
    <w:rsid w:val="003B1C80"/>
    <w:rsid w:val="003B3837"/>
    <w:rsid w:val="003B3BCB"/>
    <w:rsid w:val="003B519F"/>
    <w:rsid w:val="003B5540"/>
    <w:rsid w:val="003B6ECB"/>
    <w:rsid w:val="003B6FB0"/>
    <w:rsid w:val="003B7457"/>
    <w:rsid w:val="003C0059"/>
    <w:rsid w:val="003C057F"/>
    <w:rsid w:val="003C07A1"/>
    <w:rsid w:val="003C0BEE"/>
    <w:rsid w:val="003C0C0C"/>
    <w:rsid w:val="003C0FD0"/>
    <w:rsid w:val="003C1BF8"/>
    <w:rsid w:val="003C3182"/>
    <w:rsid w:val="003C334F"/>
    <w:rsid w:val="003C34D7"/>
    <w:rsid w:val="003C3579"/>
    <w:rsid w:val="003C38FD"/>
    <w:rsid w:val="003C3D17"/>
    <w:rsid w:val="003C3DB4"/>
    <w:rsid w:val="003C3F11"/>
    <w:rsid w:val="003C4E0F"/>
    <w:rsid w:val="003C5481"/>
    <w:rsid w:val="003C55EF"/>
    <w:rsid w:val="003C61B0"/>
    <w:rsid w:val="003C656F"/>
    <w:rsid w:val="003C6EE1"/>
    <w:rsid w:val="003C7304"/>
    <w:rsid w:val="003C7559"/>
    <w:rsid w:val="003D05C8"/>
    <w:rsid w:val="003D18C4"/>
    <w:rsid w:val="003D1A46"/>
    <w:rsid w:val="003D2056"/>
    <w:rsid w:val="003D2211"/>
    <w:rsid w:val="003D2317"/>
    <w:rsid w:val="003D4195"/>
    <w:rsid w:val="003D4C07"/>
    <w:rsid w:val="003D4EB9"/>
    <w:rsid w:val="003D4FC3"/>
    <w:rsid w:val="003D54A6"/>
    <w:rsid w:val="003D5B45"/>
    <w:rsid w:val="003D70BA"/>
    <w:rsid w:val="003E0540"/>
    <w:rsid w:val="003E06BF"/>
    <w:rsid w:val="003E1366"/>
    <w:rsid w:val="003E1ED0"/>
    <w:rsid w:val="003E281F"/>
    <w:rsid w:val="003E2F47"/>
    <w:rsid w:val="003E3059"/>
    <w:rsid w:val="003E6619"/>
    <w:rsid w:val="003E76CC"/>
    <w:rsid w:val="003E7975"/>
    <w:rsid w:val="003E7C8D"/>
    <w:rsid w:val="003F12DD"/>
    <w:rsid w:val="003F130B"/>
    <w:rsid w:val="003F2DA9"/>
    <w:rsid w:val="003F32D5"/>
    <w:rsid w:val="003F36AA"/>
    <w:rsid w:val="003F3F6F"/>
    <w:rsid w:val="003F6641"/>
    <w:rsid w:val="003F77BC"/>
    <w:rsid w:val="003F7A47"/>
    <w:rsid w:val="003F7F10"/>
    <w:rsid w:val="003F7F8E"/>
    <w:rsid w:val="00400974"/>
    <w:rsid w:val="004023A7"/>
    <w:rsid w:val="00402988"/>
    <w:rsid w:val="004033A1"/>
    <w:rsid w:val="00403538"/>
    <w:rsid w:val="00403A0C"/>
    <w:rsid w:val="00403FAA"/>
    <w:rsid w:val="00405575"/>
    <w:rsid w:val="00405982"/>
    <w:rsid w:val="00405A1F"/>
    <w:rsid w:val="00406957"/>
    <w:rsid w:val="00407241"/>
    <w:rsid w:val="0040733F"/>
    <w:rsid w:val="00407B9C"/>
    <w:rsid w:val="00410A76"/>
    <w:rsid w:val="00411596"/>
    <w:rsid w:val="00411902"/>
    <w:rsid w:val="00413BFF"/>
    <w:rsid w:val="00413FE3"/>
    <w:rsid w:val="00414F84"/>
    <w:rsid w:val="00415495"/>
    <w:rsid w:val="00416511"/>
    <w:rsid w:val="004178D0"/>
    <w:rsid w:val="00417E45"/>
    <w:rsid w:val="0042079E"/>
    <w:rsid w:val="00421155"/>
    <w:rsid w:val="00421F04"/>
    <w:rsid w:val="00423820"/>
    <w:rsid w:val="00423879"/>
    <w:rsid w:val="00423F15"/>
    <w:rsid w:val="00423F26"/>
    <w:rsid w:val="0042648C"/>
    <w:rsid w:val="00427C4B"/>
    <w:rsid w:val="00431A50"/>
    <w:rsid w:val="00432FF4"/>
    <w:rsid w:val="00433401"/>
    <w:rsid w:val="004342CE"/>
    <w:rsid w:val="0043472F"/>
    <w:rsid w:val="0043611F"/>
    <w:rsid w:val="004365A7"/>
    <w:rsid w:val="0043765C"/>
    <w:rsid w:val="0043770E"/>
    <w:rsid w:val="00440184"/>
    <w:rsid w:val="0044057C"/>
    <w:rsid w:val="004407D3"/>
    <w:rsid w:val="00440FDA"/>
    <w:rsid w:val="0044147B"/>
    <w:rsid w:val="00442054"/>
    <w:rsid w:val="0044356A"/>
    <w:rsid w:val="00444319"/>
    <w:rsid w:val="00444FB9"/>
    <w:rsid w:val="00445CF9"/>
    <w:rsid w:val="00445E67"/>
    <w:rsid w:val="00446A72"/>
    <w:rsid w:val="00446DED"/>
    <w:rsid w:val="00447434"/>
    <w:rsid w:val="00447D6C"/>
    <w:rsid w:val="004500E7"/>
    <w:rsid w:val="004529F8"/>
    <w:rsid w:val="00453CAB"/>
    <w:rsid w:val="00454ED4"/>
    <w:rsid w:val="00455150"/>
    <w:rsid w:val="004551A7"/>
    <w:rsid w:val="00455D62"/>
    <w:rsid w:val="00456E2F"/>
    <w:rsid w:val="00457C30"/>
    <w:rsid w:val="00460ED4"/>
    <w:rsid w:val="00461D8C"/>
    <w:rsid w:val="004631D6"/>
    <w:rsid w:val="0046353E"/>
    <w:rsid w:val="00464CBF"/>
    <w:rsid w:val="00465002"/>
    <w:rsid w:val="004661D6"/>
    <w:rsid w:val="00467282"/>
    <w:rsid w:val="00467FDC"/>
    <w:rsid w:val="0047012E"/>
    <w:rsid w:val="00471245"/>
    <w:rsid w:val="00471CA6"/>
    <w:rsid w:val="0047278B"/>
    <w:rsid w:val="00474591"/>
    <w:rsid w:val="0047667D"/>
    <w:rsid w:val="00477492"/>
    <w:rsid w:val="00477992"/>
    <w:rsid w:val="00477E97"/>
    <w:rsid w:val="004800ED"/>
    <w:rsid w:val="00480589"/>
    <w:rsid w:val="004805DE"/>
    <w:rsid w:val="00480DB3"/>
    <w:rsid w:val="00480F62"/>
    <w:rsid w:val="00482414"/>
    <w:rsid w:val="00482726"/>
    <w:rsid w:val="004828C9"/>
    <w:rsid w:val="0048388A"/>
    <w:rsid w:val="0048462B"/>
    <w:rsid w:val="00484760"/>
    <w:rsid w:val="00484DBB"/>
    <w:rsid w:val="00484DE4"/>
    <w:rsid w:val="0048502D"/>
    <w:rsid w:val="00485B06"/>
    <w:rsid w:val="004874E8"/>
    <w:rsid w:val="004877F2"/>
    <w:rsid w:val="00487A85"/>
    <w:rsid w:val="00490168"/>
    <w:rsid w:val="004904CD"/>
    <w:rsid w:val="004904E9"/>
    <w:rsid w:val="00490873"/>
    <w:rsid w:val="00490B86"/>
    <w:rsid w:val="00491B6E"/>
    <w:rsid w:val="004930F3"/>
    <w:rsid w:val="00493D86"/>
    <w:rsid w:val="00494C00"/>
    <w:rsid w:val="00494D24"/>
    <w:rsid w:val="00494FD1"/>
    <w:rsid w:val="00495FCF"/>
    <w:rsid w:val="004966DD"/>
    <w:rsid w:val="00496E0D"/>
    <w:rsid w:val="0049704E"/>
    <w:rsid w:val="004A1045"/>
    <w:rsid w:val="004A25FD"/>
    <w:rsid w:val="004A2A62"/>
    <w:rsid w:val="004A2F36"/>
    <w:rsid w:val="004A3613"/>
    <w:rsid w:val="004A64EC"/>
    <w:rsid w:val="004A656B"/>
    <w:rsid w:val="004A7108"/>
    <w:rsid w:val="004A79CF"/>
    <w:rsid w:val="004B00E2"/>
    <w:rsid w:val="004B0564"/>
    <w:rsid w:val="004B0C11"/>
    <w:rsid w:val="004B0C8A"/>
    <w:rsid w:val="004B1D50"/>
    <w:rsid w:val="004B1D87"/>
    <w:rsid w:val="004B21BD"/>
    <w:rsid w:val="004B333A"/>
    <w:rsid w:val="004B3EC0"/>
    <w:rsid w:val="004B4B22"/>
    <w:rsid w:val="004B4CE7"/>
    <w:rsid w:val="004B4DBC"/>
    <w:rsid w:val="004B5665"/>
    <w:rsid w:val="004B6286"/>
    <w:rsid w:val="004B71DB"/>
    <w:rsid w:val="004C0D56"/>
    <w:rsid w:val="004C0D97"/>
    <w:rsid w:val="004C20F3"/>
    <w:rsid w:val="004C2BE7"/>
    <w:rsid w:val="004C2EC1"/>
    <w:rsid w:val="004C32D1"/>
    <w:rsid w:val="004C3456"/>
    <w:rsid w:val="004C3913"/>
    <w:rsid w:val="004C4267"/>
    <w:rsid w:val="004C4F47"/>
    <w:rsid w:val="004C5A25"/>
    <w:rsid w:val="004C5AFC"/>
    <w:rsid w:val="004C6B42"/>
    <w:rsid w:val="004C751B"/>
    <w:rsid w:val="004C7BC4"/>
    <w:rsid w:val="004D0337"/>
    <w:rsid w:val="004D156F"/>
    <w:rsid w:val="004D571E"/>
    <w:rsid w:val="004D5A5D"/>
    <w:rsid w:val="004D5FFA"/>
    <w:rsid w:val="004D6F49"/>
    <w:rsid w:val="004D715D"/>
    <w:rsid w:val="004D73D3"/>
    <w:rsid w:val="004D7DC5"/>
    <w:rsid w:val="004E077B"/>
    <w:rsid w:val="004E0A4D"/>
    <w:rsid w:val="004E0B5C"/>
    <w:rsid w:val="004E2296"/>
    <w:rsid w:val="004E286A"/>
    <w:rsid w:val="004E2C6F"/>
    <w:rsid w:val="004E2DBA"/>
    <w:rsid w:val="004E2F27"/>
    <w:rsid w:val="004E37F3"/>
    <w:rsid w:val="004E380A"/>
    <w:rsid w:val="004E3BA3"/>
    <w:rsid w:val="004E4774"/>
    <w:rsid w:val="004E5FE8"/>
    <w:rsid w:val="004E62E5"/>
    <w:rsid w:val="004F1925"/>
    <w:rsid w:val="004F1CEC"/>
    <w:rsid w:val="004F20EE"/>
    <w:rsid w:val="004F2FF4"/>
    <w:rsid w:val="004F386C"/>
    <w:rsid w:val="004F3AA3"/>
    <w:rsid w:val="004F4D23"/>
    <w:rsid w:val="004F5DA5"/>
    <w:rsid w:val="0050075D"/>
    <w:rsid w:val="005015CB"/>
    <w:rsid w:val="00502103"/>
    <w:rsid w:val="005039F7"/>
    <w:rsid w:val="005040D9"/>
    <w:rsid w:val="005043C6"/>
    <w:rsid w:val="00504E0D"/>
    <w:rsid w:val="00506511"/>
    <w:rsid w:val="0051062F"/>
    <w:rsid w:val="005112CC"/>
    <w:rsid w:val="00511622"/>
    <w:rsid w:val="00511C0B"/>
    <w:rsid w:val="00512A93"/>
    <w:rsid w:val="00513E2B"/>
    <w:rsid w:val="00514875"/>
    <w:rsid w:val="00514BE2"/>
    <w:rsid w:val="00515049"/>
    <w:rsid w:val="005153CA"/>
    <w:rsid w:val="005165E6"/>
    <w:rsid w:val="00516EAD"/>
    <w:rsid w:val="00517C6E"/>
    <w:rsid w:val="0052182F"/>
    <w:rsid w:val="00521C3A"/>
    <w:rsid w:val="00521D37"/>
    <w:rsid w:val="00522A15"/>
    <w:rsid w:val="00522C48"/>
    <w:rsid w:val="00523582"/>
    <w:rsid w:val="0052362A"/>
    <w:rsid w:val="0052404D"/>
    <w:rsid w:val="005244C6"/>
    <w:rsid w:val="00524F16"/>
    <w:rsid w:val="00525D86"/>
    <w:rsid w:val="0052660D"/>
    <w:rsid w:val="00526755"/>
    <w:rsid w:val="005271C9"/>
    <w:rsid w:val="005272DF"/>
    <w:rsid w:val="00531778"/>
    <w:rsid w:val="00532F9B"/>
    <w:rsid w:val="00533A3A"/>
    <w:rsid w:val="00534734"/>
    <w:rsid w:val="00534BE7"/>
    <w:rsid w:val="005368C7"/>
    <w:rsid w:val="005400E5"/>
    <w:rsid w:val="00540B40"/>
    <w:rsid w:val="00540F5E"/>
    <w:rsid w:val="005413C1"/>
    <w:rsid w:val="00542AF1"/>
    <w:rsid w:val="005432FB"/>
    <w:rsid w:val="00543AA0"/>
    <w:rsid w:val="00543C5B"/>
    <w:rsid w:val="00543CCF"/>
    <w:rsid w:val="00543F07"/>
    <w:rsid w:val="0054485D"/>
    <w:rsid w:val="00545496"/>
    <w:rsid w:val="00547284"/>
    <w:rsid w:val="00547859"/>
    <w:rsid w:val="0055055A"/>
    <w:rsid w:val="00550A57"/>
    <w:rsid w:val="00550F3C"/>
    <w:rsid w:val="00551004"/>
    <w:rsid w:val="0055110B"/>
    <w:rsid w:val="005515FB"/>
    <w:rsid w:val="00554443"/>
    <w:rsid w:val="005548A3"/>
    <w:rsid w:val="005551D1"/>
    <w:rsid w:val="005551EA"/>
    <w:rsid w:val="00555485"/>
    <w:rsid w:val="0055561F"/>
    <w:rsid w:val="00555AE0"/>
    <w:rsid w:val="00556576"/>
    <w:rsid w:val="005571B9"/>
    <w:rsid w:val="00557780"/>
    <w:rsid w:val="00557E9C"/>
    <w:rsid w:val="005616C6"/>
    <w:rsid w:val="00561A1F"/>
    <w:rsid w:val="00562539"/>
    <w:rsid w:val="0056280B"/>
    <w:rsid w:val="00562880"/>
    <w:rsid w:val="005633BB"/>
    <w:rsid w:val="00563A22"/>
    <w:rsid w:val="005645B5"/>
    <w:rsid w:val="00564B05"/>
    <w:rsid w:val="00564F96"/>
    <w:rsid w:val="005654E9"/>
    <w:rsid w:val="00565787"/>
    <w:rsid w:val="0056608D"/>
    <w:rsid w:val="00566798"/>
    <w:rsid w:val="005675BF"/>
    <w:rsid w:val="00567880"/>
    <w:rsid w:val="00570175"/>
    <w:rsid w:val="0057084B"/>
    <w:rsid w:val="005708D0"/>
    <w:rsid w:val="00571143"/>
    <w:rsid w:val="0057182B"/>
    <w:rsid w:val="0057220D"/>
    <w:rsid w:val="005723EF"/>
    <w:rsid w:val="00572419"/>
    <w:rsid w:val="0057332B"/>
    <w:rsid w:val="00575A7A"/>
    <w:rsid w:val="00576150"/>
    <w:rsid w:val="005761C6"/>
    <w:rsid w:val="0057678C"/>
    <w:rsid w:val="00576EB7"/>
    <w:rsid w:val="00577798"/>
    <w:rsid w:val="00577F9E"/>
    <w:rsid w:val="00583673"/>
    <w:rsid w:val="005851E6"/>
    <w:rsid w:val="00587685"/>
    <w:rsid w:val="005876B1"/>
    <w:rsid w:val="00587A4C"/>
    <w:rsid w:val="00587AF0"/>
    <w:rsid w:val="00587CAF"/>
    <w:rsid w:val="00587D7A"/>
    <w:rsid w:val="00590962"/>
    <w:rsid w:val="00590B46"/>
    <w:rsid w:val="00592685"/>
    <w:rsid w:val="00592D44"/>
    <w:rsid w:val="00592F97"/>
    <w:rsid w:val="00594498"/>
    <w:rsid w:val="0059669F"/>
    <w:rsid w:val="005966BE"/>
    <w:rsid w:val="005966D0"/>
    <w:rsid w:val="0059713E"/>
    <w:rsid w:val="005976B1"/>
    <w:rsid w:val="005978B5"/>
    <w:rsid w:val="005A0C09"/>
    <w:rsid w:val="005A0DDD"/>
    <w:rsid w:val="005A11CD"/>
    <w:rsid w:val="005A149D"/>
    <w:rsid w:val="005A223B"/>
    <w:rsid w:val="005A23B8"/>
    <w:rsid w:val="005A2917"/>
    <w:rsid w:val="005A2A71"/>
    <w:rsid w:val="005A3648"/>
    <w:rsid w:val="005A4399"/>
    <w:rsid w:val="005A48B0"/>
    <w:rsid w:val="005A6FEB"/>
    <w:rsid w:val="005A762C"/>
    <w:rsid w:val="005A76BC"/>
    <w:rsid w:val="005B0EC3"/>
    <w:rsid w:val="005B0FAF"/>
    <w:rsid w:val="005B1704"/>
    <w:rsid w:val="005B184D"/>
    <w:rsid w:val="005B1DF1"/>
    <w:rsid w:val="005B33DF"/>
    <w:rsid w:val="005B3B0D"/>
    <w:rsid w:val="005B46B4"/>
    <w:rsid w:val="005B4AE1"/>
    <w:rsid w:val="005B57BE"/>
    <w:rsid w:val="005B5D0F"/>
    <w:rsid w:val="005B5FA9"/>
    <w:rsid w:val="005B69EC"/>
    <w:rsid w:val="005B6B28"/>
    <w:rsid w:val="005B7899"/>
    <w:rsid w:val="005B7982"/>
    <w:rsid w:val="005C0491"/>
    <w:rsid w:val="005C25AF"/>
    <w:rsid w:val="005C2B1B"/>
    <w:rsid w:val="005D17C0"/>
    <w:rsid w:val="005D1B19"/>
    <w:rsid w:val="005D3E67"/>
    <w:rsid w:val="005D609E"/>
    <w:rsid w:val="005D6752"/>
    <w:rsid w:val="005D6C3E"/>
    <w:rsid w:val="005D6DD2"/>
    <w:rsid w:val="005D6F55"/>
    <w:rsid w:val="005E0B12"/>
    <w:rsid w:val="005E1B74"/>
    <w:rsid w:val="005E205A"/>
    <w:rsid w:val="005E231D"/>
    <w:rsid w:val="005E2546"/>
    <w:rsid w:val="005E2742"/>
    <w:rsid w:val="005E2BF2"/>
    <w:rsid w:val="005E41FA"/>
    <w:rsid w:val="005E50B1"/>
    <w:rsid w:val="005E5DA8"/>
    <w:rsid w:val="005E60DE"/>
    <w:rsid w:val="005E627D"/>
    <w:rsid w:val="005E6FF2"/>
    <w:rsid w:val="005E7937"/>
    <w:rsid w:val="005E7DEF"/>
    <w:rsid w:val="005F0D51"/>
    <w:rsid w:val="005F0FED"/>
    <w:rsid w:val="005F1159"/>
    <w:rsid w:val="005F1830"/>
    <w:rsid w:val="005F1E3A"/>
    <w:rsid w:val="005F41ED"/>
    <w:rsid w:val="005F44E8"/>
    <w:rsid w:val="005F5288"/>
    <w:rsid w:val="005F52C8"/>
    <w:rsid w:val="005F5F20"/>
    <w:rsid w:val="005F60DF"/>
    <w:rsid w:val="005F7BB6"/>
    <w:rsid w:val="006010FA"/>
    <w:rsid w:val="006013CF"/>
    <w:rsid w:val="00601CBD"/>
    <w:rsid w:val="00602A77"/>
    <w:rsid w:val="00603E02"/>
    <w:rsid w:val="006057A4"/>
    <w:rsid w:val="00606806"/>
    <w:rsid w:val="00607CC9"/>
    <w:rsid w:val="0061071A"/>
    <w:rsid w:val="00610FF3"/>
    <w:rsid w:val="0061296F"/>
    <w:rsid w:val="00612A2A"/>
    <w:rsid w:val="0061395A"/>
    <w:rsid w:val="0061480C"/>
    <w:rsid w:val="0061667A"/>
    <w:rsid w:val="006169BA"/>
    <w:rsid w:val="00617709"/>
    <w:rsid w:val="0061799B"/>
    <w:rsid w:val="00620286"/>
    <w:rsid w:val="006202D9"/>
    <w:rsid w:val="00622101"/>
    <w:rsid w:val="00622503"/>
    <w:rsid w:val="00622E32"/>
    <w:rsid w:val="006252B2"/>
    <w:rsid w:val="00626306"/>
    <w:rsid w:val="0062708C"/>
    <w:rsid w:val="0062739E"/>
    <w:rsid w:val="00627D2A"/>
    <w:rsid w:val="00627F72"/>
    <w:rsid w:val="006307E1"/>
    <w:rsid w:val="00630B8E"/>
    <w:rsid w:val="00631060"/>
    <w:rsid w:val="00631885"/>
    <w:rsid w:val="00633974"/>
    <w:rsid w:val="0063397C"/>
    <w:rsid w:val="00636D0B"/>
    <w:rsid w:val="006378BA"/>
    <w:rsid w:val="00637939"/>
    <w:rsid w:val="0063794A"/>
    <w:rsid w:val="006408C5"/>
    <w:rsid w:val="00641F09"/>
    <w:rsid w:val="00642B01"/>
    <w:rsid w:val="00642F29"/>
    <w:rsid w:val="00643251"/>
    <w:rsid w:val="00643A25"/>
    <w:rsid w:val="00644471"/>
    <w:rsid w:val="00644B9B"/>
    <w:rsid w:val="00644D0E"/>
    <w:rsid w:val="00644DE7"/>
    <w:rsid w:val="00645D34"/>
    <w:rsid w:val="00645E4A"/>
    <w:rsid w:val="006466F2"/>
    <w:rsid w:val="00647605"/>
    <w:rsid w:val="0064778D"/>
    <w:rsid w:val="00647A97"/>
    <w:rsid w:val="00647C28"/>
    <w:rsid w:val="006506C6"/>
    <w:rsid w:val="00652CEE"/>
    <w:rsid w:val="00654878"/>
    <w:rsid w:val="00654E58"/>
    <w:rsid w:val="006557AF"/>
    <w:rsid w:val="00655C63"/>
    <w:rsid w:val="00656052"/>
    <w:rsid w:val="0065633F"/>
    <w:rsid w:val="006565F8"/>
    <w:rsid w:val="00657760"/>
    <w:rsid w:val="00657CC9"/>
    <w:rsid w:val="00660747"/>
    <w:rsid w:val="00661A6E"/>
    <w:rsid w:val="00661B44"/>
    <w:rsid w:val="00663D3B"/>
    <w:rsid w:val="006646F8"/>
    <w:rsid w:val="00664AEE"/>
    <w:rsid w:val="00665004"/>
    <w:rsid w:val="00665AA8"/>
    <w:rsid w:val="00665FDB"/>
    <w:rsid w:val="00667126"/>
    <w:rsid w:val="006705D7"/>
    <w:rsid w:val="00670DAF"/>
    <w:rsid w:val="00671F5E"/>
    <w:rsid w:val="00672C70"/>
    <w:rsid w:val="00672FFE"/>
    <w:rsid w:val="006736B5"/>
    <w:rsid w:val="00673BF7"/>
    <w:rsid w:val="00673DD2"/>
    <w:rsid w:val="0067437E"/>
    <w:rsid w:val="0067440F"/>
    <w:rsid w:val="00674862"/>
    <w:rsid w:val="006748BD"/>
    <w:rsid w:val="00674BAD"/>
    <w:rsid w:val="00674C08"/>
    <w:rsid w:val="006750A7"/>
    <w:rsid w:val="00675251"/>
    <w:rsid w:val="0067707E"/>
    <w:rsid w:val="006806DC"/>
    <w:rsid w:val="00681A83"/>
    <w:rsid w:val="00681E36"/>
    <w:rsid w:val="00681F64"/>
    <w:rsid w:val="00684060"/>
    <w:rsid w:val="00684A2F"/>
    <w:rsid w:val="00686190"/>
    <w:rsid w:val="006868DE"/>
    <w:rsid w:val="006871CC"/>
    <w:rsid w:val="00687D36"/>
    <w:rsid w:val="00690E2F"/>
    <w:rsid w:val="00691474"/>
    <w:rsid w:val="00691490"/>
    <w:rsid w:val="00691CF7"/>
    <w:rsid w:val="0069247D"/>
    <w:rsid w:val="0069248C"/>
    <w:rsid w:val="00692F0D"/>
    <w:rsid w:val="0069592A"/>
    <w:rsid w:val="00696067"/>
    <w:rsid w:val="006963CC"/>
    <w:rsid w:val="0069653C"/>
    <w:rsid w:val="006967BB"/>
    <w:rsid w:val="00697394"/>
    <w:rsid w:val="00697C74"/>
    <w:rsid w:val="006A23E3"/>
    <w:rsid w:val="006A298D"/>
    <w:rsid w:val="006A2D72"/>
    <w:rsid w:val="006A372A"/>
    <w:rsid w:val="006A3C8D"/>
    <w:rsid w:val="006A49D0"/>
    <w:rsid w:val="006A540B"/>
    <w:rsid w:val="006A5601"/>
    <w:rsid w:val="006A5EBE"/>
    <w:rsid w:val="006A6DD3"/>
    <w:rsid w:val="006B1489"/>
    <w:rsid w:val="006B1B53"/>
    <w:rsid w:val="006B20C4"/>
    <w:rsid w:val="006B3BCB"/>
    <w:rsid w:val="006B46CE"/>
    <w:rsid w:val="006B522D"/>
    <w:rsid w:val="006B52EC"/>
    <w:rsid w:val="006B5948"/>
    <w:rsid w:val="006B638A"/>
    <w:rsid w:val="006B7413"/>
    <w:rsid w:val="006B7812"/>
    <w:rsid w:val="006C0209"/>
    <w:rsid w:val="006C05F8"/>
    <w:rsid w:val="006C0AAF"/>
    <w:rsid w:val="006C11FB"/>
    <w:rsid w:val="006C189F"/>
    <w:rsid w:val="006C6F1C"/>
    <w:rsid w:val="006C706C"/>
    <w:rsid w:val="006C78AF"/>
    <w:rsid w:val="006C7E1C"/>
    <w:rsid w:val="006D0495"/>
    <w:rsid w:val="006D0744"/>
    <w:rsid w:val="006D0B3E"/>
    <w:rsid w:val="006D4ACB"/>
    <w:rsid w:val="006D57C1"/>
    <w:rsid w:val="006E0DAD"/>
    <w:rsid w:val="006E1656"/>
    <w:rsid w:val="006E1673"/>
    <w:rsid w:val="006E1712"/>
    <w:rsid w:val="006E3817"/>
    <w:rsid w:val="006E4148"/>
    <w:rsid w:val="006E4DB8"/>
    <w:rsid w:val="006E4E45"/>
    <w:rsid w:val="006E515C"/>
    <w:rsid w:val="006E5A22"/>
    <w:rsid w:val="006E5D72"/>
    <w:rsid w:val="006E7593"/>
    <w:rsid w:val="006F1B1D"/>
    <w:rsid w:val="006F1CA7"/>
    <w:rsid w:val="006F253A"/>
    <w:rsid w:val="006F3C7A"/>
    <w:rsid w:val="006F4317"/>
    <w:rsid w:val="006F4519"/>
    <w:rsid w:val="006F45EE"/>
    <w:rsid w:val="006F52B7"/>
    <w:rsid w:val="006F7E34"/>
    <w:rsid w:val="00700183"/>
    <w:rsid w:val="00700858"/>
    <w:rsid w:val="00701E94"/>
    <w:rsid w:val="00701FFF"/>
    <w:rsid w:val="0070267D"/>
    <w:rsid w:val="0070267E"/>
    <w:rsid w:val="00702827"/>
    <w:rsid w:val="0070295E"/>
    <w:rsid w:val="007039B3"/>
    <w:rsid w:val="0070440D"/>
    <w:rsid w:val="00705D1F"/>
    <w:rsid w:val="007062C4"/>
    <w:rsid w:val="0070738A"/>
    <w:rsid w:val="007075F7"/>
    <w:rsid w:val="007077F5"/>
    <w:rsid w:val="00712279"/>
    <w:rsid w:val="00712A21"/>
    <w:rsid w:val="00712C72"/>
    <w:rsid w:val="0071405D"/>
    <w:rsid w:val="00714DBB"/>
    <w:rsid w:val="0071590E"/>
    <w:rsid w:val="00716BC8"/>
    <w:rsid w:val="007172DD"/>
    <w:rsid w:val="0071760E"/>
    <w:rsid w:val="0071786A"/>
    <w:rsid w:val="00717A15"/>
    <w:rsid w:val="00717F43"/>
    <w:rsid w:val="00720FBF"/>
    <w:rsid w:val="007214D9"/>
    <w:rsid w:val="007215EA"/>
    <w:rsid w:val="0072182E"/>
    <w:rsid w:val="0072206E"/>
    <w:rsid w:val="007228EE"/>
    <w:rsid w:val="00722B1E"/>
    <w:rsid w:val="00722C45"/>
    <w:rsid w:val="00723068"/>
    <w:rsid w:val="0072349C"/>
    <w:rsid w:val="00724122"/>
    <w:rsid w:val="007243A1"/>
    <w:rsid w:val="007249C5"/>
    <w:rsid w:val="00724BBF"/>
    <w:rsid w:val="00725139"/>
    <w:rsid w:val="0072611C"/>
    <w:rsid w:val="007262D1"/>
    <w:rsid w:val="0072680E"/>
    <w:rsid w:val="00727391"/>
    <w:rsid w:val="007275CE"/>
    <w:rsid w:val="00727A4C"/>
    <w:rsid w:val="0073035B"/>
    <w:rsid w:val="00731060"/>
    <w:rsid w:val="007319EC"/>
    <w:rsid w:val="00731B44"/>
    <w:rsid w:val="007331ED"/>
    <w:rsid w:val="0073323A"/>
    <w:rsid w:val="0073334D"/>
    <w:rsid w:val="007333CA"/>
    <w:rsid w:val="00735B4D"/>
    <w:rsid w:val="00735ECA"/>
    <w:rsid w:val="00735F0A"/>
    <w:rsid w:val="00736B50"/>
    <w:rsid w:val="00737187"/>
    <w:rsid w:val="0074009E"/>
    <w:rsid w:val="007400B2"/>
    <w:rsid w:val="007416E1"/>
    <w:rsid w:val="00741A4F"/>
    <w:rsid w:val="00742982"/>
    <w:rsid w:val="007459D3"/>
    <w:rsid w:val="00745E62"/>
    <w:rsid w:val="007472F1"/>
    <w:rsid w:val="00750F10"/>
    <w:rsid w:val="0075104E"/>
    <w:rsid w:val="007510CB"/>
    <w:rsid w:val="00751656"/>
    <w:rsid w:val="00751FB4"/>
    <w:rsid w:val="007521E0"/>
    <w:rsid w:val="007523FB"/>
    <w:rsid w:val="0075342D"/>
    <w:rsid w:val="00753524"/>
    <w:rsid w:val="00753BEC"/>
    <w:rsid w:val="0075595A"/>
    <w:rsid w:val="00756337"/>
    <w:rsid w:val="00756810"/>
    <w:rsid w:val="00756F11"/>
    <w:rsid w:val="00760058"/>
    <w:rsid w:val="00760A6E"/>
    <w:rsid w:val="0076163F"/>
    <w:rsid w:val="007620F0"/>
    <w:rsid w:val="00762105"/>
    <w:rsid w:val="0076237D"/>
    <w:rsid w:val="007624BF"/>
    <w:rsid w:val="007624C2"/>
    <w:rsid w:val="007633A4"/>
    <w:rsid w:val="00764B14"/>
    <w:rsid w:val="007653F7"/>
    <w:rsid w:val="00765738"/>
    <w:rsid w:val="0076597A"/>
    <w:rsid w:val="00765D35"/>
    <w:rsid w:val="007663FA"/>
    <w:rsid w:val="00767B6F"/>
    <w:rsid w:val="007702CA"/>
    <w:rsid w:val="0077061C"/>
    <w:rsid w:val="00772754"/>
    <w:rsid w:val="007730D6"/>
    <w:rsid w:val="00773155"/>
    <w:rsid w:val="0077335F"/>
    <w:rsid w:val="007744B7"/>
    <w:rsid w:val="00775754"/>
    <w:rsid w:val="0077613B"/>
    <w:rsid w:val="007767FA"/>
    <w:rsid w:val="00776BB0"/>
    <w:rsid w:val="00777F27"/>
    <w:rsid w:val="0078008E"/>
    <w:rsid w:val="0078031F"/>
    <w:rsid w:val="00780EA4"/>
    <w:rsid w:val="007813D6"/>
    <w:rsid w:val="0078161D"/>
    <w:rsid w:val="007817A4"/>
    <w:rsid w:val="007818C8"/>
    <w:rsid w:val="00782EB6"/>
    <w:rsid w:val="00783450"/>
    <w:rsid w:val="007836D1"/>
    <w:rsid w:val="0078385B"/>
    <w:rsid w:val="00784756"/>
    <w:rsid w:val="0078573C"/>
    <w:rsid w:val="00785C72"/>
    <w:rsid w:val="0078634A"/>
    <w:rsid w:val="00786FA2"/>
    <w:rsid w:val="007904D2"/>
    <w:rsid w:val="007905CF"/>
    <w:rsid w:val="007910BE"/>
    <w:rsid w:val="007911B8"/>
    <w:rsid w:val="007918B5"/>
    <w:rsid w:val="00791B40"/>
    <w:rsid w:val="0079232C"/>
    <w:rsid w:val="007924A0"/>
    <w:rsid w:val="00793577"/>
    <w:rsid w:val="0079483F"/>
    <w:rsid w:val="00797DBE"/>
    <w:rsid w:val="007A00DC"/>
    <w:rsid w:val="007A11E7"/>
    <w:rsid w:val="007A126B"/>
    <w:rsid w:val="007A245A"/>
    <w:rsid w:val="007A2FA1"/>
    <w:rsid w:val="007A3A79"/>
    <w:rsid w:val="007A415E"/>
    <w:rsid w:val="007A4D99"/>
    <w:rsid w:val="007A566A"/>
    <w:rsid w:val="007A63E0"/>
    <w:rsid w:val="007A7056"/>
    <w:rsid w:val="007A7341"/>
    <w:rsid w:val="007A74D8"/>
    <w:rsid w:val="007A7702"/>
    <w:rsid w:val="007A794E"/>
    <w:rsid w:val="007B0350"/>
    <w:rsid w:val="007B5E40"/>
    <w:rsid w:val="007B70A4"/>
    <w:rsid w:val="007B74C8"/>
    <w:rsid w:val="007B788D"/>
    <w:rsid w:val="007B7AC2"/>
    <w:rsid w:val="007B7DC8"/>
    <w:rsid w:val="007C1245"/>
    <w:rsid w:val="007C1AD5"/>
    <w:rsid w:val="007C3DF9"/>
    <w:rsid w:val="007C46D0"/>
    <w:rsid w:val="007C508A"/>
    <w:rsid w:val="007C59FB"/>
    <w:rsid w:val="007C5DBD"/>
    <w:rsid w:val="007C6722"/>
    <w:rsid w:val="007C6A19"/>
    <w:rsid w:val="007C759E"/>
    <w:rsid w:val="007C77F7"/>
    <w:rsid w:val="007C7E82"/>
    <w:rsid w:val="007D091C"/>
    <w:rsid w:val="007D1182"/>
    <w:rsid w:val="007D2836"/>
    <w:rsid w:val="007D294A"/>
    <w:rsid w:val="007D2E70"/>
    <w:rsid w:val="007D329D"/>
    <w:rsid w:val="007D3543"/>
    <w:rsid w:val="007D41B2"/>
    <w:rsid w:val="007D4F2C"/>
    <w:rsid w:val="007D55D0"/>
    <w:rsid w:val="007D70AE"/>
    <w:rsid w:val="007D76FD"/>
    <w:rsid w:val="007D7DE4"/>
    <w:rsid w:val="007E14AA"/>
    <w:rsid w:val="007E1BC8"/>
    <w:rsid w:val="007E38E7"/>
    <w:rsid w:val="007E4547"/>
    <w:rsid w:val="007E495D"/>
    <w:rsid w:val="007E4A5B"/>
    <w:rsid w:val="007E4C26"/>
    <w:rsid w:val="007E5817"/>
    <w:rsid w:val="007E5A45"/>
    <w:rsid w:val="007E5DEC"/>
    <w:rsid w:val="007E5F55"/>
    <w:rsid w:val="007E639E"/>
    <w:rsid w:val="007F0BC7"/>
    <w:rsid w:val="007F19D9"/>
    <w:rsid w:val="007F215F"/>
    <w:rsid w:val="007F3023"/>
    <w:rsid w:val="007F3612"/>
    <w:rsid w:val="007F3891"/>
    <w:rsid w:val="007F3FD0"/>
    <w:rsid w:val="007F477D"/>
    <w:rsid w:val="007F4D34"/>
    <w:rsid w:val="007F4DB0"/>
    <w:rsid w:val="007F6417"/>
    <w:rsid w:val="0080194E"/>
    <w:rsid w:val="00802057"/>
    <w:rsid w:val="00802B68"/>
    <w:rsid w:val="00802BDE"/>
    <w:rsid w:val="00803B52"/>
    <w:rsid w:val="00803E31"/>
    <w:rsid w:val="00807414"/>
    <w:rsid w:val="0081042D"/>
    <w:rsid w:val="008104D9"/>
    <w:rsid w:val="00810C2D"/>
    <w:rsid w:val="008113E3"/>
    <w:rsid w:val="00812D0B"/>
    <w:rsid w:val="008130EF"/>
    <w:rsid w:val="00814D5E"/>
    <w:rsid w:val="008159D4"/>
    <w:rsid w:val="00816473"/>
    <w:rsid w:val="00817082"/>
    <w:rsid w:val="00817367"/>
    <w:rsid w:val="0082089B"/>
    <w:rsid w:val="00820AC7"/>
    <w:rsid w:val="00820AFE"/>
    <w:rsid w:val="00821161"/>
    <w:rsid w:val="00821C0D"/>
    <w:rsid w:val="00822066"/>
    <w:rsid w:val="008221C7"/>
    <w:rsid w:val="00822A16"/>
    <w:rsid w:val="008233CF"/>
    <w:rsid w:val="0082442D"/>
    <w:rsid w:val="0082463A"/>
    <w:rsid w:val="00825DC2"/>
    <w:rsid w:val="008263E5"/>
    <w:rsid w:val="0083057A"/>
    <w:rsid w:val="008313A2"/>
    <w:rsid w:val="008325C7"/>
    <w:rsid w:val="00835A5F"/>
    <w:rsid w:val="00836E8F"/>
    <w:rsid w:val="00837067"/>
    <w:rsid w:val="0083757A"/>
    <w:rsid w:val="008375EC"/>
    <w:rsid w:val="00837B3C"/>
    <w:rsid w:val="00837C83"/>
    <w:rsid w:val="00840363"/>
    <w:rsid w:val="008405EB"/>
    <w:rsid w:val="00842B70"/>
    <w:rsid w:val="00844940"/>
    <w:rsid w:val="00845179"/>
    <w:rsid w:val="008460DF"/>
    <w:rsid w:val="00847997"/>
    <w:rsid w:val="00851771"/>
    <w:rsid w:val="00851C34"/>
    <w:rsid w:val="008525DD"/>
    <w:rsid w:val="00853710"/>
    <w:rsid w:val="00855092"/>
    <w:rsid w:val="008550BE"/>
    <w:rsid w:val="0085540C"/>
    <w:rsid w:val="00855C14"/>
    <w:rsid w:val="0085741E"/>
    <w:rsid w:val="008574BB"/>
    <w:rsid w:val="008574CD"/>
    <w:rsid w:val="00857F7E"/>
    <w:rsid w:val="008601B9"/>
    <w:rsid w:val="00860348"/>
    <w:rsid w:val="00861C43"/>
    <w:rsid w:val="00861DF3"/>
    <w:rsid w:val="00864103"/>
    <w:rsid w:val="00865248"/>
    <w:rsid w:val="00865B0A"/>
    <w:rsid w:val="00866031"/>
    <w:rsid w:val="008662FB"/>
    <w:rsid w:val="008672DC"/>
    <w:rsid w:val="00870156"/>
    <w:rsid w:val="00870736"/>
    <w:rsid w:val="00871013"/>
    <w:rsid w:val="008710BB"/>
    <w:rsid w:val="00872239"/>
    <w:rsid w:val="00872CDF"/>
    <w:rsid w:val="00873EEE"/>
    <w:rsid w:val="00874407"/>
    <w:rsid w:val="00874E58"/>
    <w:rsid w:val="00874F2A"/>
    <w:rsid w:val="008752F9"/>
    <w:rsid w:val="00876EDC"/>
    <w:rsid w:val="00877564"/>
    <w:rsid w:val="0087756C"/>
    <w:rsid w:val="0088159A"/>
    <w:rsid w:val="00881963"/>
    <w:rsid w:val="00883495"/>
    <w:rsid w:val="008844D5"/>
    <w:rsid w:val="008845D8"/>
    <w:rsid w:val="0088475B"/>
    <w:rsid w:val="00884EE3"/>
    <w:rsid w:val="0088509F"/>
    <w:rsid w:val="00885DB0"/>
    <w:rsid w:val="008900C0"/>
    <w:rsid w:val="008901D7"/>
    <w:rsid w:val="008902E2"/>
    <w:rsid w:val="00891363"/>
    <w:rsid w:val="00891AD2"/>
    <w:rsid w:val="008943F3"/>
    <w:rsid w:val="0089536B"/>
    <w:rsid w:val="0089626A"/>
    <w:rsid w:val="00896636"/>
    <w:rsid w:val="00897250"/>
    <w:rsid w:val="008A1FF4"/>
    <w:rsid w:val="008A2756"/>
    <w:rsid w:val="008A2C0C"/>
    <w:rsid w:val="008A3F99"/>
    <w:rsid w:val="008A4C3C"/>
    <w:rsid w:val="008A4EB4"/>
    <w:rsid w:val="008A65E9"/>
    <w:rsid w:val="008A7B58"/>
    <w:rsid w:val="008B0679"/>
    <w:rsid w:val="008B10E1"/>
    <w:rsid w:val="008B78C5"/>
    <w:rsid w:val="008B7900"/>
    <w:rsid w:val="008B7AC1"/>
    <w:rsid w:val="008C3697"/>
    <w:rsid w:val="008C519F"/>
    <w:rsid w:val="008C734A"/>
    <w:rsid w:val="008C76D1"/>
    <w:rsid w:val="008C7FDA"/>
    <w:rsid w:val="008D00BE"/>
    <w:rsid w:val="008D336B"/>
    <w:rsid w:val="008D42CC"/>
    <w:rsid w:val="008D4368"/>
    <w:rsid w:val="008D4976"/>
    <w:rsid w:val="008D4E55"/>
    <w:rsid w:val="008D4FC5"/>
    <w:rsid w:val="008D5286"/>
    <w:rsid w:val="008D5B12"/>
    <w:rsid w:val="008D5D80"/>
    <w:rsid w:val="008D61B2"/>
    <w:rsid w:val="008D65E8"/>
    <w:rsid w:val="008D6BF2"/>
    <w:rsid w:val="008D6FF3"/>
    <w:rsid w:val="008D7B48"/>
    <w:rsid w:val="008D7B98"/>
    <w:rsid w:val="008D7C1B"/>
    <w:rsid w:val="008D7DDB"/>
    <w:rsid w:val="008E0D05"/>
    <w:rsid w:val="008E1D78"/>
    <w:rsid w:val="008E24FD"/>
    <w:rsid w:val="008E3946"/>
    <w:rsid w:val="008E3BFA"/>
    <w:rsid w:val="008E422C"/>
    <w:rsid w:val="008E454F"/>
    <w:rsid w:val="008E4CC1"/>
    <w:rsid w:val="008E6A2C"/>
    <w:rsid w:val="008E6F29"/>
    <w:rsid w:val="008E726F"/>
    <w:rsid w:val="008E7846"/>
    <w:rsid w:val="008E7AA4"/>
    <w:rsid w:val="008E7E8C"/>
    <w:rsid w:val="008F0084"/>
    <w:rsid w:val="008F027E"/>
    <w:rsid w:val="008F0421"/>
    <w:rsid w:val="008F0D51"/>
    <w:rsid w:val="008F1135"/>
    <w:rsid w:val="008F1C23"/>
    <w:rsid w:val="008F23B0"/>
    <w:rsid w:val="008F2F54"/>
    <w:rsid w:val="008F3294"/>
    <w:rsid w:val="008F3BFC"/>
    <w:rsid w:val="008F4D06"/>
    <w:rsid w:val="008F5E11"/>
    <w:rsid w:val="008F665E"/>
    <w:rsid w:val="008F7681"/>
    <w:rsid w:val="008F79FD"/>
    <w:rsid w:val="008F7B61"/>
    <w:rsid w:val="008F7BC3"/>
    <w:rsid w:val="008F7EDC"/>
    <w:rsid w:val="00900970"/>
    <w:rsid w:val="00901083"/>
    <w:rsid w:val="009023E5"/>
    <w:rsid w:val="009027A7"/>
    <w:rsid w:val="00902C9C"/>
    <w:rsid w:val="00902D0D"/>
    <w:rsid w:val="009052FE"/>
    <w:rsid w:val="00907829"/>
    <w:rsid w:val="0091180C"/>
    <w:rsid w:val="0091231D"/>
    <w:rsid w:val="009129CA"/>
    <w:rsid w:val="00912BB3"/>
    <w:rsid w:val="00913B8E"/>
    <w:rsid w:val="00913DAD"/>
    <w:rsid w:val="009147C3"/>
    <w:rsid w:val="009173AE"/>
    <w:rsid w:val="00917FB0"/>
    <w:rsid w:val="00920118"/>
    <w:rsid w:val="0092192B"/>
    <w:rsid w:val="00921ED2"/>
    <w:rsid w:val="00922D7D"/>
    <w:rsid w:val="00923E13"/>
    <w:rsid w:val="00924B59"/>
    <w:rsid w:val="009254DD"/>
    <w:rsid w:val="00925928"/>
    <w:rsid w:val="00925CAF"/>
    <w:rsid w:val="0092686E"/>
    <w:rsid w:val="009269BE"/>
    <w:rsid w:val="0092755B"/>
    <w:rsid w:val="00927658"/>
    <w:rsid w:val="00930112"/>
    <w:rsid w:val="009301F9"/>
    <w:rsid w:val="00930327"/>
    <w:rsid w:val="00931220"/>
    <w:rsid w:val="009317FF"/>
    <w:rsid w:val="00931E65"/>
    <w:rsid w:val="00932457"/>
    <w:rsid w:val="00934116"/>
    <w:rsid w:val="00934740"/>
    <w:rsid w:val="0093485C"/>
    <w:rsid w:val="00934D97"/>
    <w:rsid w:val="0093563D"/>
    <w:rsid w:val="009377B5"/>
    <w:rsid w:val="00937E9C"/>
    <w:rsid w:val="009407BA"/>
    <w:rsid w:val="009408BE"/>
    <w:rsid w:val="00940A0E"/>
    <w:rsid w:val="009410A8"/>
    <w:rsid w:val="009412AC"/>
    <w:rsid w:val="009426E3"/>
    <w:rsid w:val="00942A00"/>
    <w:rsid w:val="00943C9C"/>
    <w:rsid w:val="00943E3E"/>
    <w:rsid w:val="00943FF2"/>
    <w:rsid w:val="009443C0"/>
    <w:rsid w:val="00944921"/>
    <w:rsid w:val="00944942"/>
    <w:rsid w:val="009464AE"/>
    <w:rsid w:val="00946F5F"/>
    <w:rsid w:val="009479A6"/>
    <w:rsid w:val="00947C1B"/>
    <w:rsid w:val="00947C39"/>
    <w:rsid w:val="00947CA7"/>
    <w:rsid w:val="00950485"/>
    <w:rsid w:val="009505E2"/>
    <w:rsid w:val="00950B97"/>
    <w:rsid w:val="009512AD"/>
    <w:rsid w:val="00951EBD"/>
    <w:rsid w:val="00951F86"/>
    <w:rsid w:val="009522C0"/>
    <w:rsid w:val="00952425"/>
    <w:rsid w:val="0095266F"/>
    <w:rsid w:val="00952E79"/>
    <w:rsid w:val="00954377"/>
    <w:rsid w:val="00955932"/>
    <w:rsid w:val="00955C90"/>
    <w:rsid w:val="00955E6F"/>
    <w:rsid w:val="009568A0"/>
    <w:rsid w:val="00956A49"/>
    <w:rsid w:val="00957794"/>
    <w:rsid w:val="00957915"/>
    <w:rsid w:val="00960BA0"/>
    <w:rsid w:val="00961430"/>
    <w:rsid w:val="00961BBB"/>
    <w:rsid w:val="0096516A"/>
    <w:rsid w:val="00965A63"/>
    <w:rsid w:val="00965C6B"/>
    <w:rsid w:val="00967591"/>
    <w:rsid w:val="009706E4"/>
    <w:rsid w:val="0097098E"/>
    <w:rsid w:val="00970EEC"/>
    <w:rsid w:val="00971E62"/>
    <w:rsid w:val="00971E9E"/>
    <w:rsid w:val="0097252B"/>
    <w:rsid w:val="009728F0"/>
    <w:rsid w:val="009729B7"/>
    <w:rsid w:val="00973560"/>
    <w:rsid w:val="009735A6"/>
    <w:rsid w:val="00973DAA"/>
    <w:rsid w:val="00974BAC"/>
    <w:rsid w:val="00976ADF"/>
    <w:rsid w:val="00976E96"/>
    <w:rsid w:val="009774D3"/>
    <w:rsid w:val="00980B64"/>
    <w:rsid w:val="009839BD"/>
    <w:rsid w:val="0098588C"/>
    <w:rsid w:val="00985A34"/>
    <w:rsid w:val="00987C27"/>
    <w:rsid w:val="009901F8"/>
    <w:rsid w:val="0099055F"/>
    <w:rsid w:val="00990874"/>
    <w:rsid w:val="0099137F"/>
    <w:rsid w:val="009921F9"/>
    <w:rsid w:val="009924A5"/>
    <w:rsid w:val="00993611"/>
    <w:rsid w:val="009936A5"/>
    <w:rsid w:val="0099454B"/>
    <w:rsid w:val="009950C6"/>
    <w:rsid w:val="009957F3"/>
    <w:rsid w:val="00995829"/>
    <w:rsid w:val="00995AAD"/>
    <w:rsid w:val="00995B29"/>
    <w:rsid w:val="00996BEB"/>
    <w:rsid w:val="00996E85"/>
    <w:rsid w:val="0099754B"/>
    <w:rsid w:val="009A03C4"/>
    <w:rsid w:val="009A0513"/>
    <w:rsid w:val="009A0A73"/>
    <w:rsid w:val="009A1457"/>
    <w:rsid w:val="009A174F"/>
    <w:rsid w:val="009A1CD3"/>
    <w:rsid w:val="009A22BF"/>
    <w:rsid w:val="009A3F13"/>
    <w:rsid w:val="009A5AF3"/>
    <w:rsid w:val="009A5E24"/>
    <w:rsid w:val="009A779B"/>
    <w:rsid w:val="009A7C6E"/>
    <w:rsid w:val="009B05BE"/>
    <w:rsid w:val="009B134D"/>
    <w:rsid w:val="009B3AC4"/>
    <w:rsid w:val="009B5406"/>
    <w:rsid w:val="009B6E8E"/>
    <w:rsid w:val="009B78D0"/>
    <w:rsid w:val="009C000E"/>
    <w:rsid w:val="009C0324"/>
    <w:rsid w:val="009C0510"/>
    <w:rsid w:val="009C05DE"/>
    <w:rsid w:val="009C0630"/>
    <w:rsid w:val="009C0BE7"/>
    <w:rsid w:val="009C0F0B"/>
    <w:rsid w:val="009C28F9"/>
    <w:rsid w:val="009C2BB0"/>
    <w:rsid w:val="009C3991"/>
    <w:rsid w:val="009C4D17"/>
    <w:rsid w:val="009C5BDF"/>
    <w:rsid w:val="009C66A0"/>
    <w:rsid w:val="009C701F"/>
    <w:rsid w:val="009D05AE"/>
    <w:rsid w:val="009D25D9"/>
    <w:rsid w:val="009D2EF6"/>
    <w:rsid w:val="009D2F9C"/>
    <w:rsid w:val="009D383B"/>
    <w:rsid w:val="009D4325"/>
    <w:rsid w:val="009D4784"/>
    <w:rsid w:val="009D481B"/>
    <w:rsid w:val="009D5311"/>
    <w:rsid w:val="009D53FB"/>
    <w:rsid w:val="009D5655"/>
    <w:rsid w:val="009D6D31"/>
    <w:rsid w:val="009D7293"/>
    <w:rsid w:val="009E0CD7"/>
    <w:rsid w:val="009E1D73"/>
    <w:rsid w:val="009E217F"/>
    <w:rsid w:val="009E30C8"/>
    <w:rsid w:val="009E3FED"/>
    <w:rsid w:val="009E4017"/>
    <w:rsid w:val="009E492C"/>
    <w:rsid w:val="009E49E5"/>
    <w:rsid w:val="009E4ADD"/>
    <w:rsid w:val="009E4EDC"/>
    <w:rsid w:val="009E6CB2"/>
    <w:rsid w:val="009E775B"/>
    <w:rsid w:val="009F07DE"/>
    <w:rsid w:val="009F09F2"/>
    <w:rsid w:val="009F1879"/>
    <w:rsid w:val="009F1A5E"/>
    <w:rsid w:val="009F1D3A"/>
    <w:rsid w:val="009F1E50"/>
    <w:rsid w:val="009F20A3"/>
    <w:rsid w:val="009F21A8"/>
    <w:rsid w:val="009F2616"/>
    <w:rsid w:val="009F3033"/>
    <w:rsid w:val="009F3205"/>
    <w:rsid w:val="009F3E22"/>
    <w:rsid w:val="009F4121"/>
    <w:rsid w:val="009F45C2"/>
    <w:rsid w:val="009F4BCA"/>
    <w:rsid w:val="009F4D15"/>
    <w:rsid w:val="009F7760"/>
    <w:rsid w:val="009F7C76"/>
    <w:rsid w:val="00A004EC"/>
    <w:rsid w:val="00A015F2"/>
    <w:rsid w:val="00A0191A"/>
    <w:rsid w:val="00A0192C"/>
    <w:rsid w:val="00A0257A"/>
    <w:rsid w:val="00A02885"/>
    <w:rsid w:val="00A040FE"/>
    <w:rsid w:val="00A04BDF"/>
    <w:rsid w:val="00A0575E"/>
    <w:rsid w:val="00A06496"/>
    <w:rsid w:val="00A1013B"/>
    <w:rsid w:val="00A10594"/>
    <w:rsid w:val="00A1132C"/>
    <w:rsid w:val="00A117DB"/>
    <w:rsid w:val="00A11C84"/>
    <w:rsid w:val="00A1229D"/>
    <w:rsid w:val="00A123FB"/>
    <w:rsid w:val="00A15E88"/>
    <w:rsid w:val="00A16B0C"/>
    <w:rsid w:val="00A16B17"/>
    <w:rsid w:val="00A176E7"/>
    <w:rsid w:val="00A17B97"/>
    <w:rsid w:val="00A20A0D"/>
    <w:rsid w:val="00A20DB1"/>
    <w:rsid w:val="00A20FEC"/>
    <w:rsid w:val="00A22532"/>
    <w:rsid w:val="00A22F33"/>
    <w:rsid w:val="00A235BF"/>
    <w:rsid w:val="00A23C36"/>
    <w:rsid w:val="00A245E5"/>
    <w:rsid w:val="00A249F3"/>
    <w:rsid w:val="00A25FE1"/>
    <w:rsid w:val="00A265D5"/>
    <w:rsid w:val="00A269D8"/>
    <w:rsid w:val="00A2752D"/>
    <w:rsid w:val="00A27719"/>
    <w:rsid w:val="00A30D96"/>
    <w:rsid w:val="00A3100A"/>
    <w:rsid w:val="00A31685"/>
    <w:rsid w:val="00A31CA1"/>
    <w:rsid w:val="00A323EC"/>
    <w:rsid w:val="00A32F54"/>
    <w:rsid w:val="00A347A0"/>
    <w:rsid w:val="00A34EA1"/>
    <w:rsid w:val="00A366B4"/>
    <w:rsid w:val="00A3772F"/>
    <w:rsid w:val="00A40D79"/>
    <w:rsid w:val="00A417D4"/>
    <w:rsid w:val="00A459B2"/>
    <w:rsid w:val="00A471F5"/>
    <w:rsid w:val="00A52F36"/>
    <w:rsid w:val="00A53612"/>
    <w:rsid w:val="00A54456"/>
    <w:rsid w:val="00A5491E"/>
    <w:rsid w:val="00A54C45"/>
    <w:rsid w:val="00A550CA"/>
    <w:rsid w:val="00A5569F"/>
    <w:rsid w:val="00A56382"/>
    <w:rsid w:val="00A56A13"/>
    <w:rsid w:val="00A56E58"/>
    <w:rsid w:val="00A57839"/>
    <w:rsid w:val="00A60A87"/>
    <w:rsid w:val="00A60D44"/>
    <w:rsid w:val="00A61B21"/>
    <w:rsid w:val="00A62021"/>
    <w:rsid w:val="00A6249D"/>
    <w:rsid w:val="00A63492"/>
    <w:rsid w:val="00A6514A"/>
    <w:rsid w:val="00A668FA"/>
    <w:rsid w:val="00A671D9"/>
    <w:rsid w:val="00A67925"/>
    <w:rsid w:val="00A700CB"/>
    <w:rsid w:val="00A7028A"/>
    <w:rsid w:val="00A712BE"/>
    <w:rsid w:val="00A71E33"/>
    <w:rsid w:val="00A72923"/>
    <w:rsid w:val="00A72C81"/>
    <w:rsid w:val="00A72E06"/>
    <w:rsid w:val="00A73D0C"/>
    <w:rsid w:val="00A7731A"/>
    <w:rsid w:val="00A77B87"/>
    <w:rsid w:val="00A82CD0"/>
    <w:rsid w:val="00A83517"/>
    <w:rsid w:val="00A849C8"/>
    <w:rsid w:val="00A850B3"/>
    <w:rsid w:val="00A86B64"/>
    <w:rsid w:val="00A87CDC"/>
    <w:rsid w:val="00A9020D"/>
    <w:rsid w:val="00A90736"/>
    <w:rsid w:val="00A90929"/>
    <w:rsid w:val="00A92E1F"/>
    <w:rsid w:val="00A933AA"/>
    <w:rsid w:val="00A93928"/>
    <w:rsid w:val="00A93CB2"/>
    <w:rsid w:val="00A955EB"/>
    <w:rsid w:val="00A959D8"/>
    <w:rsid w:val="00A96224"/>
    <w:rsid w:val="00AA172E"/>
    <w:rsid w:val="00AA2F05"/>
    <w:rsid w:val="00AA453A"/>
    <w:rsid w:val="00AA6B31"/>
    <w:rsid w:val="00AA6C62"/>
    <w:rsid w:val="00AA7CF6"/>
    <w:rsid w:val="00AB0597"/>
    <w:rsid w:val="00AB0B84"/>
    <w:rsid w:val="00AB0C99"/>
    <w:rsid w:val="00AB104D"/>
    <w:rsid w:val="00AB16A1"/>
    <w:rsid w:val="00AB1D83"/>
    <w:rsid w:val="00AB1FC0"/>
    <w:rsid w:val="00AB2F49"/>
    <w:rsid w:val="00AB30BB"/>
    <w:rsid w:val="00AB4BE1"/>
    <w:rsid w:val="00AB70AC"/>
    <w:rsid w:val="00AB76C5"/>
    <w:rsid w:val="00AB780D"/>
    <w:rsid w:val="00AB790D"/>
    <w:rsid w:val="00AB7C71"/>
    <w:rsid w:val="00AC066B"/>
    <w:rsid w:val="00AC06F7"/>
    <w:rsid w:val="00AC074B"/>
    <w:rsid w:val="00AC088B"/>
    <w:rsid w:val="00AC0B2B"/>
    <w:rsid w:val="00AC169A"/>
    <w:rsid w:val="00AC2BB6"/>
    <w:rsid w:val="00AC34F2"/>
    <w:rsid w:val="00AC5262"/>
    <w:rsid w:val="00AC5E83"/>
    <w:rsid w:val="00AC608E"/>
    <w:rsid w:val="00AC64DC"/>
    <w:rsid w:val="00AC780E"/>
    <w:rsid w:val="00AD02EC"/>
    <w:rsid w:val="00AD0980"/>
    <w:rsid w:val="00AD0C19"/>
    <w:rsid w:val="00AD0E4D"/>
    <w:rsid w:val="00AD2061"/>
    <w:rsid w:val="00AD4F99"/>
    <w:rsid w:val="00AD552C"/>
    <w:rsid w:val="00AD5686"/>
    <w:rsid w:val="00AD5E7B"/>
    <w:rsid w:val="00AD5E8A"/>
    <w:rsid w:val="00AD740F"/>
    <w:rsid w:val="00AD7AFD"/>
    <w:rsid w:val="00AD7C05"/>
    <w:rsid w:val="00AD7C2D"/>
    <w:rsid w:val="00AE1CFC"/>
    <w:rsid w:val="00AE2A50"/>
    <w:rsid w:val="00AE2B22"/>
    <w:rsid w:val="00AE333A"/>
    <w:rsid w:val="00AE363A"/>
    <w:rsid w:val="00AE3786"/>
    <w:rsid w:val="00AE3A4D"/>
    <w:rsid w:val="00AE3C9A"/>
    <w:rsid w:val="00AE4054"/>
    <w:rsid w:val="00AE43F8"/>
    <w:rsid w:val="00AE535B"/>
    <w:rsid w:val="00AE6251"/>
    <w:rsid w:val="00AE64C4"/>
    <w:rsid w:val="00AE6E39"/>
    <w:rsid w:val="00AE72FA"/>
    <w:rsid w:val="00AE73B0"/>
    <w:rsid w:val="00AE76D0"/>
    <w:rsid w:val="00AE7880"/>
    <w:rsid w:val="00AE7E56"/>
    <w:rsid w:val="00AF0260"/>
    <w:rsid w:val="00AF0570"/>
    <w:rsid w:val="00AF12DF"/>
    <w:rsid w:val="00AF156D"/>
    <w:rsid w:val="00AF1BC8"/>
    <w:rsid w:val="00AF36B5"/>
    <w:rsid w:val="00AF3780"/>
    <w:rsid w:val="00AF3BCC"/>
    <w:rsid w:val="00AF3EAE"/>
    <w:rsid w:val="00AF4A7A"/>
    <w:rsid w:val="00AF4E34"/>
    <w:rsid w:val="00AF5803"/>
    <w:rsid w:val="00AF6742"/>
    <w:rsid w:val="00AF68A1"/>
    <w:rsid w:val="00AF6A40"/>
    <w:rsid w:val="00AF6E2D"/>
    <w:rsid w:val="00AF7144"/>
    <w:rsid w:val="00AF7871"/>
    <w:rsid w:val="00AF7C40"/>
    <w:rsid w:val="00B003DD"/>
    <w:rsid w:val="00B00AE7"/>
    <w:rsid w:val="00B02025"/>
    <w:rsid w:val="00B02320"/>
    <w:rsid w:val="00B02FE8"/>
    <w:rsid w:val="00B03296"/>
    <w:rsid w:val="00B04AB5"/>
    <w:rsid w:val="00B04FC2"/>
    <w:rsid w:val="00B05163"/>
    <w:rsid w:val="00B05F4A"/>
    <w:rsid w:val="00B0617F"/>
    <w:rsid w:val="00B06ADF"/>
    <w:rsid w:val="00B07805"/>
    <w:rsid w:val="00B0788A"/>
    <w:rsid w:val="00B10719"/>
    <w:rsid w:val="00B10AC0"/>
    <w:rsid w:val="00B10EF8"/>
    <w:rsid w:val="00B1165A"/>
    <w:rsid w:val="00B11AF1"/>
    <w:rsid w:val="00B120FF"/>
    <w:rsid w:val="00B12347"/>
    <w:rsid w:val="00B13BF7"/>
    <w:rsid w:val="00B14374"/>
    <w:rsid w:val="00B14AB3"/>
    <w:rsid w:val="00B14B41"/>
    <w:rsid w:val="00B14CBD"/>
    <w:rsid w:val="00B1619F"/>
    <w:rsid w:val="00B162C5"/>
    <w:rsid w:val="00B16BA2"/>
    <w:rsid w:val="00B175EE"/>
    <w:rsid w:val="00B2002D"/>
    <w:rsid w:val="00B20CF3"/>
    <w:rsid w:val="00B2107D"/>
    <w:rsid w:val="00B2141F"/>
    <w:rsid w:val="00B2205A"/>
    <w:rsid w:val="00B224E6"/>
    <w:rsid w:val="00B23727"/>
    <w:rsid w:val="00B23B0C"/>
    <w:rsid w:val="00B25821"/>
    <w:rsid w:val="00B30092"/>
    <w:rsid w:val="00B313F6"/>
    <w:rsid w:val="00B31A53"/>
    <w:rsid w:val="00B32268"/>
    <w:rsid w:val="00B325CA"/>
    <w:rsid w:val="00B32A92"/>
    <w:rsid w:val="00B342F8"/>
    <w:rsid w:val="00B351F3"/>
    <w:rsid w:val="00B35911"/>
    <w:rsid w:val="00B36C52"/>
    <w:rsid w:val="00B4047D"/>
    <w:rsid w:val="00B40E28"/>
    <w:rsid w:val="00B40FA4"/>
    <w:rsid w:val="00B41125"/>
    <w:rsid w:val="00B43406"/>
    <w:rsid w:val="00B434B4"/>
    <w:rsid w:val="00B4471E"/>
    <w:rsid w:val="00B44C48"/>
    <w:rsid w:val="00B44D6E"/>
    <w:rsid w:val="00B45D33"/>
    <w:rsid w:val="00B46256"/>
    <w:rsid w:val="00B4790E"/>
    <w:rsid w:val="00B47A00"/>
    <w:rsid w:val="00B47EFC"/>
    <w:rsid w:val="00B51EFC"/>
    <w:rsid w:val="00B51F81"/>
    <w:rsid w:val="00B521D6"/>
    <w:rsid w:val="00B521D7"/>
    <w:rsid w:val="00B52C72"/>
    <w:rsid w:val="00B535C0"/>
    <w:rsid w:val="00B5364E"/>
    <w:rsid w:val="00B54209"/>
    <w:rsid w:val="00B55F93"/>
    <w:rsid w:val="00B56152"/>
    <w:rsid w:val="00B5684C"/>
    <w:rsid w:val="00B61D87"/>
    <w:rsid w:val="00B624C1"/>
    <w:rsid w:val="00B62B6F"/>
    <w:rsid w:val="00B6627B"/>
    <w:rsid w:val="00B662D4"/>
    <w:rsid w:val="00B67E3D"/>
    <w:rsid w:val="00B7091F"/>
    <w:rsid w:val="00B709DF"/>
    <w:rsid w:val="00B71C77"/>
    <w:rsid w:val="00B71FAA"/>
    <w:rsid w:val="00B720CA"/>
    <w:rsid w:val="00B72781"/>
    <w:rsid w:val="00B7366A"/>
    <w:rsid w:val="00B73F59"/>
    <w:rsid w:val="00B742FF"/>
    <w:rsid w:val="00B74FDA"/>
    <w:rsid w:val="00B765C2"/>
    <w:rsid w:val="00B76710"/>
    <w:rsid w:val="00B76AD0"/>
    <w:rsid w:val="00B76BF0"/>
    <w:rsid w:val="00B77218"/>
    <w:rsid w:val="00B8170B"/>
    <w:rsid w:val="00B81827"/>
    <w:rsid w:val="00B81A1F"/>
    <w:rsid w:val="00B82325"/>
    <w:rsid w:val="00B82785"/>
    <w:rsid w:val="00B82A0C"/>
    <w:rsid w:val="00B84016"/>
    <w:rsid w:val="00B840B4"/>
    <w:rsid w:val="00B8558C"/>
    <w:rsid w:val="00B87F51"/>
    <w:rsid w:val="00B90208"/>
    <w:rsid w:val="00B9208A"/>
    <w:rsid w:val="00B92CA6"/>
    <w:rsid w:val="00B92DFA"/>
    <w:rsid w:val="00B940BF"/>
    <w:rsid w:val="00B94149"/>
    <w:rsid w:val="00B946EC"/>
    <w:rsid w:val="00B9508D"/>
    <w:rsid w:val="00B95B5A"/>
    <w:rsid w:val="00B95C42"/>
    <w:rsid w:val="00B96834"/>
    <w:rsid w:val="00B9762C"/>
    <w:rsid w:val="00B97785"/>
    <w:rsid w:val="00BA1B65"/>
    <w:rsid w:val="00BA299C"/>
    <w:rsid w:val="00BA4319"/>
    <w:rsid w:val="00BA455E"/>
    <w:rsid w:val="00BA49EC"/>
    <w:rsid w:val="00BA511A"/>
    <w:rsid w:val="00BA5261"/>
    <w:rsid w:val="00BA5C32"/>
    <w:rsid w:val="00BA5FBA"/>
    <w:rsid w:val="00BA6025"/>
    <w:rsid w:val="00BA61D6"/>
    <w:rsid w:val="00BA644C"/>
    <w:rsid w:val="00BA65B4"/>
    <w:rsid w:val="00BA6A37"/>
    <w:rsid w:val="00BA6EA1"/>
    <w:rsid w:val="00BB0121"/>
    <w:rsid w:val="00BB065E"/>
    <w:rsid w:val="00BB0877"/>
    <w:rsid w:val="00BB0932"/>
    <w:rsid w:val="00BB0CE6"/>
    <w:rsid w:val="00BB0F66"/>
    <w:rsid w:val="00BB21B7"/>
    <w:rsid w:val="00BB2EA9"/>
    <w:rsid w:val="00BB4F80"/>
    <w:rsid w:val="00BB62D4"/>
    <w:rsid w:val="00BB7188"/>
    <w:rsid w:val="00BB7562"/>
    <w:rsid w:val="00BC1A6A"/>
    <w:rsid w:val="00BC264F"/>
    <w:rsid w:val="00BC2883"/>
    <w:rsid w:val="00BC3138"/>
    <w:rsid w:val="00BC4B95"/>
    <w:rsid w:val="00BC5FE8"/>
    <w:rsid w:val="00BC69CA"/>
    <w:rsid w:val="00BC73E6"/>
    <w:rsid w:val="00BC7629"/>
    <w:rsid w:val="00BD30C1"/>
    <w:rsid w:val="00BD40B2"/>
    <w:rsid w:val="00BD4274"/>
    <w:rsid w:val="00BD5590"/>
    <w:rsid w:val="00BD58A8"/>
    <w:rsid w:val="00BD5B11"/>
    <w:rsid w:val="00BD6099"/>
    <w:rsid w:val="00BD64AC"/>
    <w:rsid w:val="00BD652F"/>
    <w:rsid w:val="00BD6EAD"/>
    <w:rsid w:val="00BD6F0D"/>
    <w:rsid w:val="00BD7040"/>
    <w:rsid w:val="00BD7DD8"/>
    <w:rsid w:val="00BD7EB7"/>
    <w:rsid w:val="00BE0404"/>
    <w:rsid w:val="00BE048D"/>
    <w:rsid w:val="00BE0957"/>
    <w:rsid w:val="00BE1B5E"/>
    <w:rsid w:val="00BE1ED1"/>
    <w:rsid w:val="00BE2004"/>
    <w:rsid w:val="00BE2533"/>
    <w:rsid w:val="00BE2727"/>
    <w:rsid w:val="00BE2ACF"/>
    <w:rsid w:val="00BE400A"/>
    <w:rsid w:val="00BE57DF"/>
    <w:rsid w:val="00BE5C1D"/>
    <w:rsid w:val="00BE6370"/>
    <w:rsid w:val="00BE6739"/>
    <w:rsid w:val="00BE6F63"/>
    <w:rsid w:val="00BE78E1"/>
    <w:rsid w:val="00BE7F41"/>
    <w:rsid w:val="00BF001D"/>
    <w:rsid w:val="00BF01EE"/>
    <w:rsid w:val="00BF0CB8"/>
    <w:rsid w:val="00BF1A83"/>
    <w:rsid w:val="00BF3386"/>
    <w:rsid w:val="00BF3D63"/>
    <w:rsid w:val="00BF4092"/>
    <w:rsid w:val="00BF4D67"/>
    <w:rsid w:val="00BF507B"/>
    <w:rsid w:val="00BF5892"/>
    <w:rsid w:val="00BF5909"/>
    <w:rsid w:val="00BF5B4B"/>
    <w:rsid w:val="00BF5B99"/>
    <w:rsid w:val="00BF5D01"/>
    <w:rsid w:val="00BF5E06"/>
    <w:rsid w:val="00BF6017"/>
    <w:rsid w:val="00BF6842"/>
    <w:rsid w:val="00BF704F"/>
    <w:rsid w:val="00BF71E4"/>
    <w:rsid w:val="00BF767A"/>
    <w:rsid w:val="00BF7E70"/>
    <w:rsid w:val="00C00A30"/>
    <w:rsid w:val="00C01874"/>
    <w:rsid w:val="00C01972"/>
    <w:rsid w:val="00C01DCB"/>
    <w:rsid w:val="00C02B2F"/>
    <w:rsid w:val="00C0306F"/>
    <w:rsid w:val="00C03159"/>
    <w:rsid w:val="00C03CEB"/>
    <w:rsid w:val="00C04204"/>
    <w:rsid w:val="00C045F8"/>
    <w:rsid w:val="00C05DEC"/>
    <w:rsid w:val="00C071CB"/>
    <w:rsid w:val="00C07866"/>
    <w:rsid w:val="00C07C55"/>
    <w:rsid w:val="00C07E07"/>
    <w:rsid w:val="00C10EDF"/>
    <w:rsid w:val="00C1228E"/>
    <w:rsid w:val="00C1280D"/>
    <w:rsid w:val="00C12BDA"/>
    <w:rsid w:val="00C13605"/>
    <w:rsid w:val="00C13DD8"/>
    <w:rsid w:val="00C1480B"/>
    <w:rsid w:val="00C14D56"/>
    <w:rsid w:val="00C16F02"/>
    <w:rsid w:val="00C17D22"/>
    <w:rsid w:val="00C17ED7"/>
    <w:rsid w:val="00C202C6"/>
    <w:rsid w:val="00C21AD7"/>
    <w:rsid w:val="00C22567"/>
    <w:rsid w:val="00C22A40"/>
    <w:rsid w:val="00C2353D"/>
    <w:rsid w:val="00C23971"/>
    <w:rsid w:val="00C23D43"/>
    <w:rsid w:val="00C23D81"/>
    <w:rsid w:val="00C2468B"/>
    <w:rsid w:val="00C252B7"/>
    <w:rsid w:val="00C255C9"/>
    <w:rsid w:val="00C25EE3"/>
    <w:rsid w:val="00C25F8F"/>
    <w:rsid w:val="00C25FA3"/>
    <w:rsid w:val="00C269C6"/>
    <w:rsid w:val="00C26D67"/>
    <w:rsid w:val="00C276C9"/>
    <w:rsid w:val="00C27FF4"/>
    <w:rsid w:val="00C30350"/>
    <w:rsid w:val="00C30D2D"/>
    <w:rsid w:val="00C32FDE"/>
    <w:rsid w:val="00C333DB"/>
    <w:rsid w:val="00C33A7A"/>
    <w:rsid w:val="00C34A31"/>
    <w:rsid w:val="00C34B7B"/>
    <w:rsid w:val="00C354EA"/>
    <w:rsid w:val="00C355F9"/>
    <w:rsid w:val="00C3562A"/>
    <w:rsid w:val="00C3594B"/>
    <w:rsid w:val="00C3623B"/>
    <w:rsid w:val="00C3649B"/>
    <w:rsid w:val="00C36A76"/>
    <w:rsid w:val="00C37DF1"/>
    <w:rsid w:val="00C37EBB"/>
    <w:rsid w:val="00C408E6"/>
    <w:rsid w:val="00C42755"/>
    <w:rsid w:val="00C427D2"/>
    <w:rsid w:val="00C455EB"/>
    <w:rsid w:val="00C461BC"/>
    <w:rsid w:val="00C474CA"/>
    <w:rsid w:val="00C47C61"/>
    <w:rsid w:val="00C47FC6"/>
    <w:rsid w:val="00C50957"/>
    <w:rsid w:val="00C50F08"/>
    <w:rsid w:val="00C51387"/>
    <w:rsid w:val="00C513D0"/>
    <w:rsid w:val="00C51514"/>
    <w:rsid w:val="00C51AD9"/>
    <w:rsid w:val="00C54343"/>
    <w:rsid w:val="00C55BAB"/>
    <w:rsid w:val="00C55E23"/>
    <w:rsid w:val="00C57133"/>
    <w:rsid w:val="00C572A2"/>
    <w:rsid w:val="00C575B4"/>
    <w:rsid w:val="00C575BC"/>
    <w:rsid w:val="00C60FFD"/>
    <w:rsid w:val="00C61B8A"/>
    <w:rsid w:val="00C61F85"/>
    <w:rsid w:val="00C6286F"/>
    <w:rsid w:val="00C62F02"/>
    <w:rsid w:val="00C63B94"/>
    <w:rsid w:val="00C6485B"/>
    <w:rsid w:val="00C64910"/>
    <w:rsid w:val="00C64A41"/>
    <w:rsid w:val="00C65A31"/>
    <w:rsid w:val="00C66FBC"/>
    <w:rsid w:val="00C67F13"/>
    <w:rsid w:val="00C70DB0"/>
    <w:rsid w:val="00C71B55"/>
    <w:rsid w:val="00C7214B"/>
    <w:rsid w:val="00C737A1"/>
    <w:rsid w:val="00C741C0"/>
    <w:rsid w:val="00C746EC"/>
    <w:rsid w:val="00C75061"/>
    <w:rsid w:val="00C766D3"/>
    <w:rsid w:val="00C76B2D"/>
    <w:rsid w:val="00C77C5C"/>
    <w:rsid w:val="00C82020"/>
    <w:rsid w:val="00C8371F"/>
    <w:rsid w:val="00C83BE0"/>
    <w:rsid w:val="00C849B2"/>
    <w:rsid w:val="00C856F4"/>
    <w:rsid w:val="00C862CA"/>
    <w:rsid w:val="00C866AA"/>
    <w:rsid w:val="00C87231"/>
    <w:rsid w:val="00C87233"/>
    <w:rsid w:val="00C877F6"/>
    <w:rsid w:val="00C91AC2"/>
    <w:rsid w:val="00C932C4"/>
    <w:rsid w:val="00C93E40"/>
    <w:rsid w:val="00C94E7C"/>
    <w:rsid w:val="00C95060"/>
    <w:rsid w:val="00C95477"/>
    <w:rsid w:val="00C96856"/>
    <w:rsid w:val="00C9702D"/>
    <w:rsid w:val="00C97116"/>
    <w:rsid w:val="00C9796C"/>
    <w:rsid w:val="00C97DAC"/>
    <w:rsid w:val="00CA004F"/>
    <w:rsid w:val="00CA0783"/>
    <w:rsid w:val="00CA0C7F"/>
    <w:rsid w:val="00CA0C94"/>
    <w:rsid w:val="00CA1035"/>
    <w:rsid w:val="00CA1EFF"/>
    <w:rsid w:val="00CA20D5"/>
    <w:rsid w:val="00CA24B3"/>
    <w:rsid w:val="00CA2806"/>
    <w:rsid w:val="00CA2C9E"/>
    <w:rsid w:val="00CA31AD"/>
    <w:rsid w:val="00CA3C76"/>
    <w:rsid w:val="00CA40E9"/>
    <w:rsid w:val="00CA40F8"/>
    <w:rsid w:val="00CA44F2"/>
    <w:rsid w:val="00CA5139"/>
    <w:rsid w:val="00CA7FCA"/>
    <w:rsid w:val="00CB009B"/>
    <w:rsid w:val="00CB14C3"/>
    <w:rsid w:val="00CB1CC2"/>
    <w:rsid w:val="00CB32D1"/>
    <w:rsid w:val="00CB3BA2"/>
    <w:rsid w:val="00CB52EB"/>
    <w:rsid w:val="00CB5E0A"/>
    <w:rsid w:val="00CB7C7A"/>
    <w:rsid w:val="00CC0215"/>
    <w:rsid w:val="00CC1687"/>
    <w:rsid w:val="00CC3146"/>
    <w:rsid w:val="00CC3A34"/>
    <w:rsid w:val="00CC4D23"/>
    <w:rsid w:val="00CC5404"/>
    <w:rsid w:val="00CC584E"/>
    <w:rsid w:val="00CC5968"/>
    <w:rsid w:val="00CC5BA9"/>
    <w:rsid w:val="00CC62C9"/>
    <w:rsid w:val="00CC640D"/>
    <w:rsid w:val="00CC674B"/>
    <w:rsid w:val="00CC7336"/>
    <w:rsid w:val="00CD0360"/>
    <w:rsid w:val="00CD1E5A"/>
    <w:rsid w:val="00CD344D"/>
    <w:rsid w:val="00CD3D95"/>
    <w:rsid w:val="00CD4428"/>
    <w:rsid w:val="00CD5657"/>
    <w:rsid w:val="00CD58DA"/>
    <w:rsid w:val="00CD6294"/>
    <w:rsid w:val="00CD66CB"/>
    <w:rsid w:val="00CD6810"/>
    <w:rsid w:val="00CD6DAC"/>
    <w:rsid w:val="00CE09D9"/>
    <w:rsid w:val="00CE14C7"/>
    <w:rsid w:val="00CE1D66"/>
    <w:rsid w:val="00CE31D8"/>
    <w:rsid w:val="00CE351A"/>
    <w:rsid w:val="00CE3EA1"/>
    <w:rsid w:val="00CE453A"/>
    <w:rsid w:val="00CE4BD2"/>
    <w:rsid w:val="00CE5BDB"/>
    <w:rsid w:val="00CE5D7E"/>
    <w:rsid w:val="00CE6597"/>
    <w:rsid w:val="00CE7138"/>
    <w:rsid w:val="00CF0633"/>
    <w:rsid w:val="00CF2C0B"/>
    <w:rsid w:val="00CF2DA5"/>
    <w:rsid w:val="00CF3882"/>
    <w:rsid w:val="00CF3F07"/>
    <w:rsid w:val="00CF3F13"/>
    <w:rsid w:val="00CF4825"/>
    <w:rsid w:val="00CF51A0"/>
    <w:rsid w:val="00CF58DD"/>
    <w:rsid w:val="00CF5A9A"/>
    <w:rsid w:val="00CF6919"/>
    <w:rsid w:val="00CF707E"/>
    <w:rsid w:val="00CF72DF"/>
    <w:rsid w:val="00CF7306"/>
    <w:rsid w:val="00D00042"/>
    <w:rsid w:val="00D002F3"/>
    <w:rsid w:val="00D00B34"/>
    <w:rsid w:val="00D01608"/>
    <w:rsid w:val="00D0232D"/>
    <w:rsid w:val="00D06039"/>
    <w:rsid w:val="00D064B7"/>
    <w:rsid w:val="00D079A3"/>
    <w:rsid w:val="00D10573"/>
    <w:rsid w:val="00D105E9"/>
    <w:rsid w:val="00D12012"/>
    <w:rsid w:val="00D13F47"/>
    <w:rsid w:val="00D14009"/>
    <w:rsid w:val="00D149DA"/>
    <w:rsid w:val="00D1512D"/>
    <w:rsid w:val="00D15F72"/>
    <w:rsid w:val="00D1633F"/>
    <w:rsid w:val="00D169B7"/>
    <w:rsid w:val="00D17088"/>
    <w:rsid w:val="00D20528"/>
    <w:rsid w:val="00D207BD"/>
    <w:rsid w:val="00D2202B"/>
    <w:rsid w:val="00D220C7"/>
    <w:rsid w:val="00D221A7"/>
    <w:rsid w:val="00D2272D"/>
    <w:rsid w:val="00D233D4"/>
    <w:rsid w:val="00D24D23"/>
    <w:rsid w:val="00D25679"/>
    <w:rsid w:val="00D25C00"/>
    <w:rsid w:val="00D26238"/>
    <w:rsid w:val="00D31D3B"/>
    <w:rsid w:val="00D33F0B"/>
    <w:rsid w:val="00D34C54"/>
    <w:rsid w:val="00D354C7"/>
    <w:rsid w:val="00D35661"/>
    <w:rsid w:val="00D36D7B"/>
    <w:rsid w:val="00D41824"/>
    <w:rsid w:val="00D4384F"/>
    <w:rsid w:val="00D43EDA"/>
    <w:rsid w:val="00D440EF"/>
    <w:rsid w:val="00D452AE"/>
    <w:rsid w:val="00D45D2F"/>
    <w:rsid w:val="00D461D8"/>
    <w:rsid w:val="00D46E62"/>
    <w:rsid w:val="00D46EBF"/>
    <w:rsid w:val="00D47401"/>
    <w:rsid w:val="00D5147B"/>
    <w:rsid w:val="00D51747"/>
    <w:rsid w:val="00D51F8F"/>
    <w:rsid w:val="00D522D0"/>
    <w:rsid w:val="00D52CBB"/>
    <w:rsid w:val="00D57806"/>
    <w:rsid w:val="00D57977"/>
    <w:rsid w:val="00D603E9"/>
    <w:rsid w:val="00D605DB"/>
    <w:rsid w:val="00D61151"/>
    <w:rsid w:val="00D6191E"/>
    <w:rsid w:val="00D61BAA"/>
    <w:rsid w:val="00D6289F"/>
    <w:rsid w:val="00D628EB"/>
    <w:rsid w:val="00D6544A"/>
    <w:rsid w:val="00D65CFB"/>
    <w:rsid w:val="00D664D8"/>
    <w:rsid w:val="00D67A20"/>
    <w:rsid w:val="00D70007"/>
    <w:rsid w:val="00D70D37"/>
    <w:rsid w:val="00D712F2"/>
    <w:rsid w:val="00D71A8A"/>
    <w:rsid w:val="00D71DCD"/>
    <w:rsid w:val="00D7205E"/>
    <w:rsid w:val="00D72ECE"/>
    <w:rsid w:val="00D73740"/>
    <w:rsid w:val="00D75100"/>
    <w:rsid w:val="00D75146"/>
    <w:rsid w:val="00D756F0"/>
    <w:rsid w:val="00D764D2"/>
    <w:rsid w:val="00D76A9C"/>
    <w:rsid w:val="00D76D94"/>
    <w:rsid w:val="00D777D2"/>
    <w:rsid w:val="00D777E2"/>
    <w:rsid w:val="00D7780B"/>
    <w:rsid w:val="00D80928"/>
    <w:rsid w:val="00D80B2F"/>
    <w:rsid w:val="00D80FCB"/>
    <w:rsid w:val="00D81E58"/>
    <w:rsid w:val="00D82046"/>
    <w:rsid w:val="00D83357"/>
    <w:rsid w:val="00D8390D"/>
    <w:rsid w:val="00D84AAD"/>
    <w:rsid w:val="00D85F20"/>
    <w:rsid w:val="00D861DA"/>
    <w:rsid w:val="00D86FB9"/>
    <w:rsid w:val="00D9061A"/>
    <w:rsid w:val="00D917E8"/>
    <w:rsid w:val="00D91FA7"/>
    <w:rsid w:val="00D921B7"/>
    <w:rsid w:val="00D948C7"/>
    <w:rsid w:val="00D94E05"/>
    <w:rsid w:val="00D95366"/>
    <w:rsid w:val="00D95B6A"/>
    <w:rsid w:val="00D9665B"/>
    <w:rsid w:val="00D97E93"/>
    <w:rsid w:val="00DA4305"/>
    <w:rsid w:val="00DA455F"/>
    <w:rsid w:val="00DA4C53"/>
    <w:rsid w:val="00DA5D27"/>
    <w:rsid w:val="00DA61C1"/>
    <w:rsid w:val="00DA6B91"/>
    <w:rsid w:val="00DB0292"/>
    <w:rsid w:val="00DB14EB"/>
    <w:rsid w:val="00DB1DE2"/>
    <w:rsid w:val="00DB1E3C"/>
    <w:rsid w:val="00DB2BDA"/>
    <w:rsid w:val="00DB3B1A"/>
    <w:rsid w:val="00DB4E90"/>
    <w:rsid w:val="00DB5AB0"/>
    <w:rsid w:val="00DB5FA5"/>
    <w:rsid w:val="00DB6B81"/>
    <w:rsid w:val="00DB6E75"/>
    <w:rsid w:val="00DC0927"/>
    <w:rsid w:val="00DC2886"/>
    <w:rsid w:val="00DC3F78"/>
    <w:rsid w:val="00DC7B45"/>
    <w:rsid w:val="00DD0051"/>
    <w:rsid w:val="00DD15AD"/>
    <w:rsid w:val="00DD1A31"/>
    <w:rsid w:val="00DD24F5"/>
    <w:rsid w:val="00DD2ADC"/>
    <w:rsid w:val="00DD3ADC"/>
    <w:rsid w:val="00DD3F46"/>
    <w:rsid w:val="00DD46E5"/>
    <w:rsid w:val="00DD5F9A"/>
    <w:rsid w:val="00DD713A"/>
    <w:rsid w:val="00DE1C6E"/>
    <w:rsid w:val="00DE20AE"/>
    <w:rsid w:val="00DE2F53"/>
    <w:rsid w:val="00DE34D6"/>
    <w:rsid w:val="00DE5532"/>
    <w:rsid w:val="00DE5824"/>
    <w:rsid w:val="00DE5AE6"/>
    <w:rsid w:val="00DE5FF5"/>
    <w:rsid w:val="00DE6286"/>
    <w:rsid w:val="00DE69AB"/>
    <w:rsid w:val="00DE7211"/>
    <w:rsid w:val="00DE731D"/>
    <w:rsid w:val="00DF0BC4"/>
    <w:rsid w:val="00DF12C0"/>
    <w:rsid w:val="00DF1855"/>
    <w:rsid w:val="00DF1A75"/>
    <w:rsid w:val="00DF1EAC"/>
    <w:rsid w:val="00DF2092"/>
    <w:rsid w:val="00DF28FF"/>
    <w:rsid w:val="00DF3356"/>
    <w:rsid w:val="00DF3A2A"/>
    <w:rsid w:val="00DF555D"/>
    <w:rsid w:val="00DF6677"/>
    <w:rsid w:val="00DF687B"/>
    <w:rsid w:val="00DF68E0"/>
    <w:rsid w:val="00E0012E"/>
    <w:rsid w:val="00E00260"/>
    <w:rsid w:val="00E00614"/>
    <w:rsid w:val="00E007D0"/>
    <w:rsid w:val="00E014A1"/>
    <w:rsid w:val="00E0216F"/>
    <w:rsid w:val="00E0666A"/>
    <w:rsid w:val="00E07166"/>
    <w:rsid w:val="00E07620"/>
    <w:rsid w:val="00E1155D"/>
    <w:rsid w:val="00E11C28"/>
    <w:rsid w:val="00E12AD6"/>
    <w:rsid w:val="00E12E11"/>
    <w:rsid w:val="00E138CE"/>
    <w:rsid w:val="00E14BCD"/>
    <w:rsid w:val="00E169D9"/>
    <w:rsid w:val="00E17370"/>
    <w:rsid w:val="00E175D6"/>
    <w:rsid w:val="00E20424"/>
    <w:rsid w:val="00E21069"/>
    <w:rsid w:val="00E23E86"/>
    <w:rsid w:val="00E24949"/>
    <w:rsid w:val="00E26075"/>
    <w:rsid w:val="00E2608C"/>
    <w:rsid w:val="00E26CFC"/>
    <w:rsid w:val="00E26FA8"/>
    <w:rsid w:val="00E2790C"/>
    <w:rsid w:val="00E27A73"/>
    <w:rsid w:val="00E317ED"/>
    <w:rsid w:val="00E318CD"/>
    <w:rsid w:val="00E31E1E"/>
    <w:rsid w:val="00E31E57"/>
    <w:rsid w:val="00E326F1"/>
    <w:rsid w:val="00E34F81"/>
    <w:rsid w:val="00E36465"/>
    <w:rsid w:val="00E370B0"/>
    <w:rsid w:val="00E3757A"/>
    <w:rsid w:val="00E40466"/>
    <w:rsid w:val="00E41A32"/>
    <w:rsid w:val="00E4214B"/>
    <w:rsid w:val="00E429FF"/>
    <w:rsid w:val="00E435A4"/>
    <w:rsid w:val="00E451F4"/>
    <w:rsid w:val="00E45251"/>
    <w:rsid w:val="00E46AAF"/>
    <w:rsid w:val="00E47211"/>
    <w:rsid w:val="00E4728A"/>
    <w:rsid w:val="00E47A8D"/>
    <w:rsid w:val="00E47EF8"/>
    <w:rsid w:val="00E50713"/>
    <w:rsid w:val="00E50BEE"/>
    <w:rsid w:val="00E50F07"/>
    <w:rsid w:val="00E519D8"/>
    <w:rsid w:val="00E54295"/>
    <w:rsid w:val="00E549F8"/>
    <w:rsid w:val="00E556E7"/>
    <w:rsid w:val="00E55885"/>
    <w:rsid w:val="00E5692B"/>
    <w:rsid w:val="00E57141"/>
    <w:rsid w:val="00E6056F"/>
    <w:rsid w:val="00E605AD"/>
    <w:rsid w:val="00E60926"/>
    <w:rsid w:val="00E62247"/>
    <w:rsid w:val="00E6227F"/>
    <w:rsid w:val="00E623E4"/>
    <w:rsid w:val="00E67089"/>
    <w:rsid w:val="00E6789A"/>
    <w:rsid w:val="00E67EBC"/>
    <w:rsid w:val="00E7047F"/>
    <w:rsid w:val="00E71BDF"/>
    <w:rsid w:val="00E71D76"/>
    <w:rsid w:val="00E722F7"/>
    <w:rsid w:val="00E74E88"/>
    <w:rsid w:val="00E764D6"/>
    <w:rsid w:val="00E76991"/>
    <w:rsid w:val="00E76DE7"/>
    <w:rsid w:val="00E7714E"/>
    <w:rsid w:val="00E80172"/>
    <w:rsid w:val="00E80719"/>
    <w:rsid w:val="00E820E6"/>
    <w:rsid w:val="00E83824"/>
    <w:rsid w:val="00E85553"/>
    <w:rsid w:val="00E8716B"/>
    <w:rsid w:val="00E90B2D"/>
    <w:rsid w:val="00E91C72"/>
    <w:rsid w:val="00E92329"/>
    <w:rsid w:val="00E930F4"/>
    <w:rsid w:val="00E93917"/>
    <w:rsid w:val="00E94C5D"/>
    <w:rsid w:val="00E95786"/>
    <w:rsid w:val="00E963EF"/>
    <w:rsid w:val="00E97C2A"/>
    <w:rsid w:val="00EA0319"/>
    <w:rsid w:val="00EA0E47"/>
    <w:rsid w:val="00EA1643"/>
    <w:rsid w:val="00EA1795"/>
    <w:rsid w:val="00EA2C1B"/>
    <w:rsid w:val="00EA2F8E"/>
    <w:rsid w:val="00EA2FF8"/>
    <w:rsid w:val="00EA308D"/>
    <w:rsid w:val="00EA402F"/>
    <w:rsid w:val="00EA49FD"/>
    <w:rsid w:val="00EA4C78"/>
    <w:rsid w:val="00EA5B26"/>
    <w:rsid w:val="00EA62E4"/>
    <w:rsid w:val="00EA6485"/>
    <w:rsid w:val="00EA6A8A"/>
    <w:rsid w:val="00EA6B93"/>
    <w:rsid w:val="00EA700C"/>
    <w:rsid w:val="00EA7362"/>
    <w:rsid w:val="00EA73F9"/>
    <w:rsid w:val="00EA76C8"/>
    <w:rsid w:val="00EB0543"/>
    <w:rsid w:val="00EB0988"/>
    <w:rsid w:val="00EB0E12"/>
    <w:rsid w:val="00EB1808"/>
    <w:rsid w:val="00EB2353"/>
    <w:rsid w:val="00EB26D5"/>
    <w:rsid w:val="00EB27A1"/>
    <w:rsid w:val="00EB2DA8"/>
    <w:rsid w:val="00EB49CE"/>
    <w:rsid w:val="00EB4E66"/>
    <w:rsid w:val="00EB593C"/>
    <w:rsid w:val="00EB5C72"/>
    <w:rsid w:val="00EB60D9"/>
    <w:rsid w:val="00EB62DD"/>
    <w:rsid w:val="00EB7627"/>
    <w:rsid w:val="00EB7D82"/>
    <w:rsid w:val="00EC033E"/>
    <w:rsid w:val="00EC0466"/>
    <w:rsid w:val="00EC04D7"/>
    <w:rsid w:val="00EC0754"/>
    <w:rsid w:val="00EC1124"/>
    <w:rsid w:val="00EC194D"/>
    <w:rsid w:val="00EC2054"/>
    <w:rsid w:val="00EC24D0"/>
    <w:rsid w:val="00EC43EF"/>
    <w:rsid w:val="00EC44D2"/>
    <w:rsid w:val="00EC4ADE"/>
    <w:rsid w:val="00EC5549"/>
    <w:rsid w:val="00EC5894"/>
    <w:rsid w:val="00EC5CBA"/>
    <w:rsid w:val="00EC6587"/>
    <w:rsid w:val="00EC7347"/>
    <w:rsid w:val="00ED0731"/>
    <w:rsid w:val="00ED20D4"/>
    <w:rsid w:val="00ED2165"/>
    <w:rsid w:val="00ED2209"/>
    <w:rsid w:val="00ED32DB"/>
    <w:rsid w:val="00ED5E04"/>
    <w:rsid w:val="00ED61CE"/>
    <w:rsid w:val="00EE06EB"/>
    <w:rsid w:val="00EE078B"/>
    <w:rsid w:val="00EE1054"/>
    <w:rsid w:val="00EE1C3F"/>
    <w:rsid w:val="00EE1F6D"/>
    <w:rsid w:val="00EE2C8C"/>
    <w:rsid w:val="00EE350D"/>
    <w:rsid w:val="00EE3ADB"/>
    <w:rsid w:val="00EE4D87"/>
    <w:rsid w:val="00EE5756"/>
    <w:rsid w:val="00EE57AC"/>
    <w:rsid w:val="00EE5FD2"/>
    <w:rsid w:val="00EF0207"/>
    <w:rsid w:val="00EF052C"/>
    <w:rsid w:val="00EF0EA3"/>
    <w:rsid w:val="00EF0FF9"/>
    <w:rsid w:val="00EF1162"/>
    <w:rsid w:val="00EF12BE"/>
    <w:rsid w:val="00EF17FF"/>
    <w:rsid w:val="00EF2D6F"/>
    <w:rsid w:val="00EF317A"/>
    <w:rsid w:val="00EF4201"/>
    <w:rsid w:val="00EF4D5D"/>
    <w:rsid w:val="00EF5525"/>
    <w:rsid w:val="00EF64DE"/>
    <w:rsid w:val="00F00FDE"/>
    <w:rsid w:val="00F03D42"/>
    <w:rsid w:val="00F04C44"/>
    <w:rsid w:val="00F05384"/>
    <w:rsid w:val="00F05732"/>
    <w:rsid w:val="00F0603E"/>
    <w:rsid w:val="00F060FB"/>
    <w:rsid w:val="00F06D18"/>
    <w:rsid w:val="00F06D7C"/>
    <w:rsid w:val="00F0725F"/>
    <w:rsid w:val="00F101A3"/>
    <w:rsid w:val="00F1039C"/>
    <w:rsid w:val="00F10772"/>
    <w:rsid w:val="00F10A91"/>
    <w:rsid w:val="00F11047"/>
    <w:rsid w:val="00F11894"/>
    <w:rsid w:val="00F1239F"/>
    <w:rsid w:val="00F12C8C"/>
    <w:rsid w:val="00F14620"/>
    <w:rsid w:val="00F14EE8"/>
    <w:rsid w:val="00F1693B"/>
    <w:rsid w:val="00F2046A"/>
    <w:rsid w:val="00F21913"/>
    <w:rsid w:val="00F21A02"/>
    <w:rsid w:val="00F21A23"/>
    <w:rsid w:val="00F21C3D"/>
    <w:rsid w:val="00F22049"/>
    <w:rsid w:val="00F2300C"/>
    <w:rsid w:val="00F24E54"/>
    <w:rsid w:val="00F25384"/>
    <w:rsid w:val="00F26F48"/>
    <w:rsid w:val="00F277F5"/>
    <w:rsid w:val="00F3231B"/>
    <w:rsid w:val="00F3245A"/>
    <w:rsid w:val="00F32925"/>
    <w:rsid w:val="00F330C7"/>
    <w:rsid w:val="00F33B09"/>
    <w:rsid w:val="00F33D4E"/>
    <w:rsid w:val="00F35919"/>
    <w:rsid w:val="00F35DA5"/>
    <w:rsid w:val="00F3692F"/>
    <w:rsid w:val="00F3708C"/>
    <w:rsid w:val="00F40715"/>
    <w:rsid w:val="00F40B68"/>
    <w:rsid w:val="00F414C7"/>
    <w:rsid w:val="00F41816"/>
    <w:rsid w:val="00F41A55"/>
    <w:rsid w:val="00F423FD"/>
    <w:rsid w:val="00F4279B"/>
    <w:rsid w:val="00F42BE2"/>
    <w:rsid w:val="00F43356"/>
    <w:rsid w:val="00F44378"/>
    <w:rsid w:val="00F44E6C"/>
    <w:rsid w:val="00F456E7"/>
    <w:rsid w:val="00F45785"/>
    <w:rsid w:val="00F4578F"/>
    <w:rsid w:val="00F45DD2"/>
    <w:rsid w:val="00F46968"/>
    <w:rsid w:val="00F47278"/>
    <w:rsid w:val="00F472DA"/>
    <w:rsid w:val="00F47D82"/>
    <w:rsid w:val="00F50EB3"/>
    <w:rsid w:val="00F5113C"/>
    <w:rsid w:val="00F523F0"/>
    <w:rsid w:val="00F52D9B"/>
    <w:rsid w:val="00F53229"/>
    <w:rsid w:val="00F53BB2"/>
    <w:rsid w:val="00F53FF5"/>
    <w:rsid w:val="00F545D5"/>
    <w:rsid w:val="00F54ED3"/>
    <w:rsid w:val="00F558F7"/>
    <w:rsid w:val="00F55A76"/>
    <w:rsid w:val="00F56614"/>
    <w:rsid w:val="00F56659"/>
    <w:rsid w:val="00F56759"/>
    <w:rsid w:val="00F568A2"/>
    <w:rsid w:val="00F574C8"/>
    <w:rsid w:val="00F5758C"/>
    <w:rsid w:val="00F60162"/>
    <w:rsid w:val="00F60BB6"/>
    <w:rsid w:val="00F60DF1"/>
    <w:rsid w:val="00F60FA6"/>
    <w:rsid w:val="00F60FC4"/>
    <w:rsid w:val="00F630DB"/>
    <w:rsid w:val="00F639D2"/>
    <w:rsid w:val="00F63E13"/>
    <w:rsid w:val="00F6407B"/>
    <w:rsid w:val="00F64582"/>
    <w:rsid w:val="00F649CD"/>
    <w:rsid w:val="00F64E35"/>
    <w:rsid w:val="00F657EE"/>
    <w:rsid w:val="00F659CC"/>
    <w:rsid w:val="00F66254"/>
    <w:rsid w:val="00F66731"/>
    <w:rsid w:val="00F66846"/>
    <w:rsid w:val="00F67962"/>
    <w:rsid w:val="00F70063"/>
    <w:rsid w:val="00F7078E"/>
    <w:rsid w:val="00F70BB4"/>
    <w:rsid w:val="00F71717"/>
    <w:rsid w:val="00F71A20"/>
    <w:rsid w:val="00F71D0D"/>
    <w:rsid w:val="00F724DE"/>
    <w:rsid w:val="00F73DCD"/>
    <w:rsid w:val="00F74A71"/>
    <w:rsid w:val="00F771CE"/>
    <w:rsid w:val="00F80147"/>
    <w:rsid w:val="00F802D8"/>
    <w:rsid w:val="00F8118A"/>
    <w:rsid w:val="00F824D2"/>
    <w:rsid w:val="00F828D6"/>
    <w:rsid w:val="00F842EF"/>
    <w:rsid w:val="00F8482C"/>
    <w:rsid w:val="00F84D4E"/>
    <w:rsid w:val="00F85E8D"/>
    <w:rsid w:val="00F8600E"/>
    <w:rsid w:val="00F8678B"/>
    <w:rsid w:val="00F86B9A"/>
    <w:rsid w:val="00F8737C"/>
    <w:rsid w:val="00F873BB"/>
    <w:rsid w:val="00F876B1"/>
    <w:rsid w:val="00F879FC"/>
    <w:rsid w:val="00F87F58"/>
    <w:rsid w:val="00F87F5A"/>
    <w:rsid w:val="00F87F7D"/>
    <w:rsid w:val="00F87FD1"/>
    <w:rsid w:val="00F90777"/>
    <w:rsid w:val="00F908E3"/>
    <w:rsid w:val="00F90C4C"/>
    <w:rsid w:val="00F90E01"/>
    <w:rsid w:val="00F94137"/>
    <w:rsid w:val="00F94514"/>
    <w:rsid w:val="00F94768"/>
    <w:rsid w:val="00F96E76"/>
    <w:rsid w:val="00F9713F"/>
    <w:rsid w:val="00FA0B2F"/>
    <w:rsid w:val="00FA10ED"/>
    <w:rsid w:val="00FA1E37"/>
    <w:rsid w:val="00FA2394"/>
    <w:rsid w:val="00FA257F"/>
    <w:rsid w:val="00FA4D22"/>
    <w:rsid w:val="00FA5C41"/>
    <w:rsid w:val="00FA6545"/>
    <w:rsid w:val="00FA73B7"/>
    <w:rsid w:val="00FA7A1F"/>
    <w:rsid w:val="00FB0282"/>
    <w:rsid w:val="00FB0331"/>
    <w:rsid w:val="00FB0AC5"/>
    <w:rsid w:val="00FB0DE7"/>
    <w:rsid w:val="00FB412A"/>
    <w:rsid w:val="00FB415C"/>
    <w:rsid w:val="00FB4A11"/>
    <w:rsid w:val="00FB5668"/>
    <w:rsid w:val="00FB61AF"/>
    <w:rsid w:val="00FB7002"/>
    <w:rsid w:val="00FB7750"/>
    <w:rsid w:val="00FB7963"/>
    <w:rsid w:val="00FC00B2"/>
    <w:rsid w:val="00FC0F73"/>
    <w:rsid w:val="00FC16F3"/>
    <w:rsid w:val="00FC3C0C"/>
    <w:rsid w:val="00FC4E37"/>
    <w:rsid w:val="00FC5881"/>
    <w:rsid w:val="00FC5F83"/>
    <w:rsid w:val="00FC6A2F"/>
    <w:rsid w:val="00FC73A4"/>
    <w:rsid w:val="00FC753E"/>
    <w:rsid w:val="00FD0A27"/>
    <w:rsid w:val="00FD1045"/>
    <w:rsid w:val="00FD1506"/>
    <w:rsid w:val="00FD3025"/>
    <w:rsid w:val="00FD4A81"/>
    <w:rsid w:val="00FD4E70"/>
    <w:rsid w:val="00FD5199"/>
    <w:rsid w:val="00FD5660"/>
    <w:rsid w:val="00FD5B73"/>
    <w:rsid w:val="00FD5E4F"/>
    <w:rsid w:val="00FD632F"/>
    <w:rsid w:val="00FD6805"/>
    <w:rsid w:val="00FD6D71"/>
    <w:rsid w:val="00FD7432"/>
    <w:rsid w:val="00FE097D"/>
    <w:rsid w:val="00FE10B9"/>
    <w:rsid w:val="00FE17FF"/>
    <w:rsid w:val="00FE2A65"/>
    <w:rsid w:val="00FE2BD3"/>
    <w:rsid w:val="00FE2C31"/>
    <w:rsid w:val="00FE32A9"/>
    <w:rsid w:val="00FE32B5"/>
    <w:rsid w:val="00FE510E"/>
    <w:rsid w:val="00FE5728"/>
    <w:rsid w:val="00FE69BD"/>
    <w:rsid w:val="00FE6F37"/>
    <w:rsid w:val="00FE7561"/>
    <w:rsid w:val="00FE7597"/>
    <w:rsid w:val="00FE76F7"/>
    <w:rsid w:val="00FE7A2C"/>
    <w:rsid w:val="00FF0209"/>
    <w:rsid w:val="00FF41E8"/>
    <w:rsid w:val="00FF4AE5"/>
    <w:rsid w:val="00FF4EC7"/>
    <w:rsid w:val="00FF501D"/>
    <w:rsid w:val="00FF5137"/>
    <w:rsid w:val="00FF5FF2"/>
    <w:rsid w:val="00FF7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28A4B93-CD07-440B-9BC7-9656D70D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CF7"/>
    <w:pPr>
      <w:spacing w:line="360" w:lineRule="auto"/>
      <w:ind w:firstLine="720"/>
      <w:jc w:val="both"/>
    </w:pPr>
    <w:rPr>
      <w:rFonts w:ascii="Times New Roman" w:hAnsi="Times New Roman"/>
      <w:sz w:val="24"/>
      <w:szCs w:val="24"/>
    </w:rPr>
  </w:style>
  <w:style w:type="paragraph" w:styleId="Heading1">
    <w:name w:val="heading 1"/>
    <w:basedOn w:val="Normal"/>
    <w:next w:val="Normal"/>
    <w:link w:val="Heading1Char"/>
    <w:uiPriority w:val="9"/>
    <w:qFormat/>
    <w:rsid w:val="007F477D"/>
    <w:pPr>
      <w:keepNext/>
      <w:keepLines/>
      <w:numPr>
        <w:numId w:val="19"/>
      </w:numPr>
      <w:spacing w:before="480"/>
      <w:outlineLvl w:val="0"/>
    </w:pPr>
    <w:rPr>
      <w:rFonts w:eastAsia="Times New Roman"/>
      <w:b/>
      <w:bCs/>
      <w:caps/>
      <w:szCs w:val="28"/>
      <w:lang w:val="x-none" w:eastAsia="x-none"/>
    </w:rPr>
  </w:style>
  <w:style w:type="paragraph" w:styleId="Heading2">
    <w:name w:val="heading 2"/>
    <w:basedOn w:val="Normal"/>
    <w:link w:val="Heading2Char"/>
    <w:uiPriority w:val="9"/>
    <w:qFormat/>
    <w:rsid w:val="00084023"/>
    <w:pPr>
      <w:numPr>
        <w:ilvl w:val="1"/>
        <w:numId w:val="19"/>
      </w:numPr>
      <w:spacing w:before="100" w:beforeAutospacing="1" w:after="100" w:afterAutospacing="1"/>
      <w:outlineLvl w:val="1"/>
    </w:pPr>
    <w:rPr>
      <w:rFonts w:eastAsia="Times New Roman"/>
      <w:b/>
      <w:bCs/>
      <w:szCs w:val="36"/>
      <w:lang w:val="x-none" w:eastAsia="x-none"/>
    </w:rPr>
  </w:style>
  <w:style w:type="paragraph" w:styleId="Heading3">
    <w:name w:val="heading 3"/>
    <w:basedOn w:val="Normal"/>
    <w:next w:val="Normal"/>
    <w:link w:val="Heading3Char"/>
    <w:uiPriority w:val="9"/>
    <w:unhideWhenUsed/>
    <w:qFormat/>
    <w:rsid w:val="00084023"/>
    <w:pPr>
      <w:keepNext/>
      <w:keepLines/>
      <w:numPr>
        <w:ilvl w:val="2"/>
        <w:numId w:val="19"/>
      </w:numPr>
      <w:spacing w:before="40"/>
      <w:outlineLvl w:val="2"/>
    </w:pPr>
    <w:rPr>
      <w:rFonts w:eastAsiaTheme="majorEastAsia" w:cstheme="majorBidi"/>
      <w:i/>
    </w:rPr>
  </w:style>
  <w:style w:type="paragraph" w:styleId="Heading4">
    <w:name w:val="heading 4"/>
    <w:basedOn w:val="Normal"/>
    <w:next w:val="Normal"/>
    <w:link w:val="Heading4Char"/>
    <w:uiPriority w:val="9"/>
    <w:semiHidden/>
    <w:unhideWhenUsed/>
    <w:qFormat/>
    <w:rsid w:val="00AB780D"/>
    <w:pPr>
      <w:keepNext/>
      <w:numPr>
        <w:ilvl w:val="3"/>
        <w:numId w:val="19"/>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61071A"/>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1071A"/>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071A"/>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071A"/>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071A"/>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F477D"/>
    <w:rPr>
      <w:rFonts w:ascii="Times New Roman" w:eastAsia="Times New Roman" w:hAnsi="Times New Roman"/>
      <w:b/>
      <w:bCs/>
      <w:caps/>
      <w:sz w:val="24"/>
      <w:szCs w:val="28"/>
      <w:lang w:val="x-none" w:eastAsia="x-none"/>
    </w:rPr>
  </w:style>
  <w:style w:type="character" w:customStyle="1" w:styleId="Heading2Char">
    <w:name w:val="Heading 2 Char"/>
    <w:link w:val="Heading2"/>
    <w:uiPriority w:val="9"/>
    <w:rsid w:val="00084023"/>
    <w:rPr>
      <w:rFonts w:ascii="Times New Roman" w:eastAsia="Times New Roman" w:hAnsi="Times New Roman"/>
      <w:b/>
      <w:bCs/>
      <w:sz w:val="24"/>
      <w:szCs w:val="36"/>
      <w:lang w:val="x-none" w:eastAsia="x-none"/>
    </w:rPr>
  </w:style>
  <w:style w:type="character" w:styleId="Hyperlink">
    <w:name w:val="Hyperlink"/>
    <w:uiPriority w:val="99"/>
    <w:rsid w:val="007924A0"/>
    <w:rPr>
      <w:rFonts w:cs="Times New Roman"/>
      <w:color w:val="0000FF"/>
      <w:u w:val="single"/>
    </w:rPr>
  </w:style>
  <w:style w:type="paragraph" w:customStyle="1" w:styleId="Default">
    <w:name w:val="Default"/>
    <w:link w:val="DefaultChar"/>
    <w:rsid w:val="007924A0"/>
    <w:pPr>
      <w:autoSpaceDE w:val="0"/>
      <w:autoSpaceDN w:val="0"/>
      <w:adjustRightInd w:val="0"/>
    </w:pPr>
    <w:rPr>
      <w:rFonts w:ascii="Arial" w:hAnsi="Arial" w:cs="Arial"/>
      <w:color w:val="000000"/>
      <w:sz w:val="24"/>
      <w:szCs w:val="24"/>
    </w:rPr>
  </w:style>
  <w:style w:type="character" w:customStyle="1" w:styleId="mystylescustom-text">
    <w:name w:val="mystylescustom-text"/>
    <w:basedOn w:val="DefaultParagraphFont"/>
    <w:rsid w:val="007924A0"/>
  </w:style>
  <w:style w:type="paragraph" w:styleId="ListParagraph">
    <w:name w:val="List Paragraph"/>
    <w:basedOn w:val="Normal"/>
    <w:qFormat/>
    <w:rsid w:val="007924A0"/>
    <w:pPr>
      <w:ind w:left="720"/>
      <w:contextualSpacing/>
    </w:pPr>
  </w:style>
  <w:style w:type="character" w:styleId="Emphasis">
    <w:name w:val="Emphasis"/>
    <w:uiPriority w:val="20"/>
    <w:qFormat/>
    <w:rsid w:val="007924A0"/>
    <w:rPr>
      <w:i/>
      <w:iCs/>
    </w:rPr>
  </w:style>
  <w:style w:type="character" w:customStyle="1" w:styleId="style15">
    <w:name w:val="style15"/>
    <w:basedOn w:val="DefaultParagraphFont"/>
    <w:rsid w:val="007924A0"/>
  </w:style>
  <w:style w:type="character" w:customStyle="1" w:styleId="style17">
    <w:name w:val="style17"/>
    <w:basedOn w:val="DefaultParagraphFont"/>
    <w:rsid w:val="007924A0"/>
  </w:style>
  <w:style w:type="character" w:customStyle="1" w:styleId="referencetext">
    <w:name w:val="referencetext"/>
    <w:basedOn w:val="DefaultParagraphFont"/>
    <w:rsid w:val="007924A0"/>
  </w:style>
  <w:style w:type="character" w:styleId="Strong">
    <w:name w:val="Strong"/>
    <w:uiPriority w:val="22"/>
    <w:qFormat/>
    <w:rsid w:val="007924A0"/>
    <w:rPr>
      <w:b/>
      <w:bCs/>
    </w:rPr>
  </w:style>
  <w:style w:type="paragraph" w:styleId="Header">
    <w:name w:val="header"/>
    <w:basedOn w:val="Normal"/>
    <w:link w:val="HeaderChar"/>
    <w:uiPriority w:val="99"/>
    <w:unhideWhenUsed/>
    <w:rsid w:val="007924A0"/>
    <w:pPr>
      <w:tabs>
        <w:tab w:val="center" w:pos="4680"/>
        <w:tab w:val="right" w:pos="9360"/>
      </w:tabs>
    </w:pPr>
    <w:rPr>
      <w:sz w:val="20"/>
      <w:szCs w:val="20"/>
      <w:lang w:val="x-none" w:eastAsia="x-none"/>
    </w:rPr>
  </w:style>
  <w:style w:type="character" w:customStyle="1" w:styleId="HeaderChar">
    <w:name w:val="Header Char"/>
    <w:link w:val="Header"/>
    <w:uiPriority w:val="99"/>
    <w:rsid w:val="007924A0"/>
    <w:rPr>
      <w:rFonts w:ascii="Calibri" w:eastAsia="Calibri" w:hAnsi="Calibri" w:cs="Times New Roman"/>
    </w:rPr>
  </w:style>
  <w:style w:type="paragraph" w:styleId="Footer">
    <w:name w:val="footer"/>
    <w:basedOn w:val="Normal"/>
    <w:link w:val="FooterChar"/>
    <w:uiPriority w:val="99"/>
    <w:unhideWhenUsed/>
    <w:rsid w:val="00647A97"/>
    <w:pPr>
      <w:spacing w:line="240" w:lineRule="auto"/>
      <w:ind w:firstLine="0"/>
    </w:pPr>
    <w:rPr>
      <w:sz w:val="20"/>
      <w:szCs w:val="20"/>
      <w:lang w:val="x-none" w:eastAsia="x-none"/>
    </w:rPr>
  </w:style>
  <w:style w:type="character" w:customStyle="1" w:styleId="FooterChar">
    <w:name w:val="Footer Char"/>
    <w:link w:val="Footer"/>
    <w:uiPriority w:val="99"/>
    <w:rsid w:val="00647A97"/>
    <w:rPr>
      <w:rFonts w:ascii="Times New Roman" w:hAnsi="Times New Roman"/>
      <w:lang w:val="x-none" w:eastAsia="x-none"/>
    </w:rPr>
  </w:style>
  <w:style w:type="table" w:styleId="TableGrid">
    <w:name w:val="Table Grid"/>
    <w:basedOn w:val="TableNormal"/>
    <w:uiPriority w:val="59"/>
    <w:rsid w:val="00792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924A0"/>
    <w:rPr>
      <w:sz w:val="20"/>
      <w:szCs w:val="20"/>
      <w:lang w:val="x-none" w:eastAsia="x-none"/>
    </w:rPr>
  </w:style>
  <w:style w:type="character" w:customStyle="1" w:styleId="FootnoteTextChar">
    <w:name w:val="Footnote Text Char"/>
    <w:link w:val="FootnoteText"/>
    <w:uiPriority w:val="99"/>
    <w:rsid w:val="007924A0"/>
    <w:rPr>
      <w:rFonts w:ascii="Calibri" w:eastAsia="Calibri" w:hAnsi="Calibri" w:cs="Times New Roman"/>
      <w:sz w:val="20"/>
      <w:szCs w:val="20"/>
    </w:rPr>
  </w:style>
  <w:style w:type="character" w:styleId="FootnoteReference">
    <w:name w:val="footnote reference"/>
    <w:uiPriority w:val="99"/>
    <w:unhideWhenUsed/>
    <w:rsid w:val="007924A0"/>
    <w:rPr>
      <w:vertAlign w:val="superscript"/>
    </w:rPr>
  </w:style>
  <w:style w:type="paragraph" w:styleId="BodyText">
    <w:name w:val="Body Text"/>
    <w:basedOn w:val="Normal"/>
    <w:link w:val="BodyTextChar"/>
    <w:rsid w:val="007924A0"/>
    <w:rPr>
      <w:rFonts w:eastAsia="Times New Roman"/>
      <w:lang w:val="x-none" w:eastAsia="x-none"/>
    </w:rPr>
  </w:style>
  <w:style w:type="character" w:customStyle="1" w:styleId="BodyTextChar">
    <w:name w:val="Body Text Char"/>
    <w:link w:val="BodyText"/>
    <w:rsid w:val="007924A0"/>
    <w:rPr>
      <w:rFonts w:ascii="Times New Roman" w:eastAsia="Times New Roman" w:hAnsi="Times New Roman" w:cs="Times New Roman"/>
      <w:sz w:val="24"/>
      <w:szCs w:val="24"/>
    </w:rPr>
  </w:style>
  <w:style w:type="paragraph" w:styleId="NormalWeb">
    <w:name w:val="Normal (Web)"/>
    <w:basedOn w:val="Normal"/>
    <w:uiPriority w:val="99"/>
    <w:unhideWhenUsed/>
    <w:rsid w:val="007924A0"/>
    <w:pPr>
      <w:spacing w:before="100" w:beforeAutospacing="1" w:after="100" w:afterAutospacing="1"/>
    </w:pPr>
    <w:rPr>
      <w:rFonts w:eastAsia="Times New Roman"/>
    </w:rPr>
  </w:style>
  <w:style w:type="character" w:customStyle="1" w:styleId="style21">
    <w:name w:val="style_21"/>
    <w:rsid w:val="007924A0"/>
    <w:rPr>
      <w:rFonts w:ascii="Arial" w:hAnsi="Arial" w:cs="Arial" w:hint="default"/>
      <w:b w:val="0"/>
      <w:bCs w:val="0"/>
      <w:i w:val="0"/>
      <w:iCs w:val="0"/>
      <w:sz w:val="27"/>
      <w:szCs w:val="27"/>
    </w:rPr>
  </w:style>
  <w:style w:type="paragraph" w:styleId="BalloonText">
    <w:name w:val="Balloon Text"/>
    <w:basedOn w:val="Normal"/>
    <w:link w:val="BalloonTextChar"/>
    <w:uiPriority w:val="99"/>
    <w:semiHidden/>
    <w:unhideWhenUsed/>
    <w:rsid w:val="007924A0"/>
    <w:rPr>
      <w:rFonts w:ascii="Tahoma" w:hAnsi="Tahoma"/>
      <w:sz w:val="16"/>
      <w:szCs w:val="16"/>
      <w:lang w:val="x-none" w:eastAsia="x-none"/>
    </w:rPr>
  </w:style>
  <w:style w:type="character" w:customStyle="1" w:styleId="BalloonTextChar">
    <w:name w:val="Balloon Text Char"/>
    <w:link w:val="BalloonText"/>
    <w:uiPriority w:val="99"/>
    <w:semiHidden/>
    <w:rsid w:val="007924A0"/>
    <w:rPr>
      <w:rFonts w:ascii="Tahoma" w:eastAsia="Calibri" w:hAnsi="Tahoma" w:cs="Tahoma"/>
      <w:sz w:val="16"/>
      <w:szCs w:val="16"/>
    </w:rPr>
  </w:style>
  <w:style w:type="character" w:styleId="CommentReference">
    <w:name w:val="annotation reference"/>
    <w:uiPriority w:val="99"/>
    <w:semiHidden/>
    <w:unhideWhenUsed/>
    <w:rsid w:val="007214D9"/>
    <w:rPr>
      <w:sz w:val="16"/>
      <w:szCs w:val="16"/>
    </w:rPr>
  </w:style>
  <w:style w:type="paragraph" w:styleId="CommentText">
    <w:name w:val="annotation text"/>
    <w:basedOn w:val="Normal"/>
    <w:link w:val="CommentTextChar"/>
    <w:uiPriority w:val="99"/>
    <w:semiHidden/>
    <w:unhideWhenUsed/>
    <w:rsid w:val="007214D9"/>
    <w:rPr>
      <w:sz w:val="20"/>
      <w:szCs w:val="20"/>
      <w:lang w:val="x-none" w:eastAsia="x-none"/>
    </w:rPr>
  </w:style>
  <w:style w:type="character" w:customStyle="1" w:styleId="CommentTextChar">
    <w:name w:val="Comment Text Char"/>
    <w:link w:val="CommentText"/>
    <w:uiPriority w:val="99"/>
    <w:semiHidden/>
    <w:rsid w:val="007214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214D9"/>
    <w:rPr>
      <w:b/>
      <w:bCs/>
    </w:rPr>
  </w:style>
  <w:style w:type="character" w:customStyle="1" w:styleId="CommentSubjectChar">
    <w:name w:val="Comment Subject Char"/>
    <w:link w:val="CommentSubject"/>
    <w:uiPriority w:val="99"/>
    <w:semiHidden/>
    <w:rsid w:val="007214D9"/>
    <w:rPr>
      <w:rFonts w:ascii="Calibri" w:eastAsia="Calibri" w:hAnsi="Calibri" w:cs="Times New Roman"/>
      <w:b/>
      <w:bCs/>
      <w:sz w:val="20"/>
      <w:szCs w:val="20"/>
    </w:rPr>
  </w:style>
  <w:style w:type="paragraph" w:styleId="Revision">
    <w:name w:val="Revision"/>
    <w:hidden/>
    <w:uiPriority w:val="99"/>
    <w:semiHidden/>
    <w:rsid w:val="007214D9"/>
    <w:rPr>
      <w:sz w:val="22"/>
      <w:szCs w:val="22"/>
    </w:rPr>
  </w:style>
  <w:style w:type="character" w:customStyle="1" w:styleId="style2">
    <w:name w:val="style_2"/>
    <w:rsid w:val="006E7593"/>
  </w:style>
  <w:style w:type="character" w:customStyle="1" w:styleId="style5">
    <w:name w:val="style_5"/>
    <w:rsid w:val="006E7593"/>
  </w:style>
  <w:style w:type="character" w:customStyle="1" w:styleId="style6">
    <w:name w:val="style_6"/>
    <w:rsid w:val="006E7593"/>
  </w:style>
  <w:style w:type="character" w:customStyle="1" w:styleId="style7">
    <w:name w:val="style_7"/>
    <w:rsid w:val="006E7593"/>
  </w:style>
  <w:style w:type="character" w:customStyle="1" w:styleId="style8">
    <w:name w:val="style_8"/>
    <w:rsid w:val="00105817"/>
  </w:style>
  <w:style w:type="character" w:customStyle="1" w:styleId="style9">
    <w:name w:val="style_9"/>
    <w:rsid w:val="00633974"/>
  </w:style>
  <w:style w:type="character" w:customStyle="1" w:styleId="apple-style-span">
    <w:name w:val="apple-style-span"/>
    <w:basedOn w:val="DefaultParagraphFont"/>
    <w:rsid w:val="00F44E6C"/>
  </w:style>
  <w:style w:type="character" w:customStyle="1" w:styleId="DefaultChar">
    <w:name w:val="Default Char"/>
    <w:link w:val="Default"/>
    <w:locked/>
    <w:rsid w:val="003A2D3F"/>
    <w:rPr>
      <w:rFonts w:ascii="Arial" w:hAnsi="Arial" w:cs="Arial"/>
      <w:color w:val="000000"/>
      <w:sz w:val="24"/>
      <w:szCs w:val="24"/>
      <w:lang w:val="en-US" w:eastAsia="en-US" w:bidi="ar-SA"/>
    </w:rPr>
  </w:style>
  <w:style w:type="character" w:styleId="FollowedHyperlink">
    <w:name w:val="FollowedHyperlink"/>
    <w:uiPriority w:val="99"/>
    <w:semiHidden/>
    <w:unhideWhenUsed/>
    <w:rsid w:val="002C4B52"/>
    <w:rPr>
      <w:color w:val="800080"/>
      <w:u w:val="single"/>
    </w:rPr>
  </w:style>
  <w:style w:type="character" w:customStyle="1" w:styleId="FootnoteTextChar1">
    <w:name w:val="Footnote Text Char1"/>
    <w:uiPriority w:val="99"/>
    <w:semiHidden/>
    <w:locked/>
    <w:rsid w:val="00295D07"/>
    <w:rPr>
      <w:rFonts w:cs="Times New Roman"/>
      <w:sz w:val="20"/>
    </w:rPr>
  </w:style>
  <w:style w:type="character" w:customStyle="1" w:styleId="Heading4Char">
    <w:name w:val="Heading 4 Char"/>
    <w:link w:val="Heading4"/>
    <w:uiPriority w:val="9"/>
    <w:semiHidden/>
    <w:rsid w:val="00AB780D"/>
    <w:rPr>
      <w:rFonts w:ascii="Calibri" w:eastAsia="Times New Roman" w:hAnsi="Calibri" w:cs="Times New Roman"/>
      <w:b/>
      <w:bCs/>
      <w:sz w:val="28"/>
      <w:szCs w:val="28"/>
    </w:rPr>
  </w:style>
  <w:style w:type="paragraph" w:customStyle="1" w:styleId="Style16ptBoldBefore9ptAfter12pt">
    <w:name w:val="Style 16 pt Bold Before:  9 pt After:  12 pt"/>
    <w:basedOn w:val="Heading1"/>
    <w:rsid w:val="00E00260"/>
    <w:pPr>
      <w:keepLines w:val="0"/>
      <w:spacing w:before="180" w:after="240"/>
    </w:pPr>
    <w:rPr>
      <w:rFonts w:cs="Arial"/>
      <w:b w:val="0"/>
      <w:bCs w:val="0"/>
      <w:kern w:val="32"/>
      <w:sz w:val="32"/>
      <w:szCs w:val="20"/>
      <w:lang w:val="en-US" w:eastAsia="en-US"/>
    </w:rPr>
  </w:style>
  <w:style w:type="paragraph" w:styleId="HTMLPreformatted">
    <w:name w:val="HTML Preformatted"/>
    <w:basedOn w:val="Normal"/>
    <w:link w:val="HTMLPreformattedChar"/>
    <w:uiPriority w:val="99"/>
    <w:unhideWhenUsed/>
    <w:rsid w:val="005B4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5B4AE1"/>
    <w:rPr>
      <w:rFonts w:ascii="Courier New" w:eastAsia="Times New Roman" w:hAnsi="Courier New" w:cs="Courier New"/>
    </w:rPr>
  </w:style>
  <w:style w:type="character" w:customStyle="1" w:styleId="nlmstring-name">
    <w:name w:val="nlm_string-name"/>
    <w:rsid w:val="005B4AE1"/>
  </w:style>
  <w:style w:type="paragraph" w:customStyle="1" w:styleId="CM3">
    <w:name w:val="CM3"/>
    <w:basedOn w:val="Normal"/>
    <w:next w:val="Normal"/>
    <w:rsid w:val="00B120FF"/>
    <w:pPr>
      <w:widowControl w:val="0"/>
      <w:autoSpaceDE w:val="0"/>
      <w:autoSpaceDN w:val="0"/>
      <w:adjustRightInd w:val="0"/>
      <w:spacing w:before="120" w:after="120" w:line="568" w:lineRule="atLeast"/>
    </w:pPr>
    <w:rPr>
      <w:rFonts w:eastAsia="Times New Roman"/>
    </w:rPr>
  </w:style>
  <w:style w:type="character" w:customStyle="1" w:styleId="mystylescustom-text1">
    <w:name w:val="mystylescustom-text1"/>
    <w:basedOn w:val="DefaultParagraphFont"/>
    <w:rsid w:val="005E2546"/>
    <w:rPr>
      <w:rFonts w:ascii="Arial" w:hAnsi="Arial" w:cs="Arial" w:hint="default"/>
      <w:b w:val="0"/>
      <w:bCs w:val="0"/>
      <w:strike w:val="0"/>
      <w:dstrike w:val="0"/>
      <w:color w:val="000000"/>
      <w:sz w:val="18"/>
      <w:szCs w:val="18"/>
      <w:u w:val="none"/>
      <w:effect w:val="none"/>
    </w:rPr>
  </w:style>
  <w:style w:type="paragraph" w:customStyle="1" w:styleId="FirstLevelHeading">
    <w:name w:val="First Level Heading"/>
    <w:basedOn w:val="ListParagraph"/>
    <w:link w:val="FirstLevelHeadingChar"/>
    <w:uiPriority w:val="99"/>
    <w:rsid w:val="00FE2C31"/>
    <w:pPr>
      <w:numPr>
        <w:numId w:val="17"/>
      </w:numPr>
    </w:pPr>
    <w:rPr>
      <w:b/>
      <w:szCs w:val="20"/>
      <w:lang w:val="x-none" w:eastAsia="x-none"/>
    </w:rPr>
  </w:style>
  <w:style w:type="character" w:customStyle="1" w:styleId="FirstLevelHeadingChar">
    <w:name w:val="First Level Heading Char"/>
    <w:link w:val="FirstLevelHeading"/>
    <w:uiPriority w:val="99"/>
    <w:locked/>
    <w:rsid w:val="00FE2C31"/>
    <w:rPr>
      <w:rFonts w:ascii="Times New Roman" w:hAnsi="Times New Roman"/>
      <w:b/>
      <w:sz w:val="24"/>
      <w:lang w:val="x-none" w:eastAsia="x-none"/>
    </w:rPr>
  </w:style>
  <w:style w:type="paragraph" w:customStyle="1" w:styleId="SecondLevelHeading">
    <w:name w:val="Second Level Heading"/>
    <w:basedOn w:val="Normal"/>
    <w:uiPriority w:val="99"/>
    <w:rsid w:val="00FE2C31"/>
    <w:pPr>
      <w:numPr>
        <w:ilvl w:val="1"/>
        <w:numId w:val="17"/>
      </w:numPr>
      <w:contextualSpacing/>
    </w:pPr>
    <w:rPr>
      <w:b/>
      <w:szCs w:val="20"/>
      <w:lang w:val="x-none" w:eastAsia="x-none"/>
    </w:rPr>
  </w:style>
  <w:style w:type="paragraph" w:customStyle="1" w:styleId="ThirdLevelList">
    <w:name w:val="Third Level List"/>
    <w:basedOn w:val="FirstLevelHeading"/>
    <w:uiPriority w:val="99"/>
    <w:rsid w:val="00FE2C31"/>
    <w:pPr>
      <w:numPr>
        <w:ilvl w:val="2"/>
      </w:numPr>
      <w:tabs>
        <w:tab w:val="left" w:pos="540"/>
      </w:tabs>
      <w:ind w:left="2220" w:hanging="180"/>
    </w:pPr>
    <w:rPr>
      <w:i/>
    </w:rPr>
  </w:style>
  <w:style w:type="paragraph" w:customStyle="1" w:styleId="FourthLevelList">
    <w:name w:val="Fourth Level List"/>
    <w:basedOn w:val="FirstLevelHeading"/>
    <w:uiPriority w:val="99"/>
    <w:rsid w:val="00FE2C31"/>
    <w:pPr>
      <w:numPr>
        <w:ilvl w:val="3"/>
      </w:numPr>
      <w:ind w:left="2940" w:hanging="360"/>
    </w:pPr>
    <w:rPr>
      <w:b w:val="0"/>
      <w:u w:val="single"/>
    </w:rPr>
  </w:style>
  <w:style w:type="paragraph" w:styleId="Title">
    <w:name w:val="Title"/>
    <w:basedOn w:val="Normal"/>
    <w:next w:val="Normal"/>
    <w:link w:val="TitleChar"/>
    <w:qFormat/>
    <w:rsid w:val="003308A2"/>
    <w:pPr>
      <w:contextualSpacing/>
    </w:pPr>
    <w:rPr>
      <w:rFonts w:eastAsiaTheme="majorEastAsia" w:cstheme="majorBidi"/>
      <w:caps/>
      <w:spacing w:val="-10"/>
      <w:kern w:val="28"/>
      <w:szCs w:val="56"/>
    </w:rPr>
  </w:style>
  <w:style w:type="character" w:customStyle="1" w:styleId="TitleChar">
    <w:name w:val="Title Char"/>
    <w:basedOn w:val="DefaultParagraphFont"/>
    <w:link w:val="Title"/>
    <w:rsid w:val="003308A2"/>
    <w:rPr>
      <w:rFonts w:ascii="Times New Roman" w:eastAsiaTheme="majorEastAsia" w:hAnsi="Times New Roman" w:cstheme="majorBidi"/>
      <w:caps/>
      <w:spacing w:val="-10"/>
      <w:kern w:val="28"/>
      <w:sz w:val="24"/>
      <w:szCs w:val="56"/>
    </w:rPr>
  </w:style>
  <w:style w:type="character" w:customStyle="1" w:styleId="Heading3Char">
    <w:name w:val="Heading 3 Char"/>
    <w:basedOn w:val="DefaultParagraphFont"/>
    <w:link w:val="Heading3"/>
    <w:uiPriority w:val="9"/>
    <w:rsid w:val="00084023"/>
    <w:rPr>
      <w:rFonts w:ascii="Times New Roman" w:eastAsiaTheme="majorEastAsia" w:hAnsi="Times New Roman" w:cstheme="majorBidi"/>
      <w:i/>
      <w:sz w:val="24"/>
      <w:szCs w:val="24"/>
    </w:rPr>
  </w:style>
  <w:style w:type="character" w:customStyle="1" w:styleId="Heading5Char">
    <w:name w:val="Heading 5 Char"/>
    <w:basedOn w:val="DefaultParagraphFont"/>
    <w:link w:val="Heading5"/>
    <w:uiPriority w:val="9"/>
    <w:semiHidden/>
    <w:rsid w:val="0061071A"/>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61071A"/>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61071A"/>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61071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1071A"/>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BD40B2"/>
    <w:rPr>
      <w:color w:val="808080"/>
    </w:rPr>
  </w:style>
  <w:style w:type="table" w:customStyle="1" w:styleId="TableGrid1">
    <w:name w:val="Table Grid1"/>
    <w:basedOn w:val="TableNormal"/>
    <w:next w:val="TableGrid"/>
    <w:uiPriority w:val="59"/>
    <w:rsid w:val="00B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varticle">
    <w:name w:val="svarticle"/>
    <w:basedOn w:val="Normal"/>
    <w:rsid w:val="00745E62"/>
    <w:pPr>
      <w:spacing w:before="100" w:beforeAutospacing="1" w:after="100" w:afterAutospacing="1" w:line="240" w:lineRule="auto"/>
      <w:ind w:firstLine="0"/>
      <w:jc w:val="left"/>
    </w:pPr>
    <w:rPr>
      <w:rFonts w:eastAsia="Times New Roman"/>
    </w:rPr>
  </w:style>
  <w:style w:type="paragraph" w:customStyle="1" w:styleId="Pa12">
    <w:name w:val="Pa12"/>
    <w:basedOn w:val="Default"/>
    <w:next w:val="Default"/>
    <w:uiPriority w:val="99"/>
    <w:rsid w:val="00714DBB"/>
    <w:pPr>
      <w:spacing w:line="221" w:lineRule="atLeast"/>
    </w:pPr>
    <w:rPr>
      <w:rFonts w:ascii="Minion Pro" w:hAnsi="Minion Pro" w:cs="Times New Roman"/>
      <w:color w:val="auto"/>
    </w:rPr>
  </w:style>
  <w:style w:type="table" w:customStyle="1" w:styleId="TableGrid2">
    <w:name w:val="Table Grid2"/>
    <w:basedOn w:val="TableNormal"/>
    <w:next w:val="TableGrid"/>
    <w:uiPriority w:val="59"/>
    <w:rsid w:val="00364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FE3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485">
      <w:bodyDiv w:val="1"/>
      <w:marLeft w:val="0"/>
      <w:marRight w:val="0"/>
      <w:marTop w:val="0"/>
      <w:marBottom w:val="0"/>
      <w:divBdr>
        <w:top w:val="none" w:sz="0" w:space="0" w:color="auto"/>
        <w:left w:val="none" w:sz="0" w:space="0" w:color="auto"/>
        <w:bottom w:val="none" w:sz="0" w:space="0" w:color="auto"/>
        <w:right w:val="none" w:sz="0" w:space="0" w:color="auto"/>
      </w:divBdr>
    </w:div>
    <w:div w:id="22752173">
      <w:bodyDiv w:val="1"/>
      <w:marLeft w:val="0"/>
      <w:marRight w:val="0"/>
      <w:marTop w:val="0"/>
      <w:marBottom w:val="0"/>
      <w:divBdr>
        <w:top w:val="none" w:sz="0" w:space="0" w:color="auto"/>
        <w:left w:val="none" w:sz="0" w:space="0" w:color="auto"/>
        <w:bottom w:val="none" w:sz="0" w:space="0" w:color="auto"/>
        <w:right w:val="none" w:sz="0" w:space="0" w:color="auto"/>
      </w:divBdr>
    </w:div>
    <w:div w:id="24142213">
      <w:bodyDiv w:val="1"/>
      <w:marLeft w:val="0"/>
      <w:marRight w:val="0"/>
      <w:marTop w:val="0"/>
      <w:marBottom w:val="0"/>
      <w:divBdr>
        <w:top w:val="none" w:sz="0" w:space="0" w:color="auto"/>
        <w:left w:val="none" w:sz="0" w:space="0" w:color="auto"/>
        <w:bottom w:val="none" w:sz="0" w:space="0" w:color="auto"/>
        <w:right w:val="none" w:sz="0" w:space="0" w:color="auto"/>
      </w:divBdr>
    </w:div>
    <w:div w:id="25909447">
      <w:bodyDiv w:val="1"/>
      <w:marLeft w:val="0"/>
      <w:marRight w:val="0"/>
      <w:marTop w:val="0"/>
      <w:marBottom w:val="0"/>
      <w:divBdr>
        <w:top w:val="none" w:sz="0" w:space="0" w:color="auto"/>
        <w:left w:val="none" w:sz="0" w:space="0" w:color="auto"/>
        <w:bottom w:val="none" w:sz="0" w:space="0" w:color="auto"/>
        <w:right w:val="none" w:sz="0" w:space="0" w:color="auto"/>
      </w:divBdr>
    </w:div>
    <w:div w:id="26957631">
      <w:bodyDiv w:val="1"/>
      <w:marLeft w:val="0"/>
      <w:marRight w:val="0"/>
      <w:marTop w:val="0"/>
      <w:marBottom w:val="0"/>
      <w:divBdr>
        <w:top w:val="none" w:sz="0" w:space="0" w:color="auto"/>
        <w:left w:val="none" w:sz="0" w:space="0" w:color="auto"/>
        <w:bottom w:val="none" w:sz="0" w:space="0" w:color="auto"/>
        <w:right w:val="none" w:sz="0" w:space="0" w:color="auto"/>
      </w:divBdr>
    </w:div>
    <w:div w:id="50811901">
      <w:bodyDiv w:val="1"/>
      <w:marLeft w:val="0"/>
      <w:marRight w:val="0"/>
      <w:marTop w:val="0"/>
      <w:marBottom w:val="0"/>
      <w:divBdr>
        <w:top w:val="none" w:sz="0" w:space="0" w:color="auto"/>
        <w:left w:val="none" w:sz="0" w:space="0" w:color="auto"/>
        <w:bottom w:val="none" w:sz="0" w:space="0" w:color="auto"/>
        <w:right w:val="none" w:sz="0" w:space="0" w:color="auto"/>
      </w:divBdr>
    </w:div>
    <w:div w:id="55396414">
      <w:bodyDiv w:val="1"/>
      <w:marLeft w:val="0"/>
      <w:marRight w:val="0"/>
      <w:marTop w:val="0"/>
      <w:marBottom w:val="0"/>
      <w:divBdr>
        <w:top w:val="none" w:sz="0" w:space="0" w:color="auto"/>
        <w:left w:val="none" w:sz="0" w:space="0" w:color="auto"/>
        <w:bottom w:val="none" w:sz="0" w:space="0" w:color="auto"/>
        <w:right w:val="none" w:sz="0" w:space="0" w:color="auto"/>
      </w:divBdr>
    </w:div>
    <w:div w:id="67070968">
      <w:bodyDiv w:val="1"/>
      <w:marLeft w:val="0"/>
      <w:marRight w:val="0"/>
      <w:marTop w:val="0"/>
      <w:marBottom w:val="0"/>
      <w:divBdr>
        <w:top w:val="none" w:sz="0" w:space="0" w:color="auto"/>
        <w:left w:val="none" w:sz="0" w:space="0" w:color="auto"/>
        <w:bottom w:val="none" w:sz="0" w:space="0" w:color="auto"/>
        <w:right w:val="none" w:sz="0" w:space="0" w:color="auto"/>
      </w:divBdr>
    </w:div>
    <w:div w:id="149912581">
      <w:bodyDiv w:val="1"/>
      <w:marLeft w:val="0"/>
      <w:marRight w:val="0"/>
      <w:marTop w:val="0"/>
      <w:marBottom w:val="0"/>
      <w:divBdr>
        <w:top w:val="none" w:sz="0" w:space="0" w:color="auto"/>
        <w:left w:val="none" w:sz="0" w:space="0" w:color="auto"/>
        <w:bottom w:val="none" w:sz="0" w:space="0" w:color="auto"/>
        <w:right w:val="none" w:sz="0" w:space="0" w:color="auto"/>
      </w:divBdr>
    </w:div>
    <w:div w:id="177816061">
      <w:bodyDiv w:val="1"/>
      <w:marLeft w:val="0"/>
      <w:marRight w:val="0"/>
      <w:marTop w:val="0"/>
      <w:marBottom w:val="0"/>
      <w:divBdr>
        <w:top w:val="none" w:sz="0" w:space="0" w:color="auto"/>
        <w:left w:val="none" w:sz="0" w:space="0" w:color="auto"/>
        <w:bottom w:val="none" w:sz="0" w:space="0" w:color="auto"/>
        <w:right w:val="none" w:sz="0" w:space="0" w:color="auto"/>
      </w:divBdr>
    </w:div>
    <w:div w:id="185022986">
      <w:bodyDiv w:val="1"/>
      <w:marLeft w:val="0"/>
      <w:marRight w:val="0"/>
      <w:marTop w:val="0"/>
      <w:marBottom w:val="0"/>
      <w:divBdr>
        <w:top w:val="none" w:sz="0" w:space="0" w:color="auto"/>
        <w:left w:val="none" w:sz="0" w:space="0" w:color="auto"/>
        <w:bottom w:val="none" w:sz="0" w:space="0" w:color="auto"/>
        <w:right w:val="none" w:sz="0" w:space="0" w:color="auto"/>
      </w:divBdr>
    </w:div>
    <w:div w:id="187722035">
      <w:bodyDiv w:val="1"/>
      <w:marLeft w:val="0"/>
      <w:marRight w:val="0"/>
      <w:marTop w:val="0"/>
      <w:marBottom w:val="0"/>
      <w:divBdr>
        <w:top w:val="none" w:sz="0" w:space="0" w:color="auto"/>
        <w:left w:val="none" w:sz="0" w:space="0" w:color="auto"/>
        <w:bottom w:val="none" w:sz="0" w:space="0" w:color="auto"/>
        <w:right w:val="none" w:sz="0" w:space="0" w:color="auto"/>
      </w:divBdr>
    </w:div>
    <w:div w:id="197084414">
      <w:bodyDiv w:val="1"/>
      <w:marLeft w:val="0"/>
      <w:marRight w:val="0"/>
      <w:marTop w:val="0"/>
      <w:marBottom w:val="0"/>
      <w:divBdr>
        <w:top w:val="none" w:sz="0" w:space="0" w:color="auto"/>
        <w:left w:val="none" w:sz="0" w:space="0" w:color="auto"/>
        <w:bottom w:val="none" w:sz="0" w:space="0" w:color="auto"/>
        <w:right w:val="none" w:sz="0" w:space="0" w:color="auto"/>
      </w:divBdr>
    </w:div>
    <w:div w:id="234321638">
      <w:bodyDiv w:val="1"/>
      <w:marLeft w:val="0"/>
      <w:marRight w:val="0"/>
      <w:marTop w:val="0"/>
      <w:marBottom w:val="0"/>
      <w:divBdr>
        <w:top w:val="none" w:sz="0" w:space="0" w:color="auto"/>
        <w:left w:val="none" w:sz="0" w:space="0" w:color="auto"/>
        <w:bottom w:val="none" w:sz="0" w:space="0" w:color="auto"/>
        <w:right w:val="none" w:sz="0" w:space="0" w:color="auto"/>
      </w:divBdr>
    </w:div>
    <w:div w:id="271862848">
      <w:bodyDiv w:val="1"/>
      <w:marLeft w:val="0"/>
      <w:marRight w:val="0"/>
      <w:marTop w:val="0"/>
      <w:marBottom w:val="0"/>
      <w:divBdr>
        <w:top w:val="none" w:sz="0" w:space="0" w:color="auto"/>
        <w:left w:val="none" w:sz="0" w:space="0" w:color="auto"/>
        <w:bottom w:val="none" w:sz="0" w:space="0" w:color="auto"/>
        <w:right w:val="none" w:sz="0" w:space="0" w:color="auto"/>
      </w:divBdr>
    </w:div>
    <w:div w:id="283389463">
      <w:bodyDiv w:val="1"/>
      <w:marLeft w:val="0"/>
      <w:marRight w:val="0"/>
      <w:marTop w:val="0"/>
      <w:marBottom w:val="0"/>
      <w:divBdr>
        <w:top w:val="none" w:sz="0" w:space="0" w:color="auto"/>
        <w:left w:val="none" w:sz="0" w:space="0" w:color="auto"/>
        <w:bottom w:val="none" w:sz="0" w:space="0" w:color="auto"/>
        <w:right w:val="none" w:sz="0" w:space="0" w:color="auto"/>
      </w:divBdr>
    </w:div>
    <w:div w:id="296836211">
      <w:bodyDiv w:val="1"/>
      <w:marLeft w:val="0"/>
      <w:marRight w:val="0"/>
      <w:marTop w:val="0"/>
      <w:marBottom w:val="0"/>
      <w:divBdr>
        <w:top w:val="none" w:sz="0" w:space="0" w:color="auto"/>
        <w:left w:val="none" w:sz="0" w:space="0" w:color="auto"/>
        <w:bottom w:val="none" w:sz="0" w:space="0" w:color="auto"/>
        <w:right w:val="none" w:sz="0" w:space="0" w:color="auto"/>
      </w:divBdr>
    </w:div>
    <w:div w:id="305160511">
      <w:bodyDiv w:val="1"/>
      <w:marLeft w:val="0"/>
      <w:marRight w:val="0"/>
      <w:marTop w:val="0"/>
      <w:marBottom w:val="0"/>
      <w:divBdr>
        <w:top w:val="none" w:sz="0" w:space="0" w:color="auto"/>
        <w:left w:val="none" w:sz="0" w:space="0" w:color="auto"/>
        <w:bottom w:val="none" w:sz="0" w:space="0" w:color="auto"/>
        <w:right w:val="none" w:sz="0" w:space="0" w:color="auto"/>
      </w:divBdr>
    </w:div>
    <w:div w:id="317151184">
      <w:bodyDiv w:val="1"/>
      <w:marLeft w:val="0"/>
      <w:marRight w:val="0"/>
      <w:marTop w:val="0"/>
      <w:marBottom w:val="0"/>
      <w:divBdr>
        <w:top w:val="none" w:sz="0" w:space="0" w:color="auto"/>
        <w:left w:val="none" w:sz="0" w:space="0" w:color="auto"/>
        <w:bottom w:val="none" w:sz="0" w:space="0" w:color="auto"/>
        <w:right w:val="none" w:sz="0" w:space="0" w:color="auto"/>
      </w:divBdr>
    </w:div>
    <w:div w:id="322857865">
      <w:bodyDiv w:val="1"/>
      <w:marLeft w:val="0"/>
      <w:marRight w:val="0"/>
      <w:marTop w:val="0"/>
      <w:marBottom w:val="0"/>
      <w:divBdr>
        <w:top w:val="none" w:sz="0" w:space="0" w:color="auto"/>
        <w:left w:val="none" w:sz="0" w:space="0" w:color="auto"/>
        <w:bottom w:val="none" w:sz="0" w:space="0" w:color="auto"/>
        <w:right w:val="none" w:sz="0" w:space="0" w:color="auto"/>
      </w:divBdr>
    </w:div>
    <w:div w:id="326977412">
      <w:bodyDiv w:val="1"/>
      <w:marLeft w:val="0"/>
      <w:marRight w:val="0"/>
      <w:marTop w:val="0"/>
      <w:marBottom w:val="0"/>
      <w:divBdr>
        <w:top w:val="none" w:sz="0" w:space="0" w:color="auto"/>
        <w:left w:val="none" w:sz="0" w:space="0" w:color="auto"/>
        <w:bottom w:val="none" w:sz="0" w:space="0" w:color="auto"/>
        <w:right w:val="none" w:sz="0" w:space="0" w:color="auto"/>
      </w:divBdr>
    </w:div>
    <w:div w:id="404686909">
      <w:bodyDiv w:val="1"/>
      <w:marLeft w:val="0"/>
      <w:marRight w:val="0"/>
      <w:marTop w:val="0"/>
      <w:marBottom w:val="0"/>
      <w:divBdr>
        <w:top w:val="none" w:sz="0" w:space="0" w:color="auto"/>
        <w:left w:val="none" w:sz="0" w:space="0" w:color="auto"/>
        <w:bottom w:val="none" w:sz="0" w:space="0" w:color="auto"/>
        <w:right w:val="none" w:sz="0" w:space="0" w:color="auto"/>
      </w:divBdr>
    </w:div>
    <w:div w:id="409156074">
      <w:bodyDiv w:val="1"/>
      <w:marLeft w:val="0"/>
      <w:marRight w:val="0"/>
      <w:marTop w:val="0"/>
      <w:marBottom w:val="0"/>
      <w:divBdr>
        <w:top w:val="none" w:sz="0" w:space="0" w:color="auto"/>
        <w:left w:val="none" w:sz="0" w:space="0" w:color="auto"/>
        <w:bottom w:val="none" w:sz="0" w:space="0" w:color="auto"/>
        <w:right w:val="none" w:sz="0" w:space="0" w:color="auto"/>
      </w:divBdr>
    </w:div>
    <w:div w:id="479274110">
      <w:bodyDiv w:val="1"/>
      <w:marLeft w:val="0"/>
      <w:marRight w:val="0"/>
      <w:marTop w:val="0"/>
      <w:marBottom w:val="0"/>
      <w:divBdr>
        <w:top w:val="none" w:sz="0" w:space="0" w:color="auto"/>
        <w:left w:val="none" w:sz="0" w:space="0" w:color="auto"/>
        <w:bottom w:val="none" w:sz="0" w:space="0" w:color="auto"/>
        <w:right w:val="none" w:sz="0" w:space="0" w:color="auto"/>
      </w:divBdr>
    </w:div>
    <w:div w:id="482282329">
      <w:bodyDiv w:val="1"/>
      <w:marLeft w:val="0"/>
      <w:marRight w:val="0"/>
      <w:marTop w:val="0"/>
      <w:marBottom w:val="0"/>
      <w:divBdr>
        <w:top w:val="none" w:sz="0" w:space="0" w:color="auto"/>
        <w:left w:val="none" w:sz="0" w:space="0" w:color="auto"/>
        <w:bottom w:val="none" w:sz="0" w:space="0" w:color="auto"/>
        <w:right w:val="none" w:sz="0" w:space="0" w:color="auto"/>
      </w:divBdr>
    </w:div>
    <w:div w:id="486821938">
      <w:bodyDiv w:val="1"/>
      <w:marLeft w:val="0"/>
      <w:marRight w:val="0"/>
      <w:marTop w:val="0"/>
      <w:marBottom w:val="0"/>
      <w:divBdr>
        <w:top w:val="none" w:sz="0" w:space="0" w:color="auto"/>
        <w:left w:val="none" w:sz="0" w:space="0" w:color="auto"/>
        <w:bottom w:val="none" w:sz="0" w:space="0" w:color="auto"/>
        <w:right w:val="none" w:sz="0" w:space="0" w:color="auto"/>
      </w:divBdr>
    </w:div>
    <w:div w:id="497501568">
      <w:bodyDiv w:val="1"/>
      <w:marLeft w:val="0"/>
      <w:marRight w:val="0"/>
      <w:marTop w:val="0"/>
      <w:marBottom w:val="0"/>
      <w:divBdr>
        <w:top w:val="none" w:sz="0" w:space="0" w:color="auto"/>
        <w:left w:val="none" w:sz="0" w:space="0" w:color="auto"/>
        <w:bottom w:val="none" w:sz="0" w:space="0" w:color="auto"/>
        <w:right w:val="none" w:sz="0" w:space="0" w:color="auto"/>
      </w:divBdr>
    </w:div>
    <w:div w:id="511455996">
      <w:bodyDiv w:val="1"/>
      <w:marLeft w:val="0"/>
      <w:marRight w:val="0"/>
      <w:marTop w:val="0"/>
      <w:marBottom w:val="0"/>
      <w:divBdr>
        <w:top w:val="none" w:sz="0" w:space="0" w:color="auto"/>
        <w:left w:val="none" w:sz="0" w:space="0" w:color="auto"/>
        <w:bottom w:val="none" w:sz="0" w:space="0" w:color="auto"/>
        <w:right w:val="none" w:sz="0" w:space="0" w:color="auto"/>
      </w:divBdr>
    </w:div>
    <w:div w:id="565727362">
      <w:bodyDiv w:val="1"/>
      <w:marLeft w:val="0"/>
      <w:marRight w:val="0"/>
      <w:marTop w:val="0"/>
      <w:marBottom w:val="0"/>
      <w:divBdr>
        <w:top w:val="none" w:sz="0" w:space="0" w:color="auto"/>
        <w:left w:val="none" w:sz="0" w:space="0" w:color="auto"/>
        <w:bottom w:val="none" w:sz="0" w:space="0" w:color="auto"/>
        <w:right w:val="none" w:sz="0" w:space="0" w:color="auto"/>
      </w:divBdr>
    </w:div>
    <w:div w:id="583612701">
      <w:bodyDiv w:val="1"/>
      <w:marLeft w:val="0"/>
      <w:marRight w:val="0"/>
      <w:marTop w:val="0"/>
      <w:marBottom w:val="0"/>
      <w:divBdr>
        <w:top w:val="none" w:sz="0" w:space="0" w:color="auto"/>
        <w:left w:val="none" w:sz="0" w:space="0" w:color="auto"/>
        <w:bottom w:val="none" w:sz="0" w:space="0" w:color="auto"/>
        <w:right w:val="none" w:sz="0" w:space="0" w:color="auto"/>
      </w:divBdr>
    </w:div>
    <w:div w:id="589193592">
      <w:bodyDiv w:val="1"/>
      <w:marLeft w:val="0"/>
      <w:marRight w:val="0"/>
      <w:marTop w:val="0"/>
      <w:marBottom w:val="0"/>
      <w:divBdr>
        <w:top w:val="none" w:sz="0" w:space="0" w:color="auto"/>
        <w:left w:val="none" w:sz="0" w:space="0" w:color="auto"/>
        <w:bottom w:val="none" w:sz="0" w:space="0" w:color="auto"/>
        <w:right w:val="none" w:sz="0" w:space="0" w:color="auto"/>
      </w:divBdr>
    </w:div>
    <w:div w:id="591666743">
      <w:bodyDiv w:val="1"/>
      <w:marLeft w:val="0"/>
      <w:marRight w:val="0"/>
      <w:marTop w:val="0"/>
      <w:marBottom w:val="0"/>
      <w:divBdr>
        <w:top w:val="none" w:sz="0" w:space="0" w:color="auto"/>
        <w:left w:val="none" w:sz="0" w:space="0" w:color="auto"/>
        <w:bottom w:val="none" w:sz="0" w:space="0" w:color="auto"/>
        <w:right w:val="none" w:sz="0" w:space="0" w:color="auto"/>
      </w:divBdr>
    </w:div>
    <w:div w:id="596406593">
      <w:bodyDiv w:val="1"/>
      <w:marLeft w:val="0"/>
      <w:marRight w:val="0"/>
      <w:marTop w:val="0"/>
      <w:marBottom w:val="0"/>
      <w:divBdr>
        <w:top w:val="none" w:sz="0" w:space="0" w:color="auto"/>
        <w:left w:val="none" w:sz="0" w:space="0" w:color="auto"/>
        <w:bottom w:val="none" w:sz="0" w:space="0" w:color="auto"/>
        <w:right w:val="none" w:sz="0" w:space="0" w:color="auto"/>
      </w:divBdr>
    </w:div>
    <w:div w:id="667363372">
      <w:bodyDiv w:val="1"/>
      <w:marLeft w:val="0"/>
      <w:marRight w:val="0"/>
      <w:marTop w:val="0"/>
      <w:marBottom w:val="0"/>
      <w:divBdr>
        <w:top w:val="none" w:sz="0" w:space="0" w:color="auto"/>
        <w:left w:val="none" w:sz="0" w:space="0" w:color="auto"/>
        <w:bottom w:val="none" w:sz="0" w:space="0" w:color="auto"/>
        <w:right w:val="none" w:sz="0" w:space="0" w:color="auto"/>
      </w:divBdr>
    </w:div>
    <w:div w:id="668867159">
      <w:bodyDiv w:val="1"/>
      <w:marLeft w:val="0"/>
      <w:marRight w:val="0"/>
      <w:marTop w:val="0"/>
      <w:marBottom w:val="0"/>
      <w:divBdr>
        <w:top w:val="none" w:sz="0" w:space="0" w:color="auto"/>
        <w:left w:val="none" w:sz="0" w:space="0" w:color="auto"/>
        <w:bottom w:val="none" w:sz="0" w:space="0" w:color="auto"/>
        <w:right w:val="none" w:sz="0" w:space="0" w:color="auto"/>
      </w:divBdr>
    </w:div>
    <w:div w:id="692999575">
      <w:bodyDiv w:val="1"/>
      <w:marLeft w:val="0"/>
      <w:marRight w:val="0"/>
      <w:marTop w:val="0"/>
      <w:marBottom w:val="0"/>
      <w:divBdr>
        <w:top w:val="none" w:sz="0" w:space="0" w:color="auto"/>
        <w:left w:val="none" w:sz="0" w:space="0" w:color="auto"/>
        <w:bottom w:val="none" w:sz="0" w:space="0" w:color="auto"/>
        <w:right w:val="none" w:sz="0" w:space="0" w:color="auto"/>
      </w:divBdr>
    </w:div>
    <w:div w:id="694311584">
      <w:bodyDiv w:val="1"/>
      <w:marLeft w:val="0"/>
      <w:marRight w:val="0"/>
      <w:marTop w:val="0"/>
      <w:marBottom w:val="0"/>
      <w:divBdr>
        <w:top w:val="none" w:sz="0" w:space="0" w:color="auto"/>
        <w:left w:val="none" w:sz="0" w:space="0" w:color="auto"/>
        <w:bottom w:val="none" w:sz="0" w:space="0" w:color="auto"/>
        <w:right w:val="none" w:sz="0" w:space="0" w:color="auto"/>
      </w:divBdr>
    </w:div>
    <w:div w:id="821237417">
      <w:bodyDiv w:val="1"/>
      <w:marLeft w:val="0"/>
      <w:marRight w:val="0"/>
      <w:marTop w:val="0"/>
      <w:marBottom w:val="0"/>
      <w:divBdr>
        <w:top w:val="none" w:sz="0" w:space="0" w:color="auto"/>
        <w:left w:val="none" w:sz="0" w:space="0" w:color="auto"/>
        <w:bottom w:val="none" w:sz="0" w:space="0" w:color="auto"/>
        <w:right w:val="none" w:sz="0" w:space="0" w:color="auto"/>
      </w:divBdr>
    </w:div>
    <w:div w:id="840465799">
      <w:bodyDiv w:val="1"/>
      <w:marLeft w:val="0"/>
      <w:marRight w:val="0"/>
      <w:marTop w:val="0"/>
      <w:marBottom w:val="0"/>
      <w:divBdr>
        <w:top w:val="none" w:sz="0" w:space="0" w:color="auto"/>
        <w:left w:val="none" w:sz="0" w:space="0" w:color="auto"/>
        <w:bottom w:val="none" w:sz="0" w:space="0" w:color="auto"/>
        <w:right w:val="none" w:sz="0" w:space="0" w:color="auto"/>
      </w:divBdr>
    </w:div>
    <w:div w:id="861476503">
      <w:bodyDiv w:val="1"/>
      <w:marLeft w:val="0"/>
      <w:marRight w:val="0"/>
      <w:marTop w:val="0"/>
      <w:marBottom w:val="0"/>
      <w:divBdr>
        <w:top w:val="none" w:sz="0" w:space="0" w:color="auto"/>
        <w:left w:val="none" w:sz="0" w:space="0" w:color="auto"/>
        <w:bottom w:val="none" w:sz="0" w:space="0" w:color="auto"/>
        <w:right w:val="none" w:sz="0" w:space="0" w:color="auto"/>
      </w:divBdr>
    </w:div>
    <w:div w:id="867067300">
      <w:bodyDiv w:val="1"/>
      <w:marLeft w:val="0"/>
      <w:marRight w:val="0"/>
      <w:marTop w:val="0"/>
      <w:marBottom w:val="0"/>
      <w:divBdr>
        <w:top w:val="none" w:sz="0" w:space="0" w:color="auto"/>
        <w:left w:val="none" w:sz="0" w:space="0" w:color="auto"/>
        <w:bottom w:val="none" w:sz="0" w:space="0" w:color="auto"/>
        <w:right w:val="none" w:sz="0" w:space="0" w:color="auto"/>
      </w:divBdr>
    </w:div>
    <w:div w:id="887381111">
      <w:bodyDiv w:val="1"/>
      <w:marLeft w:val="0"/>
      <w:marRight w:val="0"/>
      <w:marTop w:val="0"/>
      <w:marBottom w:val="0"/>
      <w:divBdr>
        <w:top w:val="none" w:sz="0" w:space="0" w:color="auto"/>
        <w:left w:val="none" w:sz="0" w:space="0" w:color="auto"/>
        <w:bottom w:val="none" w:sz="0" w:space="0" w:color="auto"/>
        <w:right w:val="none" w:sz="0" w:space="0" w:color="auto"/>
      </w:divBdr>
    </w:div>
    <w:div w:id="904031095">
      <w:bodyDiv w:val="1"/>
      <w:marLeft w:val="0"/>
      <w:marRight w:val="0"/>
      <w:marTop w:val="0"/>
      <w:marBottom w:val="0"/>
      <w:divBdr>
        <w:top w:val="none" w:sz="0" w:space="0" w:color="auto"/>
        <w:left w:val="none" w:sz="0" w:space="0" w:color="auto"/>
        <w:bottom w:val="none" w:sz="0" w:space="0" w:color="auto"/>
        <w:right w:val="none" w:sz="0" w:space="0" w:color="auto"/>
      </w:divBdr>
    </w:div>
    <w:div w:id="906456325">
      <w:bodyDiv w:val="1"/>
      <w:marLeft w:val="0"/>
      <w:marRight w:val="0"/>
      <w:marTop w:val="0"/>
      <w:marBottom w:val="0"/>
      <w:divBdr>
        <w:top w:val="none" w:sz="0" w:space="0" w:color="auto"/>
        <w:left w:val="none" w:sz="0" w:space="0" w:color="auto"/>
        <w:bottom w:val="none" w:sz="0" w:space="0" w:color="auto"/>
        <w:right w:val="none" w:sz="0" w:space="0" w:color="auto"/>
      </w:divBdr>
    </w:div>
    <w:div w:id="920262201">
      <w:bodyDiv w:val="1"/>
      <w:marLeft w:val="0"/>
      <w:marRight w:val="0"/>
      <w:marTop w:val="0"/>
      <w:marBottom w:val="0"/>
      <w:divBdr>
        <w:top w:val="none" w:sz="0" w:space="0" w:color="auto"/>
        <w:left w:val="none" w:sz="0" w:space="0" w:color="auto"/>
        <w:bottom w:val="none" w:sz="0" w:space="0" w:color="auto"/>
        <w:right w:val="none" w:sz="0" w:space="0" w:color="auto"/>
      </w:divBdr>
    </w:div>
    <w:div w:id="974145080">
      <w:bodyDiv w:val="1"/>
      <w:marLeft w:val="0"/>
      <w:marRight w:val="0"/>
      <w:marTop w:val="0"/>
      <w:marBottom w:val="0"/>
      <w:divBdr>
        <w:top w:val="none" w:sz="0" w:space="0" w:color="auto"/>
        <w:left w:val="none" w:sz="0" w:space="0" w:color="auto"/>
        <w:bottom w:val="none" w:sz="0" w:space="0" w:color="auto"/>
        <w:right w:val="none" w:sz="0" w:space="0" w:color="auto"/>
      </w:divBdr>
    </w:div>
    <w:div w:id="976639938">
      <w:bodyDiv w:val="1"/>
      <w:marLeft w:val="0"/>
      <w:marRight w:val="0"/>
      <w:marTop w:val="0"/>
      <w:marBottom w:val="0"/>
      <w:divBdr>
        <w:top w:val="none" w:sz="0" w:space="0" w:color="auto"/>
        <w:left w:val="none" w:sz="0" w:space="0" w:color="auto"/>
        <w:bottom w:val="none" w:sz="0" w:space="0" w:color="auto"/>
        <w:right w:val="none" w:sz="0" w:space="0" w:color="auto"/>
      </w:divBdr>
    </w:div>
    <w:div w:id="983001255">
      <w:bodyDiv w:val="1"/>
      <w:marLeft w:val="0"/>
      <w:marRight w:val="0"/>
      <w:marTop w:val="0"/>
      <w:marBottom w:val="0"/>
      <w:divBdr>
        <w:top w:val="none" w:sz="0" w:space="0" w:color="auto"/>
        <w:left w:val="none" w:sz="0" w:space="0" w:color="auto"/>
        <w:bottom w:val="none" w:sz="0" w:space="0" w:color="auto"/>
        <w:right w:val="none" w:sz="0" w:space="0" w:color="auto"/>
      </w:divBdr>
    </w:div>
    <w:div w:id="1006252096">
      <w:bodyDiv w:val="1"/>
      <w:marLeft w:val="0"/>
      <w:marRight w:val="0"/>
      <w:marTop w:val="0"/>
      <w:marBottom w:val="0"/>
      <w:divBdr>
        <w:top w:val="none" w:sz="0" w:space="0" w:color="auto"/>
        <w:left w:val="none" w:sz="0" w:space="0" w:color="auto"/>
        <w:bottom w:val="none" w:sz="0" w:space="0" w:color="auto"/>
        <w:right w:val="none" w:sz="0" w:space="0" w:color="auto"/>
      </w:divBdr>
    </w:div>
    <w:div w:id="1007907632">
      <w:bodyDiv w:val="1"/>
      <w:marLeft w:val="0"/>
      <w:marRight w:val="0"/>
      <w:marTop w:val="0"/>
      <w:marBottom w:val="0"/>
      <w:divBdr>
        <w:top w:val="none" w:sz="0" w:space="0" w:color="auto"/>
        <w:left w:val="none" w:sz="0" w:space="0" w:color="auto"/>
        <w:bottom w:val="none" w:sz="0" w:space="0" w:color="auto"/>
        <w:right w:val="none" w:sz="0" w:space="0" w:color="auto"/>
      </w:divBdr>
      <w:divsChild>
        <w:div w:id="996570368">
          <w:marLeft w:val="2520"/>
          <w:marRight w:val="0"/>
          <w:marTop w:val="115"/>
          <w:marBottom w:val="0"/>
          <w:divBdr>
            <w:top w:val="none" w:sz="0" w:space="0" w:color="auto"/>
            <w:left w:val="none" w:sz="0" w:space="0" w:color="auto"/>
            <w:bottom w:val="none" w:sz="0" w:space="0" w:color="auto"/>
            <w:right w:val="none" w:sz="0" w:space="0" w:color="auto"/>
          </w:divBdr>
        </w:div>
      </w:divsChild>
    </w:div>
    <w:div w:id="1009673770">
      <w:bodyDiv w:val="1"/>
      <w:marLeft w:val="0"/>
      <w:marRight w:val="0"/>
      <w:marTop w:val="0"/>
      <w:marBottom w:val="0"/>
      <w:divBdr>
        <w:top w:val="none" w:sz="0" w:space="0" w:color="auto"/>
        <w:left w:val="none" w:sz="0" w:space="0" w:color="auto"/>
        <w:bottom w:val="none" w:sz="0" w:space="0" w:color="auto"/>
        <w:right w:val="none" w:sz="0" w:space="0" w:color="auto"/>
      </w:divBdr>
    </w:div>
    <w:div w:id="1024092356">
      <w:bodyDiv w:val="1"/>
      <w:marLeft w:val="0"/>
      <w:marRight w:val="0"/>
      <w:marTop w:val="0"/>
      <w:marBottom w:val="0"/>
      <w:divBdr>
        <w:top w:val="none" w:sz="0" w:space="0" w:color="auto"/>
        <w:left w:val="none" w:sz="0" w:space="0" w:color="auto"/>
        <w:bottom w:val="none" w:sz="0" w:space="0" w:color="auto"/>
        <w:right w:val="none" w:sz="0" w:space="0" w:color="auto"/>
      </w:divBdr>
    </w:div>
    <w:div w:id="1051731253">
      <w:bodyDiv w:val="1"/>
      <w:marLeft w:val="0"/>
      <w:marRight w:val="0"/>
      <w:marTop w:val="0"/>
      <w:marBottom w:val="0"/>
      <w:divBdr>
        <w:top w:val="none" w:sz="0" w:space="0" w:color="auto"/>
        <w:left w:val="none" w:sz="0" w:space="0" w:color="auto"/>
        <w:bottom w:val="none" w:sz="0" w:space="0" w:color="auto"/>
        <w:right w:val="none" w:sz="0" w:space="0" w:color="auto"/>
      </w:divBdr>
    </w:div>
    <w:div w:id="1065301083">
      <w:bodyDiv w:val="1"/>
      <w:marLeft w:val="0"/>
      <w:marRight w:val="0"/>
      <w:marTop w:val="0"/>
      <w:marBottom w:val="0"/>
      <w:divBdr>
        <w:top w:val="none" w:sz="0" w:space="0" w:color="auto"/>
        <w:left w:val="none" w:sz="0" w:space="0" w:color="auto"/>
        <w:bottom w:val="none" w:sz="0" w:space="0" w:color="auto"/>
        <w:right w:val="none" w:sz="0" w:space="0" w:color="auto"/>
      </w:divBdr>
      <w:divsChild>
        <w:div w:id="1350326857">
          <w:marLeft w:val="0"/>
          <w:marRight w:val="0"/>
          <w:marTop w:val="0"/>
          <w:marBottom w:val="0"/>
          <w:divBdr>
            <w:top w:val="none" w:sz="0" w:space="0" w:color="auto"/>
            <w:left w:val="none" w:sz="0" w:space="0" w:color="auto"/>
            <w:bottom w:val="none" w:sz="0" w:space="0" w:color="auto"/>
            <w:right w:val="none" w:sz="0" w:space="0" w:color="auto"/>
          </w:divBdr>
        </w:div>
      </w:divsChild>
    </w:div>
    <w:div w:id="1080560388">
      <w:bodyDiv w:val="1"/>
      <w:marLeft w:val="0"/>
      <w:marRight w:val="0"/>
      <w:marTop w:val="0"/>
      <w:marBottom w:val="0"/>
      <w:divBdr>
        <w:top w:val="none" w:sz="0" w:space="0" w:color="auto"/>
        <w:left w:val="none" w:sz="0" w:space="0" w:color="auto"/>
        <w:bottom w:val="none" w:sz="0" w:space="0" w:color="auto"/>
        <w:right w:val="none" w:sz="0" w:space="0" w:color="auto"/>
      </w:divBdr>
    </w:div>
    <w:div w:id="1094715444">
      <w:bodyDiv w:val="1"/>
      <w:marLeft w:val="0"/>
      <w:marRight w:val="0"/>
      <w:marTop w:val="0"/>
      <w:marBottom w:val="0"/>
      <w:divBdr>
        <w:top w:val="none" w:sz="0" w:space="0" w:color="auto"/>
        <w:left w:val="none" w:sz="0" w:space="0" w:color="auto"/>
        <w:bottom w:val="none" w:sz="0" w:space="0" w:color="auto"/>
        <w:right w:val="none" w:sz="0" w:space="0" w:color="auto"/>
      </w:divBdr>
    </w:div>
    <w:div w:id="1095632658">
      <w:bodyDiv w:val="1"/>
      <w:marLeft w:val="0"/>
      <w:marRight w:val="0"/>
      <w:marTop w:val="0"/>
      <w:marBottom w:val="0"/>
      <w:divBdr>
        <w:top w:val="none" w:sz="0" w:space="0" w:color="auto"/>
        <w:left w:val="none" w:sz="0" w:space="0" w:color="auto"/>
        <w:bottom w:val="none" w:sz="0" w:space="0" w:color="auto"/>
        <w:right w:val="none" w:sz="0" w:space="0" w:color="auto"/>
      </w:divBdr>
    </w:div>
    <w:div w:id="1096286854">
      <w:bodyDiv w:val="1"/>
      <w:marLeft w:val="0"/>
      <w:marRight w:val="0"/>
      <w:marTop w:val="0"/>
      <w:marBottom w:val="0"/>
      <w:divBdr>
        <w:top w:val="none" w:sz="0" w:space="0" w:color="auto"/>
        <w:left w:val="none" w:sz="0" w:space="0" w:color="auto"/>
        <w:bottom w:val="none" w:sz="0" w:space="0" w:color="auto"/>
        <w:right w:val="none" w:sz="0" w:space="0" w:color="auto"/>
      </w:divBdr>
    </w:div>
    <w:div w:id="1104113402">
      <w:bodyDiv w:val="1"/>
      <w:marLeft w:val="0"/>
      <w:marRight w:val="0"/>
      <w:marTop w:val="0"/>
      <w:marBottom w:val="0"/>
      <w:divBdr>
        <w:top w:val="none" w:sz="0" w:space="0" w:color="auto"/>
        <w:left w:val="none" w:sz="0" w:space="0" w:color="auto"/>
        <w:bottom w:val="none" w:sz="0" w:space="0" w:color="auto"/>
        <w:right w:val="none" w:sz="0" w:space="0" w:color="auto"/>
      </w:divBdr>
      <w:divsChild>
        <w:div w:id="1750492832">
          <w:marLeft w:val="0"/>
          <w:marRight w:val="0"/>
          <w:marTop w:val="0"/>
          <w:marBottom w:val="0"/>
          <w:divBdr>
            <w:top w:val="none" w:sz="0" w:space="0" w:color="auto"/>
            <w:left w:val="none" w:sz="0" w:space="0" w:color="auto"/>
            <w:bottom w:val="none" w:sz="0" w:space="0" w:color="auto"/>
            <w:right w:val="none" w:sz="0" w:space="0" w:color="auto"/>
          </w:divBdr>
          <w:divsChild>
            <w:div w:id="70086889">
              <w:marLeft w:val="0"/>
              <w:marRight w:val="0"/>
              <w:marTop w:val="0"/>
              <w:marBottom w:val="0"/>
              <w:divBdr>
                <w:top w:val="none" w:sz="0" w:space="0" w:color="auto"/>
                <w:left w:val="none" w:sz="0" w:space="0" w:color="auto"/>
                <w:bottom w:val="none" w:sz="0" w:space="0" w:color="auto"/>
                <w:right w:val="none" w:sz="0" w:space="0" w:color="auto"/>
              </w:divBdr>
            </w:div>
            <w:div w:id="84113748">
              <w:marLeft w:val="0"/>
              <w:marRight w:val="0"/>
              <w:marTop w:val="0"/>
              <w:marBottom w:val="0"/>
              <w:divBdr>
                <w:top w:val="none" w:sz="0" w:space="0" w:color="auto"/>
                <w:left w:val="none" w:sz="0" w:space="0" w:color="auto"/>
                <w:bottom w:val="none" w:sz="0" w:space="0" w:color="auto"/>
                <w:right w:val="none" w:sz="0" w:space="0" w:color="auto"/>
              </w:divBdr>
            </w:div>
            <w:div w:id="183594819">
              <w:marLeft w:val="0"/>
              <w:marRight w:val="0"/>
              <w:marTop w:val="0"/>
              <w:marBottom w:val="0"/>
              <w:divBdr>
                <w:top w:val="none" w:sz="0" w:space="0" w:color="auto"/>
                <w:left w:val="none" w:sz="0" w:space="0" w:color="auto"/>
                <w:bottom w:val="none" w:sz="0" w:space="0" w:color="auto"/>
                <w:right w:val="none" w:sz="0" w:space="0" w:color="auto"/>
              </w:divBdr>
            </w:div>
            <w:div w:id="213472698">
              <w:marLeft w:val="0"/>
              <w:marRight w:val="0"/>
              <w:marTop w:val="0"/>
              <w:marBottom w:val="0"/>
              <w:divBdr>
                <w:top w:val="none" w:sz="0" w:space="0" w:color="auto"/>
                <w:left w:val="none" w:sz="0" w:space="0" w:color="auto"/>
                <w:bottom w:val="none" w:sz="0" w:space="0" w:color="auto"/>
                <w:right w:val="none" w:sz="0" w:space="0" w:color="auto"/>
              </w:divBdr>
            </w:div>
            <w:div w:id="231740460">
              <w:marLeft w:val="0"/>
              <w:marRight w:val="0"/>
              <w:marTop w:val="0"/>
              <w:marBottom w:val="0"/>
              <w:divBdr>
                <w:top w:val="none" w:sz="0" w:space="0" w:color="auto"/>
                <w:left w:val="none" w:sz="0" w:space="0" w:color="auto"/>
                <w:bottom w:val="none" w:sz="0" w:space="0" w:color="auto"/>
                <w:right w:val="none" w:sz="0" w:space="0" w:color="auto"/>
              </w:divBdr>
            </w:div>
            <w:div w:id="257756972">
              <w:marLeft w:val="0"/>
              <w:marRight w:val="0"/>
              <w:marTop w:val="0"/>
              <w:marBottom w:val="0"/>
              <w:divBdr>
                <w:top w:val="none" w:sz="0" w:space="0" w:color="auto"/>
                <w:left w:val="none" w:sz="0" w:space="0" w:color="auto"/>
                <w:bottom w:val="none" w:sz="0" w:space="0" w:color="auto"/>
                <w:right w:val="none" w:sz="0" w:space="0" w:color="auto"/>
              </w:divBdr>
            </w:div>
            <w:div w:id="275673114">
              <w:marLeft w:val="0"/>
              <w:marRight w:val="0"/>
              <w:marTop w:val="0"/>
              <w:marBottom w:val="0"/>
              <w:divBdr>
                <w:top w:val="none" w:sz="0" w:space="0" w:color="auto"/>
                <w:left w:val="none" w:sz="0" w:space="0" w:color="auto"/>
                <w:bottom w:val="none" w:sz="0" w:space="0" w:color="auto"/>
                <w:right w:val="none" w:sz="0" w:space="0" w:color="auto"/>
              </w:divBdr>
            </w:div>
            <w:div w:id="284889462">
              <w:marLeft w:val="0"/>
              <w:marRight w:val="0"/>
              <w:marTop w:val="0"/>
              <w:marBottom w:val="0"/>
              <w:divBdr>
                <w:top w:val="none" w:sz="0" w:space="0" w:color="auto"/>
                <w:left w:val="none" w:sz="0" w:space="0" w:color="auto"/>
                <w:bottom w:val="none" w:sz="0" w:space="0" w:color="auto"/>
                <w:right w:val="none" w:sz="0" w:space="0" w:color="auto"/>
              </w:divBdr>
            </w:div>
            <w:div w:id="315915642">
              <w:marLeft w:val="0"/>
              <w:marRight w:val="0"/>
              <w:marTop w:val="0"/>
              <w:marBottom w:val="0"/>
              <w:divBdr>
                <w:top w:val="none" w:sz="0" w:space="0" w:color="auto"/>
                <w:left w:val="none" w:sz="0" w:space="0" w:color="auto"/>
                <w:bottom w:val="none" w:sz="0" w:space="0" w:color="auto"/>
                <w:right w:val="none" w:sz="0" w:space="0" w:color="auto"/>
              </w:divBdr>
            </w:div>
            <w:div w:id="349139911">
              <w:marLeft w:val="0"/>
              <w:marRight w:val="0"/>
              <w:marTop w:val="0"/>
              <w:marBottom w:val="0"/>
              <w:divBdr>
                <w:top w:val="none" w:sz="0" w:space="0" w:color="auto"/>
                <w:left w:val="none" w:sz="0" w:space="0" w:color="auto"/>
                <w:bottom w:val="none" w:sz="0" w:space="0" w:color="auto"/>
                <w:right w:val="none" w:sz="0" w:space="0" w:color="auto"/>
              </w:divBdr>
            </w:div>
            <w:div w:id="354891528">
              <w:marLeft w:val="0"/>
              <w:marRight w:val="0"/>
              <w:marTop w:val="0"/>
              <w:marBottom w:val="0"/>
              <w:divBdr>
                <w:top w:val="none" w:sz="0" w:space="0" w:color="auto"/>
                <w:left w:val="none" w:sz="0" w:space="0" w:color="auto"/>
                <w:bottom w:val="none" w:sz="0" w:space="0" w:color="auto"/>
                <w:right w:val="none" w:sz="0" w:space="0" w:color="auto"/>
              </w:divBdr>
            </w:div>
            <w:div w:id="402147923">
              <w:marLeft w:val="0"/>
              <w:marRight w:val="0"/>
              <w:marTop w:val="0"/>
              <w:marBottom w:val="0"/>
              <w:divBdr>
                <w:top w:val="none" w:sz="0" w:space="0" w:color="auto"/>
                <w:left w:val="none" w:sz="0" w:space="0" w:color="auto"/>
                <w:bottom w:val="none" w:sz="0" w:space="0" w:color="auto"/>
                <w:right w:val="none" w:sz="0" w:space="0" w:color="auto"/>
              </w:divBdr>
            </w:div>
            <w:div w:id="504632311">
              <w:marLeft w:val="0"/>
              <w:marRight w:val="0"/>
              <w:marTop w:val="0"/>
              <w:marBottom w:val="0"/>
              <w:divBdr>
                <w:top w:val="none" w:sz="0" w:space="0" w:color="auto"/>
                <w:left w:val="none" w:sz="0" w:space="0" w:color="auto"/>
                <w:bottom w:val="none" w:sz="0" w:space="0" w:color="auto"/>
                <w:right w:val="none" w:sz="0" w:space="0" w:color="auto"/>
              </w:divBdr>
            </w:div>
            <w:div w:id="530267216">
              <w:marLeft w:val="0"/>
              <w:marRight w:val="0"/>
              <w:marTop w:val="0"/>
              <w:marBottom w:val="0"/>
              <w:divBdr>
                <w:top w:val="none" w:sz="0" w:space="0" w:color="auto"/>
                <w:left w:val="none" w:sz="0" w:space="0" w:color="auto"/>
                <w:bottom w:val="none" w:sz="0" w:space="0" w:color="auto"/>
                <w:right w:val="none" w:sz="0" w:space="0" w:color="auto"/>
              </w:divBdr>
            </w:div>
            <w:div w:id="574047954">
              <w:marLeft w:val="0"/>
              <w:marRight w:val="0"/>
              <w:marTop w:val="0"/>
              <w:marBottom w:val="0"/>
              <w:divBdr>
                <w:top w:val="none" w:sz="0" w:space="0" w:color="auto"/>
                <w:left w:val="none" w:sz="0" w:space="0" w:color="auto"/>
                <w:bottom w:val="none" w:sz="0" w:space="0" w:color="auto"/>
                <w:right w:val="none" w:sz="0" w:space="0" w:color="auto"/>
              </w:divBdr>
            </w:div>
            <w:div w:id="577834153">
              <w:marLeft w:val="0"/>
              <w:marRight w:val="0"/>
              <w:marTop w:val="0"/>
              <w:marBottom w:val="0"/>
              <w:divBdr>
                <w:top w:val="none" w:sz="0" w:space="0" w:color="auto"/>
                <w:left w:val="none" w:sz="0" w:space="0" w:color="auto"/>
                <w:bottom w:val="none" w:sz="0" w:space="0" w:color="auto"/>
                <w:right w:val="none" w:sz="0" w:space="0" w:color="auto"/>
              </w:divBdr>
            </w:div>
            <w:div w:id="581574212">
              <w:marLeft w:val="0"/>
              <w:marRight w:val="0"/>
              <w:marTop w:val="0"/>
              <w:marBottom w:val="0"/>
              <w:divBdr>
                <w:top w:val="none" w:sz="0" w:space="0" w:color="auto"/>
                <w:left w:val="none" w:sz="0" w:space="0" w:color="auto"/>
                <w:bottom w:val="none" w:sz="0" w:space="0" w:color="auto"/>
                <w:right w:val="none" w:sz="0" w:space="0" w:color="auto"/>
              </w:divBdr>
            </w:div>
            <w:div w:id="592084277">
              <w:marLeft w:val="0"/>
              <w:marRight w:val="0"/>
              <w:marTop w:val="0"/>
              <w:marBottom w:val="0"/>
              <w:divBdr>
                <w:top w:val="none" w:sz="0" w:space="0" w:color="auto"/>
                <w:left w:val="none" w:sz="0" w:space="0" w:color="auto"/>
                <w:bottom w:val="none" w:sz="0" w:space="0" w:color="auto"/>
                <w:right w:val="none" w:sz="0" w:space="0" w:color="auto"/>
              </w:divBdr>
            </w:div>
            <w:div w:id="619146447">
              <w:marLeft w:val="0"/>
              <w:marRight w:val="0"/>
              <w:marTop w:val="0"/>
              <w:marBottom w:val="0"/>
              <w:divBdr>
                <w:top w:val="none" w:sz="0" w:space="0" w:color="auto"/>
                <w:left w:val="none" w:sz="0" w:space="0" w:color="auto"/>
                <w:bottom w:val="none" w:sz="0" w:space="0" w:color="auto"/>
                <w:right w:val="none" w:sz="0" w:space="0" w:color="auto"/>
              </w:divBdr>
            </w:div>
            <w:div w:id="660428015">
              <w:marLeft w:val="0"/>
              <w:marRight w:val="0"/>
              <w:marTop w:val="0"/>
              <w:marBottom w:val="0"/>
              <w:divBdr>
                <w:top w:val="none" w:sz="0" w:space="0" w:color="auto"/>
                <w:left w:val="none" w:sz="0" w:space="0" w:color="auto"/>
                <w:bottom w:val="none" w:sz="0" w:space="0" w:color="auto"/>
                <w:right w:val="none" w:sz="0" w:space="0" w:color="auto"/>
              </w:divBdr>
            </w:div>
            <w:div w:id="756289489">
              <w:marLeft w:val="0"/>
              <w:marRight w:val="0"/>
              <w:marTop w:val="0"/>
              <w:marBottom w:val="0"/>
              <w:divBdr>
                <w:top w:val="none" w:sz="0" w:space="0" w:color="auto"/>
                <w:left w:val="none" w:sz="0" w:space="0" w:color="auto"/>
                <w:bottom w:val="none" w:sz="0" w:space="0" w:color="auto"/>
                <w:right w:val="none" w:sz="0" w:space="0" w:color="auto"/>
              </w:divBdr>
            </w:div>
            <w:div w:id="790780037">
              <w:marLeft w:val="0"/>
              <w:marRight w:val="0"/>
              <w:marTop w:val="0"/>
              <w:marBottom w:val="0"/>
              <w:divBdr>
                <w:top w:val="none" w:sz="0" w:space="0" w:color="auto"/>
                <w:left w:val="none" w:sz="0" w:space="0" w:color="auto"/>
                <w:bottom w:val="none" w:sz="0" w:space="0" w:color="auto"/>
                <w:right w:val="none" w:sz="0" w:space="0" w:color="auto"/>
              </w:divBdr>
            </w:div>
            <w:div w:id="807404576">
              <w:marLeft w:val="0"/>
              <w:marRight w:val="0"/>
              <w:marTop w:val="0"/>
              <w:marBottom w:val="0"/>
              <w:divBdr>
                <w:top w:val="none" w:sz="0" w:space="0" w:color="auto"/>
                <w:left w:val="none" w:sz="0" w:space="0" w:color="auto"/>
                <w:bottom w:val="none" w:sz="0" w:space="0" w:color="auto"/>
                <w:right w:val="none" w:sz="0" w:space="0" w:color="auto"/>
              </w:divBdr>
            </w:div>
            <w:div w:id="858471704">
              <w:marLeft w:val="0"/>
              <w:marRight w:val="0"/>
              <w:marTop w:val="0"/>
              <w:marBottom w:val="0"/>
              <w:divBdr>
                <w:top w:val="none" w:sz="0" w:space="0" w:color="auto"/>
                <w:left w:val="none" w:sz="0" w:space="0" w:color="auto"/>
                <w:bottom w:val="none" w:sz="0" w:space="0" w:color="auto"/>
                <w:right w:val="none" w:sz="0" w:space="0" w:color="auto"/>
              </w:divBdr>
            </w:div>
            <w:div w:id="868030882">
              <w:marLeft w:val="0"/>
              <w:marRight w:val="0"/>
              <w:marTop w:val="0"/>
              <w:marBottom w:val="0"/>
              <w:divBdr>
                <w:top w:val="none" w:sz="0" w:space="0" w:color="auto"/>
                <w:left w:val="none" w:sz="0" w:space="0" w:color="auto"/>
                <w:bottom w:val="none" w:sz="0" w:space="0" w:color="auto"/>
                <w:right w:val="none" w:sz="0" w:space="0" w:color="auto"/>
              </w:divBdr>
            </w:div>
            <w:div w:id="879054476">
              <w:marLeft w:val="0"/>
              <w:marRight w:val="0"/>
              <w:marTop w:val="0"/>
              <w:marBottom w:val="0"/>
              <w:divBdr>
                <w:top w:val="none" w:sz="0" w:space="0" w:color="auto"/>
                <w:left w:val="none" w:sz="0" w:space="0" w:color="auto"/>
                <w:bottom w:val="none" w:sz="0" w:space="0" w:color="auto"/>
                <w:right w:val="none" w:sz="0" w:space="0" w:color="auto"/>
              </w:divBdr>
            </w:div>
            <w:div w:id="886137996">
              <w:marLeft w:val="0"/>
              <w:marRight w:val="0"/>
              <w:marTop w:val="0"/>
              <w:marBottom w:val="0"/>
              <w:divBdr>
                <w:top w:val="none" w:sz="0" w:space="0" w:color="auto"/>
                <w:left w:val="none" w:sz="0" w:space="0" w:color="auto"/>
                <w:bottom w:val="none" w:sz="0" w:space="0" w:color="auto"/>
                <w:right w:val="none" w:sz="0" w:space="0" w:color="auto"/>
              </w:divBdr>
            </w:div>
            <w:div w:id="911743689">
              <w:marLeft w:val="0"/>
              <w:marRight w:val="0"/>
              <w:marTop w:val="0"/>
              <w:marBottom w:val="0"/>
              <w:divBdr>
                <w:top w:val="none" w:sz="0" w:space="0" w:color="auto"/>
                <w:left w:val="none" w:sz="0" w:space="0" w:color="auto"/>
                <w:bottom w:val="none" w:sz="0" w:space="0" w:color="auto"/>
                <w:right w:val="none" w:sz="0" w:space="0" w:color="auto"/>
              </w:divBdr>
            </w:div>
            <w:div w:id="912086596">
              <w:marLeft w:val="0"/>
              <w:marRight w:val="0"/>
              <w:marTop w:val="0"/>
              <w:marBottom w:val="0"/>
              <w:divBdr>
                <w:top w:val="none" w:sz="0" w:space="0" w:color="auto"/>
                <w:left w:val="none" w:sz="0" w:space="0" w:color="auto"/>
                <w:bottom w:val="none" w:sz="0" w:space="0" w:color="auto"/>
                <w:right w:val="none" w:sz="0" w:space="0" w:color="auto"/>
              </w:divBdr>
            </w:div>
            <w:div w:id="977883291">
              <w:marLeft w:val="0"/>
              <w:marRight w:val="0"/>
              <w:marTop w:val="0"/>
              <w:marBottom w:val="0"/>
              <w:divBdr>
                <w:top w:val="none" w:sz="0" w:space="0" w:color="auto"/>
                <w:left w:val="none" w:sz="0" w:space="0" w:color="auto"/>
                <w:bottom w:val="none" w:sz="0" w:space="0" w:color="auto"/>
                <w:right w:val="none" w:sz="0" w:space="0" w:color="auto"/>
              </w:divBdr>
            </w:div>
            <w:div w:id="981497144">
              <w:marLeft w:val="0"/>
              <w:marRight w:val="0"/>
              <w:marTop w:val="0"/>
              <w:marBottom w:val="0"/>
              <w:divBdr>
                <w:top w:val="none" w:sz="0" w:space="0" w:color="auto"/>
                <w:left w:val="none" w:sz="0" w:space="0" w:color="auto"/>
                <w:bottom w:val="none" w:sz="0" w:space="0" w:color="auto"/>
                <w:right w:val="none" w:sz="0" w:space="0" w:color="auto"/>
              </w:divBdr>
            </w:div>
            <w:div w:id="984047276">
              <w:marLeft w:val="0"/>
              <w:marRight w:val="0"/>
              <w:marTop w:val="0"/>
              <w:marBottom w:val="0"/>
              <w:divBdr>
                <w:top w:val="none" w:sz="0" w:space="0" w:color="auto"/>
                <w:left w:val="none" w:sz="0" w:space="0" w:color="auto"/>
                <w:bottom w:val="none" w:sz="0" w:space="0" w:color="auto"/>
                <w:right w:val="none" w:sz="0" w:space="0" w:color="auto"/>
              </w:divBdr>
            </w:div>
            <w:div w:id="1039624901">
              <w:marLeft w:val="0"/>
              <w:marRight w:val="0"/>
              <w:marTop w:val="0"/>
              <w:marBottom w:val="0"/>
              <w:divBdr>
                <w:top w:val="none" w:sz="0" w:space="0" w:color="auto"/>
                <w:left w:val="none" w:sz="0" w:space="0" w:color="auto"/>
                <w:bottom w:val="none" w:sz="0" w:space="0" w:color="auto"/>
                <w:right w:val="none" w:sz="0" w:space="0" w:color="auto"/>
              </w:divBdr>
            </w:div>
            <w:div w:id="1040739190">
              <w:marLeft w:val="0"/>
              <w:marRight w:val="0"/>
              <w:marTop w:val="0"/>
              <w:marBottom w:val="0"/>
              <w:divBdr>
                <w:top w:val="none" w:sz="0" w:space="0" w:color="auto"/>
                <w:left w:val="none" w:sz="0" w:space="0" w:color="auto"/>
                <w:bottom w:val="none" w:sz="0" w:space="0" w:color="auto"/>
                <w:right w:val="none" w:sz="0" w:space="0" w:color="auto"/>
              </w:divBdr>
            </w:div>
            <w:div w:id="1077242143">
              <w:marLeft w:val="0"/>
              <w:marRight w:val="0"/>
              <w:marTop w:val="0"/>
              <w:marBottom w:val="0"/>
              <w:divBdr>
                <w:top w:val="none" w:sz="0" w:space="0" w:color="auto"/>
                <w:left w:val="none" w:sz="0" w:space="0" w:color="auto"/>
                <w:bottom w:val="none" w:sz="0" w:space="0" w:color="auto"/>
                <w:right w:val="none" w:sz="0" w:space="0" w:color="auto"/>
              </w:divBdr>
            </w:div>
            <w:div w:id="1083452960">
              <w:marLeft w:val="0"/>
              <w:marRight w:val="0"/>
              <w:marTop w:val="0"/>
              <w:marBottom w:val="0"/>
              <w:divBdr>
                <w:top w:val="none" w:sz="0" w:space="0" w:color="auto"/>
                <w:left w:val="none" w:sz="0" w:space="0" w:color="auto"/>
                <w:bottom w:val="none" w:sz="0" w:space="0" w:color="auto"/>
                <w:right w:val="none" w:sz="0" w:space="0" w:color="auto"/>
              </w:divBdr>
            </w:div>
            <w:div w:id="1086027289">
              <w:marLeft w:val="0"/>
              <w:marRight w:val="0"/>
              <w:marTop w:val="0"/>
              <w:marBottom w:val="0"/>
              <w:divBdr>
                <w:top w:val="none" w:sz="0" w:space="0" w:color="auto"/>
                <w:left w:val="none" w:sz="0" w:space="0" w:color="auto"/>
                <w:bottom w:val="none" w:sz="0" w:space="0" w:color="auto"/>
                <w:right w:val="none" w:sz="0" w:space="0" w:color="auto"/>
              </w:divBdr>
            </w:div>
            <w:div w:id="1118724545">
              <w:marLeft w:val="0"/>
              <w:marRight w:val="0"/>
              <w:marTop w:val="0"/>
              <w:marBottom w:val="0"/>
              <w:divBdr>
                <w:top w:val="none" w:sz="0" w:space="0" w:color="auto"/>
                <w:left w:val="none" w:sz="0" w:space="0" w:color="auto"/>
                <w:bottom w:val="none" w:sz="0" w:space="0" w:color="auto"/>
                <w:right w:val="none" w:sz="0" w:space="0" w:color="auto"/>
              </w:divBdr>
            </w:div>
            <w:div w:id="1126922829">
              <w:marLeft w:val="0"/>
              <w:marRight w:val="0"/>
              <w:marTop w:val="0"/>
              <w:marBottom w:val="0"/>
              <w:divBdr>
                <w:top w:val="none" w:sz="0" w:space="0" w:color="auto"/>
                <w:left w:val="none" w:sz="0" w:space="0" w:color="auto"/>
                <w:bottom w:val="none" w:sz="0" w:space="0" w:color="auto"/>
                <w:right w:val="none" w:sz="0" w:space="0" w:color="auto"/>
              </w:divBdr>
            </w:div>
            <w:div w:id="1167598141">
              <w:marLeft w:val="0"/>
              <w:marRight w:val="0"/>
              <w:marTop w:val="0"/>
              <w:marBottom w:val="0"/>
              <w:divBdr>
                <w:top w:val="none" w:sz="0" w:space="0" w:color="auto"/>
                <w:left w:val="none" w:sz="0" w:space="0" w:color="auto"/>
                <w:bottom w:val="none" w:sz="0" w:space="0" w:color="auto"/>
                <w:right w:val="none" w:sz="0" w:space="0" w:color="auto"/>
              </w:divBdr>
            </w:div>
            <w:div w:id="1280986922">
              <w:marLeft w:val="0"/>
              <w:marRight w:val="0"/>
              <w:marTop w:val="0"/>
              <w:marBottom w:val="0"/>
              <w:divBdr>
                <w:top w:val="none" w:sz="0" w:space="0" w:color="auto"/>
                <w:left w:val="none" w:sz="0" w:space="0" w:color="auto"/>
                <w:bottom w:val="none" w:sz="0" w:space="0" w:color="auto"/>
                <w:right w:val="none" w:sz="0" w:space="0" w:color="auto"/>
              </w:divBdr>
            </w:div>
            <w:div w:id="1294287077">
              <w:marLeft w:val="0"/>
              <w:marRight w:val="0"/>
              <w:marTop w:val="0"/>
              <w:marBottom w:val="0"/>
              <w:divBdr>
                <w:top w:val="none" w:sz="0" w:space="0" w:color="auto"/>
                <w:left w:val="none" w:sz="0" w:space="0" w:color="auto"/>
                <w:bottom w:val="none" w:sz="0" w:space="0" w:color="auto"/>
                <w:right w:val="none" w:sz="0" w:space="0" w:color="auto"/>
              </w:divBdr>
            </w:div>
            <w:div w:id="1337345080">
              <w:marLeft w:val="0"/>
              <w:marRight w:val="0"/>
              <w:marTop w:val="0"/>
              <w:marBottom w:val="0"/>
              <w:divBdr>
                <w:top w:val="none" w:sz="0" w:space="0" w:color="auto"/>
                <w:left w:val="none" w:sz="0" w:space="0" w:color="auto"/>
                <w:bottom w:val="none" w:sz="0" w:space="0" w:color="auto"/>
                <w:right w:val="none" w:sz="0" w:space="0" w:color="auto"/>
              </w:divBdr>
            </w:div>
            <w:div w:id="1386561189">
              <w:marLeft w:val="0"/>
              <w:marRight w:val="0"/>
              <w:marTop w:val="0"/>
              <w:marBottom w:val="0"/>
              <w:divBdr>
                <w:top w:val="none" w:sz="0" w:space="0" w:color="auto"/>
                <w:left w:val="none" w:sz="0" w:space="0" w:color="auto"/>
                <w:bottom w:val="none" w:sz="0" w:space="0" w:color="auto"/>
                <w:right w:val="none" w:sz="0" w:space="0" w:color="auto"/>
              </w:divBdr>
            </w:div>
            <w:div w:id="1402944017">
              <w:marLeft w:val="0"/>
              <w:marRight w:val="0"/>
              <w:marTop w:val="0"/>
              <w:marBottom w:val="0"/>
              <w:divBdr>
                <w:top w:val="none" w:sz="0" w:space="0" w:color="auto"/>
                <w:left w:val="none" w:sz="0" w:space="0" w:color="auto"/>
                <w:bottom w:val="none" w:sz="0" w:space="0" w:color="auto"/>
                <w:right w:val="none" w:sz="0" w:space="0" w:color="auto"/>
              </w:divBdr>
            </w:div>
            <w:div w:id="1489898672">
              <w:marLeft w:val="0"/>
              <w:marRight w:val="0"/>
              <w:marTop w:val="0"/>
              <w:marBottom w:val="0"/>
              <w:divBdr>
                <w:top w:val="none" w:sz="0" w:space="0" w:color="auto"/>
                <w:left w:val="none" w:sz="0" w:space="0" w:color="auto"/>
                <w:bottom w:val="none" w:sz="0" w:space="0" w:color="auto"/>
                <w:right w:val="none" w:sz="0" w:space="0" w:color="auto"/>
              </w:divBdr>
            </w:div>
            <w:div w:id="1499079392">
              <w:marLeft w:val="0"/>
              <w:marRight w:val="0"/>
              <w:marTop w:val="0"/>
              <w:marBottom w:val="0"/>
              <w:divBdr>
                <w:top w:val="none" w:sz="0" w:space="0" w:color="auto"/>
                <w:left w:val="none" w:sz="0" w:space="0" w:color="auto"/>
                <w:bottom w:val="none" w:sz="0" w:space="0" w:color="auto"/>
                <w:right w:val="none" w:sz="0" w:space="0" w:color="auto"/>
              </w:divBdr>
            </w:div>
            <w:div w:id="1513757788">
              <w:marLeft w:val="0"/>
              <w:marRight w:val="0"/>
              <w:marTop w:val="0"/>
              <w:marBottom w:val="0"/>
              <w:divBdr>
                <w:top w:val="none" w:sz="0" w:space="0" w:color="auto"/>
                <w:left w:val="none" w:sz="0" w:space="0" w:color="auto"/>
                <w:bottom w:val="none" w:sz="0" w:space="0" w:color="auto"/>
                <w:right w:val="none" w:sz="0" w:space="0" w:color="auto"/>
              </w:divBdr>
            </w:div>
            <w:div w:id="1600721588">
              <w:marLeft w:val="0"/>
              <w:marRight w:val="0"/>
              <w:marTop w:val="0"/>
              <w:marBottom w:val="0"/>
              <w:divBdr>
                <w:top w:val="none" w:sz="0" w:space="0" w:color="auto"/>
                <w:left w:val="none" w:sz="0" w:space="0" w:color="auto"/>
                <w:bottom w:val="none" w:sz="0" w:space="0" w:color="auto"/>
                <w:right w:val="none" w:sz="0" w:space="0" w:color="auto"/>
              </w:divBdr>
            </w:div>
            <w:div w:id="1622421106">
              <w:marLeft w:val="0"/>
              <w:marRight w:val="0"/>
              <w:marTop w:val="0"/>
              <w:marBottom w:val="0"/>
              <w:divBdr>
                <w:top w:val="none" w:sz="0" w:space="0" w:color="auto"/>
                <w:left w:val="none" w:sz="0" w:space="0" w:color="auto"/>
                <w:bottom w:val="none" w:sz="0" w:space="0" w:color="auto"/>
                <w:right w:val="none" w:sz="0" w:space="0" w:color="auto"/>
              </w:divBdr>
            </w:div>
            <w:div w:id="1622809662">
              <w:marLeft w:val="0"/>
              <w:marRight w:val="0"/>
              <w:marTop w:val="0"/>
              <w:marBottom w:val="0"/>
              <w:divBdr>
                <w:top w:val="none" w:sz="0" w:space="0" w:color="auto"/>
                <w:left w:val="none" w:sz="0" w:space="0" w:color="auto"/>
                <w:bottom w:val="none" w:sz="0" w:space="0" w:color="auto"/>
                <w:right w:val="none" w:sz="0" w:space="0" w:color="auto"/>
              </w:divBdr>
            </w:div>
            <w:div w:id="1736968165">
              <w:marLeft w:val="0"/>
              <w:marRight w:val="0"/>
              <w:marTop w:val="0"/>
              <w:marBottom w:val="0"/>
              <w:divBdr>
                <w:top w:val="none" w:sz="0" w:space="0" w:color="auto"/>
                <w:left w:val="none" w:sz="0" w:space="0" w:color="auto"/>
                <w:bottom w:val="none" w:sz="0" w:space="0" w:color="auto"/>
                <w:right w:val="none" w:sz="0" w:space="0" w:color="auto"/>
              </w:divBdr>
            </w:div>
            <w:div w:id="1771704909">
              <w:marLeft w:val="0"/>
              <w:marRight w:val="0"/>
              <w:marTop w:val="0"/>
              <w:marBottom w:val="0"/>
              <w:divBdr>
                <w:top w:val="none" w:sz="0" w:space="0" w:color="auto"/>
                <w:left w:val="none" w:sz="0" w:space="0" w:color="auto"/>
                <w:bottom w:val="none" w:sz="0" w:space="0" w:color="auto"/>
                <w:right w:val="none" w:sz="0" w:space="0" w:color="auto"/>
              </w:divBdr>
            </w:div>
            <w:div w:id="1827435810">
              <w:marLeft w:val="0"/>
              <w:marRight w:val="0"/>
              <w:marTop w:val="0"/>
              <w:marBottom w:val="0"/>
              <w:divBdr>
                <w:top w:val="none" w:sz="0" w:space="0" w:color="auto"/>
                <w:left w:val="none" w:sz="0" w:space="0" w:color="auto"/>
                <w:bottom w:val="none" w:sz="0" w:space="0" w:color="auto"/>
                <w:right w:val="none" w:sz="0" w:space="0" w:color="auto"/>
              </w:divBdr>
            </w:div>
            <w:div w:id="1880821233">
              <w:marLeft w:val="0"/>
              <w:marRight w:val="0"/>
              <w:marTop w:val="0"/>
              <w:marBottom w:val="0"/>
              <w:divBdr>
                <w:top w:val="none" w:sz="0" w:space="0" w:color="auto"/>
                <w:left w:val="none" w:sz="0" w:space="0" w:color="auto"/>
                <w:bottom w:val="none" w:sz="0" w:space="0" w:color="auto"/>
                <w:right w:val="none" w:sz="0" w:space="0" w:color="auto"/>
              </w:divBdr>
            </w:div>
            <w:div w:id="1902401321">
              <w:marLeft w:val="0"/>
              <w:marRight w:val="0"/>
              <w:marTop w:val="0"/>
              <w:marBottom w:val="0"/>
              <w:divBdr>
                <w:top w:val="none" w:sz="0" w:space="0" w:color="auto"/>
                <w:left w:val="none" w:sz="0" w:space="0" w:color="auto"/>
                <w:bottom w:val="none" w:sz="0" w:space="0" w:color="auto"/>
                <w:right w:val="none" w:sz="0" w:space="0" w:color="auto"/>
              </w:divBdr>
            </w:div>
            <w:div w:id="1925190499">
              <w:marLeft w:val="0"/>
              <w:marRight w:val="0"/>
              <w:marTop w:val="0"/>
              <w:marBottom w:val="0"/>
              <w:divBdr>
                <w:top w:val="none" w:sz="0" w:space="0" w:color="auto"/>
                <w:left w:val="none" w:sz="0" w:space="0" w:color="auto"/>
                <w:bottom w:val="none" w:sz="0" w:space="0" w:color="auto"/>
                <w:right w:val="none" w:sz="0" w:space="0" w:color="auto"/>
              </w:divBdr>
            </w:div>
            <w:div w:id="1940723648">
              <w:marLeft w:val="0"/>
              <w:marRight w:val="0"/>
              <w:marTop w:val="0"/>
              <w:marBottom w:val="0"/>
              <w:divBdr>
                <w:top w:val="none" w:sz="0" w:space="0" w:color="auto"/>
                <w:left w:val="none" w:sz="0" w:space="0" w:color="auto"/>
                <w:bottom w:val="none" w:sz="0" w:space="0" w:color="auto"/>
                <w:right w:val="none" w:sz="0" w:space="0" w:color="auto"/>
              </w:divBdr>
            </w:div>
            <w:div w:id="1945381205">
              <w:marLeft w:val="0"/>
              <w:marRight w:val="0"/>
              <w:marTop w:val="0"/>
              <w:marBottom w:val="0"/>
              <w:divBdr>
                <w:top w:val="none" w:sz="0" w:space="0" w:color="auto"/>
                <w:left w:val="none" w:sz="0" w:space="0" w:color="auto"/>
                <w:bottom w:val="none" w:sz="0" w:space="0" w:color="auto"/>
                <w:right w:val="none" w:sz="0" w:space="0" w:color="auto"/>
              </w:divBdr>
            </w:div>
            <w:div w:id="1947810404">
              <w:marLeft w:val="0"/>
              <w:marRight w:val="0"/>
              <w:marTop w:val="0"/>
              <w:marBottom w:val="0"/>
              <w:divBdr>
                <w:top w:val="none" w:sz="0" w:space="0" w:color="auto"/>
                <w:left w:val="none" w:sz="0" w:space="0" w:color="auto"/>
                <w:bottom w:val="none" w:sz="0" w:space="0" w:color="auto"/>
                <w:right w:val="none" w:sz="0" w:space="0" w:color="auto"/>
              </w:divBdr>
            </w:div>
            <w:div w:id="2059551076">
              <w:marLeft w:val="0"/>
              <w:marRight w:val="0"/>
              <w:marTop w:val="0"/>
              <w:marBottom w:val="0"/>
              <w:divBdr>
                <w:top w:val="none" w:sz="0" w:space="0" w:color="auto"/>
                <w:left w:val="none" w:sz="0" w:space="0" w:color="auto"/>
                <w:bottom w:val="none" w:sz="0" w:space="0" w:color="auto"/>
                <w:right w:val="none" w:sz="0" w:space="0" w:color="auto"/>
              </w:divBdr>
            </w:div>
            <w:div w:id="2099059902">
              <w:marLeft w:val="0"/>
              <w:marRight w:val="0"/>
              <w:marTop w:val="0"/>
              <w:marBottom w:val="0"/>
              <w:divBdr>
                <w:top w:val="none" w:sz="0" w:space="0" w:color="auto"/>
                <w:left w:val="none" w:sz="0" w:space="0" w:color="auto"/>
                <w:bottom w:val="none" w:sz="0" w:space="0" w:color="auto"/>
                <w:right w:val="none" w:sz="0" w:space="0" w:color="auto"/>
              </w:divBdr>
            </w:div>
            <w:div w:id="212303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3589">
      <w:bodyDiv w:val="1"/>
      <w:marLeft w:val="0"/>
      <w:marRight w:val="0"/>
      <w:marTop w:val="0"/>
      <w:marBottom w:val="0"/>
      <w:divBdr>
        <w:top w:val="none" w:sz="0" w:space="0" w:color="auto"/>
        <w:left w:val="none" w:sz="0" w:space="0" w:color="auto"/>
        <w:bottom w:val="none" w:sz="0" w:space="0" w:color="auto"/>
        <w:right w:val="none" w:sz="0" w:space="0" w:color="auto"/>
      </w:divBdr>
    </w:div>
    <w:div w:id="1150634978">
      <w:bodyDiv w:val="1"/>
      <w:marLeft w:val="0"/>
      <w:marRight w:val="0"/>
      <w:marTop w:val="0"/>
      <w:marBottom w:val="0"/>
      <w:divBdr>
        <w:top w:val="none" w:sz="0" w:space="0" w:color="auto"/>
        <w:left w:val="none" w:sz="0" w:space="0" w:color="auto"/>
        <w:bottom w:val="none" w:sz="0" w:space="0" w:color="auto"/>
        <w:right w:val="none" w:sz="0" w:space="0" w:color="auto"/>
      </w:divBdr>
    </w:div>
    <w:div w:id="1182160663">
      <w:bodyDiv w:val="1"/>
      <w:marLeft w:val="0"/>
      <w:marRight w:val="0"/>
      <w:marTop w:val="0"/>
      <w:marBottom w:val="0"/>
      <w:divBdr>
        <w:top w:val="none" w:sz="0" w:space="0" w:color="auto"/>
        <w:left w:val="none" w:sz="0" w:space="0" w:color="auto"/>
        <w:bottom w:val="none" w:sz="0" w:space="0" w:color="auto"/>
        <w:right w:val="none" w:sz="0" w:space="0" w:color="auto"/>
      </w:divBdr>
    </w:div>
    <w:div w:id="1225138030">
      <w:bodyDiv w:val="1"/>
      <w:marLeft w:val="0"/>
      <w:marRight w:val="0"/>
      <w:marTop w:val="0"/>
      <w:marBottom w:val="0"/>
      <w:divBdr>
        <w:top w:val="none" w:sz="0" w:space="0" w:color="auto"/>
        <w:left w:val="none" w:sz="0" w:space="0" w:color="auto"/>
        <w:bottom w:val="none" w:sz="0" w:space="0" w:color="auto"/>
        <w:right w:val="none" w:sz="0" w:space="0" w:color="auto"/>
      </w:divBdr>
    </w:div>
    <w:div w:id="1253197466">
      <w:bodyDiv w:val="1"/>
      <w:marLeft w:val="0"/>
      <w:marRight w:val="0"/>
      <w:marTop w:val="0"/>
      <w:marBottom w:val="0"/>
      <w:divBdr>
        <w:top w:val="none" w:sz="0" w:space="0" w:color="auto"/>
        <w:left w:val="none" w:sz="0" w:space="0" w:color="auto"/>
        <w:bottom w:val="none" w:sz="0" w:space="0" w:color="auto"/>
        <w:right w:val="none" w:sz="0" w:space="0" w:color="auto"/>
      </w:divBdr>
    </w:div>
    <w:div w:id="1269581493">
      <w:bodyDiv w:val="1"/>
      <w:marLeft w:val="0"/>
      <w:marRight w:val="0"/>
      <w:marTop w:val="0"/>
      <w:marBottom w:val="0"/>
      <w:divBdr>
        <w:top w:val="none" w:sz="0" w:space="0" w:color="auto"/>
        <w:left w:val="none" w:sz="0" w:space="0" w:color="auto"/>
        <w:bottom w:val="none" w:sz="0" w:space="0" w:color="auto"/>
        <w:right w:val="none" w:sz="0" w:space="0" w:color="auto"/>
      </w:divBdr>
    </w:div>
    <w:div w:id="1275863821">
      <w:bodyDiv w:val="1"/>
      <w:marLeft w:val="0"/>
      <w:marRight w:val="0"/>
      <w:marTop w:val="0"/>
      <w:marBottom w:val="0"/>
      <w:divBdr>
        <w:top w:val="none" w:sz="0" w:space="0" w:color="auto"/>
        <w:left w:val="none" w:sz="0" w:space="0" w:color="auto"/>
        <w:bottom w:val="none" w:sz="0" w:space="0" w:color="auto"/>
        <w:right w:val="none" w:sz="0" w:space="0" w:color="auto"/>
      </w:divBdr>
    </w:div>
    <w:div w:id="1319502762">
      <w:bodyDiv w:val="1"/>
      <w:marLeft w:val="0"/>
      <w:marRight w:val="0"/>
      <w:marTop w:val="0"/>
      <w:marBottom w:val="0"/>
      <w:divBdr>
        <w:top w:val="none" w:sz="0" w:space="0" w:color="auto"/>
        <w:left w:val="none" w:sz="0" w:space="0" w:color="auto"/>
        <w:bottom w:val="none" w:sz="0" w:space="0" w:color="auto"/>
        <w:right w:val="none" w:sz="0" w:space="0" w:color="auto"/>
      </w:divBdr>
    </w:div>
    <w:div w:id="1359117673">
      <w:bodyDiv w:val="1"/>
      <w:marLeft w:val="0"/>
      <w:marRight w:val="0"/>
      <w:marTop w:val="0"/>
      <w:marBottom w:val="0"/>
      <w:divBdr>
        <w:top w:val="none" w:sz="0" w:space="0" w:color="auto"/>
        <w:left w:val="none" w:sz="0" w:space="0" w:color="auto"/>
        <w:bottom w:val="none" w:sz="0" w:space="0" w:color="auto"/>
        <w:right w:val="none" w:sz="0" w:space="0" w:color="auto"/>
      </w:divBdr>
    </w:div>
    <w:div w:id="1373263314">
      <w:bodyDiv w:val="1"/>
      <w:marLeft w:val="0"/>
      <w:marRight w:val="0"/>
      <w:marTop w:val="0"/>
      <w:marBottom w:val="0"/>
      <w:divBdr>
        <w:top w:val="none" w:sz="0" w:space="0" w:color="auto"/>
        <w:left w:val="none" w:sz="0" w:space="0" w:color="auto"/>
        <w:bottom w:val="none" w:sz="0" w:space="0" w:color="auto"/>
        <w:right w:val="none" w:sz="0" w:space="0" w:color="auto"/>
      </w:divBdr>
    </w:div>
    <w:div w:id="1377316432">
      <w:bodyDiv w:val="1"/>
      <w:marLeft w:val="0"/>
      <w:marRight w:val="0"/>
      <w:marTop w:val="0"/>
      <w:marBottom w:val="0"/>
      <w:divBdr>
        <w:top w:val="none" w:sz="0" w:space="0" w:color="auto"/>
        <w:left w:val="none" w:sz="0" w:space="0" w:color="auto"/>
        <w:bottom w:val="none" w:sz="0" w:space="0" w:color="auto"/>
        <w:right w:val="none" w:sz="0" w:space="0" w:color="auto"/>
      </w:divBdr>
    </w:div>
    <w:div w:id="1387484435">
      <w:bodyDiv w:val="1"/>
      <w:marLeft w:val="0"/>
      <w:marRight w:val="0"/>
      <w:marTop w:val="0"/>
      <w:marBottom w:val="0"/>
      <w:divBdr>
        <w:top w:val="none" w:sz="0" w:space="0" w:color="auto"/>
        <w:left w:val="none" w:sz="0" w:space="0" w:color="auto"/>
        <w:bottom w:val="none" w:sz="0" w:space="0" w:color="auto"/>
        <w:right w:val="none" w:sz="0" w:space="0" w:color="auto"/>
      </w:divBdr>
    </w:div>
    <w:div w:id="1419789731">
      <w:bodyDiv w:val="1"/>
      <w:marLeft w:val="0"/>
      <w:marRight w:val="0"/>
      <w:marTop w:val="0"/>
      <w:marBottom w:val="0"/>
      <w:divBdr>
        <w:top w:val="none" w:sz="0" w:space="0" w:color="auto"/>
        <w:left w:val="none" w:sz="0" w:space="0" w:color="auto"/>
        <w:bottom w:val="none" w:sz="0" w:space="0" w:color="auto"/>
        <w:right w:val="none" w:sz="0" w:space="0" w:color="auto"/>
      </w:divBdr>
    </w:div>
    <w:div w:id="1425146272">
      <w:bodyDiv w:val="1"/>
      <w:marLeft w:val="0"/>
      <w:marRight w:val="0"/>
      <w:marTop w:val="0"/>
      <w:marBottom w:val="0"/>
      <w:divBdr>
        <w:top w:val="none" w:sz="0" w:space="0" w:color="auto"/>
        <w:left w:val="none" w:sz="0" w:space="0" w:color="auto"/>
        <w:bottom w:val="none" w:sz="0" w:space="0" w:color="auto"/>
        <w:right w:val="none" w:sz="0" w:space="0" w:color="auto"/>
      </w:divBdr>
    </w:div>
    <w:div w:id="1426614025">
      <w:bodyDiv w:val="1"/>
      <w:marLeft w:val="0"/>
      <w:marRight w:val="0"/>
      <w:marTop w:val="0"/>
      <w:marBottom w:val="0"/>
      <w:divBdr>
        <w:top w:val="none" w:sz="0" w:space="0" w:color="auto"/>
        <w:left w:val="none" w:sz="0" w:space="0" w:color="auto"/>
        <w:bottom w:val="none" w:sz="0" w:space="0" w:color="auto"/>
        <w:right w:val="none" w:sz="0" w:space="0" w:color="auto"/>
      </w:divBdr>
    </w:div>
    <w:div w:id="1441411073">
      <w:bodyDiv w:val="1"/>
      <w:marLeft w:val="0"/>
      <w:marRight w:val="0"/>
      <w:marTop w:val="0"/>
      <w:marBottom w:val="0"/>
      <w:divBdr>
        <w:top w:val="none" w:sz="0" w:space="0" w:color="auto"/>
        <w:left w:val="none" w:sz="0" w:space="0" w:color="auto"/>
        <w:bottom w:val="none" w:sz="0" w:space="0" w:color="auto"/>
        <w:right w:val="none" w:sz="0" w:space="0" w:color="auto"/>
      </w:divBdr>
    </w:div>
    <w:div w:id="1456287004">
      <w:bodyDiv w:val="1"/>
      <w:marLeft w:val="0"/>
      <w:marRight w:val="0"/>
      <w:marTop w:val="0"/>
      <w:marBottom w:val="0"/>
      <w:divBdr>
        <w:top w:val="none" w:sz="0" w:space="0" w:color="auto"/>
        <w:left w:val="none" w:sz="0" w:space="0" w:color="auto"/>
        <w:bottom w:val="none" w:sz="0" w:space="0" w:color="auto"/>
        <w:right w:val="none" w:sz="0" w:space="0" w:color="auto"/>
      </w:divBdr>
    </w:div>
    <w:div w:id="1460416715">
      <w:bodyDiv w:val="1"/>
      <w:marLeft w:val="0"/>
      <w:marRight w:val="0"/>
      <w:marTop w:val="0"/>
      <w:marBottom w:val="0"/>
      <w:divBdr>
        <w:top w:val="none" w:sz="0" w:space="0" w:color="auto"/>
        <w:left w:val="none" w:sz="0" w:space="0" w:color="auto"/>
        <w:bottom w:val="none" w:sz="0" w:space="0" w:color="auto"/>
        <w:right w:val="none" w:sz="0" w:space="0" w:color="auto"/>
      </w:divBdr>
    </w:div>
    <w:div w:id="1512331204">
      <w:bodyDiv w:val="1"/>
      <w:marLeft w:val="0"/>
      <w:marRight w:val="0"/>
      <w:marTop w:val="0"/>
      <w:marBottom w:val="0"/>
      <w:divBdr>
        <w:top w:val="none" w:sz="0" w:space="0" w:color="auto"/>
        <w:left w:val="none" w:sz="0" w:space="0" w:color="auto"/>
        <w:bottom w:val="none" w:sz="0" w:space="0" w:color="auto"/>
        <w:right w:val="none" w:sz="0" w:space="0" w:color="auto"/>
      </w:divBdr>
    </w:div>
    <w:div w:id="1558711392">
      <w:bodyDiv w:val="1"/>
      <w:marLeft w:val="0"/>
      <w:marRight w:val="0"/>
      <w:marTop w:val="0"/>
      <w:marBottom w:val="0"/>
      <w:divBdr>
        <w:top w:val="none" w:sz="0" w:space="0" w:color="auto"/>
        <w:left w:val="none" w:sz="0" w:space="0" w:color="auto"/>
        <w:bottom w:val="none" w:sz="0" w:space="0" w:color="auto"/>
        <w:right w:val="none" w:sz="0" w:space="0" w:color="auto"/>
      </w:divBdr>
    </w:div>
    <w:div w:id="1577397259">
      <w:bodyDiv w:val="1"/>
      <w:marLeft w:val="0"/>
      <w:marRight w:val="0"/>
      <w:marTop w:val="0"/>
      <w:marBottom w:val="0"/>
      <w:divBdr>
        <w:top w:val="none" w:sz="0" w:space="0" w:color="auto"/>
        <w:left w:val="none" w:sz="0" w:space="0" w:color="auto"/>
        <w:bottom w:val="none" w:sz="0" w:space="0" w:color="auto"/>
        <w:right w:val="none" w:sz="0" w:space="0" w:color="auto"/>
      </w:divBdr>
    </w:div>
    <w:div w:id="1587377805">
      <w:bodyDiv w:val="1"/>
      <w:marLeft w:val="0"/>
      <w:marRight w:val="0"/>
      <w:marTop w:val="0"/>
      <w:marBottom w:val="0"/>
      <w:divBdr>
        <w:top w:val="none" w:sz="0" w:space="0" w:color="auto"/>
        <w:left w:val="none" w:sz="0" w:space="0" w:color="auto"/>
        <w:bottom w:val="none" w:sz="0" w:space="0" w:color="auto"/>
        <w:right w:val="none" w:sz="0" w:space="0" w:color="auto"/>
      </w:divBdr>
    </w:div>
    <w:div w:id="1596666871">
      <w:bodyDiv w:val="1"/>
      <w:marLeft w:val="0"/>
      <w:marRight w:val="0"/>
      <w:marTop w:val="0"/>
      <w:marBottom w:val="0"/>
      <w:divBdr>
        <w:top w:val="none" w:sz="0" w:space="0" w:color="auto"/>
        <w:left w:val="none" w:sz="0" w:space="0" w:color="auto"/>
        <w:bottom w:val="none" w:sz="0" w:space="0" w:color="auto"/>
        <w:right w:val="none" w:sz="0" w:space="0" w:color="auto"/>
      </w:divBdr>
      <w:divsChild>
        <w:div w:id="421534237">
          <w:marLeft w:val="0"/>
          <w:marRight w:val="0"/>
          <w:marTop w:val="0"/>
          <w:marBottom w:val="0"/>
          <w:divBdr>
            <w:top w:val="none" w:sz="0" w:space="0" w:color="auto"/>
            <w:left w:val="none" w:sz="0" w:space="0" w:color="auto"/>
            <w:bottom w:val="none" w:sz="0" w:space="0" w:color="auto"/>
            <w:right w:val="none" w:sz="0" w:space="0" w:color="auto"/>
          </w:divBdr>
          <w:divsChild>
            <w:div w:id="1202287655">
              <w:marLeft w:val="0"/>
              <w:marRight w:val="0"/>
              <w:marTop w:val="0"/>
              <w:marBottom w:val="0"/>
              <w:divBdr>
                <w:top w:val="none" w:sz="0" w:space="0" w:color="auto"/>
                <w:left w:val="none" w:sz="0" w:space="0" w:color="auto"/>
                <w:bottom w:val="none" w:sz="0" w:space="0" w:color="auto"/>
                <w:right w:val="none" w:sz="0" w:space="0" w:color="auto"/>
              </w:divBdr>
              <w:divsChild>
                <w:div w:id="1037967437">
                  <w:marLeft w:val="0"/>
                  <w:marRight w:val="0"/>
                  <w:marTop w:val="0"/>
                  <w:marBottom w:val="0"/>
                  <w:divBdr>
                    <w:top w:val="none" w:sz="0" w:space="0" w:color="auto"/>
                    <w:left w:val="none" w:sz="0" w:space="0" w:color="auto"/>
                    <w:bottom w:val="none" w:sz="0" w:space="0" w:color="auto"/>
                    <w:right w:val="none" w:sz="0" w:space="0" w:color="auto"/>
                  </w:divBdr>
                  <w:divsChild>
                    <w:div w:id="707342518">
                      <w:marLeft w:val="0"/>
                      <w:marRight w:val="0"/>
                      <w:marTop w:val="0"/>
                      <w:marBottom w:val="0"/>
                      <w:divBdr>
                        <w:top w:val="none" w:sz="0" w:space="0" w:color="auto"/>
                        <w:left w:val="none" w:sz="0" w:space="0" w:color="auto"/>
                        <w:bottom w:val="none" w:sz="0" w:space="0" w:color="auto"/>
                        <w:right w:val="none" w:sz="0" w:space="0" w:color="auto"/>
                      </w:divBdr>
                      <w:divsChild>
                        <w:div w:id="10516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808941">
      <w:bodyDiv w:val="1"/>
      <w:marLeft w:val="0"/>
      <w:marRight w:val="0"/>
      <w:marTop w:val="0"/>
      <w:marBottom w:val="0"/>
      <w:divBdr>
        <w:top w:val="none" w:sz="0" w:space="0" w:color="auto"/>
        <w:left w:val="none" w:sz="0" w:space="0" w:color="auto"/>
        <w:bottom w:val="none" w:sz="0" w:space="0" w:color="auto"/>
        <w:right w:val="none" w:sz="0" w:space="0" w:color="auto"/>
      </w:divBdr>
    </w:div>
    <w:div w:id="1634821719">
      <w:bodyDiv w:val="1"/>
      <w:marLeft w:val="0"/>
      <w:marRight w:val="0"/>
      <w:marTop w:val="0"/>
      <w:marBottom w:val="0"/>
      <w:divBdr>
        <w:top w:val="none" w:sz="0" w:space="0" w:color="auto"/>
        <w:left w:val="none" w:sz="0" w:space="0" w:color="auto"/>
        <w:bottom w:val="none" w:sz="0" w:space="0" w:color="auto"/>
        <w:right w:val="none" w:sz="0" w:space="0" w:color="auto"/>
      </w:divBdr>
    </w:div>
    <w:div w:id="1640112820">
      <w:bodyDiv w:val="1"/>
      <w:marLeft w:val="0"/>
      <w:marRight w:val="0"/>
      <w:marTop w:val="0"/>
      <w:marBottom w:val="0"/>
      <w:divBdr>
        <w:top w:val="none" w:sz="0" w:space="0" w:color="auto"/>
        <w:left w:val="none" w:sz="0" w:space="0" w:color="auto"/>
        <w:bottom w:val="none" w:sz="0" w:space="0" w:color="auto"/>
        <w:right w:val="none" w:sz="0" w:space="0" w:color="auto"/>
      </w:divBdr>
    </w:div>
    <w:div w:id="1675373097">
      <w:bodyDiv w:val="1"/>
      <w:marLeft w:val="0"/>
      <w:marRight w:val="0"/>
      <w:marTop w:val="0"/>
      <w:marBottom w:val="0"/>
      <w:divBdr>
        <w:top w:val="none" w:sz="0" w:space="0" w:color="auto"/>
        <w:left w:val="none" w:sz="0" w:space="0" w:color="auto"/>
        <w:bottom w:val="none" w:sz="0" w:space="0" w:color="auto"/>
        <w:right w:val="none" w:sz="0" w:space="0" w:color="auto"/>
      </w:divBdr>
    </w:div>
    <w:div w:id="1684045318">
      <w:bodyDiv w:val="1"/>
      <w:marLeft w:val="0"/>
      <w:marRight w:val="0"/>
      <w:marTop w:val="0"/>
      <w:marBottom w:val="0"/>
      <w:divBdr>
        <w:top w:val="none" w:sz="0" w:space="0" w:color="auto"/>
        <w:left w:val="none" w:sz="0" w:space="0" w:color="auto"/>
        <w:bottom w:val="none" w:sz="0" w:space="0" w:color="auto"/>
        <w:right w:val="none" w:sz="0" w:space="0" w:color="auto"/>
      </w:divBdr>
    </w:div>
    <w:div w:id="1691686385">
      <w:bodyDiv w:val="1"/>
      <w:marLeft w:val="0"/>
      <w:marRight w:val="0"/>
      <w:marTop w:val="0"/>
      <w:marBottom w:val="0"/>
      <w:divBdr>
        <w:top w:val="none" w:sz="0" w:space="0" w:color="auto"/>
        <w:left w:val="none" w:sz="0" w:space="0" w:color="auto"/>
        <w:bottom w:val="none" w:sz="0" w:space="0" w:color="auto"/>
        <w:right w:val="none" w:sz="0" w:space="0" w:color="auto"/>
      </w:divBdr>
    </w:div>
    <w:div w:id="1715232387">
      <w:bodyDiv w:val="1"/>
      <w:marLeft w:val="0"/>
      <w:marRight w:val="0"/>
      <w:marTop w:val="0"/>
      <w:marBottom w:val="0"/>
      <w:divBdr>
        <w:top w:val="none" w:sz="0" w:space="0" w:color="auto"/>
        <w:left w:val="none" w:sz="0" w:space="0" w:color="auto"/>
        <w:bottom w:val="none" w:sz="0" w:space="0" w:color="auto"/>
        <w:right w:val="none" w:sz="0" w:space="0" w:color="auto"/>
      </w:divBdr>
    </w:div>
    <w:div w:id="1721324571">
      <w:bodyDiv w:val="1"/>
      <w:marLeft w:val="0"/>
      <w:marRight w:val="0"/>
      <w:marTop w:val="0"/>
      <w:marBottom w:val="0"/>
      <w:divBdr>
        <w:top w:val="none" w:sz="0" w:space="0" w:color="auto"/>
        <w:left w:val="none" w:sz="0" w:space="0" w:color="auto"/>
        <w:bottom w:val="none" w:sz="0" w:space="0" w:color="auto"/>
        <w:right w:val="none" w:sz="0" w:space="0" w:color="auto"/>
      </w:divBdr>
    </w:div>
    <w:div w:id="1731733623">
      <w:bodyDiv w:val="1"/>
      <w:marLeft w:val="0"/>
      <w:marRight w:val="0"/>
      <w:marTop w:val="0"/>
      <w:marBottom w:val="0"/>
      <w:divBdr>
        <w:top w:val="none" w:sz="0" w:space="0" w:color="auto"/>
        <w:left w:val="none" w:sz="0" w:space="0" w:color="auto"/>
        <w:bottom w:val="none" w:sz="0" w:space="0" w:color="auto"/>
        <w:right w:val="none" w:sz="0" w:space="0" w:color="auto"/>
      </w:divBdr>
    </w:div>
    <w:div w:id="1743794292">
      <w:bodyDiv w:val="1"/>
      <w:marLeft w:val="0"/>
      <w:marRight w:val="0"/>
      <w:marTop w:val="0"/>
      <w:marBottom w:val="0"/>
      <w:divBdr>
        <w:top w:val="none" w:sz="0" w:space="0" w:color="auto"/>
        <w:left w:val="none" w:sz="0" w:space="0" w:color="auto"/>
        <w:bottom w:val="none" w:sz="0" w:space="0" w:color="auto"/>
        <w:right w:val="none" w:sz="0" w:space="0" w:color="auto"/>
      </w:divBdr>
    </w:div>
    <w:div w:id="1769503554">
      <w:bodyDiv w:val="1"/>
      <w:marLeft w:val="0"/>
      <w:marRight w:val="0"/>
      <w:marTop w:val="0"/>
      <w:marBottom w:val="0"/>
      <w:divBdr>
        <w:top w:val="none" w:sz="0" w:space="0" w:color="auto"/>
        <w:left w:val="none" w:sz="0" w:space="0" w:color="auto"/>
        <w:bottom w:val="none" w:sz="0" w:space="0" w:color="auto"/>
        <w:right w:val="none" w:sz="0" w:space="0" w:color="auto"/>
      </w:divBdr>
    </w:div>
    <w:div w:id="1773085661">
      <w:bodyDiv w:val="1"/>
      <w:marLeft w:val="0"/>
      <w:marRight w:val="0"/>
      <w:marTop w:val="0"/>
      <w:marBottom w:val="0"/>
      <w:divBdr>
        <w:top w:val="none" w:sz="0" w:space="0" w:color="auto"/>
        <w:left w:val="none" w:sz="0" w:space="0" w:color="auto"/>
        <w:bottom w:val="none" w:sz="0" w:space="0" w:color="auto"/>
        <w:right w:val="none" w:sz="0" w:space="0" w:color="auto"/>
      </w:divBdr>
    </w:div>
    <w:div w:id="1799882613">
      <w:bodyDiv w:val="1"/>
      <w:marLeft w:val="0"/>
      <w:marRight w:val="0"/>
      <w:marTop w:val="0"/>
      <w:marBottom w:val="0"/>
      <w:divBdr>
        <w:top w:val="none" w:sz="0" w:space="0" w:color="auto"/>
        <w:left w:val="none" w:sz="0" w:space="0" w:color="auto"/>
        <w:bottom w:val="none" w:sz="0" w:space="0" w:color="auto"/>
        <w:right w:val="none" w:sz="0" w:space="0" w:color="auto"/>
      </w:divBdr>
    </w:div>
    <w:div w:id="1801920944">
      <w:bodyDiv w:val="1"/>
      <w:marLeft w:val="0"/>
      <w:marRight w:val="0"/>
      <w:marTop w:val="0"/>
      <w:marBottom w:val="0"/>
      <w:divBdr>
        <w:top w:val="none" w:sz="0" w:space="0" w:color="auto"/>
        <w:left w:val="none" w:sz="0" w:space="0" w:color="auto"/>
        <w:bottom w:val="none" w:sz="0" w:space="0" w:color="auto"/>
        <w:right w:val="none" w:sz="0" w:space="0" w:color="auto"/>
      </w:divBdr>
    </w:div>
    <w:div w:id="1813981411">
      <w:bodyDiv w:val="1"/>
      <w:marLeft w:val="0"/>
      <w:marRight w:val="0"/>
      <w:marTop w:val="0"/>
      <w:marBottom w:val="0"/>
      <w:divBdr>
        <w:top w:val="none" w:sz="0" w:space="0" w:color="auto"/>
        <w:left w:val="none" w:sz="0" w:space="0" w:color="auto"/>
        <w:bottom w:val="none" w:sz="0" w:space="0" w:color="auto"/>
        <w:right w:val="none" w:sz="0" w:space="0" w:color="auto"/>
      </w:divBdr>
    </w:div>
    <w:div w:id="1827940231">
      <w:bodyDiv w:val="1"/>
      <w:marLeft w:val="0"/>
      <w:marRight w:val="0"/>
      <w:marTop w:val="0"/>
      <w:marBottom w:val="0"/>
      <w:divBdr>
        <w:top w:val="none" w:sz="0" w:space="0" w:color="auto"/>
        <w:left w:val="none" w:sz="0" w:space="0" w:color="auto"/>
        <w:bottom w:val="none" w:sz="0" w:space="0" w:color="auto"/>
        <w:right w:val="none" w:sz="0" w:space="0" w:color="auto"/>
      </w:divBdr>
    </w:div>
    <w:div w:id="1870414514">
      <w:bodyDiv w:val="1"/>
      <w:marLeft w:val="0"/>
      <w:marRight w:val="0"/>
      <w:marTop w:val="0"/>
      <w:marBottom w:val="0"/>
      <w:divBdr>
        <w:top w:val="none" w:sz="0" w:space="0" w:color="auto"/>
        <w:left w:val="none" w:sz="0" w:space="0" w:color="auto"/>
        <w:bottom w:val="none" w:sz="0" w:space="0" w:color="auto"/>
        <w:right w:val="none" w:sz="0" w:space="0" w:color="auto"/>
      </w:divBdr>
    </w:div>
    <w:div w:id="1882590380">
      <w:bodyDiv w:val="1"/>
      <w:marLeft w:val="0"/>
      <w:marRight w:val="0"/>
      <w:marTop w:val="0"/>
      <w:marBottom w:val="0"/>
      <w:divBdr>
        <w:top w:val="none" w:sz="0" w:space="0" w:color="auto"/>
        <w:left w:val="none" w:sz="0" w:space="0" w:color="auto"/>
        <w:bottom w:val="none" w:sz="0" w:space="0" w:color="auto"/>
        <w:right w:val="none" w:sz="0" w:space="0" w:color="auto"/>
      </w:divBdr>
    </w:div>
    <w:div w:id="1906722391">
      <w:bodyDiv w:val="1"/>
      <w:marLeft w:val="0"/>
      <w:marRight w:val="0"/>
      <w:marTop w:val="0"/>
      <w:marBottom w:val="0"/>
      <w:divBdr>
        <w:top w:val="none" w:sz="0" w:space="0" w:color="auto"/>
        <w:left w:val="none" w:sz="0" w:space="0" w:color="auto"/>
        <w:bottom w:val="none" w:sz="0" w:space="0" w:color="auto"/>
        <w:right w:val="none" w:sz="0" w:space="0" w:color="auto"/>
      </w:divBdr>
    </w:div>
    <w:div w:id="1917670491">
      <w:bodyDiv w:val="1"/>
      <w:marLeft w:val="0"/>
      <w:marRight w:val="0"/>
      <w:marTop w:val="0"/>
      <w:marBottom w:val="0"/>
      <w:divBdr>
        <w:top w:val="none" w:sz="0" w:space="0" w:color="auto"/>
        <w:left w:val="none" w:sz="0" w:space="0" w:color="auto"/>
        <w:bottom w:val="none" w:sz="0" w:space="0" w:color="auto"/>
        <w:right w:val="none" w:sz="0" w:space="0" w:color="auto"/>
      </w:divBdr>
    </w:div>
    <w:div w:id="1943799453">
      <w:bodyDiv w:val="1"/>
      <w:marLeft w:val="0"/>
      <w:marRight w:val="0"/>
      <w:marTop w:val="0"/>
      <w:marBottom w:val="0"/>
      <w:divBdr>
        <w:top w:val="none" w:sz="0" w:space="0" w:color="auto"/>
        <w:left w:val="none" w:sz="0" w:space="0" w:color="auto"/>
        <w:bottom w:val="none" w:sz="0" w:space="0" w:color="auto"/>
        <w:right w:val="none" w:sz="0" w:space="0" w:color="auto"/>
      </w:divBdr>
    </w:div>
    <w:div w:id="1952660504">
      <w:bodyDiv w:val="1"/>
      <w:marLeft w:val="0"/>
      <w:marRight w:val="0"/>
      <w:marTop w:val="0"/>
      <w:marBottom w:val="0"/>
      <w:divBdr>
        <w:top w:val="none" w:sz="0" w:space="0" w:color="auto"/>
        <w:left w:val="none" w:sz="0" w:space="0" w:color="auto"/>
        <w:bottom w:val="none" w:sz="0" w:space="0" w:color="auto"/>
        <w:right w:val="none" w:sz="0" w:space="0" w:color="auto"/>
      </w:divBdr>
    </w:div>
    <w:div w:id="1966278448">
      <w:bodyDiv w:val="1"/>
      <w:marLeft w:val="0"/>
      <w:marRight w:val="0"/>
      <w:marTop w:val="0"/>
      <w:marBottom w:val="0"/>
      <w:divBdr>
        <w:top w:val="none" w:sz="0" w:space="0" w:color="auto"/>
        <w:left w:val="none" w:sz="0" w:space="0" w:color="auto"/>
        <w:bottom w:val="none" w:sz="0" w:space="0" w:color="auto"/>
        <w:right w:val="none" w:sz="0" w:space="0" w:color="auto"/>
      </w:divBdr>
    </w:div>
    <w:div w:id="2022704833">
      <w:bodyDiv w:val="1"/>
      <w:marLeft w:val="0"/>
      <w:marRight w:val="0"/>
      <w:marTop w:val="0"/>
      <w:marBottom w:val="0"/>
      <w:divBdr>
        <w:top w:val="none" w:sz="0" w:space="0" w:color="auto"/>
        <w:left w:val="none" w:sz="0" w:space="0" w:color="auto"/>
        <w:bottom w:val="none" w:sz="0" w:space="0" w:color="auto"/>
        <w:right w:val="none" w:sz="0" w:space="0" w:color="auto"/>
      </w:divBdr>
    </w:div>
    <w:div w:id="2023891450">
      <w:bodyDiv w:val="1"/>
      <w:marLeft w:val="0"/>
      <w:marRight w:val="0"/>
      <w:marTop w:val="0"/>
      <w:marBottom w:val="0"/>
      <w:divBdr>
        <w:top w:val="none" w:sz="0" w:space="0" w:color="auto"/>
        <w:left w:val="none" w:sz="0" w:space="0" w:color="auto"/>
        <w:bottom w:val="none" w:sz="0" w:space="0" w:color="auto"/>
        <w:right w:val="none" w:sz="0" w:space="0" w:color="auto"/>
      </w:divBdr>
    </w:div>
    <w:div w:id="202901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oleObject" Target="embeddings/oleObject163.bin"/><Relationship Id="rId303" Type="http://schemas.openxmlformats.org/officeDocument/2006/relationships/oleObject" Target="embeddings/oleObject166.bin"/><Relationship Id="rId21" Type="http://schemas.openxmlformats.org/officeDocument/2006/relationships/image" Target="media/image5.wmf"/><Relationship Id="rId42" Type="http://schemas.openxmlformats.org/officeDocument/2006/relationships/image" Target="media/image15.wmf"/><Relationship Id="rId63" Type="http://schemas.openxmlformats.org/officeDocument/2006/relationships/oleObject" Target="embeddings/oleObject27.bin"/><Relationship Id="rId84" Type="http://schemas.openxmlformats.org/officeDocument/2006/relationships/image" Target="media/image35.wmf"/><Relationship Id="rId138" Type="http://schemas.openxmlformats.org/officeDocument/2006/relationships/image" Target="media/image58.wmf"/><Relationship Id="rId159" Type="http://schemas.openxmlformats.org/officeDocument/2006/relationships/oleObject" Target="embeddings/oleObject80.bin"/><Relationship Id="rId324" Type="http://schemas.openxmlformats.org/officeDocument/2006/relationships/image" Target="media/image145.wmf"/><Relationship Id="rId345" Type="http://schemas.openxmlformats.org/officeDocument/2006/relationships/oleObject" Target="embeddings/oleObject186.bin"/><Relationship Id="rId170" Type="http://schemas.openxmlformats.org/officeDocument/2006/relationships/image" Target="media/image74.wmf"/><Relationship Id="rId191" Type="http://schemas.openxmlformats.org/officeDocument/2006/relationships/oleObject" Target="embeddings/oleObject104.bin"/><Relationship Id="rId205" Type="http://schemas.openxmlformats.org/officeDocument/2006/relationships/oleObject" Target="embeddings/oleObject111.bin"/><Relationship Id="rId226" Type="http://schemas.openxmlformats.org/officeDocument/2006/relationships/oleObject" Target="embeddings/oleObject121.bin"/><Relationship Id="rId247" Type="http://schemas.openxmlformats.org/officeDocument/2006/relationships/image" Target="media/image116.wmf"/><Relationship Id="rId107" Type="http://schemas.openxmlformats.org/officeDocument/2006/relationships/oleObject" Target="embeddings/oleObject53.bin"/><Relationship Id="rId268" Type="http://schemas.openxmlformats.org/officeDocument/2006/relationships/oleObject" Target="embeddings/oleObject144.bin"/><Relationship Id="rId289" Type="http://schemas.openxmlformats.org/officeDocument/2006/relationships/oleObject" Target="embeddings/oleObject155.bin"/><Relationship Id="rId11" Type="http://schemas.openxmlformats.org/officeDocument/2006/relationships/header" Target="header1.xml"/><Relationship Id="rId32" Type="http://schemas.openxmlformats.org/officeDocument/2006/relationships/image" Target="media/image10.wmf"/><Relationship Id="rId53" Type="http://schemas.openxmlformats.org/officeDocument/2006/relationships/image" Target="media/image20.wmf"/><Relationship Id="rId74" Type="http://schemas.openxmlformats.org/officeDocument/2006/relationships/image" Target="media/image30.wmf"/><Relationship Id="rId128" Type="http://schemas.openxmlformats.org/officeDocument/2006/relationships/image" Target="media/image53.wmf"/><Relationship Id="rId149" Type="http://schemas.openxmlformats.org/officeDocument/2006/relationships/oleObject" Target="embeddings/oleObject75.bin"/><Relationship Id="rId314" Type="http://schemas.openxmlformats.org/officeDocument/2006/relationships/hyperlink" Target="https://crashstats.nhtsa.dot.gov/Api/Public/ViewPublication/812318" TargetMode="External"/><Relationship Id="rId335" Type="http://schemas.openxmlformats.org/officeDocument/2006/relationships/oleObject" Target="embeddings/oleObject181.bin"/><Relationship Id="rId5" Type="http://schemas.openxmlformats.org/officeDocument/2006/relationships/webSettings" Target="webSettings.xml"/><Relationship Id="rId95" Type="http://schemas.openxmlformats.org/officeDocument/2006/relationships/image" Target="media/image39.wmf"/><Relationship Id="rId160" Type="http://schemas.openxmlformats.org/officeDocument/2006/relationships/image" Target="media/image69.wmf"/><Relationship Id="rId181" Type="http://schemas.openxmlformats.org/officeDocument/2006/relationships/oleObject" Target="embeddings/oleObject91.bin"/><Relationship Id="rId216" Type="http://schemas.openxmlformats.org/officeDocument/2006/relationships/image" Target="media/image100.wmf"/><Relationship Id="rId237" Type="http://schemas.openxmlformats.org/officeDocument/2006/relationships/image" Target="media/image111.wmf"/><Relationship Id="rId258" Type="http://schemas.openxmlformats.org/officeDocument/2006/relationships/oleObject" Target="embeddings/oleObject138.bin"/><Relationship Id="rId279" Type="http://schemas.openxmlformats.org/officeDocument/2006/relationships/oleObject" Target="embeddings/oleObject150.bin"/><Relationship Id="rId22" Type="http://schemas.openxmlformats.org/officeDocument/2006/relationships/oleObject" Target="embeddings/oleObject5.bin"/><Relationship Id="rId43" Type="http://schemas.openxmlformats.org/officeDocument/2006/relationships/oleObject" Target="embeddings/oleObject16.bin"/><Relationship Id="rId64" Type="http://schemas.openxmlformats.org/officeDocument/2006/relationships/image" Target="media/image25.wmf"/><Relationship Id="rId118" Type="http://schemas.openxmlformats.org/officeDocument/2006/relationships/image" Target="media/image48.wmf"/><Relationship Id="rId139" Type="http://schemas.openxmlformats.org/officeDocument/2006/relationships/oleObject" Target="embeddings/oleObject70.bin"/><Relationship Id="rId290" Type="http://schemas.openxmlformats.org/officeDocument/2006/relationships/oleObject" Target="embeddings/oleObject156.bin"/><Relationship Id="rId304" Type="http://schemas.openxmlformats.org/officeDocument/2006/relationships/image" Target="media/image138.wmf"/><Relationship Id="rId325" Type="http://schemas.openxmlformats.org/officeDocument/2006/relationships/oleObject" Target="embeddings/oleObject176.bin"/><Relationship Id="rId346" Type="http://schemas.openxmlformats.org/officeDocument/2006/relationships/image" Target="media/image156.wmf"/><Relationship Id="rId85" Type="http://schemas.openxmlformats.org/officeDocument/2006/relationships/oleObject" Target="embeddings/oleObject38.bin"/><Relationship Id="rId150" Type="http://schemas.openxmlformats.org/officeDocument/2006/relationships/image" Target="media/image64.wmf"/><Relationship Id="rId171" Type="http://schemas.openxmlformats.org/officeDocument/2006/relationships/oleObject" Target="embeddings/oleObject86.bin"/><Relationship Id="rId192" Type="http://schemas.openxmlformats.org/officeDocument/2006/relationships/image" Target="media/image88.wmf"/><Relationship Id="rId206" Type="http://schemas.openxmlformats.org/officeDocument/2006/relationships/image" Target="media/image95.wmf"/><Relationship Id="rId227" Type="http://schemas.openxmlformats.org/officeDocument/2006/relationships/image" Target="media/image106.wmf"/><Relationship Id="rId248" Type="http://schemas.openxmlformats.org/officeDocument/2006/relationships/oleObject" Target="embeddings/oleObject132.bin"/><Relationship Id="rId269" Type="http://schemas.openxmlformats.org/officeDocument/2006/relationships/image" Target="media/image125.wmf"/><Relationship Id="rId12" Type="http://schemas.openxmlformats.org/officeDocument/2006/relationships/footer" Target="footer1.xml"/><Relationship Id="rId33" Type="http://schemas.openxmlformats.org/officeDocument/2006/relationships/oleObject" Target="embeddings/oleObject11.bin"/><Relationship Id="rId108" Type="http://schemas.openxmlformats.org/officeDocument/2006/relationships/oleObject" Target="embeddings/oleObject54.bin"/><Relationship Id="rId129" Type="http://schemas.openxmlformats.org/officeDocument/2006/relationships/oleObject" Target="embeddings/oleObject65.bin"/><Relationship Id="rId280" Type="http://schemas.openxmlformats.org/officeDocument/2006/relationships/image" Target="media/image130.wmf"/><Relationship Id="rId315" Type="http://schemas.openxmlformats.org/officeDocument/2006/relationships/hyperlink" Target="https://crashstats.nhtsa.dot.gov/Api/Public/ViewPublication/812270" TargetMode="External"/><Relationship Id="rId336" Type="http://schemas.openxmlformats.org/officeDocument/2006/relationships/image" Target="media/image151.wmf"/><Relationship Id="rId54" Type="http://schemas.openxmlformats.org/officeDocument/2006/relationships/oleObject" Target="embeddings/oleObject22.bin"/><Relationship Id="rId75" Type="http://schemas.openxmlformats.org/officeDocument/2006/relationships/oleObject" Target="embeddings/oleObject33.bin"/><Relationship Id="rId96" Type="http://schemas.openxmlformats.org/officeDocument/2006/relationships/oleObject" Target="embeddings/oleObject46.bin"/><Relationship Id="rId140" Type="http://schemas.openxmlformats.org/officeDocument/2006/relationships/image" Target="media/image59.wmf"/><Relationship Id="rId161" Type="http://schemas.openxmlformats.org/officeDocument/2006/relationships/oleObject" Target="embeddings/oleObject81.bin"/><Relationship Id="rId182" Type="http://schemas.openxmlformats.org/officeDocument/2006/relationships/image" Target="media/image80.wmf"/><Relationship Id="rId217" Type="http://schemas.openxmlformats.org/officeDocument/2006/relationships/oleObject" Target="embeddings/oleObject117.bin"/><Relationship Id="rId6" Type="http://schemas.openxmlformats.org/officeDocument/2006/relationships/footnotes" Target="footnotes.xml"/><Relationship Id="rId238" Type="http://schemas.openxmlformats.org/officeDocument/2006/relationships/oleObject" Target="embeddings/oleObject127.bin"/><Relationship Id="rId259" Type="http://schemas.openxmlformats.org/officeDocument/2006/relationships/image" Target="media/image121.wmf"/><Relationship Id="rId23" Type="http://schemas.openxmlformats.org/officeDocument/2006/relationships/oleObject" Target="embeddings/oleObject6.bin"/><Relationship Id="rId119" Type="http://schemas.openxmlformats.org/officeDocument/2006/relationships/oleObject" Target="embeddings/oleObject60.bin"/><Relationship Id="rId270" Type="http://schemas.openxmlformats.org/officeDocument/2006/relationships/oleObject" Target="embeddings/oleObject145.bin"/><Relationship Id="rId291" Type="http://schemas.openxmlformats.org/officeDocument/2006/relationships/oleObject" Target="embeddings/oleObject157.bin"/><Relationship Id="rId305" Type="http://schemas.openxmlformats.org/officeDocument/2006/relationships/oleObject" Target="embeddings/oleObject167.bin"/><Relationship Id="rId326" Type="http://schemas.openxmlformats.org/officeDocument/2006/relationships/image" Target="media/image146.wmf"/><Relationship Id="rId347" Type="http://schemas.openxmlformats.org/officeDocument/2006/relationships/oleObject" Target="embeddings/oleObject187.bin"/><Relationship Id="rId44" Type="http://schemas.openxmlformats.org/officeDocument/2006/relationships/image" Target="media/image16.wmf"/><Relationship Id="rId65" Type="http://schemas.openxmlformats.org/officeDocument/2006/relationships/oleObject" Target="embeddings/oleObject28.bin"/><Relationship Id="rId86" Type="http://schemas.openxmlformats.org/officeDocument/2006/relationships/image" Target="media/image36.wmf"/><Relationship Id="rId130" Type="http://schemas.openxmlformats.org/officeDocument/2006/relationships/image" Target="media/image54.wmf"/><Relationship Id="rId151" Type="http://schemas.openxmlformats.org/officeDocument/2006/relationships/oleObject" Target="embeddings/oleObject76.bin"/><Relationship Id="rId172" Type="http://schemas.openxmlformats.org/officeDocument/2006/relationships/image" Target="media/image75.wmf"/><Relationship Id="rId193" Type="http://schemas.openxmlformats.org/officeDocument/2006/relationships/oleObject" Target="embeddings/oleObject105.bin"/><Relationship Id="rId207" Type="http://schemas.openxmlformats.org/officeDocument/2006/relationships/oleObject" Target="embeddings/oleObject112.bin"/><Relationship Id="rId228" Type="http://schemas.openxmlformats.org/officeDocument/2006/relationships/oleObject" Target="embeddings/oleObject122.bin"/><Relationship Id="rId249" Type="http://schemas.openxmlformats.org/officeDocument/2006/relationships/image" Target="media/image117.wmf"/><Relationship Id="rId13" Type="http://schemas.openxmlformats.org/officeDocument/2006/relationships/image" Target="media/image1.wmf"/><Relationship Id="rId109" Type="http://schemas.openxmlformats.org/officeDocument/2006/relationships/image" Target="media/image44.wmf"/><Relationship Id="rId260" Type="http://schemas.openxmlformats.org/officeDocument/2006/relationships/oleObject" Target="embeddings/oleObject139.bin"/><Relationship Id="rId281" Type="http://schemas.openxmlformats.org/officeDocument/2006/relationships/oleObject" Target="embeddings/oleObject151.bin"/><Relationship Id="rId316" Type="http://schemas.openxmlformats.org/officeDocument/2006/relationships/chart" Target="charts/chart1.xml"/><Relationship Id="rId337" Type="http://schemas.openxmlformats.org/officeDocument/2006/relationships/oleObject" Target="embeddings/oleObject182.bin"/><Relationship Id="rId34" Type="http://schemas.openxmlformats.org/officeDocument/2006/relationships/image" Target="media/image11.wmf"/><Relationship Id="rId55" Type="http://schemas.openxmlformats.org/officeDocument/2006/relationships/image" Target="media/image21.wmf"/><Relationship Id="rId76" Type="http://schemas.openxmlformats.org/officeDocument/2006/relationships/image" Target="media/image31.wmf"/><Relationship Id="rId97" Type="http://schemas.openxmlformats.org/officeDocument/2006/relationships/image" Target="media/image40.wmf"/><Relationship Id="rId120" Type="http://schemas.openxmlformats.org/officeDocument/2006/relationships/image" Target="media/image49.wmf"/><Relationship Id="rId141" Type="http://schemas.openxmlformats.org/officeDocument/2006/relationships/oleObject" Target="embeddings/oleObject71.bin"/><Relationship Id="rId7" Type="http://schemas.openxmlformats.org/officeDocument/2006/relationships/endnotes" Target="endnotes.xml"/><Relationship Id="rId162" Type="http://schemas.openxmlformats.org/officeDocument/2006/relationships/image" Target="media/image70.wmf"/><Relationship Id="rId183" Type="http://schemas.openxmlformats.org/officeDocument/2006/relationships/oleObject" Target="embeddings/oleObject92.bin"/><Relationship Id="rId218" Type="http://schemas.openxmlformats.org/officeDocument/2006/relationships/image" Target="media/image101.wmf"/><Relationship Id="rId239" Type="http://schemas.openxmlformats.org/officeDocument/2006/relationships/image" Target="media/image112.wmf"/><Relationship Id="rId250" Type="http://schemas.openxmlformats.org/officeDocument/2006/relationships/oleObject" Target="embeddings/oleObject133.bin"/><Relationship Id="rId271" Type="http://schemas.openxmlformats.org/officeDocument/2006/relationships/oleObject" Target="embeddings/oleObject146.bin"/><Relationship Id="rId292" Type="http://schemas.openxmlformats.org/officeDocument/2006/relationships/oleObject" Target="embeddings/oleObject158.bin"/><Relationship Id="rId306" Type="http://schemas.openxmlformats.org/officeDocument/2006/relationships/oleObject" Target="embeddings/oleObject168.bin"/><Relationship Id="rId24" Type="http://schemas.openxmlformats.org/officeDocument/2006/relationships/image" Target="media/image6.wmf"/><Relationship Id="rId45" Type="http://schemas.openxmlformats.org/officeDocument/2006/relationships/oleObject" Target="embeddings/oleObject17.bin"/><Relationship Id="rId66" Type="http://schemas.openxmlformats.org/officeDocument/2006/relationships/image" Target="media/image26.wmf"/><Relationship Id="rId87" Type="http://schemas.openxmlformats.org/officeDocument/2006/relationships/oleObject" Target="embeddings/oleObject40.bin"/><Relationship Id="rId110" Type="http://schemas.openxmlformats.org/officeDocument/2006/relationships/oleObject" Target="embeddings/oleObject55.bin"/><Relationship Id="rId131" Type="http://schemas.openxmlformats.org/officeDocument/2006/relationships/oleObject" Target="embeddings/oleObject66.bin"/><Relationship Id="rId327" Type="http://schemas.openxmlformats.org/officeDocument/2006/relationships/oleObject" Target="embeddings/oleObject177.bin"/><Relationship Id="rId348" Type="http://schemas.openxmlformats.org/officeDocument/2006/relationships/image" Target="media/image157.wmf"/><Relationship Id="rId152" Type="http://schemas.openxmlformats.org/officeDocument/2006/relationships/image" Target="media/image65.wmf"/><Relationship Id="rId173" Type="http://schemas.openxmlformats.org/officeDocument/2006/relationships/oleObject" Target="embeddings/oleObject87.bin"/><Relationship Id="rId194" Type="http://schemas.openxmlformats.org/officeDocument/2006/relationships/image" Target="media/image89.wmf"/><Relationship Id="rId208" Type="http://schemas.openxmlformats.org/officeDocument/2006/relationships/image" Target="media/image96.wmf"/><Relationship Id="rId229" Type="http://schemas.openxmlformats.org/officeDocument/2006/relationships/image" Target="media/image107.wmf"/><Relationship Id="rId240" Type="http://schemas.openxmlformats.org/officeDocument/2006/relationships/oleObject" Target="embeddings/oleObject128.bin"/><Relationship Id="rId261" Type="http://schemas.openxmlformats.org/officeDocument/2006/relationships/image" Target="media/image122.wmf"/><Relationship Id="rId14" Type="http://schemas.openxmlformats.org/officeDocument/2006/relationships/oleObject" Target="embeddings/oleObject1.bin"/><Relationship Id="rId35" Type="http://schemas.openxmlformats.org/officeDocument/2006/relationships/oleObject" Target="embeddings/oleObject12.bin"/><Relationship Id="rId56" Type="http://schemas.openxmlformats.org/officeDocument/2006/relationships/oleObject" Target="embeddings/oleObject23.bin"/><Relationship Id="rId77" Type="http://schemas.openxmlformats.org/officeDocument/2006/relationships/oleObject" Target="embeddings/oleObject34.bin"/><Relationship Id="rId100" Type="http://schemas.openxmlformats.org/officeDocument/2006/relationships/oleObject" Target="embeddings/oleObject48.bin"/><Relationship Id="rId282" Type="http://schemas.openxmlformats.org/officeDocument/2006/relationships/image" Target="media/image131.wmf"/><Relationship Id="rId317" Type="http://schemas.openxmlformats.org/officeDocument/2006/relationships/image" Target="media/image141.jpeg"/><Relationship Id="rId338" Type="http://schemas.openxmlformats.org/officeDocument/2006/relationships/image" Target="media/image152.wmf"/><Relationship Id="rId8" Type="http://schemas.openxmlformats.org/officeDocument/2006/relationships/hyperlink" Target="mailto:bhat@mail.utexas.edu" TargetMode="External"/><Relationship Id="rId98" Type="http://schemas.openxmlformats.org/officeDocument/2006/relationships/oleObject" Target="embeddings/oleObject47.bin"/><Relationship Id="rId121" Type="http://schemas.openxmlformats.org/officeDocument/2006/relationships/oleObject" Target="embeddings/oleObject61.bin"/><Relationship Id="rId142" Type="http://schemas.openxmlformats.org/officeDocument/2006/relationships/image" Target="media/image60.wmf"/><Relationship Id="rId163" Type="http://schemas.openxmlformats.org/officeDocument/2006/relationships/oleObject" Target="embeddings/oleObject82.bin"/><Relationship Id="rId184" Type="http://schemas.openxmlformats.org/officeDocument/2006/relationships/oleObject" Target="embeddings/oleObject93.bin"/><Relationship Id="rId219" Type="http://schemas.openxmlformats.org/officeDocument/2006/relationships/oleObject" Target="embeddings/oleObject118.bin"/><Relationship Id="rId230" Type="http://schemas.openxmlformats.org/officeDocument/2006/relationships/oleObject" Target="embeddings/oleObject123.bin"/><Relationship Id="rId251" Type="http://schemas.openxmlformats.org/officeDocument/2006/relationships/oleObject" Target="embeddings/oleObject134.bin"/><Relationship Id="rId25" Type="http://schemas.openxmlformats.org/officeDocument/2006/relationships/oleObject" Target="embeddings/oleObject7.bin"/><Relationship Id="rId46" Type="http://schemas.openxmlformats.org/officeDocument/2006/relationships/image" Target="media/image17.wmf"/><Relationship Id="rId67" Type="http://schemas.openxmlformats.org/officeDocument/2006/relationships/oleObject" Target="embeddings/oleObject29.bin"/><Relationship Id="rId272" Type="http://schemas.openxmlformats.org/officeDocument/2006/relationships/image" Target="media/image126.wmf"/><Relationship Id="rId293" Type="http://schemas.openxmlformats.org/officeDocument/2006/relationships/image" Target="media/image135.wmf"/><Relationship Id="rId307" Type="http://schemas.openxmlformats.org/officeDocument/2006/relationships/oleObject" Target="embeddings/oleObject169.bin"/><Relationship Id="rId328" Type="http://schemas.openxmlformats.org/officeDocument/2006/relationships/image" Target="media/image147.wmf"/><Relationship Id="rId349" Type="http://schemas.openxmlformats.org/officeDocument/2006/relationships/oleObject" Target="embeddings/oleObject188.bin"/><Relationship Id="rId20" Type="http://schemas.openxmlformats.org/officeDocument/2006/relationships/oleObject" Target="embeddings/oleObject4.bin"/><Relationship Id="rId41" Type="http://schemas.openxmlformats.org/officeDocument/2006/relationships/oleObject" Target="embeddings/oleObject15.bin"/><Relationship Id="rId62" Type="http://schemas.openxmlformats.org/officeDocument/2006/relationships/oleObject" Target="embeddings/oleObject26.bin"/><Relationship Id="rId83" Type="http://schemas.openxmlformats.org/officeDocument/2006/relationships/oleObject" Target="embeddings/oleObject37.bin"/><Relationship Id="rId88" Type="http://schemas.openxmlformats.org/officeDocument/2006/relationships/oleObject" Target="embeddings/oleObject41.bin"/><Relationship Id="rId111" Type="http://schemas.openxmlformats.org/officeDocument/2006/relationships/oleObject" Target="embeddings/oleObject56.bin"/><Relationship Id="rId132" Type="http://schemas.openxmlformats.org/officeDocument/2006/relationships/image" Target="media/image55.wmf"/><Relationship Id="rId153" Type="http://schemas.openxmlformats.org/officeDocument/2006/relationships/oleObject" Target="embeddings/oleObject77.bin"/><Relationship Id="rId174" Type="http://schemas.openxmlformats.org/officeDocument/2006/relationships/image" Target="media/image76.wmf"/><Relationship Id="rId179" Type="http://schemas.openxmlformats.org/officeDocument/2006/relationships/oleObject" Target="embeddings/oleObject90.bin"/><Relationship Id="rId195" Type="http://schemas.openxmlformats.org/officeDocument/2006/relationships/oleObject" Target="embeddings/oleObject106.bin"/><Relationship Id="rId209" Type="http://schemas.openxmlformats.org/officeDocument/2006/relationships/oleObject" Target="embeddings/oleObject113.bin"/><Relationship Id="rId190" Type="http://schemas.openxmlformats.org/officeDocument/2006/relationships/image" Target="media/image87.wmf"/><Relationship Id="rId204" Type="http://schemas.openxmlformats.org/officeDocument/2006/relationships/image" Target="media/image94.wmf"/><Relationship Id="rId220" Type="http://schemas.openxmlformats.org/officeDocument/2006/relationships/image" Target="media/image102.wmf"/><Relationship Id="rId225" Type="http://schemas.openxmlformats.org/officeDocument/2006/relationships/image" Target="media/image105.wmf"/><Relationship Id="rId241" Type="http://schemas.openxmlformats.org/officeDocument/2006/relationships/image" Target="media/image113.wmf"/><Relationship Id="rId246" Type="http://schemas.openxmlformats.org/officeDocument/2006/relationships/oleObject" Target="embeddings/oleObject131.bin"/><Relationship Id="rId267" Type="http://schemas.openxmlformats.org/officeDocument/2006/relationships/image" Target="media/image124.wmf"/><Relationship Id="rId288" Type="http://schemas.openxmlformats.org/officeDocument/2006/relationships/image" Target="media/image134.wmf"/><Relationship Id="rId15" Type="http://schemas.openxmlformats.org/officeDocument/2006/relationships/image" Target="media/image2.wmf"/><Relationship Id="rId36" Type="http://schemas.openxmlformats.org/officeDocument/2006/relationships/image" Target="media/image12.wmf"/><Relationship Id="rId57" Type="http://schemas.openxmlformats.org/officeDocument/2006/relationships/image" Target="media/image22.wmf"/><Relationship Id="rId106" Type="http://schemas.openxmlformats.org/officeDocument/2006/relationships/image" Target="media/image43.wmf"/><Relationship Id="rId127" Type="http://schemas.openxmlformats.org/officeDocument/2006/relationships/oleObject" Target="embeddings/oleObject64.bin"/><Relationship Id="rId262" Type="http://schemas.openxmlformats.org/officeDocument/2006/relationships/oleObject" Target="embeddings/oleObject140.bin"/><Relationship Id="rId283" Type="http://schemas.openxmlformats.org/officeDocument/2006/relationships/oleObject" Target="embeddings/oleObject152.bin"/><Relationship Id="rId313" Type="http://schemas.openxmlformats.org/officeDocument/2006/relationships/footer" Target="footer2.xml"/><Relationship Id="rId318" Type="http://schemas.openxmlformats.org/officeDocument/2006/relationships/image" Target="media/image142.wmf"/><Relationship Id="rId339" Type="http://schemas.openxmlformats.org/officeDocument/2006/relationships/oleObject" Target="embeddings/oleObject183.bin"/><Relationship Id="rId10" Type="http://schemas.openxmlformats.org/officeDocument/2006/relationships/hyperlink" Target="mailto:laviepa@gmail.com" TargetMode="External"/><Relationship Id="rId31" Type="http://schemas.openxmlformats.org/officeDocument/2006/relationships/oleObject" Target="embeddings/oleObject10.bin"/><Relationship Id="rId52" Type="http://schemas.openxmlformats.org/officeDocument/2006/relationships/oleObject" Target="embeddings/oleObject21.bin"/><Relationship Id="rId73" Type="http://schemas.openxmlformats.org/officeDocument/2006/relationships/oleObject" Target="embeddings/oleObject32.bin"/><Relationship Id="rId78" Type="http://schemas.openxmlformats.org/officeDocument/2006/relationships/image" Target="media/image32.wmf"/><Relationship Id="rId94" Type="http://schemas.openxmlformats.org/officeDocument/2006/relationships/oleObject" Target="embeddings/oleObject45.bin"/><Relationship Id="rId99" Type="http://schemas.openxmlformats.org/officeDocument/2006/relationships/image" Target="media/image41.wmf"/><Relationship Id="rId101" Type="http://schemas.openxmlformats.org/officeDocument/2006/relationships/oleObject" Target="embeddings/oleObject49.bin"/><Relationship Id="rId122" Type="http://schemas.openxmlformats.org/officeDocument/2006/relationships/image" Target="media/image50.wmf"/><Relationship Id="rId143" Type="http://schemas.openxmlformats.org/officeDocument/2006/relationships/oleObject" Target="embeddings/oleObject72.bin"/><Relationship Id="rId148" Type="http://schemas.openxmlformats.org/officeDocument/2006/relationships/image" Target="media/image63.wmf"/><Relationship Id="rId164" Type="http://schemas.openxmlformats.org/officeDocument/2006/relationships/image" Target="media/image71.wmf"/><Relationship Id="rId169" Type="http://schemas.openxmlformats.org/officeDocument/2006/relationships/oleObject" Target="embeddings/oleObject85.bin"/><Relationship Id="rId185" Type="http://schemas.openxmlformats.org/officeDocument/2006/relationships/oleObject" Target="embeddings/oleObject94.bin"/><Relationship Id="rId334" Type="http://schemas.openxmlformats.org/officeDocument/2006/relationships/image" Target="media/image150.wmf"/><Relationship Id="rId35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stroza@utexas.edu" TargetMode="External"/><Relationship Id="rId180" Type="http://schemas.openxmlformats.org/officeDocument/2006/relationships/image" Target="media/image79.wmf"/><Relationship Id="rId210" Type="http://schemas.openxmlformats.org/officeDocument/2006/relationships/image" Target="media/image97.wmf"/><Relationship Id="rId215" Type="http://schemas.openxmlformats.org/officeDocument/2006/relationships/oleObject" Target="embeddings/oleObject116.bin"/><Relationship Id="rId236" Type="http://schemas.openxmlformats.org/officeDocument/2006/relationships/oleObject" Target="embeddings/oleObject126.bin"/><Relationship Id="rId257" Type="http://schemas.openxmlformats.org/officeDocument/2006/relationships/image" Target="media/image120.wmf"/><Relationship Id="rId278" Type="http://schemas.openxmlformats.org/officeDocument/2006/relationships/image" Target="media/image129.wmf"/><Relationship Id="rId26" Type="http://schemas.openxmlformats.org/officeDocument/2006/relationships/image" Target="media/image7.wmf"/><Relationship Id="rId231" Type="http://schemas.openxmlformats.org/officeDocument/2006/relationships/image" Target="media/image108.wmf"/><Relationship Id="rId252" Type="http://schemas.openxmlformats.org/officeDocument/2006/relationships/image" Target="media/image118.wmf"/><Relationship Id="rId273" Type="http://schemas.openxmlformats.org/officeDocument/2006/relationships/oleObject" Target="embeddings/oleObject147.bin"/><Relationship Id="rId294" Type="http://schemas.openxmlformats.org/officeDocument/2006/relationships/oleObject" Target="embeddings/oleObject159.bin"/><Relationship Id="rId308" Type="http://schemas.openxmlformats.org/officeDocument/2006/relationships/oleObject" Target="embeddings/oleObject170.bin"/><Relationship Id="rId329" Type="http://schemas.openxmlformats.org/officeDocument/2006/relationships/oleObject" Target="embeddings/oleObject178.bin"/><Relationship Id="rId47" Type="http://schemas.openxmlformats.org/officeDocument/2006/relationships/oleObject" Target="embeddings/oleObject18.bin"/><Relationship Id="rId68" Type="http://schemas.openxmlformats.org/officeDocument/2006/relationships/image" Target="media/image27.wmf"/><Relationship Id="rId89" Type="http://schemas.openxmlformats.org/officeDocument/2006/relationships/oleObject" Target="embeddings/oleObject42.bin"/><Relationship Id="rId112" Type="http://schemas.openxmlformats.org/officeDocument/2006/relationships/image" Target="media/image45.wmf"/><Relationship Id="rId133" Type="http://schemas.openxmlformats.org/officeDocument/2006/relationships/oleObject" Target="embeddings/oleObject67.bin"/><Relationship Id="rId154" Type="http://schemas.openxmlformats.org/officeDocument/2006/relationships/image" Target="media/image66.wmf"/><Relationship Id="rId175" Type="http://schemas.openxmlformats.org/officeDocument/2006/relationships/oleObject" Target="embeddings/oleObject88.bin"/><Relationship Id="rId340" Type="http://schemas.openxmlformats.org/officeDocument/2006/relationships/image" Target="media/image153.wmf"/><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oleObject" Target="embeddings/oleObject2.bin"/><Relationship Id="rId221" Type="http://schemas.openxmlformats.org/officeDocument/2006/relationships/oleObject" Target="embeddings/oleObject119.bin"/><Relationship Id="rId242" Type="http://schemas.openxmlformats.org/officeDocument/2006/relationships/oleObject" Target="embeddings/oleObject129.bin"/><Relationship Id="rId263" Type="http://schemas.openxmlformats.org/officeDocument/2006/relationships/oleObject" Target="embeddings/oleObject141.bin"/><Relationship Id="rId284" Type="http://schemas.openxmlformats.org/officeDocument/2006/relationships/image" Target="media/image132.wmf"/><Relationship Id="rId319" Type="http://schemas.openxmlformats.org/officeDocument/2006/relationships/oleObject" Target="embeddings/oleObject173.bin"/><Relationship Id="rId37" Type="http://schemas.openxmlformats.org/officeDocument/2006/relationships/oleObject" Target="embeddings/oleObject13.bin"/><Relationship Id="rId58" Type="http://schemas.openxmlformats.org/officeDocument/2006/relationships/oleObject" Target="embeddings/oleObject24.bin"/><Relationship Id="rId79" Type="http://schemas.openxmlformats.org/officeDocument/2006/relationships/oleObject" Target="embeddings/oleObject35.bin"/><Relationship Id="rId102" Type="http://schemas.openxmlformats.org/officeDocument/2006/relationships/oleObject" Target="embeddings/oleObject50.bin"/><Relationship Id="rId123" Type="http://schemas.openxmlformats.org/officeDocument/2006/relationships/oleObject" Target="embeddings/oleObject62.bin"/><Relationship Id="rId144" Type="http://schemas.openxmlformats.org/officeDocument/2006/relationships/image" Target="media/image61.wmf"/><Relationship Id="rId330" Type="http://schemas.openxmlformats.org/officeDocument/2006/relationships/image" Target="media/image148.wmf"/><Relationship Id="rId90" Type="http://schemas.openxmlformats.org/officeDocument/2006/relationships/image" Target="media/image37.wmf"/><Relationship Id="rId165" Type="http://schemas.openxmlformats.org/officeDocument/2006/relationships/oleObject" Target="embeddings/oleObject83.bin"/><Relationship Id="rId186" Type="http://schemas.openxmlformats.org/officeDocument/2006/relationships/image" Target="media/image85.wmf"/><Relationship Id="rId351" Type="http://schemas.openxmlformats.org/officeDocument/2006/relationships/theme" Target="theme/theme1.xml"/><Relationship Id="rId211" Type="http://schemas.openxmlformats.org/officeDocument/2006/relationships/oleObject" Target="embeddings/oleObject114.bin"/><Relationship Id="rId232" Type="http://schemas.openxmlformats.org/officeDocument/2006/relationships/oleObject" Target="embeddings/oleObject124.bin"/><Relationship Id="rId253" Type="http://schemas.openxmlformats.org/officeDocument/2006/relationships/oleObject" Target="embeddings/oleObject135.bin"/><Relationship Id="rId274" Type="http://schemas.openxmlformats.org/officeDocument/2006/relationships/image" Target="media/image127.wmf"/><Relationship Id="rId295" Type="http://schemas.openxmlformats.org/officeDocument/2006/relationships/oleObject" Target="embeddings/oleObject160.bin"/><Relationship Id="rId309" Type="http://schemas.openxmlformats.org/officeDocument/2006/relationships/image" Target="media/image139.wmf"/><Relationship Id="rId27" Type="http://schemas.openxmlformats.org/officeDocument/2006/relationships/oleObject" Target="embeddings/oleObject8.bin"/><Relationship Id="rId48" Type="http://schemas.openxmlformats.org/officeDocument/2006/relationships/image" Target="media/image18.wmf"/><Relationship Id="rId69" Type="http://schemas.openxmlformats.org/officeDocument/2006/relationships/oleObject" Target="embeddings/oleObject30.bin"/><Relationship Id="rId113" Type="http://schemas.openxmlformats.org/officeDocument/2006/relationships/oleObject" Target="embeddings/oleObject57.bin"/><Relationship Id="rId134" Type="http://schemas.openxmlformats.org/officeDocument/2006/relationships/image" Target="media/image56.wmf"/><Relationship Id="rId320" Type="http://schemas.openxmlformats.org/officeDocument/2006/relationships/image" Target="media/image143.wmf"/><Relationship Id="rId80" Type="http://schemas.openxmlformats.org/officeDocument/2006/relationships/image" Target="media/image33.wmf"/><Relationship Id="rId155" Type="http://schemas.openxmlformats.org/officeDocument/2006/relationships/oleObject" Target="embeddings/oleObject78.bin"/><Relationship Id="rId176" Type="http://schemas.openxmlformats.org/officeDocument/2006/relationships/image" Target="media/image77.wmf"/><Relationship Id="rId197" Type="http://schemas.openxmlformats.org/officeDocument/2006/relationships/oleObject" Target="embeddings/oleObject107.bin"/><Relationship Id="rId341" Type="http://schemas.openxmlformats.org/officeDocument/2006/relationships/oleObject" Target="embeddings/oleObject184.bin"/><Relationship Id="rId201" Type="http://schemas.openxmlformats.org/officeDocument/2006/relationships/oleObject" Target="embeddings/oleObject109.bin"/><Relationship Id="rId222" Type="http://schemas.openxmlformats.org/officeDocument/2006/relationships/image" Target="media/image103.wmf"/><Relationship Id="rId243" Type="http://schemas.openxmlformats.org/officeDocument/2006/relationships/image" Target="media/image114.wmf"/><Relationship Id="rId264" Type="http://schemas.openxmlformats.org/officeDocument/2006/relationships/oleObject" Target="embeddings/oleObject142.bin"/><Relationship Id="rId285" Type="http://schemas.openxmlformats.org/officeDocument/2006/relationships/oleObject" Target="embeddings/oleObject153.bin"/><Relationship Id="rId17" Type="http://schemas.openxmlformats.org/officeDocument/2006/relationships/image" Target="media/image3.wmf"/><Relationship Id="rId38" Type="http://schemas.openxmlformats.org/officeDocument/2006/relationships/image" Target="media/image13.wmf"/><Relationship Id="rId59" Type="http://schemas.openxmlformats.org/officeDocument/2006/relationships/image" Target="media/image23.wmf"/><Relationship Id="rId103" Type="http://schemas.openxmlformats.org/officeDocument/2006/relationships/image" Target="media/image42.wmf"/><Relationship Id="rId124" Type="http://schemas.openxmlformats.org/officeDocument/2006/relationships/image" Target="media/image51.wmf"/><Relationship Id="rId310" Type="http://schemas.openxmlformats.org/officeDocument/2006/relationships/oleObject" Target="embeddings/oleObject171.bin"/><Relationship Id="rId70" Type="http://schemas.openxmlformats.org/officeDocument/2006/relationships/image" Target="media/image28.wmf"/><Relationship Id="rId91" Type="http://schemas.openxmlformats.org/officeDocument/2006/relationships/oleObject" Target="embeddings/oleObject43.bin"/><Relationship Id="rId145" Type="http://schemas.openxmlformats.org/officeDocument/2006/relationships/oleObject" Target="embeddings/oleObject73.bin"/><Relationship Id="rId166" Type="http://schemas.openxmlformats.org/officeDocument/2006/relationships/image" Target="media/image72.wmf"/><Relationship Id="rId187" Type="http://schemas.openxmlformats.org/officeDocument/2006/relationships/oleObject" Target="embeddings/oleObject102.bin"/><Relationship Id="rId331" Type="http://schemas.openxmlformats.org/officeDocument/2006/relationships/oleObject" Target="embeddings/oleObject179.bin"/><Relationship Id="rId1" Type="http://schemas.openxmlformats.org/officeDocument/2006/relationships/customXml" Target="../customXml/item1.xml"/><Relationship Id="rId212" Type="http://schemas.openxmlformats.org/officeDocument/2006/relationships/image" Target="media/image98.wmf"/><Relationship Id="rId233" Type="http://schemas.openxmlformats.org/officeDocument/2006/relationships/image" Target="media/image109.wmf"/><Relationship Id="rId254" Type="http://schemas.openxmlformats.org/officeDocument/2006/relationships/image" Target="media/image119.wmf"/><Relationship Id="rId28" Type="http://schemas.openxmlformats.org/officeDocument/2006/relationships/image" Target="media/image8.wmf"/><Relationship Id="rId49" Type="http://schemas.openxmlformats.org/officeDocument/2006/relationships/oleObject" Target="embeddings/oleObject19.bin"/><Relationship Id="rId114" Type="http://schemas.openxmlformats.org/officeDocument/2006/relationships/image" Target="media/image46.wmf"/><Relationship Id="rId275" Type="http://schemas.openxmlformats.org/officeDocument/2006/relationships/oleObject" Target="embeddings/oleObject148.bin"/><Relationship Id="rId296" Type="http://schemas.openxmlformats.org/officeDocument/2006/relationships/image" Target="media/image136.wmf"/><Relationship Id="rId300" Type="http://schemas.openxmlformats.org/officeDocument/2006/relationships/oleObject" Target="embeddings/oleObject164.bin"/><Relationship Id="rId60" Type="http://schemas.openxmlformats.org/officeDocument/2006/relationships/oleObject" Target="embeddings/oleObject25.bin"/><Relationship Id="rId81" Type="http://schemas.openxmlformats.org/officeDocument/2006/relationships/oleObject" Target="embeddings/oleObject36.bin"/><Relationship Id="rId135" Type="http://schemas.openxmlformats.org/officeDocument/2006/relationships/oleObject" Target="embeddings/oleObject68.bin"/><Relationship Id="rId156" Type="http://schemas.openxmlformats.org/officeDocument/2006/relationships/image" Target="media/image67.wmf"/><Relationship Id="rId177" Type="http://schemas.openxmlformats.org/officeDocument/2006/relationships/oleObject" Target="embeddings/oleObject89.bin"/><Relationship Id="rId198" Type="http://schemas.openxmlformats.org/officeDocument/2006/relationships/image" Target="media/image91.wmf"/><Relationship Id="rId321" Type="http://schemas.openxmlformats.org/officeDocument/2006/relationships/oleObject" Target="embeddings/oleObject174.bin"/><Relationship Id="rId342" Type="http://schemas.openxmlformats.org/officeDocument/2006/relationships/image" Target="media/image154.wmf"/><Relationship Id="rId202" Type="http://schemas.openxmlformats.org/officeDocument/2006/relationships/image" Target="media/image93.wmf"/><Relationship Id="rId223" Type="http://schemas.openxmlformats.org/officeDocument/2006/relationships/oleObject" Target="embeddings/oleObject120.bin"/><Relationship Id="rId244" Type="http://schemas.openxmlformats.org/officeDocument/2006/relationships/oleObject" Target="embeddings/oleObject130.bin"/><Relationship Id="rId18" Type="http://schemas.openxmlformats.org/officeDocument/2006/relationships/oleObject" Target="embeddings/oleObject3.bin"/><Relationship Id="rId39" Type="http://schemas.openxmlformats.org/officeDocument/2006/relationships/oleObject" Target="embeddings/oleObject14.bin"/><Relationship Id="rId265" Type="http://schemas.openxmlformats.org/officeDocument/2006/relationships/image" Target="media/image123.wmf"/><Relationship Id="rId286" Type="http://schemas.openxmlformats.org/officeDocument/2006/relationships/image" Target="media/image133.wmf"/><Relationship Id="rId50" Type="http://schemas.openxmlformats.org/officeDocument/2006/relationships/oleObject" Target="embeddings/oleObject20.bin"/><Relationship Id="rId104" Type="http://schemas.openxmlformats.org/officeDocument/2006/relationships/oleObject" Target="embeddings/oleObject51.bin"/><Relationship Id="rId125" Type="http://schemas.openxmlformats.org/officeDocument/2006/relationships/oleObject" Target="embeddings/oleObject63.bin"/><Relationship Id="rId146" Type="http://schemas.openxmlformats.org/officeDocument/2006/relationships/image" Target="media/image62.wmf"/><Relationship Id="rId167" Type="http://schemas.openxmlformats.org/officeDocument/2006/relationships/oleObject" Target="embeddings/oleObject84.bin"/><Relationship Id="rId188" Type="http://schemas.openxmlformats.org/officeDocument/2006/relationships/image" Target="media/image86.wmf"/><Relationship Id="rId311" Type="http://schemas.openxmlformats.org/officeDocument/2006/relationships/image" Target="media/image140.wmf"/><Relationship Id="rId332" Type="http://schemas.openxmlformats.org/officeDocument/2006/relationships/image" Target="media/image149.wmf"/><Relationship Id="rId71" Type="http://schemas.openxmlformats.org/officeDocument/2006/relationships/oleObject" Target="embeddings/oleObject31.bin"/><Relationship Id="rId92" Type="http://schemas.openxmlformats.org/officeDocument/2006/relationships/oleObject" Target="embeddings/oleObject44.bin"/><Relationship Id="rId213" Type="http://schemas.openxmlformats.org/officeDocument/2006/relationships/oleObject" Target="embeddings/oleObject115.bin"/><Relationship Id="rId234" Type="http://schemas.openxmlformats.org/officeDocument/2006/relationships/oleObject" Target="embeddings/oleObject125.bin"/><Relationship Id="rId2" Type="http://schemas.openxmlformats.org/officeDocument/2006/relationships/numbering" Target="numbering.xml"/><Relationship Id="rId29" Type="http://schemas.openxmlformats.org/officeDocument/2006/relationships/oleObject" Target="embeddings/oleObject9.bin"/><Relationship Id="rId255" Type="http://schemas.openxmlformats.org/officeDocument/2006/relationships/oleObject" Target="embeddings/oleObject136.bin"/><Relationship Id="rId276" Type="http://schemas.openxmlformats.org/officeDocument/2006/relationships/image" Target="media/image128.wmf"/><Relationship Id="rId297" Type="http://schemas.openxmlformats.org/officeDocument/2006/relationships/oleObject" Target="embeddings/oleObject161.bin"/><Relationship Id="rId40" Type="http://schemas.openxmlformats.org/officeDocument/2006/relationships/image" Target="media/image14.wmf"/><Relationship Id="rId115" Type="http://schemas.openxmlformats.org/officeDocument/2006/relationships/oleObject" Target="embeddings/oleObject58.bin"/><Relationship Id="rId136" Type="http://schemas.openxmlformats.org/officeDocument/2006/relationships/image" Target="media/image57.wmf"/><Relationship Id="rId157" Type="http://schemas.openxmlformats.org/officeDocument/2006/relationships/oleObject" Target="embeddings/oleObject79.bin"/><Relationship Id="rId178" Type="http://schemas.openxmlformats.org/officeDocument/2006/relationships/image" Target="media/image78.wmf"/><Relationship Id="rId301" Type="http://schemas.openxmlformats.org/officeDocument/2006/relationships/oleObject" Target="embeddings/oleObject165.bin"/><Relationship Id="rId322" Type="http://schemas.openxmlformats.org/officeDocument/2006/relationships/image" Target="media/image144.wmf"/><Relationship Id="rId343" Type="http://schemas.openxmlformats.org/officeDocument/2006/relationships/oleObject" Target="embeddings/oleObject185.bin"/><Relationship Id="rId61" Type="http://schemas.openxmlformats.org/officeDocument/2006/relationships/image" Target="media/image24.wmf"/><Relationship Id="rId82" Type="http://schemas.openxmlformats.org/officeDocument/2006/relationships/image" Target="media/image34.wmf"/><Relationship Id="rId199" Type="http://schemas.openxmlformats.org/officeDocument/2006/relationships/oleObject" Target="embeddings/oleObject108.bin"/><Relationship Id="rId203" Type="http://schemas.openxmlformats.org/officeDocument/2006/relationships/oleObject" Target="embeddings/oleObject110.bin"/><Relationship Id="rId19" Type="http://schemas.openxmlformats.org/officeDocument/2006/relationships/image" Target="media/image4.wmf"/><Relationship Id="rId224" Type="http://schemas.openxmlformats.org/officeDocument/2006/relationships/image" Target="media/image104.wmf"/><Relationship Id="rId245" Type="http://schemas.openxmlformats.org/officeDocument/2006/relationships/image" Target="media/image115.wmf"/><Relationship Id="rId266" Type="http://schemas.openxmlformats.org/officeDocument/2006/relationships/oleObject" Target="embeddings/oleObject143.bin"/><Relationship Id="rId287" Type="http://schemas.openxmlformats.org/officeDocument/2006/relationships/oleObject" Target="embeddings/oleObject154.bin"/><Relationship Id="rId30" Type="http://schemas.openxmlformats.org/officeDocument/2006/relationships/image" Target="media/image9.wmf"/><Relationship Id="rId105" Type="http://schemas.openxmlformats.org/officeDocument/2006/relationships/oleObject" Target="embeddings/oleObject52.bin"/><Relationship Id="rId126" Type="http://schemas.openxmlformats.org/officeDocument/2006/relationships/image" Target="media/image52.wmf"/><Relationship Id="rId147" Type="http://schemas.openxmlformats.org/officeDocument/2006/relationships/oleObject" Target="embeddings/oleObject74.bin"/><Relationship Id="rId168" Type="http://schemas.openxmlformats.org/officeDocument/2006/relationships/image" Target="media/image73.wmf"/><Relationship Id="rId312" Type="http://schemas.openxmlformats.org/officeDocument/2006/relationships/oleObject" Target="embeddings/oleObject172.bin"/><Relationship Id="rId333" Type="http://schemas.openxmlformats.org/officeDocument/2006/relationships/oleObject" Target="embeddings/oleObject180.bin"/><Relationship Id="rId51" Type="http://schemas.openxmlformats.org/officeDocument/2006/relationships/image" Target="media/image19.wmf"/><Relationship Id="rId72" Type="http://schemas.openxmlformats.org/officeDocument/2006/relationships/image" Target="media/image29.wmf"/><Relationship Id="rId93" Type="http://schemas.openxmlformats.org/officeDocument/2006/relationships/image" Target="media/image38.wmf"/><Relationship Id="rId189" Type="http://schemas.openxmlformats.org/officeDocument/2006/relationships/oleObject" Target="embeddings/oleObject103.bin"/><Relationship Id="rId3" Type="http://schemas.openxmlformats.org/officeDocument/2006/relationships/styles" Target="styles.xml"/><Relationship Id="rId214" Type="http://schemas.openxmlformats.org/officeDocument/2006/relationships/image" Target="media/image99.wmf"/><Relationship Id="rId235" Type="http://schemas.openxmlformats.org/officeDocument/2006/relationships/image" Target="media/image110.wmf"/><Relationship Id="rId256" Type="http://schemas.openxmlformats.org/officeDocument/2006/relationships/oleObject" Target="embeddings/oleObject137.bin"/><Relationship Id="rId277" Type="http://schemas.openxmlformats.org/officeDocument/2006/relationships/oleObject" Target="embeddings/oleObject149.bin"/><Relationship Id="rId298" Type="http://schemas.openxmlformats.org/officeDocument/2006/relationships/oleObject" Target="embeddings/oleObject162.bin"/><Relationship Id="rId116" Type="http://schemas.openxmlformats.org/officeDocument/2006/relationships/image" Target="media/image47.wmf"/><Relationship Id="rId137" Type="http://schemas.openxmlformats.org/officeDocument/2006/relationships/oleObject" Target="embeddings/oleObject69.bin"/><Relationship Id="rId158" Type="http://schemas.openxmlformats.org/officeDocument/2006/relationships/image" Target="media/image68.wmf"/><Relationship Id="rId302" Type="http://schemas.openxmlformats.org/officeDocument/2006/relationships/image" Target="media/image137.wmf"/><Relationship Id="rId323" Type="http://schemas.openxmlformats.org/officeDocument/2006/relationships/oleObject" Target="embeddings/oleObject175.bin"/><Relationship Id="rId344" Type="http://schemas.openxmlformats.org/officeDocument/2006/relationships/image" Target="media/image155.wmf"/></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97.bin"/><Relationship Id="rId13" Type="http://schemas.openxmlformats.org/officeDocument/2006/relationships/oleObject" Target="embeddings/oleObject100.bin"/><Relationship Id="rId3" Type="http://schemas.openxmlformats.org/officeDocument/2006/relationships/image" Target="media/image81.wmf"/><Relationship Id="rId7" Type="http://schemas.openxmlformats.org/officeDocument/2006/relationships/image" Target="media/image79.wmf"/><Relationship Id="rId12" Type="http://schemas.openxmlformats.org/officeDocument/2006/relationships/oleObject" Target="embeddings/oleObject99.bin"/><Relationship Id="rId2" Type="http://schemas.openxmlformats.org/officeDocument/2006/relationships/oleObject" Target="embeddings/oleObject39.bin"/><Relationship Id="rId1" Type="http://schemas.openxmlformats.org/officeDocument/2006/relationships/image" Target="media/image31.wmf"/><Relationship Id="rId6" Type="http://schemas.openxmlformats.org/officeDocument/2006/relationships/oleObject" Target="embeddings/oleObject96.bin"/><Relationship Id="rId11" Type="http://schemas.openxmlformats.org/officeDocument/2006/relationships/image" Target="media/image84.wmf"/><Relationship Id="rId5" Type="http://schemas.openxmlformats.org/officeDocument/2006/relationships/image" Target="media/image82.wmf"/><Relationship Id="rId10" Type="http://schemas.openxmlformats.org/officeDocument/2006/relationships/oleObject" Target="embeddings/oleObject98.bin"/><Relationship Id="rId4" Type="http://schemas.openxmlformats.org/officeDocument/2006/relationships/oleObject" Target="embeddings/oleObject95.bin"/><Relationship Id="rId9" Type="http://schemas.openxmlformats.org/officeDocument/2006/relationships/image" Target="media/image83.wmf"/><Relationship Id="rId14" Type="http://schemas.openxmlformats.org/officeDocument/2006/relationships/oleObject" Target="embeddings/oleObject101.bin"/></Relationships>
</file>

<file path=word/charts/_rels/chart1.xml.rels><?xml version="1.0" encoding="UTF-8" standalone="yes"?>
<Relationships xmlns="http://schemas.openxmlformats.org/package/2006/relationships"><Relationship Id="rId1" Type="http://schemas.openxmlformats.org/officeDocument/2006/relationships/oleObject" Target="file:///C:\Research\Pedestrian\Final_dataset%20-%20Cop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'New Graph'!$I$289</c:f>
              <c:strCache>
                <c:ptCount val="1"/>
                <c:pt idx="0">
                  <c:v>Possible</c:v>
                </c:pt>
              </c:strCache>
            </c:strRef>
          </c:tx>
          <c:spPr>
            <a:ln>
              <a:solidFill>
                <a:sysClr val="windowText" lastClr="000000"/>
              </a:solidFill>
            </a:ln>
          </c:spPr>
          <c:invertIfNegative val="0"/>
          <c:cat>
            <c:strRef>
              <c:f>'New Graph'!$H$303:$H$313</c:f>
              <c:strCache>
                <c:ptCount val="11"/>
                <c:pt idx="0">
                  <c:v>0</c:v>
                </c:pt>
                <c:pt idx="1">
                  <c:v>1</c:v>
                </c:pt>
                <c:pt idx="2">
                  <c:v>2</c:v>
                </c:pt>
                <c:pt idx="3">
                  <c:v>3</c:v>
                </c:pt>
                <c:pt idx="4">
                  <c:v>4</c:v>
                </c:pt>
                <c:pt idx="5">
                  <c:v>5</c:v>
                </c:pt>
                <c:pt idx="6">
                  <c:v>6</c:v>
                </c:pt>
                <c:pt idx="7">
                  <c:v>7</c:v>
                </c:pt>
                <c:pt idx="8">
                  <c:v>8</c:v>
                </c:pt>
                <c:pt idx="9">
                  <c:v>9</c:v>
                </c:pt>
                <c:pt idx="10">
                  <c:v>10+</c:v>
                </c:pt>
              </c:strCache>
            </c:strRef>
          </c:cat>
          <c:val>
            <c:numRef>
              <c:f>'New Graph'!$I$303:$I$313</c:f>
              <c:numCache>
                <c:formatCode>0%</c:formatCode>
                <c:ptCount val="11"/>
                <c:pt idx="0">
                  <c:v>9.4736842105263161E-2</c:v>
                </c:pt>
                <c:pt idx="1">
                  <c:v>9.1228070175438603E-2</c:v>
                </c:pt>
                <c:pt idx="2">
                  <c:v>9.1228070175438603E-2</c:v>
                </c:pt>
                <c:pt idx="3">
                  <c:v>9.1228070175438603E-2</c:v>
                </c:pt>
                <c:pt idx="4">
                  <c:v>8.4210526315789472E-2</c:v>
                </c:pt>
                <c:pt idx="5">
                  <c:v>5.6140350877192984E-2</c:v>
                </c:pt>
                <c:pt idx="6">
                  <c:v>0.11228070175438597</c:v>
                </c:pt>
                <c:pt idx="7">
                  <c:v>5.6140350877192984E-2</c:v>
                </c:pt>
                <c:pt idx="8">
                  <c:v>5.2631578947368418E-2</c:v>
                </c:pt>
                <c:pt idx="9">
                  <c:v>5.9649122807017542E-2</c:v>
                </c:pt>
                <c:pt idx="10">
                  <c:v>0.21052631578947367</c:v>
                </c:pt>
              </c:numCache>
            </c:numRef>
          </c:val>
          <c:extLst xmlns:c16r2="http://schemas.microsoft.com/office/drawing/2015/06/chart">
            <c:ext xmlns:c16="http://schemas.microsoft.com/office/drawing/2014/chart" uri="{C3380CC4-5D6E-409C-BE32-E72D297353CC}">
              <c16:uniqueId val="{00000000-51D7-405A-84D6-E9E8FD9F05C2}"/>
            </c:ext>
          </c:extLst>
        </c:ser>
        <c:ser>
          <c:idx val="1"/>
          <c:order val="1"/>
          <c:tx>
            <c:strRef>
              <c:f>'New Graph'!$J$289</c:f>
              <c:strCache>
                <c:ptCount val="1"/>
                <c:pt idx="0">
                  <c:v>Non-incapacitating</c:v>
                </c:pt>
              </c:strCache>
            </c:strRef>
          </c:tx>
          <c:spPr>
            <a:ln>
              <a:solidFill>
                <a:sysClr val="windowText" lastClr="000000"/>
              </a:solidFill>
            </a:ln>
          </c:spPr>
          <c:invertIfNegative val="0"/>
          <c:cat>
            <c:strRef>
              <c:f>'New Graph'!$H$303:$H$313</c:f>
              <c:strCache>
                <c:ptCount val="11"/>
                <c:pt idx="0">
                  <c:v>0</c:v>
                </c:pt>
                <c:pt idx="1">
                  <c:v>1</c:v>
                </c:pt>
                <c:pt idx="2">
                  <c:v>2</c:v>
                </c:pt>
                <c:pt idx="3">
                  <c:v>3</c:v>
                </c:pt>
                <c:pt idx="4">
                  <c:v>4</c:v>
                </c:pt>
                <c:pt idx="5">
                  <c:v>5</c:v>
                </c:pt>
                <c:pt idx="6">
                  <c:v>6</c:v>
                </c:pt>
                <c:pt idx="7">
                  <c:v>7</c:v>
                </c:pt>
                <c:pt idx="8">
                  <c:v>8</c:v>
                </c:pt>
                <c:pt idx="9">
                  <c:v>9</c:v>
                </c:pt>
                <c:pt idx="10">
                  <c:v>10+</c:v>
                </c:pt>
              </c:strCache>
            </c:strRef>
          </c:cat>
          <c:val>
            <c:numRef>
              <c:f>'New Graph'!$J$303:$J$313</c:f>
              <c:numCache>
                <c:formatCode>0%</c:formatCode>
                <c:ptCount val="11"/>
                <c:pt idx="0">
                  <c:v>0.34035087719298246</c:v>
                </c:pt>
                <c:pt idx="1">
                  <c:v>0.19298245614035087</c:v>
                </c:pt>
                <c:pt idx="2">
                  <c:v>0.15087719298245614</c:v>
                </c:pt>
                <c:pt idx="3">
                  <c:v>0.14035087719298245</c:v>
                </c:pt>
                <c:pt idx="4">
                  <c:v>7.7192982456140355E-2</c:v>
                </c:pt>
                <c:pt idx="5">
                  <c:v>3.8596491228070177E-2</c:v>
                </c:pt>
                <c:pt idx="6">
                  <c:v>3.1578947368421054E-2</c:v>
                </c:pt>
                <c:pt idx="7">
                  <c:v>1.7543859649122806E-2</c:v>
                </c:pt>
                <c:pt idx="8">
                  <c:v>3.5087719298245615E-3</c:v>
                </c:pt>
                <c:pt idx="9">
                  <c:v>3.5087719298245615E-3</c:v>
                </c:pt>
                <c:pt idx="10">
                  <c:v>3.5087719298245615E-3</c:v>
                </c:pt>
              </c:numCache>
            </c:numRef>
          </c:val>
          <c:extLst xmlns:c16r2="http://schemas.microsoft.com/office/drawing/2015/06/chart">
            <c:ext xmlns:c16="http://schemas.microsoft.com/office/drawing/2014/chart" uri="{C3380CC4-5D6E-409C-BE32-E72D297353CC}">
              <c16:uniqueId val="{00000001-51D7-405A-84D6-E9E8FD9F05C2}"/>
            </c:ext>
          </c:extLst>
        </c:ser>
        <c:ser>
          <c:idx val="2"/>
          <c:order val="2"/>
          <c:tx>
            <c:strRef>
              <c:f>'New Graph'!$K$289</c:f>
              <c:strCache>
                <c:ptCount val="1"/>
                <c:pt idx="0">
                  <c:v>Incapacitating</c:v>
                </c:pt>
              </c:strCache>
            </c:strRef>
          </c:tx>
          <c:spPr>
            <a:ln>
              <a:solidFill>
                <a:sysClr val="windowText" lastClr="000000"/>
              </a:solidFill>
            </a:ln>
          </c:spPr>
          <c:invertIfNegative val="0"/>
          <c:cat>
            <c:strRef>
              <c:f>'New Graph'!$H$303:$H$313</c:f>
              <c:strCache>
                <c:ptCount val="11"/>
                <c:pt idx="0">
                  <c:v>0</c:v>
                </c:pt>
                <c:pt idx="1">
                  <c:v>1</c:v>
                </c:pt>
                <c:pt idx="2">
                  <c:v>2</c:v>
                </c:pt>
                <c:pt idx="3">
                  <c:v>3</c:v>
                </c:pt>
                <c:pt idx="4">
                  <c:v>4</c:v>
                </c:pt>
                <c:pt idx="5">
                  <c:v>5</c:v>
                </c:pt>
                <c:pt idx="6">
                  <c:v>6</c:v>
                </c:pt>
                <c:pt idx="7">
                  <c:v>7</c:v>
                </c:pt>
                <c:pt idx="8">
                  <c:v>8</c:v>
                </c:pt>
                <c:pt idx="9">
                  <c:v>9</c:v>
                </c:pt>
                <c:pt idx="10">
                  <c:v>10+</c:v>
                </c:pt>
              </c:strCache>
            </c:strRef>
          </c:cat>
          <c:val>
            <c:numRef>
              <c:f>'New Graph'!$K$303:$K$313</c:f>
              <c:numCache>
                <c:formatCode>0%</c:formatCode>
                <c:ptCount val="11"/>
                <c:pt idx="0">
                  <c:v>0.46666666666666667</c:v>
                </c:pt>
                <c:pt idx="1">
                  <c:v>0.31228070175438599</c:v>
                </c:pt>
                <c:pt idx="2">
                  <c:v>0.12982456140350876</c:v>
                </c:pt>
                <c:pt idx="3">
                  <c:v>7.0175438596491224E-2</c:v>
                </c:pt>
                <c:pt idx="4">
                  <c:v>1.4035087719298246E-2</c:v>
                </c:pt>
                <c:pt idx="5">
                  <c:v>3.5087719298245615E-3</c:v>
                </c:pt>
                <c:pt idx="6">
                  <c:v>3.5087719298245615E-3</c:v>
                </c:pt>
                <c:pt idx="7">
                  <c:v>0</c:v>
                </c:pt>
                <c:pt idx="8">
                  <c:v>0</c:v>
                </c:pt>
                <c:pt idx="9">
                  <c:v>0</c:v>
                </c:pt>
                <c:pt idx="10">
                  <c:v>0</c:v>
                </c:pt>
              </c:numCache>
            </c:numRef>
          </c:val>
          <c:extLst xmlns:c16r2="http://schemas.microsoft.com/office/drawing/2015/06/chart">
            <c:ext xmlns:c16="http://schemas.microsoft.com/office/drawing/2014/chart" uri="{C3380CC4-5D6E-409C-BE32-E72D297353CC}">
              <c16:uniqueId val="{00000002-51D7-405A-84D6-E9E8FD9F05C2}"/>
            </c:ext>
          </c:extLst>
        </c:ser>
        <c:ser>
          <c:idx val="3"/>
          <c:order val="3"/>
          <c:tx>
            <c:strRef>
              <c:f>'New Graph'!$L$289</c:f>
              <c:strCache>
                <c:ptCount val="1"/>
                <c:pt idx="0">
                  <c:v>Fatal</c:v>
                </c:pt>
              </c:strCache>
            </c:strRef>
          </c:tx>
          <c:spPr>
            <a:pattFill prst="dkUpDiag">
              <a:fgClr>
                <a:schemeClr val="tx1"/>
              </a:fgClr>
              <a:bgClr>
                <a:schemeClr val="bg1"/>
              </a:bgClr>
            </a:pattFill>
            <a:ln>
              <a:solidFill>
                <a:sysClr val="windowText" lastClr="000000"/>
              </a:solidFill>
            </a:ln>
          </c:spPr>
          <c:invertIfNegative val="0"/>
          <c:cat>
            <c:strRef>
              <c:f>'New Graph'!$H$303:$H$313</c:f>
              <c:strCache>
                <c:ptCount val="11"/>
                <c:pt idx="0">
                  <c:v>0</c:v>
                </c:pt>
                <c:pt idx="1">
                  <c:v>1</c:v>
                </c:pt>
                <c:pt idx="2">
                  <c:v>2</c:v>
                </c:pt>
                <c:pt idx="3">
                  <c:v>3</c:v>
                </c:pt>
                <c:pt idx="4">
                  <c:v>4</c:v>
                </c:pt>
                <c:pt idx="5">
                  <c:v>5</c:v>
                </c:pt>
                <c:pt idx="6">
                  <c:v>6</c:v>
                </c:pt>
                <c:pt idx="7">
                  <c:v>7</c:v>
                </c:pt>
                <c:pt idx="8">
                  <c:v>8</c:v>
                </c:pt>
                <c:pt idx="9">
                  <c:v>9</c:v>
                </c:pt>
                <c:pt idx="10">
                  <c:v>10+</c:v>
                </c:pt>
              </c:strCache>
            </c:strRef>
          </c:cat>
          <c:val>
            <c:numRef>
              <c:f>'New Graph'!$L$303:$L$313</c:f>
              <c:numCache>
                <c:formatCode>0%</c:formatCode>
                <c:ptCount val="11"/>
                <c:pt idx="0">
                  <c:v>0.89824561403508774</c:v>
                </c:pt>
                <c:pt idx="1">
                  <c:v>7.7192982456140355E-2</c:v>
                </c:pt>
                <c:pt idx="2">
                  <c:v>1.7543859649122806E-2</c:v>
                </c:pt>
                <c:pt idx="3">
                  <c:v>3.5087719298245615E-3</c:v>
                </c:pt>
                <c:pt idx="4">
                  <c:v>3.5087719298245615E-3</c:v>
                </c:pt>
                <c:pt idx="5">
                  <c:v>0</c:v>
                </c:pt>
                <c:pt idx="6">
                  <c:v>0</c:v>
                </c:pt>
                <c:pt idx="7">
                  <c:v>0</c:v>
                </c:pt>
                <c:pt idx="8">
                  <c:v>0</c:v>
                </c:pt>
                <c:pt idx="9">
                  <c:v>0</c:v>
                </c:pt>
                <c:pt idx="10">
                  <c:v>0</c:v>
                </c:pt>
              </c:numCache>
            </c:numRef>
          </c:val>
          <c:extLst xmlns:c16r2="http://schemas.microsoft.com/office/drawing/2015/06/chart">
            <c:ext xmlns:c16="http://schemas.microsoft.com/office/drawing/2014/chart" uri="{C3380CC4-5D6E-409C-BE32-E72D297353CC}">
              <c16:uniqueId val="{00000003-51D7-405A-84D6-E9E8FD9F05C2}"/>
            </c:ext>
          </c:extLst>
        </c:ser>
        <c:dLbls>
          <c:showLegendKey val="0"/>
          <c:showVal val="0"/>
          <c:showCatName val="0"/>
          <c:showSerName val="0"/>
          <c:showPercent val="0"/>
          <c:showBubbleSize val="0"/>
        </c:dLbls>
        <c:gapWidth val="150"/>
        <c:axId val="106053768"/>
        <c:axId val="133770344"/>
      </c:barChart>
      <c:catAx>
        <c:axId val="106053768"/>
        <c:scaling>
          <c:orientation val="minMax"/>
        </c:scaling>
        <c:delete val="0"/>
        <c:axPos val="b"/>
        <c:numFmt formatCode="General" sourceLinked="1"/>
        <c:majorTickMark val="out"/>
        <c:minorTickMark val="none"/>
        <c:tickLblPos val="nextTo"/>
        <c:crossAx val="133770344"/>
        <c:crosses val="autoZero"/>
        <c:auto val="1"/>
        <c:lblAlgn val="ctr"/>
        <c:lblOffset val="100"/>
        <c:noMultiLvlLbl val="0"/>
      </c:catAx>
      <c:valAx>
        <c:axId val="133770344"/>
        <c:scaling>
          <c:orientation val="minMax"/>
          <c:max val="1"/>
        </c:scaling>
        <c:delete val="0"/>
        <c:axPos val="l"/>
        <c:majorGridlines/>
        <c:numFmt formatCode="0%" sourceLinked="1"/>
        <c:majorTickMark val="out"/>
        <c:minorTickMark val="none"/>
        <c:tickLblPos val="nextTo"/>
        <c:crossAx val="106053768"/>
        <c:crosses val="autoZero"/>
        <c:crossBetween val="between"/>
      </c:valAx>
    </c:plotArea>
    <c:legend>
      <c:legendPos val="r"/>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822C2-63F4-4088-A65F-76B31B062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17020</Words>
  <Characters>97019</Characters>
  <Application>Microsoft Office Word</Application>
  <DocSecurity>0</DocSecurity>
  <Lines>808</Lines>
  <Paragraphs>227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 Latent Variable Representation of Count Data Models to Accommodate Spatial and Temporal Dependence: Application to Predicting Crash Frequency at Intersections</vt:lpstr>
      <vt:lpstr>A Latent Variable Representation of Count Data Models to Accommodate Spatial and Temporal Dependence: Application to Predicting Crash Frequency at Intersections</vt:lpstr>
    </vt:vector>
  </TitlesOfParts>
  <Company>Microsoft</Company>
  <LinksUpToDate>false</LinksUpToDate>
  <CharactersWithSpaces>113812</CharactersWithSpaces>
  <SharedDoc>false</SharedDoc>
  <HLinks>
    <vt:vector size="42" baseType="variant">
      <vt:variant>
        <vt:i4>65628</vt:i4>
      </vt:variant>
      <vt:variant>
        <vt:i4>926</vt:i4>
      </vt:variant>
      <vt:variant>
        <vt:i4>0</vt:i4>
      </vt:variant>
      <vt:variant>
        <vt:i4>5</vt:i4>
      </vt:variant>
      <vt:variant>
        <vt:lpwstr>http://www.jstor.org/action/showPublication?journalCode=econometrica</vt:lpwstr>
      </vt:variant>
      <vt:variant>
        <vt:lpwstr/>
      </vt:variant>
      <vt:variant>
        <vt:i4>5963849</vt:i4>
      </vt:variant>
      <vt:variant>
        <vt:i4>923</vt:i4>
      </vt:variant>
      <vt:variant>
        <vt:i4>0</vt:i4>
      </vt:variant>
      <vt:variant>
        <vt:i4>5</vt:i4>
      </vt:variant>
      <vt:variant>
        <vt:lpwstr>https://www.jstor.org/stable/1907729</vt:lpwstr>
      </vt:variant>
      <vt:variant>
        <vt:lpwstr/>
      </vt:variant>
      <vt:variant>
        <vt:i4>4456520</vt:i4>
      </vt:variant>
      <vt:variant>
        <vt:i4>920</vt:i4>
      </vt:variant>
      <vt:variant>
        <vt:i4>0</vt:i4>
      </vt:variant>
      <vt:variant>
        <vt:i4>5</vt:i4>
      </vt:variant>
      <vt:variant>
        <vt:lpwstr>http://www-nrd.nhtsa.dot.gov/Pubs/811366.pdf</vt:lpwstr>
      </vt:variant>
      <vt:variant>
        <vt:lpwstr/>
      </vt:variant>
      <vt:variant>
        <vt:i4>6094917</vt:i4>
      </vt:variant>
      <vt:variant>
        <vt:i4>917</vt:i4>
      </vt:variant>
      <vt:variant>
        <vt:i4>0</vt:i4>
      </vt:variant>
      <vt:variant>
        <vt:i4>5</vt:i4>
      </vt:variant>
      <vt:variant>
        <vt:lpwstr>https://www.jstor.org/stable/2291331</vt:lpwstr>
      </vt:variant>
      <vt:variant>
        <vt:lpwstr/>
      </vt:variant>
      <vt:variant>
        <vt:i4>4653109</vt:i4>
      </vt:variant>
      <vt:variant>
        <vt:i4>6</vt:i4>
      </vt:variant>
      <vt:variant>
        <vt:i4>0</vt:i4>
      </vt:variant>
      <vt:variant>
        <vt:i4>5</vt:i4>
      </vt:variant>
      <vt:variant>
        <vt:lpwstr>mailto:raghu@mail.utexas.edu</vt:lpwstr>
      </vt:variant>
      <vt:variant>
        <vt:lpwstr/>
      </vt:variant>
      <vt:variant>
        <vt:i4>8060945</vt:i4>
      </vt:variant>
      <vt:variant>
        <vt:i4>3</vt:i4>
      </vt:variant>
      <vt:variant>
        <vt:i4>0</vt:i4>
      </vt:variant>
      <vt:variant>
        <vt:i4>5</vt:i4>
      </vt:variant>
      <vt:variant>
        <vt:lpwstr>mailto:born2@utexas.edu</vt:lpwstr>
      </vt:variant>
      <vt:variant>
        <vt:lpwstr/>
      </vt:variant>
      <vt:variant>
        <vt:i4>1507430</vt:i4>
      </vt:variant>
      <vt:variant>
        <vt:i4>0</vt:i4>
      </vt:variant>
      <vt:variant>
        <vt:i4>0</vt:i4>
      </vt:variant>
      <vt:variant>
        <vt:i4>5</vt:i4>
      </vt:variant>
      <vt:variant>
        <vt:lpwstr>mailto:bhat@mail.utexas.edu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Latent Variable Representation of Count Data Models to Accommodate Spatial and Temporal Dependence: Application to Predicting Crash Frequency at Intersections</dc:title>
  <dc:creator>Castro, Marisol A</dc:creator>
  <cp:lastModifiedBy>Macias, Lisa J</cp:lastModifiedBy>
  <cp:revision>2</cp:revision>
  <cp:lastPrinted>2017-05-05T22:48:00Z</cp:lastPrinted>
  <dcterms:created xsi:type="dcterms:W3CDTF">2017-05-05T22:57:00Z</dcterms:created>
  <dcterms:modified xsi:type="dcterms:W3CDTF">2017-05-05T22:57:00Z</dcterms:modified>
</cp:coreProperties>
</file>