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B172" w14:textId="77777777" w:rsidR="009D0CA2" w:rsidRDefault="009D0CA2" w:rsidP="00830ED1">
      <w:pPr>
        <w:pStyle w:val="Quote1"/>
      </w:pPr>
      <w:bookmarkStart w:id="0" w:name="_Hlk158886229"/>
      <w:bookmarkStart w:id="1" w:name="_Hlk146472481"/>
      <w:bookmarkStart w:id="2" w:name="_Hlk166100413"/>
      <w:bookmarkStart w:id="3" w:name="_Hlk146375159"/>
      <w:bookmarkEnd w:id="0"/>
    </w:p>
    <w:p w14:paraId="1CF4B884" w14:textId="77777777" w:rsidR="009D0CA2" w:rsidRDefault="009D0CA2" w:rsidP="009D0CA2">
      <w:pPr>
        <w:spacing w:after="0" w:line="240" w:lineRule="auto"/>
        <w:jc w:val="center"/>
        <w:rPr>
          <w:b/>
          <w:bCs/>
        </w:rPr>
      </w:pPr>
    </w:p>
    <w:p w14:paraId="79AF630B" w14:textId="77777777" w:rsidR="009D0CA2" w:rsidRDefault="009D0CA2" w:rsidP="009D0CA2">
      <w:pPr>
        <w:spacing w:after="0" w:line="240" w:lineRule="auto"/>
        <w:jc w:val="center"/>
        <w:rPr>
          <w:b/>
          <w:bCs/>
        </w:rPr>
      </w:pPr>
    </w:p>
    <w:p w14:paraId="7C4A2823" w14:textId="77777777" w:rsidR="009D0CA2" w:rsidRDefault="009D0CA2" w:rsidP="009D0CA2">
      <w:pPr>
        <w:spacing w:after="0" w:line="240" w:lineRule="auto"/>
        <w:jc w:val="center"/>
        <w:rPr>
          <w:b/>
          <w:bCs/>
        </w:rPr>
      </w:pPr>
    </w:p>
    <w:p w14:paraId="546F8F90" w14:textId="77777777" w:rsidR="009D0CA2" w:rsidRDefault="009D0CA2" w:rsidP="009D0CA2">
      <w:pPr>
        <w:spacing w:after="0" w:line="240" w:lineRule="auto"/>
        <w:jc w:val="center"/>
        <w:rPr>
          <w:b/>
          <w:bCs/>
        </w:rPr>
      </w:pPr>
    </w:p>
    <w:p w14:paraId="468D3602" w14:textId="77777777" w:rsidR="009D0CA2" w:rsidRDefault="009D0CA2" w:rsidP="009D0CA2">
      <w:pPr>
        <w:spacing w:after="0" w:line="240" w:lineRule="auto"/>
        <w:jc w:val="center"/>
        <w:rPr>
          <w:b/>
          <w:bCs/>
        </w:rPr>
      </w:pPr>
    </w:p>
    <w:p w14:paraId="537E5282" w14:textId="77777777" w:rsidR="009D0CA2" w:rsidRDefault="009D0CA2" w:rsidP="009D0CA2">
      <w:pPr>
        <w:spacing w:after="0" w:line="240" w:lineRule="auto"/>
        <w:jc w:val="center"/>
        <w:rPr>
          <w:b/>
          <w:bCs/>
        </w:rPr>
      </w:pPr>
    </w:p>
    <w:p w14:paraId="29F39738" w14:textId="325DCC96" w:rsidR="004B0337" w:rsidRPr="001566F3" w:rsidRDefault="004B0337" w:rsidP="009D0CA2">
      <w:pPr>
        <w:spacing w:after="0" w:line="240" w:lineRule="auto"/>
        <w:jc w:val="center"/>
        <w:rPr>
          <w:b/>
          <w:bCs/>
        </w:rPr>
      </w:pPr>
      <w:r w:rsidRPr="001566F3">
        <w:rPr>
          <w:b/>
          <w:bCs/>
        </w:rPr>
        <w:t xml:space="preserve">Telemedicine </w:t>
      </w:r>
      <w:r w:rsidRPr="001566F3">
        <w:rPr>
          <w:rStyle w:val="Heading1Char"/>
        </w:rPr>
        <w:t>Adoption Before, During</w:t>
      </w:r>
      <w:r w:rsidRPr="001566F3">
        <w:t>,</w:t>
      </w:r>
      <w:r w:rsidRPr="001566F3">
        <w:rPr>
          <w:b/>
          <w:bCs/>
        </w:rPr>
        <w:t xml:space="preserve"> and After COVID-19: The Role of Socioeconomic and Built Environment Variables</w:t>
      </w:r>
    </w:p>
    <w:bookmarkEnd w:id="1"/>
    <w:p w14:paraId="00FD0FBF" w14:textId="56E361AD" w:rsidR="004B0337" w:rsidRDefault="004B0337" w:rsidP="009D0CA2">
      <w:pPr>
        <w:spacing w:after="0" w:line="240" w:lineRule="auto"/>
        <w:jc w:val="both"/>
      </w:pPr>
    </w:p>
    <w:p w14:paraId="6C2705EF" w14:textId="1AD33420" w:rsidR="009D0CA2" w:rsidRDefault="009D0CA2" w:rsidP="009D0CA2">
      <w:pPr>
        <w:spacing w:after="0" w:line="240" w:lineRule="auto"/>
        <w:jc w:val="both"/>
      </w:pPr>
    </w:p>
    <w:p w14:paraId="33835E75" w14:textId="51CB7622" w:rsidR="009D0CA2" w:rsidRDefault="009D0CA2" w:rsidP="009D0CA2">
      <w:pPr>
        <w:spacing w:after="0" w:line="240" w:lineRule="auto"/>
        <w:jc w:val="both"/>
      </w:pPr>
    </w:p>
    <w:p w14:paraId="057FE912" w14:textId="171D0E8A" w:rsidR="009D0CA2" w:rsidRDefault="009D0CA2" w:rsidP="009D0CA2">
      <w:pPr>
        <w:spacing w:after="0" w:line="240" w:lineRule="auto"/>
        <w:jc w:val="both"/>
      </w:pPr>
    </w:p>
    <w:p w14:paraId="50C3840C" w14:textId="30303206" w:rsidR="009D0CA2" w:rsidRDefault="009D0CA2" w:rsidP="009D0CA2">
      <w:pPr>
        <w:spacing w:after="0" w:line="240" w:lineRule="auto"/>
        <w:jc w:val="both"/>
      </w:pPr>
    </w:p>
    <w:p w14:paraId="43FBE021" w14:textId="30D2248F" w:rsidR="009D0CA2" w:rsidRDefault="009D0CA2" w:rsidP="009D0CA2">
      <w:pPr>
        <w:spacing w:after="0" w:line="240" w:lineRule="auto"/>
        <w:jc w:val="both"/>
      </w:pPr>
    </w:p>
    <w:p w14:paraId="08D1623C" w14:textId="77777777" w:rsidR="009D0CA2" w:rsidRDefault="009D0CA2" w:rsidP="009D0CA2">
      <w:pPr>
        <w:spacing w:after="0" w:line="240" w:lineRule="auto"/>
        <w:jc w:val="both"/>
      </w:pPr>
    </w:p>
    <w:p w14:paraId="59A84C35" w14:textId="77777777" w:rsidR="009D0CA2" w:rsidRDefault="009D0CA2" w:rsidP="009D0CA2">
      <w:pPr>
        <w:spacing w:after="0" w:line="240" w:lineRule="auto"/>
        <w:jc w:val="both"/>
      </w:pPr>
    </w:p>
    <w:p w14:paraId="194FD05E" w14:textId="60C6DABA" w:rsidR="009D0CA2" w:rsidRPr="0038441B" w:rsidRDefault="009D0CA2" w:rsidP="009D0CA2">
      <w:pPr>
        <w:spacing w:after="0" w:line="240" w:lineRule="auto"/>
        <w:jc w:val="center"/>
        <w:rPr>
          <w:b/>
        </w:rPr>
      </w:pPr>
      <w:r w:rsidRPr="0038441B">
        <w:rPr>
          <w:b/>
        </w:rPr>
        <w:t xml:space="preserve">Angela </w:t>
      </w:r>
      <w:r w:rsidR="00E0678C">
        <w:rPr>
          <w:b/>
        </w:rPr>
        <w:t xml:space="preserve">J. </w:t>
      </w:r>
      <w:r w:rsidRPr="0038441B">
        <w:rPr>
          <w:b/>
        </w:rPr>
        <w:t>Haddad</w:t>
      </w:r>
    </w:p>
    <w:p w14:paraId="25F9774C" w14:textId="77777777" w:rsidR="009D0CA2" w:rsidRPr="0038441B" w:rsidRDefault="009D0CA2" w:rsidP="009D0CA2">
      <w:pPr>
        <w:spacing w:after="0" w:line="240" w:lineRule="auto"/>
        <w:jc w:val="center"/>
      </w:pPr>
      <w:r w:rsidRPr="0038441B">
        <w:t>The University of Texas at Austin</w:t>
      </w:r>
    </w:p>
    <w:p w14:paraId="6E626D95" w14:textId="77777777" w:rsidR="009D0CA2" w:rsidRPr="0038441B" w:rsidRDefault="009D0CA2" w:rsidP="009D0CA2">
      <w:pPr>
        <w:spacing w:after="0" w:line="240" w:lineRule="auto"/>
        <w:jc w:val="center"/>
      </w:pPr>
      <w:r w:rsidRPr="0038441B">
        <w:t>Department of Civil, Architectural and Environmental Engineering</w:t>
      </w:r>
    </w:p>
    <w:p w14:paraId="5112D833" w14:textId="77777777" w:rsidR="009D0CA2" w:rsidRPr="0038441B" w:rsidRDefault="009D0CA2" w:rsidP="009D0CA2">
      <w:pPr>
        <w:spacing w:after="0" w:line="240" w:lineRule="auto"/>
        <w:jc w:val="center"/>
      </w:pPr>
      <w:r w:rsidRPr="0038441B">
        <w:t>301 E. Dean Keeton St. Stop C1761, Austin TX 78712, USA</w:t>
      </w:r>
    </w:p>
    <w:p w14:paraId="60CB4875" w14:textId="5AFD0C18" w:rsidR="009D0CA2" w:rsidRDefault="009D0CA2" w:rsidP="009D0CA2">
      <w:pPr>
        <w:spacing w:after="0" w:line="240" w:lineRule="auto"/>
        <w:jc w:val="center"/>
      </w:pPr>
      <w:r w:rsidRPr="0038441B">
        <w:t xml:space="preserve">Email: </w:t>
      </w:r>
      <w:hyperlink r:id="rId8" w:history="1">
        <w:r w:rsidRPr="0038441B">
          <w:rPr>
            <w:rStyle w:val="Hyperlink"/>
          </w:rPr>
          <w:t>angela.haddad@utexas.edu</w:t>
        </w:r>
      </w:hyperlink>
    </w:p>
    <w:p w14:paraId="46D17CD8" w14:textId="6DAF3B50" w:rsidR="009D0CA2" w:rsidRDefault="009D0CA2" w:rsidP="009D0CA2">
      <w:pPr>
        <w:spacing w:after="0" w:line="240" w:lineRule="auto"/>
        <w:jc w:val="center"/>
      </w:pPr>
    </w:p>
    <w:p w14:paraId="415F3A04" w14:textId="77777777" w:rsidR="009D0CA2" w:rsidRPr="0038441B" w:rsidRDefault="009D0CA2" w:rsidP="009D0CA2">
      <w:pPr>
        <w:spacing w:after="0" w:line="240" w:lineRule="auto"/>
        <w:jc w:val="center"/>
        <w:rPr>
          <w:b/>
        </w:rPr>
      </w:pPr>
      <w:r w:rsidRPr="0038441B">
        <w:rPr>
          <w:b/>
        </w:rPr>
        <w:t>Chandra R. Bhat (corresponding author)</w:t>
      </w:r>
    </w:p>
    <w:p w14:paraId="7D417F72" w14:textId="77777777" w:rsidR="009D0CA2" w:rsidRPr="0038441B" w:rsidRDefault="009D0CA2" w:rsidP="009D0CA2">
      <w:pPr>
        <w:spacing w:after="0" w:line="240" w:lineRule="auto"/>
        <w:jc w:val="center"/>
      </w:pPr>
      <w:r w:rsidRPr="0038441B">
        <w:t>The University of Texas at Austin</w:t>
      </w:r>
    </w:p>
    <w:p w14:paraId="54C32A01" w14:textId="77777777" w:rsidR="009D0CA2" w:rsidRPr="0038441B" w:rsidRDefault="009D0CA2" w:rsidP="009D0CA2">
      <w:pPr>
        <w:spacing w:after="0" w:line="240" w:lineRule="auto"/>
        <w:jc w:val="center"/>
      </w:pPr>
      <w:r w:rsidRPr="0038441B">
        <w:t>Department of Civil, Architectural and Environmental Engineering</w:t>
      </w:r>
    </w:p>
    <w:p w14:paraId="5E2F504A" w14:textId="77777777" w:rsidR="009D0CA2" w:rsidRPr="0038441B" w:rsidRDefault="009D0CA2" w:rsidP="009D0CA2">
      <w:pPr>
        <w:spacing w:after="0" w:line="240" w:lineRule="auto"/>
        <w:jc w:val="center"/>
      </w:pPr>
      <w:r w:rsidRPr="0038441B">
        <w:t>301 E. Dean Keeton St. Stop C1761, Austin TX 78712, USA</w:t>
      </w:r>
    </w:p>
    <w:p w14:paraId="76836BE3" w14:textId="5827FE40" w:rsidR="009D0CA2" w:rsidRDefault="009D0CA2" w:rsidP="009D0CA2">
      <w:pPr>
        <w:spacing w:after="0" w:line="240" w:lineRule="auto"/>
        <w:jc w:val="center"/>
      </w:pPr>
      <w:r w:rsidRPr="0038441B">
        <w:rPr>
          <w:lang w:val="fr-FR"/>
        </w:rPr>
        <w:t xml:space="preserve">Email: </w:t>
      </w:r>
      <w:hyperlink r:id="rId9" w:history="1">
        <w:r w:rsidRPr="0038441B">
          <w:rPr>
            <w:rStyle w:val="Hyperlink"/>
            <w:lang w:val="fr-FR"/>
          </w:rPr>
          <w:t>bhat@mail.utexas.edu</w:t>
        </w:r>
      </w:hyperlink>
    </w:p>
    <w:p w14:paraId="5D5470A0" w14:textId="0B719B92" w:rsidR="009D0CA2" w:rsidRDefault="009D0CA2" w:rsidP="009D0CA2">
      <w:pPr>
        <w:spacing w:after="0" w:line="240" w:lineRule="auto"/>
        <w:jc w:val="both"/>
      </w:pPr>
    </w:p>
    <w:p w14:paraId="2069E3AB" w14:textId="77777777" w:rsidR="009D0CA2" w:rsidRPr="004B0337" w:rsidRDefault="009D0CA2" w:rsidP="009D0CA2">
      <w:pPr>
        <w:spacing w:after="0" w:line="240" w:lineRule="auto"/>
        <w:jc w:val="both"/>
      </w:pPr>
    </w:p>
    <w:bookmarkEnd w:id="2"/>
    <w:p w14:paraId="280702B0" w14:textId="77777777" w:rsidR="004B0337" w:rsidRPr="004B0337" w:rsidRDefault="004B0337" w:rsidP="009D0CA2">
      <w:pPr>
        <w:spacing w:after="0" w:line="240" w:lineRule="auto"/>
        <w:jc w:val="both"/>
      </w:pPr>
    </w:p>
    <w:p w14:paraId="6E0C9DFD" w14:textId="76C60CC9" w:rsidR="004B0337" w:rsidRPr="004B0337" w:rsidRDefault="004B0337" w:rsidP="009D0CA2">
      <w:pPr>
        <w:spacing w:after="0" w:line="240" w:lineRule="auto"/>
        <w:jc w:val="both"/>
        <w:rPr>
          <w:b/>
        </w:rPr>
      </w:pPr>
    </w:p>
    <w:bookmarkEnd w:id="3"/>
    <w:p w14:paraId="6AC7008A" w14:textId="24504480" w:rsidR="00DF1FE7" w:rsidRDefault="00DF1FE7" w:rsidP="009D0CA2">
      <w:pPr>
        <w:spacing w:after="0" w:line="240" w:lineRule="auto"/>
        <w:jc w:val="both"/>
        <w:rPr>
          <w:b/>
          <w:bCs/>
        </w:rPr>
      </w:pPr>
    </w:p>
    <w:p w14:paraId="3660A629" w14:textId="77777777" w:rsidR="00B02094" w:rsidRDefault="00B02094" w:rsidP="009D0CA2">
      <w:pPr>
        <w:spacing w:after="0" w:line="240" w:lineRule="auto"/>
        <w:jc w:val="both"/>
        <w:rPr>
          <w:b/>
          <w:bCs/>
        </w:rPr>
      </w:pPr>
    </w:p>
    <w:p w14:paraId="16611B77" w14:textId="77777777" w:rsidR="009D0CA2" w:rsidRDefault="009D0CA2" w:rsidP="009D0CA2">
      <w:pPr>
        <w:spacing w:after="0" w:line="240" w:lineRule="auto"/>
        <w:jc w:val="both"/>
        <w:rPr>
          <w:b/>
        </w:rPr>
      </w:pPr>
      <w:r>
        <w:rPr>
          <w:b/>
        </w:rPr>
        <w:br w:type="page"/>
      </w:r>
    </w:p>
    <w:p w14:paraId="26333847" w14:textId="4981DF52" w:rsidR="004B0337" w:rsidRPr="00DF1FE7" w:rsidRDefault="009D0CA2" w:rsidP="009D0CA2">
      <w:pPr>
        <w:spacing w:after="0" w:line="240" w:lineRule="auto"/>
        <w:jc w:val="both"/>
        <w:rPr>
          <w:b/>
          <w:bCs/>
        </w:rPr>
      </w:pPr>
      <w:r w:rsidRPr="00256DF4">
        <w:rPr>
          <w:b/>
        </w:rPr>
        <w:lastRenderedPageBreak/>
        <w:t>ABSTRACT</w:t>
      </w:r>
    </w:p>
    <w:p w14:paraId="48AD19CF" w14:textId="77777777" w:rsidR="009D0CA2" w:rsidRDefault="009B617B" w:rsidP="009D0CA2">
      <w:pPr>
        <w:spacing w:after="0" w:line="240" w:lineRule="auto"/>
        <w:jc w:val="both"/>
      </w:pPr>
      <w:r>
        <w:t xml:space="preserve">The COVID-19 pandemic has </w:t>
      </w:r>
      <w:r w:rsidR="007313FA">
        <w:t>led to a</w:t>
      </w:r>
      <w:r>
        <w:t xml:space="preserve"> significant shift in healthcare delivery, with telemedicine emerging as a</w:t>
      </w:r>
      <w:r w:rsidR="00BD2DF4">
        <w:t>n important additional service provision channel</w:t>
      </w:r>
      <w:r>
        <w:t xml:space="preserve">. This study introduces a novel methodological framework, combining a </w:t>
      </w:r>
      <w:r w:rsidR="009663F4">
        <w:t>multiperiod</w:t>
      </w:r>
      <w:r w:rsidR="001F563E">
        <w:t xml:space="preserve"> </w:t>
      </w:r>
      <w:r w:rsidR="00795766">
        <w:t xml:space="preserve">multivariate binary probit (MBP) system </w:t>
      </w:r>
      <w:r>
        <w:t xml:space="preserve">and </w:t>
      </w:r>
      <w:r w:rsidR="00795766">
        <w:t xml:space="preserve">a </w:t>
      </w:r>
      <w:r>
        <w:t xml:space="preserve">cross-sectional MBP system, to investigate telemedicine adoption trends, as well as the facilitators and deterrents of adoption. The analysis utilizes data from a three-wave COVID Future Survey (April 2020-November 2021), supplemented by population density and healthcare-related establishment data. The results reveal a generational digital divide, with older adults exhibiting lower adoption rates due to technological barriers and preferences for traditional healthcare interactions. The study also highlights the role of </w:t>
      </w:r>
      <w:r w:rsidR="007313FA">
        <w:t xml:space="preserve">the </w:t>
      </w:r>
      <w:r>
        <w:t xml:space="preserve">presence of children, income, transportation access, employment status, and residential location characteristics in telemedicine adoption. Notably, individuals without vehicle access or living in areas with lower geographic accessibility to healthcare providers </w:t>
      </w:r>
      <w:r w:rsidR="00BD2DF4">
        <w:t xml:space="preserve">are more likely to adopt </w:t>
      </w:r>
      <w:r>
        <w:t xml:space="preserve">telemedicine, suggesting its potential to reduce healthcare access disparities. The analysis of </w:t>
      </w:r>
      <w:r w:rsidR="00BD2DF4">
        <w:t xml:space="preserve">telemedicine </w:t>
      </w:r>
      <w:r>
        <w:t xml:space="preserve">facilitators and deterrents underscores the importance of accessibility, lifestyle preferences, privacy and security issues, technological confidence, and </w:t>
      </w:r>
      <w:r w:rsidR="00BD2DF4">
        <w:t>mobility constraints</w:t>
      </w:r>
      <w:r>
        <w:t xml:space="preserve">. The study provides valuable insights </w:t>
      </w:r>
      <w:r w:rsidR="007313FA">
        <w:t>into</w:t>
      </w:r>
      <w:r>
        <w:t xml:space="preserve"> policy implications across </w:t>
      </w:r>
      <w:r w:rsidR="00BD2DF4">
        <w:t xml:space="preserve">the </w:t>
      </w:r>
      <w:r>
        <w:t>public health, telecommunication, transportation, and urban planning sectors.</w:t>
      </w:r>
    </w:p>
    <w:p w14:paraId="7CE3B2EB" w14:textId="77777777" w:rsidR="009D0CA2" w:rsidRDefault="009D0CA2" w:rsidP="009D0CA2">
      <w:pPr>
        <w:spacing w:after="0" w:line="240" w:lineRule="auto"/>
        <w:jc w:val="both"/>
      </w:pPr>
    </w:p>
    <w:p w14:paraId="19C8FC63" w14:textId="11123B70" w:rsidR="00795766" w:rsidRDefault="009D0CA2" w:rsidP="009D0CA2">
      <w:pPr>
        <w:spacing w:after="0" w:line="240" w:lineRule="auto"/>
        <w:jc w:val="both"/>
      </w:pPr>
      <w:r w:rsidRPr="004B0337">
        <w:rPr>
          <w:b/>
        </w:rPr>
        <w:t xml:space="preserve">Keywords: </w:t>
      </w:r>
      <w:r w:rsidRPr="004B0337">
        <w:t>telemedicine, telehealth, COVID-19, travel demand</w:t>
      </w:r>
      <w:r>
        <w:t xml:space="preserve">, equity </w:t>
      </w:r>
    </w:p>
    <w:p w14:paraId="037F02EB" w14:textId="77777777" w:rsidR="009D0CA2" w:rsidRDefault="009D0CA2" w:rsidP="009D0CA2">
      <w:pPr>
        <w:spacing w:after="0" w:line="240" w:lineRule="auto"/>
        <w:jc w:val="both"/>
      </w:pPr>
    </w:p>
    <w:p w14:paraId="1BA05231" w14:textId="77777777" w:rsidR="009D0CA2" w:rsidRDefault="009D0CA2" w:rsidP="009D0CA2">
      <w:pPr>
        <w:pStyle w:val="Heading1"/>
        <w:spacing w:after="0" w:line="240" w:lineRule="auto"/>
        <w:contextualSpacing w:val="0"/>
        <w:sectPr w:rsidR="009D0CA2" w:rsidSect="009D0CA2">
          <w:footerReference w:type="default" r:id="rId10"/>
          <w:pgSz w:w="12240" w:h="15840" w:code="1"/>
          <w:pgMar w:top="1440" w:right="1440" w:bottom="1440" w:left="1440" w:header="720" w:footer="720" w:gutter="0"/>
          <w:cols w:space="720"/>
          <w:docGrid w:linePitch="360"/>
        </w:sectPr>
      </w:pPr>
    </w:p>
    <w:p w14:paraId="62D96616" w14:textId="23C3AC42" w:rsidR="004B0337" w:rsidRPr="00A37834" w:rsidRDefault="009D0CA2" w:rsidP="009D0CA2">
      <w:pPr>
        <w:pStyle w:val="Heading1"/>
        <w:spacing w:after="0" w:line="240" w:lineRule="auto"/>
        <w:contextualSpacing w:val="0"/>
      </w:pPr>
      <w:r w:rsidRPr="000E5445">
        <w:lastRenderedPageBreak/>
        <w:t>INTRODUCTION</w:t>
      </w:r>
      <w:r w:rsidR="002D3EE2" w:rsidRPr="00A37834">
        <w:t xml:space="preserve"> </w:t>
      </w:r>
    </w:p>
    <w:p w14:paraId="0F6B585F" w14:textId="7B574C8F" w:rsidR="00BA1DD6" w:rsidRPr="00BA1DD6" w:rsidRDefault="00363A13" w:rsidP="0069340B">
      <w:pPr>
        <w:spacing w:after="0" w:line="240" w:lineRule="auto"/>
        <w:jc w:val="both"/>
        <w:rPr>
          <w:rFonts w:eastAsia="Times New Roman"/>
        </w:rPr>
      </w:pPr>
      <w:bookmarkStart w:id="4" w:name="_Hlk178770510"/>
      <w:r w:rsidRPr="005E4F79">
        <w:t>Telemedicine</w:t>
      </w:r>
      <w:r w:rsidR="00E458A6">
        <w:t xml:space="preserve"> </w:t>
      </w:r>
      <w:r w:rsidRPr="005E4F79">
        <w:t xml:space="preserve">is the practice of using information-communication technology (ICT) to receive medical care or advice remotely from clinicians, either in real-time or asynchronously. </w:t>
      </w:r>
      <w:r w:rsidR="00BA1DD6" w:rsidRPr="00BA1DD6">
        <w:rPr>
          <w:rFonts w:eastAsia="Times New Roman"/>
        </w:rPr>
        <w:t xml:space="preserve">This approach to healthcare delivery offers several advantages, including improved access to care for patients in remote or underserved areas </w:t>
      </w:r>
      <w:r w:rsidR="002505C6">
        <w:rPr>
          <w:rFonts w:eastAsia="Times New Roman"/>
        </w:rPr>
        <w:fldChar w:fldCharType="begin"/>
      </w:r>
      <w:r w:rsidR="002505C6">
        <w:rPr>
          <w:rFonts w:eastAsia="Times New Roman"/>
        </w:rPr>
        <w:instrText xml:space="preserve"> ADDIN ZOTERO_ITEM CSL_CITATION {"citationID":"DWK3abe5","properties":{"formattedCitation":"(Ezeamii et al., 2024)","plainCitation":"(Ezeamii et al., 2024)","noteIndex":0},"citationItems":[{"id":2678,"uris":["http://zotero.org/users/9292995/items/ZXWJLUAU"],"itemData":{"id":2678,"type":"article-journal","abstract":"Telemedicine uses digital technologies to provide healthcare services remotely, greatly improving patient access, especially during crises like the COVID-19 pandemic., This systematic review investigates telemedicine's effects on patient outcomes, access to care, and its role in the evolving healthcare landscape. Relevant studies were identified using MeSH terms and keywords through electronic databases and manual reference list screenings. The selected empirical studies, both quantitative and qualitative, examined telemedicine across various patient populations. The review categorized findings into themes related to patient outcomes and access to care., Telemedicine was found to be a transformative tool in chronic disease management, particularly in diabetes care. Significant improvements in patient health outcomes and cost savings were reported with telemedicine interventions. For example, telehealth platforms enhance diabetes management by increasing patient engagement and improving clinical metrics such as HbA1c levels. Additionally, telehealth services for diabetes-related foot disease (DFD) overcome geographical barriers, providing specialized care and improving patient access and satisfaction., In conclusion, telemedicine significantly improves patient outcomes, access, and satisfaction in chronic disease management, especially diabetes care. By overcoming geographical barriers and enhancing patient engagement, telehealth platforms have the potential to transform global healthcare delivery. Implementing these insights into practice can improve the accessibility and effectiveness of diabetes care worldwide, ensuring equitable and patient-centered healthcare solutions.","container-title":"Cureus","DOI":"10.7759/cureus.63881","ISSN":"2168-8184","issue":"7","journalAbbreviation":"Cureus","note":"PMID: 39099901\nPMCID: PMC11298029","page":"e63881","source":"PubMed Central","title":"Revolutionizing Healthcare: How Telemedicine Is Improving Patient Outcomes and Expanding Access to Care","title-short":"Revolutionizing Healthcare","volume":"16","author":[{"family":"Ezeamii","given":"Victor C"},{"family":"Okobi","given":"Okelue E"},{"family":"Wambai-Sani","given":"Hassana"},{"family":"Perera","given":"Gamamedaliyanage S"},{"family":"Zaynieva","given":"Shakhnoza"},{"family":"Okonkwo","given":"Chinwe C"},{"family":"Ohaiba","given":"Mohamed M"},{"family":"William-Enemali","given":"Pamela C"},{"family":"Obodo","given":"Okiemute R"},{"family":"Obiefuna","given":"Ngozika G"}],"issued":{"date-parts":[["2024"]]}}}],"schema":"https://github.com/citation-style-language/schema/raw/master/csl-citation.json"} </w:instrText>
      </w:r>
      <w:r w:rsidR="002505C6">
        <w:rPr>
          <w:rFonts w:eastAsia="Times New Roman"/>
        </w:rPr>
        <w:fldChar w:fldCharType="separate"/>
      </w:r>
      <w:r w:rsidR="002505C6" w:rsidRPr="002505C6">
        <w:t>(Ezeamii et al., 2024)</w:t>
      </w:r>
      <w:r w:rsidR="002505C6">
        <w:rPr>
          <w:rFonts w:eastAsia="Times New Roman"/>
        </w:rPr>
        <w:fldChar w:fldCharType="end"/>
      </w:r>
      <w:r w:rsidR="00BA1DD6" w:rsidRPr="00BA1DD6">
        <w:rPr>
          <w:rFonts w:eastAsia="Times New Roman"/>
        </w:rPr>
        <w:t xml:space="preserve">, potential cost savings for both patients and healthcare systems </w:t>
      </w:r>
      <w:r w:rsidR="002505C6">
        <w:rPr>
          <w:rFonts w:eastAsia="Times New Roman"/>
        </w:rPr>
        <w:fldChar w:fldCharType="begin"/>
      </w:r>
      <w:r w:rsidR="002505C6">
        <w:rPr>
          <w:rFonts w:eastAsia="Times New Roman"/>
        </w:rPr>
        <w:instrText xml:space="preserve"> ADDIN ZOTERO_ITEM CSL_CITATION {"citationID":"ymRSteu0","properties":{"formattedCitation":"(Haleem et al., 2021)","plainCitation":"(Haleem et al., 2021)","noteIndex":0},"citationItems":[{"id":2681,"uris":["http://zotero.org/users/9292995/items/RW7PCFDN"],"itemData":{"id":2681,"type":"article-journal","abstract":"Regular hospital visits can be expensive, particularly in rural areas, due to travel costs. In the era of the Covid-19 Pandemic, where physical interaction becomes risky, people prefer telemedicine. Fortunately, medical visits can be reduced when telemedicine services are used through video conferencing or other virtual technologies. Thus, telemedicine saves both the patient's and the health care provider time and the cost of the treatment. Furthermore, due to its fast and advantageous characteristics, it can streamline the workflow of hospitals and clinics. This disruptive technology would make it easier to monitor discharged patients and manage their recovery. As a result, it is sufficient to state that telemedicine can create a win-win situation. This paper aims to explore the significant capabilities, features with treatment workflow, and barriers to the adoption of telemedicine in Healthcare. The paper identifies seventeen significant applications of telemedicine in Healthcare. Telemedicine is described as a medical practitioner to diagnose and treat patients in a remote area. Using health apps for scheduled follow-up visits makes doctors and patients more effective and improves the probability of follow-up, reducing missing appointments and optimising patient outcomes. Patients should have an accurate medical history and show the doctor any prominent rashes, bruises, or other signs that need attention through the excellent quality audio-video system. Further, practitioners need file management and a payment gateway system. Telemedicine technologies allow patients and doctors both to review the treatment process. However, this technology supplements physical consultation and is in no way a substitute for a physical consultation. Today this technology is a safe choice for patients who cannot go to the doctor or sit at home, especially during a pandemic.","container-title":"Sensors International","DOI":"10.1016/j.sintl.2021.100117","ISSN":"2666-3511","journalAbbreviation":"Sensors International","page":"100117","source":"ScienceDirect","title":"Telemedicine for healthcare: Capabilities, features, barriers, and applications","title-short":"Telemedicine for healthcare","volume":"2","author":[{"family":"Haleem","given":"Abid"},{"family":"Javaid","given":"Mohd"},{"family":"Singh","given":"Ravi Pratap"},{"family":"Suman","given":"Rajiv"}],"issued":{"date-parts":[["2021",1,1]]}}}],"schema":"https://github.com/citation-style-language/schema/raw/master/csl-citation.json"} </w:instrText>
      </w:r>
      <w:r w:rsidR="002505C6">
        <w:rPr>
          <w:rFonts w:eastAsia="Times New Roman"/>
        </w:rPr>
        <w:fldChar w:fldCharType="separate"/>
      </w:r>
      <w:r w:rsidR="002505C6" w:rsidRPr="002505C6">
        <w:t>(Haleem et al., 2021)</w:t>
      </w:r>
      <w:r w:rsidR="002505C6">
        <w:rPr>
          <w:rFonts w:eastAsia="Times New Roman"/>
        </w:rPr>
        <w:fldChar w:fldCharType="end"/>
      </w:r>
      <w:r w:rsidR="002505C6">
        <w:rPr>
          <w:rFonts w:eastAsia="Times New Roman"/>
        </w:rPr>
        <w:t xml:space="preserve">, </w:t>
      </w:r>
      <w:r w:rsidR="00BA1DD6" w:rsidRPr="00BA1DD6">
        <w:rPr>
          <w:rFonts w:eastAsia="Times New Roman"/>
        </w:rPr>
        <w:t>and increased convenience through reduced travel and wait times</w:t>
      </w:r>
      <w:r w:rsidR="002505C6">
        <w:rPr>
          <w:rFonts w:eastAsia="Times New Roman"/>
        </w:rPr>
        <w:t xml:space="preserve"> </w:t>
      </w:r>
      <w:r w:rsidR="002505C6">
        <w:rPr>
          <w:rFonts w:eastAsia="Times New Roman"/>
        </w:rPr>
        <w:fldChar w:fldCharType="begin"/>
      </w:r>
      <w:r w:rsidR="002505C6">
        <w:rPr>
          <w:rFonts w:eastAsia="Times New Roman"/>
        </w:rPr>
        <w:instrText xml:space="preserve"> ADDIN ZOTERO_ITEM CSL_CITATION {"citationID":"tf7Aend0","properties":{"formattedCitation":"(Vaidya et al., 2024)","plainCitation":"(Vaidya et al., 2024)","noteIndex":0},"citationItems":[{"id":2675,"uris":["http://zotero.org/users/9292995/items/BQCXHLIF"],"itemData":{"id":2675,"type":"article-journal","abstract":"Introduction, Telemedicine serves as a means of overcoming geographical barriers and increasing access to specialist care. This study focuses on the impact of telemedicine on the early diagnosis and treatment of patients, as well as its effect on patient satisfaction. In addition, the study examines the obstacles and facilitators that influence the implementation of telemedicine., Objectives, The primary objectives of this study are to assess the effectiveness of telemedicine in facilitating early diagnosis and treatment for patients in need of specialist consultations, to evaluate patient satisfaction with specialist care delivered through telemedicine, and to identify the factors that influence the successful implementation of telemedicine in rural healthcare centers., Methodology, An exploratory feasibility study was carried out at two rural health training centers (RHTCs) over a one-year period, enrolling 400 patients requiring specialist consultations. The study involved establishing a telemedicine center, implementing teleconsultations, and collecting data through patient interviews and self-administered questionnaires., Results, A majority of teleconsultations, over 79%, were deemed valuable by medical officers, resulting in improved management, better counseling, and earlier diagnoses. More than 76% of patients found telemedicine to be acceptable due to the reduction in travel time and cost. The most common health concerns among patients were diabetes, hypertension, and skin disorders. The study also revealed several challenges, including limited specialist personnel, waiting times, prescription limitations, and connectivity issues., Discussion, Telemedicine has proven to be a valuable tool for rural healthcare delivery, providing patients with access to specialist consultations and improving patient outcomes. Both patients and medical officers reported positive experiences with telemedicine. The findings of this study align with existing literature, which highlights the benefits of telemedicine in managing chronic diseases and increasing patient satisfaction. However, it is crucial to address challenges, such as personnel limitations and connectivity issues, to optimize telemedicine's effectiveness., Conclusion, Telemedicine offers great potential for enhancing access to specialist care and achieving universal healthcare in rural areas. Despite its limitations, telemedicine demonstrates promising outcomes and warrants further development and optimization to ensure its successful implementation in rural healthcare centers.","container-title":"Cureus","DOI":"10.7759/cureus.60310","ISSN":"2168-8184","issue":"5","journalAbbreviation":"Cureus","note":"PMID: 38883020\nPMCID: PMC11177277","page":"e60310","source":"PubMed Central","title":"Healthcare in the Modern Era: Launching a Telemedicine-Based OPD Consultation in Rural Pune (Process, Results, and Challenges)","title-short":"Healthcare in the Modern Era","volume":"16","author":[{"family":"Vaidya","given":"Varsha"},{"family":"Patil","given":"Vaibhav"},{"family":"Oswal","given":"Jitendra"},{"family":"Narula","given":"Arvinder"},{"family":"Khare","given":"Yogesh"},{"family":"Patil","given":"Prajakta"},{"family":"Deshpande","given":"Ruma"},{"family":"Lunge","given":"Snehal"},{"family":"Dasgupta","given":"Sukanya"},{"family":"Dahiphale","given":"Ramdas"},{"family":"Kulkarni","given":"Rohit"},{"family":"Mahajan","given":"Amit"},{"family":"Chelluri","given":"Srinivasa"},{"family":"Teli","given":"Advait"}],"issued":{"date-parts":[["2024"]]}}}],"schema":"https://github.com/citation-style-language/schema/raw/master/csl-citation.json"} </w:instrText>
      </w:r>
      <w:r w:rsidR="002505C6">
        <w:rPr>
          <w:rFonts w:eastAsia="Times New Roman"/>
        </w:rPr>
        <w:fldChar w:fldCharType="separate"/>
      </w:r>
      <w:r w:rsidR="002505C6" w:rsidRPr="002505C6">
        <w:t>(Vaidya et al., 2024)</w:t>
      </w:r>
      <w:r w:rsidR="002505C6">
        <w:rPr>
          <w:rFonts w:eastAsia="Times New Roman"/>
        </w:rPr>
        <w:fldChar w:fldCharType="end"/>
      </w:r>
      <w:r w:rsidR="00BA1DD6" w:rsidRPr="00BA1DD6">
        <w:rPr>
          <w:rFonts w:eastAsia="Times New Roman"/>
        </w:rPr>
        <w:t>. Additionally, telemedicine can facilitate more frequent check-ins, potentially improving</w:t>
      </w:r>
      <w:r w:rsidR="008850E4">
        <w:rPr>
          <w:rFonts w:eastAsia="Times New Roman"/>
        </w:rPr>
        <w:t xml:space="preserve"> the</w:t>
      </w:r>
      <w:r w:rsidR="00BA1DD6" w:rsidRPr="00BA1DD6">
        <w:rPr>
          <w:rFonts w:eastAsia="Times New Roman"/>
        </w:rPr>
        <w:t xml:space="preserve"> management of chronic conditions </w:t>
      </w:r>
      <w:r w:rsidR="002505C6">
        <w:rPr>
          <w:rFonts w:eastAsia="Times New Roman"/>
        </w:rPr>
        <w:fldChar w:fldCharType="begin"/>
      </w:r>
      <w:r w:rsidR="002505C6">
        <w:rPr>
          <w:rFonts w:eastAsia="Times New Roman"/>
        </w:rPr>
        <w:instrText xml:space="preserve"> ADDIN ZOTERO_ITEM CSL_CITATION {"citationID":"xIk8rV1M","properties":{"formattedCitation":"(Ezeamii et al., 2024; Vaidya et al., 2024)","plainCitation":"(Ezeamii et al., 2024; Vaidya et al., 2024)","noteIndex":0},"citationItems":[{"id":2678,"uris":["http://zotero.org/users/9292995/items/ZXWJLUAU"],"itemData":{"id":2678,"type":"article-journal","abstract":"Telemedicine uses digital technologies to provide healthcare services remotely, greatly improving patient access, especially during crises like the COVID-19 pandemic., This systematic review investigates telemedicine's effects on patient outcomes, access to care, and its role in the evolving healthcare landscape. Relevant studies were identified using MeSH terms and keywords through electronic databases and manual reference list screenings. The selected empirical studies, both quantitative and qualitative, examined telemedicine across various patient populations. The review categorized findings into themes related to patient outcomes and access to care., Telemedicine was found to be a transformative tool in chronic disease management, particularly in diabetes care. Significant improvements in patient health outcomes and cost savings were reported with telemedicine interventions. For example, telehealth platforms enhance diabetes management by increasing patient engagement and improving clinical metrics such as HbA1c levels. Additionally, telehealth services for diabetes-related foot disease (DFD) overcome geographical barriers, providing specialized care and improving patient access and satisfaction., In conclusion, telemedicine significantly improves patient outcomes, access, and satisfaction in chronic disease management, especially diabetes care. By overcoming geographical barriers and enhancing patient engagement, telehealth platforms have the potential to transform global healthcare delivery. Implementing these insights into practice can improve the accessibility and effectiveness of diabetes care worldwide, ensuring equitable and patient-centered healthcare solutions.","container-title":"Cureus","DOI":"10.7759/cureus.63881","ISSN":"2168-8184","issue":"7","journalAbbreviation":"Cureus","note":"PMID: 39099901\nPMCID: PMC11298029","page":"e63881","source":"PubMed Central","title":"Revolutionizing Healthcare: How Telemedicine Is Improving Patient Outcomes and Expanding Access to Care","title-short":"Revolutionizing Healthcare","volume":"16","author":[{"family":"Ezeamii","given":"Victor C"},{"family":"Okobi","given":"Okelue E"},{"family":"Wambai-Sani","given":"Hassana"},{"family":"Perera","given":"Gamamedaliyanage S"},{"family":"Zaynieva","given":"Shakhnoza"},{"family":"Okonkwo","given":"Chinwe C"},{"family":"Ohaiba","given":"Mohamed M"},{"family":"William-Enemali","given":"Pamela C"},{"family":"Obodo","given":"Okiemute R"},{"family":"Obiefuna","given":"Ngozika G"}],"issued":{"date-parts":[["2024"]]}}},{"id":2675,"uris":["http://zotero.org/users/9292995/items/BQCXHLIF"],"itemData":{"id":2675,"type":"article-journal","abstract":"Introduction, Telemedicine serves as a means of overcoming geographical barriers and increasing access to specialist care. This study focuses on the impact of telemedicine on the early diagnosis and treatment of patients, as well as its effect on patient satisfaction. In addition, the study examines the obstacles and facilitators that influence the implementation of telemedicine., Objectives, The primary objectives of this study are to assess the effectiveness of telemedicine in facilitating early diagnosis and treatment for patients in need of specialist consultations, to evaluate patient satisfaction with specialist care delivered through telemedicine, and to identify the factors that influence the successful implementation of telemedicine in rural healthcare centers., Methodology, An exploratory feasibility study was carried out at two rural health training centers (RHTCs) over a one-year period, enrolling 400 patients requiring specialist consultations. The study involved establishing a telemedicine center, implementing teleconsultations, and collecting data through patient interviews and self-administered questionnaires., Results, A majority of teleconsultations, over 79%, were deemed valuable by medical officers, resulting in improved management, better counseling, and earlier diagnoses. More than 76% of patients found telemedicine to be acceptable due to the reduction in travel time and cost. The most common health concerns among patients were diabetes, hypertension, and skin disorders. The study also revealed several challenges, including limited specialist personnel, waiting times, prescription limitations, and connectivity issues., Discussion, Telemedicine has proven to be a valuable tool for rural healthcare delivery, providing patients with access to specialist consultations and improving patient outcomes. Both patients and medical officers reported positive experiences with telemedicine. The findings of this study align with existing literature, which highlights the benefits of telemedicine in managing chronic diseases and increasing patient satisfaction. However, it is crucial to address challenges, such as personnel limitations and connectivity issues, to optimize telemedicine's effectiveness., Conclusion, Telemedicine offers great potential for enhancing access to specialist care and achieving universal healthcare in rural areas. Despite its limitations, telemedicine demonstrates promising outcomes and warrants further development and optimization to ensure its successful implementation in rural healthcare centers.","container-title":"Cureus","DOI":"10.7759/cureus.60310","ISSN":"2168-8184","issue":"5","journalAbbreviation":"Cureus","note":"PMID: 38883020\nPMCID: PMC11177277","page":"e60310","source":"PubMed Central","title":"Healthcare in the Modern Era: Launching a Telemedicine-Based OPD Consultation in Rural Pune (Process, Results, and Challenges)","title-short":"Healthcare in the Modern Era","volume":"16","author":[{"family":"Vaidya","given":"Varsha"},{"family":"Patil","given":"Vaibhav"},{"family":"Oswal","given":"Jitendra"},{"family":"Narula","given":"Arvinder"},{"family":"Khare","given":"Yogesh"},{"family":"Patil","given":"Prajakta"},{"family":"Deshpande","given":"Ruma"},{"family":"Lunge","given":"Snehal"},{"family":"Dasgupta","given":"Sukanya"},{"family":"Dahiphale","given":"Ramdas"},{"family":"Kulkarni","given":"Rohit"},{"family":"Mahajan","given":"Amit"},{"family":"Chelluri","given":"Srinivasa"},{"family":"Teli","given":"Advait"}],"issued":{"date-parts":[["2024"]]}}}],"schema":"https://github.com/citation-style-language/schema/raw/master/csl-citation.json"} </w:instrText>
      </w:r>
      <w:r w:rsidR="002505C6">
        <w:rPr>
          <w:rFonts w:eastAsia="Times New Roman"/>
        </w:rPr>
        <w:fldChar w:fldCharType="separate"/>
      </w:r>
      <w:r w:rsidR="002505C6" w:rsidRPr="002505C6">
        <w:t>(Ezeamii et al., 2024; Vaidya et al., 2024)</w:t>
      </w:r>
      <w:r w:rsidR="002505C6">
        <w:rPr>
          <w:rFonts w:eastAsia="Times New Roman"/>
        </w:rPr>
        <w:fldChar w:fldCharType="end"/>
      </w:r>
      <w:r w:rsidR="002505C6" w:rsidRPr="00BA1DD6">
        <w:rPr>
          <w:rFonts w:eastAsia="Times New Roman"/>
        </w:rPr>
        <w:t>.</w:t>
      </w:r>
      <w:r w:rsidR="002505C6">
        <w:rPr>
          <w:rFonts w:eastAsia="Times New Roman"/>
        </w:rPr>
        <w:t xml:space="preserve"> </w:t>
      </w:r>
      <w:r w:rsidR="00876B92">
        <w:rPr>
          <w:rFonts w:eastAsia="Times New Roman"/>
        </w:rPr>
        <w:t>However, t</w:t>
      </w:r>
      <w:r w:rsidR="00876B92" w:rsidRPr="00876B92">
        <w:rPr>
          <w:rFonts w:eastAsia="Times New Roman"/>
        </w:rPr>
        <w:t xml:space="preserve">elemedicine poses several challenges, as identified in a </w:t>
      </w:r>
      <w:r w:rsidR="00876B92">
        <w:rPr>
          <w:rFonts w:eastAsia="Times New Roman"/>
        </w:rPr>
        <w:t>recent systematic</w:t>
      </w:r>
      <w:r w:rsidR="00876B92" w:rsidRPr="00876B92">
        <w:rPr>
          <w:rFonts w:eastAsia="Times New Roman"/>
        </w:rPr>
        <w:t xml:space="preserve"> review by </w:t>
      </w:r>
      <w:r w:rsidR="00876B92">
        <w:rPr>
          <w:rFonts w:eastAsia="Times New Roman"/>
        </w:rPr>
        <w:fldChar w:fldCharType="begin"/>
      </w:r>
      <w:r w:rsidR="00876B92">
        <w:rPr>
          <w:rFonts w:eastAsia="Times New Roman"/>
        </w:rPr>
        <w:instrText xml:space="preserve"> ADDIN ZOTERO_ITEM CSL_CITATION {"citationID":"n3S2Fkk6","properties":{"formattedCitation":"(Ftouni et al., 2022)","plainCitation":"(Ftouni et al., 2022)","noteIndex":0},"citationItems":[{"id":2673,"uris":["http://zotero.org/users/9292995/items/EL43XV5P"],"itemData":{"id":2673,"type":"article-journal","abstract":"The COVID-19 pandemic has prompted the decrease of in-person visits to reduce the risk of virus transmission. Telemedicine is an efficient communication tool employed between healthcare providers and patients that prevents the risk of exposure to infected persons. However, telemedicine use is not infallible; its users reported multiple issues that complicated the expansion of this technology. So, this systematic review aimed to explore the barriers and challenges of telemedicine use during the pandemic and to propose solutions for improving future use.","container-title":"BMC Medical Informatics and Decision Making","DOI":"10.1186/s12911-022-01952-0","ISSN":"1472-6947","issue":"1","journalAbbreviation":"BMC Med Inform Decis Mak","language":"en","page":"207","source":"Springer Link","title":"Challenges of  Telemedicine during the COVID-19 pandemic: a systematic review","title-short":"Challenges of  Telemedicine during the COVID-19 pandemic","volume":"22","author":[{"family":"Ftouni","given":"Racha"},{"family":"AlJardali","given":"Baraa"},{"family":"Hamdanieh","given":"Maya"},{"family":"Ftouni","given":"Louna"},{"family":"Salem","given":"Nariman"}],"issued":{"date-parts":[["2022",8,3]]}}}],"schema":"https://github.com/citation-style-language/schema/raw/master/csl-citation.json"} </w:instrText>
      </w:r>
      <w:r w:rsidR="00876B92">
        <w:rPr>
          <w:rFonts w:eastAsia="Times New Roman"/>
        </w:rPr>
        <w:fldChar w:fldCharType="separate"/>
      </w:r>
      <w:r w:rsidR="00876B92" w:rsidRPr="00876B92">
        <w:t xml:space="preserve">Ftouni et al. </w:t>
      </w:r>
      <w:r w:rsidR="00876B92">
        <w:t>(</w:t>
      </w:r>
      <w:r w:rsidR="00876B92" w:rsidRPr="00876B92">
        <w:t>2022)</w:t>
      </w:r>
      <w:r w:rsidR="00876B92">
        <w:rPr>
          <w:rFonts w:eastAsia="Times New Roman"/>
        </w:rPr>
        <w:fldChar w:fldCharType="end"/>
      </w:r>
      <w:r w:rsidR="00876B92" w:rsidRPr="00876B92">
        <w:rPr>
          <w:rFonts w:eastAsia="Times New Roman"/>
        </w:rPr>
        <w:t xml:space="preserve">. Barriers include technical aspects such as poor internet connections and limited access to technology, especially for older adults and those in areas with restricted internet access. Additionally, concerns </w:t>
      </w:r>
      <w:r w:rsidR="008A3DCE">
        <w:rPr>
          <w:rFonts w:eastAsia="Times New Roman"/>
        </w:rPr>
        <w:t xml:space="preserve">persist </w:t>
      </w:r>
      <w:r w:rsidR="00876B92" w:rsidRPr="00876B92">
        <w:rPr>
          <w:rFonts w:eastAsia="Times New Roman"/>
        </w:rPr>
        <w:t>regarding privacy, data confidentiality, reimbursement, limitations in conducting comprehensive physical examinations and diagnostic procedures, and deficiencies in training for healthcare providers and patients in effectively utilizing telemedicine.</w:t>
      </w:r>
    </w:p>
    <w:bookmarkEnd w:id="4"/>
    <w:p w14:paraId="20B0CFCC" w14:textId="6DC62A8F" w:rsidR="006C53A2" w:rsidRPr="005E4F79" w:rsidRDefault="00363A13" w:rsidP="000F2CA6">
      <w:pPr>
        <w:spacing w:after="0" w:line="240" w:lineRule="auto"/>
        <w:ind w:firstLine="720"/>
        <w:jc w:val="both"/>
      </w:pPr>
      <w:r w:rsidRPr="005E4F79">
        <w:t>While various forms of remote healthcare delivery have existed for decades,</w:t>
      </w:r>
      <w:r w:rsidRPr="00832A81">
        <w:rPr>
          <w:color w:val="374151"/>
          <w:shd w:val="clear" w:color="auto" w:fill="F7F7F8"/>
        </w:rPr>
        <w:t xml:space="preserve"> </w:t>
      </w:r>
      <w:r w:rsidRPr="007E3B79">
        <w:t xml:space="preserve">telemedicine </w:t>
      </w:r>
      <w:r w:rsidRPr="005E4F79">
        <w:t xml:space="preserve">was limited in scope and adoption prior to the COVID-19 pandemic (see, </w:t>
      </w:r>
      <w:r w:rsidRPr="00832A81">
        <w:fldChar w:fldCharType="begin"/>
      </w:r>
      <w:r w:rsidR="007313FA">
        <w:instrText xml:space="preserve"> ADDIN ZOTERO_ITEM CSL_CITATION {"citationID":"gucjf9xd","properties":{"formattedCitation":"(Chu et al., 2021; Nittari et al., 2022; Shaver, 2022)","plainCitation":"(Chu et al., 2021; Nittari et al., 2022; Shaver, 2022)","dontUpdate":true,"noteIndex":0},"citationItems":[{"id":2130,"uris":["http://zotero.org/users/9292995/items/A938DXW2"],"itemData":{"id":2130,"type":"article-journal","abstract":"Background: The COVID-19 pandemic has led to a notable increase in telemedicine adoption. However, the impact of the pandemic on telemedicine use at a population level in rural and remote settings remains unclear. Objective: This study aimed to evaluate changes in the rate of telemedicine use among rural populations and identify patient characteristics associated with telemedicine use prior to and during the pandemic. Methods: We conducted a repeated cross-sectional study on all monthly and quarterly rural telemedicine visits from January 2012 to June 2020, using administrative data from Ontario, Canada. We compared the changes in telemedicine use among residents of rural and urban regions of Ontario prior to and during the pandemic. Results: Before the pandemic, telemedicine use was steadily low in 2012-2019 for both rural and urban populations but slightly higher overall for rural patients (11 visits per 1000 patients vs 7 visits per 1000 patients in December 2019, P&lt;.001). The rate of telemedicine visits among rural patients significantly increased to 147 visits per 1000 patients in June 2020. A similar but steeper increase (P=.15) was observed among urban patients (220 visits per 1000 urban patients). Telemedicine use increased across all age groups, with the highest rates reported among older adults aged ≥65 years (77 visits per 100 patients in 2020). The proportions of patients with at least 1 telemedicine visit were similar across the adult age groups (n=82,246/290,401, 28.3% for patients aged 18-49 years, n=79,339/290,401, 27.3% for patients aged 50-64 years, and n=80,833/290,401, 27.8% for patients aged 65-79 years), but lower among younger patients &lt;18 years (n=23,699/290,401, 8.2%) and older patients ≥80 years (n=24,284/290,401, 8.4%) in 2020 (P&lt;.001). There were more female users than male users of telemedicine (n=158,643/290,401, 54.6% vs n=131,758/290,401, 45.4%, respectively, in 2020; P&lt;.001). There was a significantly higher proportion of telemedicine users residing in relatively less rural than in more rural regions (n=261,814/290,401, 90.2% vs n=28,587/290,401, 9.8%, respectively, in 2020; P&lt;.001). Conclusions: Telemedicine adoption increased in rural and remote areas during the COVID-19 pandemic, but its use increased in urban and less rural populations. Future studies should investigate the potential barriers to telemedicine use among rural patients and the impact of rural telemedicine on patient health care utilization and outcomes.","container-title":"Journal of Medical Internet Research","DOI":"10.2196/26960","issue":"4","language":"EN","note":"Company: Journal of Medical Internet Research\nDistributor: Journal of Medical Internet Research\nInstitution: Journal of Medical Internet Research\nLabel: Journal of Medical Internet Research\npublisher: JMIR Publications Inc., Toronto, Canada","page":"e26960","source":"www.jmir.org","title":"Rural Telemedicine Use Before and During the COVID-19 Pandemic: Repeated Cross-sectional Study","title-short":"Rural Telemedicine Use Before and During the COVID-19 Pandemic","volume":"23","author":[{"family":"Chu","given":"Cherry"},{"family":"Cram","given":"Peter"},{"family":"Pang","given":"Andrea"},{"family":"Stamenova","given":"Vess"},{"family":"Tadrous","given":"Mina"},{"family":"Bhatia","given":"R. Sacha"}],"issued":{"date-parts":[["2021",4,5]]}}},{"id":2081,"uris":["http://zotero.org/users/9292995/items/ADIE6AHT"],"itemData":{"id":2081,"type":"article-journal","abstract":"During the recent COVID-19 pandemic, healthcare providers have been encouraged to increase their use of telemedicine and to adopt telemedicine platforms for the majority of their clients who have chronic illnesses. Due to the outbreak itself, almost all countries worldwide were placed under emergency lockdowns. In this paper, we reviewed the literature regarding the use of telemedicine during the COVID-19 pandemic. Consequentially, we identified the adoption of telemedicine in various countries worldwide and evaluated their future steps in order to increase the adoption of e-health technologies. As a result of COVID-19, the e-health agenda, especially telemedicine, has been accelerated in several countries. COVID-19 is affecting individuals’ daily lives and has created major difficulties in the management of healthcare facilities for both infected and non-infected patients. A large portion of the rapid increase in the use of telemedicine can be attributed to evidence from previous pandemics as well as progress made by the field in response to COVID-19, especially in industrialized countries. A lack of effective treatment, large numbers of unvaccinated individuals, as well as social distancing and lockdown measures suggest telemedicine is the safest and most appropriate way of working with patients and doctors. In spite of this willingness, a large number of barriers need to be overcome in order for the telemedicine system to function properly and effectively throughout countries. In order for telemedicine to be sustainable and beneficial beyond the pandemic, several technical, educational, infrastructure, legal, and economic issues must be addressed and solved.","container-title":"International Journal of Environmental Research and Public Health","DOI":"10.3390/ijerph19095101","ISSN":"1660-4601","issue":"9","language":"en","license":"http://creativecommons.org/licenses/by/3.0/","note":"number: 9\npublisher: Multidisciplinary Digital Publishing Institute","page":"5101","source":"www-mdpi-com.ezproxy.lib.utexas.edu","title":"Telemedicine in the COVID-19 Era: A Narrative Review Based on Current Evidence","title-short":"Telemedicine in the COVID-19 Era","volume":"19","author":[{"family":"Nittari","given":"Giulio"},{"family":"Savva","given":"Demetris"},{"family":"Tomassoni","given":"Daniele"},{"family":"Tayebati","given":"Seyed Khosrow"},{"family":"Amenta","given":"Francesco"}],"issued":{"date-parts":[["2022",1]]}}},{"id":2083,"uris":["http://zotero.org/users/9292995/items/ELCWY6Y5"],"itemData":{"id":2083,"type":"article-journal","container-title":"Primary Care: Clinics in Office Practice","DOI":"10.1016/j.pop.2022.04.002","ISSN":"0095-4543, 1558-299X","issue":"4","journalAbbreviation":"Primary Care: Clinics in Office Practice","language":"English","note":"publisher: Elsevier\nPMID: 36357058","page":"517-530","source":"www.primarycare.theclinics.com","title":"The State of Telehealth Before and After the COVID-19 Pandemic","volume":"49","author":[{"family":"Shaver","given":"Julia"}],"issued":{"date-parts":[["2022",12,1]]}}}],"schema":"https://github.com/citation-style-language/schema/raw/master/csl-citation.json"} </w:instrText>
      </w:r>
      <w:r w:rsidRPr="00832A81">
        <w:fldChar w:fldCharType="separate"/>
      </w:r>
      <w:r w:rsidRPr="005E4F79">
        <w:t>Chu et al., 2021</w:t>
      </w:r>
      <w:r w:rsidR="007313FA">
        <w:t>,</w:t>
      </w:r>
      <w:r w:rsidRPr="005E4F79">
        <w:t xml:space="preserve"> Nittari et al., 2022</w:t>
      </w:r>
      <w:r w:rsidR="007313FA">
        <w:t>, and</w:t>
      </w:r>
      <w:r w:rsidRPr="005E4F79">
        <w:t xml:space="preserve"> Shaver, 2022)</w:t>
      </w:r>
      <w:r w:rsidRPr="00832A81">
        <w:fldChar w:fldCharType="end"/>
      </w:r>
      <w:r w:rsidRPr="007E3B79">
        <w:t>. S</w:t>
      </w:r>
      <w:r w:rsidRPr="005E4F79">
        <w:t>pecifically</w:t>
      </w:r>
      <w:r w:rsidR="002A353D" w:rsidRPr="005E4F79">
        <w:t>,</w:t>
      </w:r>
      <w:r w:rsidRPr="005E4F79">
        <w:t xml:space="preserve"> in early 2020, telemedicine visits constituted a mere 1% of the total healthcare visits in the United States (U.S.) </w:t>
      </w:r>
      <w:r w:rsidRPr="00832A81">
        <w:fldChar w:fldCharType="begin"/>
      </w:r>
      <w:r w:rsidRPr="005E4F79">
        <w:instrText xml:space="preserve"> ADDIN ZOTERO_ITEM CSL_CITATION {"citationID":"kgjkCvSP","properties":{"formattedCitation":"(Anderson et al., 2022)","plainCitation":"(Anderson et al., 2022)","noteIndex":0},"citationItems":[{"id":2080,"uris":["http://zotero.org/users/9292995/items/U87J8TPQ"],"itemData":{"id":2080,"type":"report","publisher":"Chartis","title":"Telehealth Now a Permanent Fixture for U.S. Healthcare Delivery","URL":"https://www.chartis.com/insights/telehealth-now-permanent-fixture-us-healthcare-delivery","author":[{"family":"Anderson","given":"Bret"},{"family":"Carr","given":"Kendra"},{"family":"Donahue","given":"Clayton"}],"issued":{"date-parts":[["2022"]]}}}],"schema":"https://github.com/citation-style-language/schema/raw/master/csl-citation.json"} </w:instrText>
      </w:r>
      <w:r w:rsidRPr="00832A81">
        <w:fldChar w:fldCharType="separate"/>
      </w:r>
      <w:r w:rsidRPr="005E4F79">
        <w:t>(Anderson et al., 2022)</w:t>
      </w:r>
      <w:r w:rsidRPr="00832A81">
        <w:fldChar w:fldCharType="end"/>
      </w:r>
      <w:r w:rsidRPr="007E3B79">
        <w:t>.</w:t>
      </w:r>
      <w:r w:rsidRPr="005E4F79">
        <w:t xml:space="preserve"> The pandemic </w:t>
      </w:r>
      <w:r w:rsidR="002A353D" w:rsidRPr="005E4F79">
        <w:t>fast-tracked</w:t>
      </w:r>
      <w:r w:rsidRPr="005E4F79">
        <w:t xml:space="preserve"> the adoption of telemedicine as a tool to maintain access to healthcare during lockdowns, with telemedicine visits surging to nearly 50% of all medical visits by April 2020 </w:t>
      </w:r>
      <w:r w:rsidRPr="00832A81">
        <w:fldChar w:fldCharType="begin"/>
      </w:r>
      <w:r w:rsidRPr="005E4F79">
        <w:instrText xml:space="preserve"> ADDIN ZOTERO_ITEM CSL_CITATION {"citationID":"7LR0h8yT","properties":{"formattedCitation":"(Anderson et al., 2022)","plainCitation":"(Anderson et al., 2022)","noteIndex":0},"citationItems":[{"id":2080,"uris":["http://zotero.org/users/9292995/items/U87J8TPQ"],"itemData":{"id":2080,"type":"report","publisher":"Chartis","title":"Telehealth Now a Permanent Fixture for U.S. Healthcare Delivery","URL":"https://www.chartis.com/insights/telehealth-now-permanent-fixture-us-healthcare-delivery","author":[{"family":"Anderson","given":"Bret"},{"family":"Carr","given":"Kendra"},{"family":"Donahue","given":"Clayton"}],"issued":{"date-parts":[["2022"]]}}}],"schema":"https://github.com/citation-style-language/schema/raw/master/csl-citation.json"} </w:instrText>
      </w:r>
      <w:r w:rsidRPr="00832A81">
        <w:fldChar w:fldCharType="separate"/>
      </w:r>
      <w:r w:rsidRPr="005E4F79">
        <w:t>(Anderson et al., 2022)</w:t>
      </w:r>
      <w:r w:rsidRPr="00832A81">
        <w:fldChar w:fldCharType="end"/>
      </w:r>
      <w:r w:rsidRPr="007E3B79">
        <w:t>.</w:t>
      </w:r>
      <w:r w:rsidRPr="005E4F79">
        <w:t xml:space="preserve"> The rapid increase in telemedicine adoption during the COVID-19 pandemic was driven by both heightened demand from patients and expanded supply from healthcare providers. </w:t>
      </w:r>
      <w:bookmarkStart w:id="5" w:name="_Hlk178840783"/>
      <w:bookmarkStart w:id="6" w:name="_Hlk178841996"/>
      <w:r w:rsidR="00035FBA" w:rsidRPr="005E4F79">
        <w:t>Th</w:t>
      </w:r>
      <w:r w:rsidR="000F2CA6">
        <w:t>is</w:t>
      </w:r>
      <w:r w:rsidR="00035FBA" w:rsidRPr="005E4F79">
        <w:t xml:space="preserve"> </w:t>
      </w:r>
      <w:r w:rsidR="006D183E">
        <w:t>increased</w:t>
      </w:r>
      <w:r w:rsidR="00035FBA" w:rsidRPr="005E4F79">
        <w:t xml:space="preserve"> adoption of telemedicine in the aftermath </w:t>
      </w:r>
      <w:bookmarkEnd w:id="5"/>
      <w:r w:rsidR="00035FBA" w:rsidRPr="005E4F79">
        <w:t>of the COVID-19 pandemic has</w:t>
      </w:r>
      <w:r w:rsidR="000F2CA6">
        <w:t xml:space="preserve">, of course, </w:t>
      </w:r>
      <w:r w:rsidR="00035FBA" w:rsidRPr="005E4F79">
        <w:t>transformed healthcare delivery</w:t>
      </w:r>
      <w:r w:rsidR="006D183E">
        <w:t>,</w:t>
      </w:r>
      <w:r w:rsidR="00035FBA" w:rsidRPr="005E4F79">
        <w:t xml:space="preserve"> but also </w:t>
      </w:r>
      <w:r w:rsidR="00D46CBD" w:rsidRPr="005E4F79">
        <w:t>uncovered</w:t>
      </w:r>
      <w:r w:rsidR="00035FBA" w:rsidRPr="005E4F79">
        <w:t xml:space="preserve"> significant equity and accessibility </w:t>
      </w:r>
      <w:r w:rsidR="00473D83">
        <w:t>disparities in healthcare</w:t>
      </w:r>
      <w:r w:rsidR="00222A56" w:rsidRPr="005E4F79">
        <w:t xml:space="preserve"> based on age, race, income, and geographic location</w:t>
      </w:r>
      <w:r w:rsidR="00035FBA" w:rsidRPr="005E4F79">
        <w:t xml:space="preserve"> </w:t>
      </w:r>
      <w:r w:rsidR="007313FA">
        <w:t xml:space="preserve">(see </w:t>
      </w:r>
      <w:r w:rsidR="007313FA">
        <w:fldChar w:fldCharType="begin"/>
      </w:r>
      <w:r w:rsidR="00876B92">
        <w:instrText xml:space="preserve"> ADDIN ZOTERO_ITEM CSL_CITATION {"citationID":"e3j7oYp8","properties":{"formattedCitation":"(Nouri et al., 2020; Velasquez &amp; Mehrotra, 2020)","plainCitation":"(Nouri et al., 2020; Velasquez &amp; Mehrotra, 2020)","dontUpdate":true,"noteIndex":0},"citationItems":[{"id":2134,"uris":["http://zotero.org/users/9292995/items/CVUVKWLY"],"itemData":{"id":2134,"type":"article-journal","container-title":"NEJM Catalyst Innovations in Care Delivery","ISSN":"2642-0007","issue":"3","journalAbbreviation":"NEJM Catalyst Innovations in Care Delivery","note":"publisher: Massachusetts Medical Society","title":"Addressing equity in telemedicine for chronic disease management during the Covid-19 pandemic","volume":"1","author":[{"family":"Nouri","given":"Sarah"},{"family":"Khoong","given":"Elaine C"},{"family":"Lyles","given":"Courtney R"},{"family":"Karliner","given":"Leah"}],"issued":{"date-parts":[["2020"]]}}},{"id":2133,"uris":["http://zotero.org/users/9292995/items/SXL8X9Z8"],"itemData":{"id":2133,"type":"article-journal","container-title":"Health Affairs Forefront","journalAbbreviation":"Health Affairs Forefront","title":"Ensuring the growth of telehealth during COVID-19 does not exacerbate disparities in care","author":[{"family":"Velasquez","given":"David"},{"family":"Mehrotra","given":"Ateev"}],"issued":{"date-parts":[["2020"]]}}}],"schema":"https://github.com/citation-style-language/schema/raw/master/csl-citation.json"} </w:instrText>
      </w:r>
      <w:r w:rsidR="007313FA">
        <w:fldChar w:fldCharType="separate"/>
      </w:r>
      <w:r w:rsidR="007313FA" w:rsidRPr="007313FA">
        <w:t>Nouri et al., 2020</w:t>
      </w:r>
      <w:r w:rsidR="007313FA">
        <w:t>,</w:t>
      </w:r>
      <w:r w:rsidR="007313FA" w:rsidRPr="007313FA">
        <w:t xml:space="preserve"> Velasquez </w:t>
      </w:r>
      <w:r w:rsidR="007313FA">
        <w:t>and</w:t>
      </w:r>
      <w:r w:rsidR="007313FA" w:rsidRPr="007313FA">
        <w:t xml:space="preserve"> Mehrotra, 2020</w:t>
      </w:r>
      <w:r w:rsidR="007313FA">
        <w:fldChar w:fldCharType="end"/>
      </w:r>
      <w:r w:rsidR="007313FA">
        <w:t xml:space="preserve">, and </w:t>
      </w:r>
      <w:r w:rsidR="009D1523" w:rsidRPr="00832A81">
        <w:fldChar w:fldCharType="begin"/>
      </w:r>
      <w:r w:rsidR="00876B92">
        <w:instrText xml:space="preserve"> ADDIN ZOTERO_ITEM CSL_CITATION {"citationID":"DR3Gk1QJ","properties":{"formattedCitation":"(Drake et al., 2022)","plainCitation":"(Drake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B"},{"family":"Shah","given":"Kevin"}],"issued":{"date-parts":[["2022"]]}}}],"schema":"https://github.com/citation-style-language/schema/raw/master/csl-citation.json"} </w:instrText>
      </w:r>
      <w:r w:rsidR="009D1523" w:rsidRPr="00832A81">
        <w:fldChar w:fldCharType="separate"/>
      </w:r>
      <w:r w:rsidR="007313FA" w:rsidRPr="007313FA">
        <w:t>Drake et al., 2022)</w:t>
      </w:r>
      <w:r w:rsidR="009D1523" w:rsidRPr="00832A81">
        <w:fldChar w:fldCharType="end"/>
      </w:r>
      <w:r w:rsidR="009D1523" w:rsidRPr="007E3B79">
        <w:t xml:space="preserve">. </w:t>
      </w:r>
      <w:r w:rsidR="00A87E04" w:rsidRPr="005E4F79">
        <w:t xml:space="preserve">Thus, from a societal standpoint, if </w:t>
      </w:r>
      <w:r w:rsidR="00035FBA" w:rsidRPr="005E4F79">
        <w:t xml:space="preserve">telemedicine </w:t>
      </w:r>
      <w:r w:rsidR="00A87E04" w:rsidRPr="005E4F79">
        <w:t xml:space="preserve">is to serve </w:t>
      </w:r>
      <w:r w:rsidR="00035FBA" w:rsidRPr="005E4F79">
        <w:t xml:space="preserve">as a key </w:t>
      </w:r>
      <w:r w:rsidR="00A87E04" w:rsidRPr="005E4F79">
        <w:t xml:space="preserve">universal </w:t>
      </w:r>
      <w:r w:rsidR="00035FBA" w:rsidRPr="005E4F79">
        <w:t>healthcare tool</w:t>
      </w:r>
      <w:r w:rsidR="00A87E04" w:rsidRPr="005E4F79">
        <w:t>, it is important to</w:t>
      </w:r>
      <w:r w:rsidR="000E09AE" w:rsidRPr="005E4F79">
        <w:t xml:space="preserve"> </w:t>
      </w:r>
      <w:r w:rsidR="00035FBA" w:rsidRPr="005E4F79">
        <w:t>address th</w:t>
      </w:r>
      <w:r w:rsidR="00A87E04" w:rsidRPr="005E4F79">
        <w:t>e</w:t>
      </w:r>
      <w:r w:rsidR="006D183E">
        <w:t>se equity/accessibility issues</w:t>
      </w:r>
      <w:r w:rsidR="00D46CBD" w:rsidRPr="005E4F79">
        <w:t xml:space="preserve">. </w:t>
      </w:r>
      <w:bookmarkStart w:id="7" w:name="_Hlk178840849"/>
      <w:r w:rsidR="00D46CBD" w:rsidRPr="005E4F79">
        <w:t>Additionally,</w:t>
      </w:r>
      <w:r w:rsidR="00035FBA" w:rsidRPr="005E4F79">
        <w:t xml:space="preserve"> </w:t>
      </w:r>
      <w:r w:rsidR="00D46CBD" w:rsidRPr="005E4F79">
        <w:t xml:space="preserve">it is imperative to </w:t>
      </w:r>
      <w:r w:rsidR="00035FBA" w:rsidRPr="005E4F79">
        <w:t>properly quantify</w:t>
      </w:r>
      <w:r w:rsidR="00D46CBD" w:rsidRPr="005E4F79">
        <w:t xml:space="preserve"> </w:t>
      </w:r>
      <w:r w:rsidR="002A353D" w:rsidRPr="005E4F79">
        <w:t>telemedicine’s</w:t>
      </w:r>
      <w:r w:rsidR="00035FBA" w:rsidRPr="005E4F79">
        <w:t xml:space="preserve"> broader impacts </w:t>
      </w:r>
      <w:r w:rsidR="00D46CBD" w:rsidRPr="005E4F79">
        <w:t>across various</w:t>
      </w:r>
      <w:r w:rsidR="00035FBA" w:rsidRPr="005E4F79">
        <w:t xml:space="preserve"> sectors. </w:t>
      </w:r>
      <w:r w:rsidR="00A87E04" w:rsidRPr="005E4F79">
        <w:t>In particular, s</w:t>
      </w:r>
      <w:r w:rsidR="002A353D" w:rsidRPr="005E4F79">
        <w:t>imilar to the widespread adoption of virtual activities</w:t>
      </w:r>
      <w:r w:rsidR="008850E4">
        <w:t>,</w:t>
      </w:r>
      <w:r w:rsidR="002A353D" w:rsidRPr="005E4F79">
        <w:t xml:space="preserve"> including online shopping, online meal delivery, and tel</w:t>
      </w:r>
      <w:r w:rsidR="00E9600A">
        <w:t>e</w:t>
      </w:r>
      <w:r w:rsidR="00473D83">
        <w:t>working</w:t>
      </w:r>
      <w:r w:rsidR="002A353D" w:rsidRPr="005E4F79">
        <w:t>, t</w:t>
      </w:r>
      <w:r w:rsidR="00D46CBD" w:rsidRPr="005E4F79">
        <w:t>he</w:t>
      </w:r>
      <w:r w:rsidR="00035FBA" w:rsidRPr="005E4F79">
        <w:t xml:space="preserve"> surge in telemedicine </w:t>
      </w:r>
      <w:r w:rsidR="00D46CBD" w:rsidRPr="005E4F79">
        <w:t>calls for an in-depth</w:t>
      </w:r>
      <w:r w:rsidRPr="005E4F79">
        <w:t xml:space="preserve"> </w:t>
      </w:r>
      <w:r w:rsidR="00D46CBD" w:rsidRPr="005E4F79">
        <w:t>analysis of</w:t>
      </w:r>
      <w:r w:rsidRPr="005E4F79">
        <w:t xml:space="preserve"> its relationship with telecommunication infrastructure, accessibility, transportation systems, and activity-based travel models. </w:t>
      </w:r>
      <w:r w:rsidR="004F6375">
        <w:t xml:space="preserve">Importantly, from a transportation perspective, </w:t>
      </w:r>
      <w:r w:rsidR="004E34A7">
        <w:t xml:space="preserve">travel demand stems from the need to participate in activities distributed across space and time. Healthcare-related travel, including visits to medical facilities, has traditionally been a significant component of this derived demand. The rise of telemedicine, by potentially reducing or eliminating the need for physical travel to healthcare providers, represents a shift in this demand pattern. This shift could, in turn, influence urban mobility patterns, transportation planning, and even land use dynamics in the long term. </w:t>
      </w:r>
      <w:r w:rsidR="004E34A7" w:rsidRPr="004E34A7">
        <w:t xml:space="preserve">Establishing this multidisciplinary perspective </w:t>
      </w:r>
      <w:r w:rsidR="009C1966">
        <w:t xml:space="preserve">related to </w:t>
      </w:r>
      <w:r w:rsidR="004E34A7" w:rsidRPr="004E34A7">
        <w:t xml:space="preserve">the impact of telemedicine </w:t>
      </w:r>
      <w:r w:rsidR="009C1966">
        <w:t xml:space="preserve">on activity-travel patterns </w:t>
      </w:r>
      <w:r w:rsidR="004E34A7" w:rsidRPr="004E34A7">
        <w:t xml:space="preserve">is </w:t>
      </w:r>
      <w:r w:rsidR="008A3DCE">
        <w:t xml:space="preserve">important </w:t>
      </w:r>
      <w:r w:rsidR="009C1966">
        <w:t xml:space="preserve">to </w:t>
      </w:r>
      <w:r w:rsidR="004E34A7" w:rsidRPr="004E34A7">
        <w:t>maximiz</w:t>
      </w:r>
      <w:r w:rsidR="009C1966">
        <w:t>e</w:t>
      </w:r>
      <w:r w:rsidR="004E34A7" w:rsidRPr="004E34A7">
        <w:t xml:space="preserve"> its benefits in a post-pandemic world</w:t>
      </w:r>
      <w:r w:rsidR="00035FBA" w:rsidRPr="005E4F79">
        <w:t>, ensuring it serves as a force for equitable</w:t>
      </w:r>
      <w:r w:rsidR="00485689" w:rsidRPr="005E4F79">
        <w:t>/</w:t>
      </w:r>
      <w:r w:rsidR="00035FBA" w:rsidRPr="005E4F79">
        <w:t xml:space="preserve">efficient healthcare delivery </w:t>
      </w:r>
      <w:r w:rsidR="00485689" w:rsidRPr="005E4F79">
        <w:t xml:space="preserve">and activity accessibility </w:t>
      </w:r>
      <w:r w:rsidR="00035FBA" w:rsidRPr="005E4F79">
        <w:t>across all societal sectors.</w:t>
      </w:r>
      <w:bookmarkEnd w:id="7"/>
    </w:p>
    <w:p w14:paraId="64904198" w14:textId="3DBE19F4" w:rsidR="002A353D" w:rsidRDefault="008F4111" w:rsidP="007541F0">
      <w:pPr>
        <w:spacing w:after="0" w:line="240" w:lineRule="auto"/>
        <w:ind w:firstLine="720"/>
        <w:jc w:val="both"/>
        <w:rPr>
          <w:bCs/>
        </w:rPr>
      </w:pPr>
      <w:bookmarkStart w:id="8" w:name="_Hlk178872149"/>
      <w:bookmarkEnd w:id="6"/>
      <w:r w:rsidRPr="008F4111">
        <w:rPr>
          <w:bCs/>
        </w:rPr>
        <w:t>Motivated by th</w:t>
      </w:r>
      <w:r w:rsidR="008A3DCE">
        <w:rPr>
          <w:bCs/>
        </w:rPr>
        <w:t>e above</w:t>
      </w:r>
      <w:r w:rsidRPr="008F4111">
        <w:rPr>
          <w:bCs/>
        </w:rPr>
        <w:t xml:space="preserve"> discussion, our study aims to achieve two primary objectives</w:t>
      </w:r>
      <w:r w:rsidR="009C1966">
        <w:rPr>
          <w:bCs/>
        </w:rPr>
        <w:t xml:space="preserve">. The </w:t>
      </w:r>
      <w:r w:rsidRPr="008F4111">
        <w:rPr>
          <w:bCs/>
        </w:rPr>
        <w:t>first</w:t>
      </w:r>
      <w:r w:rsidR="009C1966">
        <w:rPr>
          <w:bCs/>
        </w:rPr>
        <w:t xml:space="preserve"> is </w:t>
      </w:r>
      <w:r w:rsidRPr="008F4111">
        <w:rPr>
          <w:bCs/>
        </w:rPr>
        <w:t>to investigate the factors influencing telemedicine adoption shifts in the post-pandemic era</w:t>
      </w:r>
      <w:r w:rsidR="009C1966">
        <w:rPr>
          <w:bCs/>
        </w:rPr>
        <w:t>; the second</w:t>
      </w:r>
      <w:r w:rsidRPr="008F4111">
        <w:rPr>
          <w:bCs/>
        </w:rPr>
        <w:t xml:space="preserve"> </w:t>
      </w:r>
      <w:r w:rsidR="009C1966">
        <w:rPr>
          <w:bCs/>
        </w:rPr>
        <w:t xml:space="preserve">is </w:t>
      </w:r>
      <w:r w:rsidRPr="008F4111">
        <w:rPr>
          <w:bCs/>
        </w:rPr>
        <w:t>to identify and examine the determinants</w:t>
      </w:r>
      <w:r w:rsidR="009C1966">
        <w:rPr>
          <w:bCs/>
        </w:rPr>
        <w:t xml:space="preserve"> of telemedicine adoption</w:t>
      </w:r>
      <w:r w:rsidRPr="008F4111">
        <w:rPr>
          <w:bCs/>
        </w:rPr>
        <w:t xml:space="preserve">, </w:t>
      </w:r>
      <w:r w:rsidR="009C1966">
        <w:rPr>
          <w:bCs/>
        </w:rPr>
        <w:t xml:space="preserve">as well as to understand what the </w:t>
      </w:r>
      <w:r w:rsidRPr="008F4111">
        <w:rPr>
          <w:bCs/>
        </w:rPr>
        <w:t>facilitat</w:t>
      </w:r>
      <w:r w:rsidR="009C1966">
        <w:rPr>
          <w:bCs/>
        </w:rPr>
        <w:t xml:space="preserve">ing and deterrent factors are for </w:t>
      </w:r>
      <w:r w:rsidRPr="008F4111">
        <w:rPr>
          <w:bCs/>
        </w:rPr>
        <w:t xml:space="preserve">telemedicine </w:t>
      </w:r>
      <w:r w:rsidR="009C1966">
        <w:rPr>
          <w:bCs/>
        </w:rPr>
        <w:t>adoption in the After-</w:t>
      </w:r>
      <w:r w:rsidR="009C1966">
        <w:rPr>
          <w:bCs/>
        </w:rPr>
        <w:lastRenderedPageBreak/>
        <w:t xml:space="preserve">COVID period </w:t>
      </w:r>
      <w:r w:rsidR="009C1966" w:rsidRPr="00832A81">
        <w:rPr>
          <w:bCs/>
        </w:rPr>
        <w:t>(</w:t>
      </w:r>
      <w:r w:rsidR="009C1966">
        <w:rPr>
          <w:bCs/>
        </w:rPr>
        <w:t>we consider the period between March 2020 to mid-to-late 2021 as the “During-COVID” period, as vaccinations started becoming widely available about summer of 2021).</w:t>
      </w:r>
      <w:r>
        <w:rPr>
          <w:bCs/>
        </w:rPr>
        <w:t xml:space="preserve"> </w:t>
      </w:r>
      <w:r w:rsidR="009C1966">
        <w:rPr>
          <w:bCs/>
        </w:rPr>
        <w:t xml:space="preserve">In doing so, </w:t>
      </w:r>
      <w:bookmarkEnd w:id="8"/>
      <w:r w:rsidR="00363A13" w:rsidRPr="00832A81">
        <w:rPr>
          <w:bCs/>
        </w:rPr>
        <w:t xml:space="preserve">we use </w:t>
      </w:r>
      <w:r w:rsidR="006F7D64">
        <w:rPr>
          <w:bCs/>
        </w:rPr>
        <w:t xml:space="preserve">individuals’ stated telemedicine </w:t>
      </w:r>
      <w:r w:rsidR="00363A13" w:rsidRPr="00832A81">
        <w:rPr>
          <w:bCs/>
        </w:rPr>
        <w:t xml:space="preserve">adoption during the </w:t>
      </w:r>
      <w:r w:rsidR="00C817CF">
        <w:rPr>
          <w:bCs/>
        </w:rPr>
        <w:t>Before-</w:t>
      </w:r>
      <w:r w:rsidR="00363A13" w:rsidRPr="00832A81">
        <w:rPr>
          <w:bCs/>
        </w:rPr>
        <w:t xml:space="preserve"> and </w:t>
      </w:r>
      <w:r w:rsidR="00F8247A">
        <w:rPr>
          <w:bCs/>
        </w:rPr>
        <w:t>During-</w:t>
      </w:r>
      <w:r w:rsidR="006312A4">
        <w:rPr>
          <w:bCs/>
        </w:rPr>
        <w:t>COVID</w:t>
      </w:r>
      <w:r w:rsidR="00363A13" w:rsidRPr="00832A81">
        <w:rPr>
          <w:bCs/>
        </w:rPr>
        <w:t xml:space="preserve"> periods </w:t>
      </w:r>
      <w:r w:rsidR="002A353D" w:rsidRPr="00832A81">
        <w:rPr>
          <w:bCs/>
        </w:rPr>
        <w:t>as a means to control for unobserved individual-level factors that affect tele</w:t>
      </w:r>
      <w:r w:rsidR="00485689" w:rsidRPr="00832A81">
        <w:rPr>
          <w:bCs/>
        </w:rPr>
        <w:t>medicine</w:t>
      </w:r>
      <w:r w:rsidR="002A353D" w:rsidRPr="00832A81">
        <w:rPr>
          <w:bCs/>
        </w:rPr>
        <w:t xml:space="preserve"> adoption during the </w:t>
      </w:r>
      <w:r w:rsidR="006312A4">
        <w:rPr>
          <w:bCs/>
        </w:rPr>
        <w:t>After-COVID</w:t>
      </w:r>
      <w:r w:rsidR="002A353D" w:rsidRPr="00832A81">
        <w:rPr>
          <w:bCs/>
        </w:rPr>
        <w:t xml:space="preserve"> period. </w:t>
      </w:r>
      <w:r w:rsidR="00363A13" w:rsidRPr="00832A81">
        <w:rPr>
          <w:bCs/>
        </w:rPr>
        <w:t xml:space="preserve">Doing so lends efficiency in our estimation, as well as allows us to </w:t>
      </w:r>
      <w:r w:rsidR="00B76DBF">
        <w:rPr>
          <w:bCs/>
        </w:rPr>
        <w:t xml:space="preserve">more </w:t>
      </w:r>
      <w:r w:rsidR="00363A13" w:rsidRPr="00832A81">
        <w:rPr>
          <w:bCs/>
        </w:rPr>
        <w:t xml:space="preserve">accurately trace the evolution patterns of telemedicine adoption between the </w:t>
      </w:r>
      <w:r w:rsidR="00C817CF">
        <w:rPr>
          <w:bCs/>
        </w:rPr>
        <w:t>Before-</w:t>
      </w:r>
      <w:r w:rsidR="006312A4">
        <w:rPr>
          <w:bCs/>
        </w:rPr>
        <w:t>COVID</w:t>
      </w:r>
      <w:r w:rsidR="00363A13" w:rsidRPr="00832A81">
        <w:rPr>
          <w:bCs/>
        </w:rPr>
        <w:t xml:space="preserve"> and </w:t>
      </w:r>
      <w:r w:rsidR="006312A4">
        <w:rPr>
          <w:bCs/>
        </w:rPr>
        <w:t>After-COVID</w:t>
      </w:r>
      <w:r w:rsidR="00363A13" w:rsidRPr="00832A81">
        <w:rPr>
          <w:bCs/>
        </w:rPr>
        <w:t xml:space="preserve"> periods</w:t>
      </w:r>
      <w:r w:rsidR="00A87E04" w:rsidRPr="00832A81">
        <w:rPr>
          <w:bCs/>
        </w:rPr>
        <w:t>, while controlling for unobserved individual-level factors (if such unobserved factors are ignored, they can confound the effects of observed individual factors)</w:t>
      </w:r>
      <w:r w:rsidR="00363A13" w:rsidRPr="00832A81">
        <w:rPr>
          <w:bCs/>
        </w:rPr>
        <w:t xml:space="preserve">. In this regard, while the </w:t>
      </w:r>
      <w:r w:rsidR="00F8247A">
        <w:rPr>
          <w:bCs/>
        </w:rPr>
        <w:t>During-</w:t>
      </w:r>
      <w:r w:rsidR="006312A4">
        <w:rPr>
          <w:bCs/>
        </w:rPr>
        <w:t>COVID</w:t>
      </w:r>
      <w:r w:rsidR="00363A13" w:rsidRPr="00832A81">
        <w:rPr>
          <w:bCs/>
        </w:rPr>
        <w:t xml:space="preserve"> adoption tendencies are not really of much interest here (because adoption in this period was significantly impacted by external lockdown regulations), this time point in our analysis still contributes in an important way to controlling for unobserved individual-level heterogeneity (as we will note later, despite the lockdown regulations, in-person medical visits were still possible and, in fact, a majority of medical visits</w:t>
      </w:r>
      <w:r w:rsidR="00F200CD">
        <w:rPr>
          <w:bCs/>
        </w:rPr>
        <w:t>, as reported in our sample,</w:t>
      </w:r>
      <w:r w:rsidR="00363A13" w:rsidRPr="00832A81">
        <w:rPr>
          <w:bCs/>
        </w:rPr>
        <w:t xml:space="preserve"> continued to be in-person during COVID). </w:t>
      </w:r>
    </w:p>
    <w:p w14:paraId="1F50B789" w14:textId="77777777" w:rsidR="003F4E56" w:rsidRPr="00832A81" w:rsidRDefault="003F4E56" w:rsidP="009D0CA2">
      <w:pPr>
        <w:spacing w:after="0" w:line="240" w:lineRule="auto"/>
        <w:ind w:firstLine="720"/>
        <w:jc w:val="both"/>
        <w:rPr>
          <w:bCs/>
        </w:rPr>
      </w:pPr>
    </w:p>
    <w:p w14:paraId="77216821" w14:textId="3293FE17" w:rsidR="002D3EE2" w:rsidRPr="009D0CA2" w:rsidRDefault="002D3EE2" w:rsidP="009D0CA2">
      <w:pPr>
        <w:pStyle w:val="Heading1"/>
        <w:spacing w:after="0" w:line="240" w:lineRule="auto"/>
        <w:contextualSpacing w:val="0"/>
        <w:rPr>
          <w:caps/>
        </w:rPr>
      </w:pPr>
      <w:r w:rsidRPr="009D0CA2">
        <w:rPr>
          <w:caps/>
        </w:rPr>
        <w:t>Relevant Background</w:t>
      </w:r>
    </w:p>
    <w:p w14:paraId="4B1FD990" w14:textId="7D99152D" w:rsidR="0071015E" w:rsidRDefault="003478D1" w:rsidP="009D0CA2">
      <w:pPr>
        <w:spacing w:after="0" w:line="240" w:lineRule="auto"/>
        <w:jc w:val="both"/>
      </w:pPr>
      <w:r w:rsidRPr="005E4F79">
        <w:t xml:space="preserve">The literature on telemedicine adoption after the COVID-19 pandemic </w:t>
      </w:r>
      <w:r w:rsidR="001B4A27" w:rsidRPr="005E4F79">
        <w:t>has focused on</w:t>
      </w:r>
      <w:r w:rsidRPr="005E4F79">
        <w:t xml:space="preserve"> several </w:t>
      </w:r>
      <w:r w:rsidR="001B4A27" w:rsidRPr="005E4F79">
        <w:t xml:space="preserve">substantive thematic areas, </w:t>
      </w:r>
      <w:r w:rsidRPr="005E4F79">
        <w:t xml:space="preserve">driven by the rapid shift in healthcare delivery methods during and after the pandemic. </w:t>
      </w:r>
      <w:r w:rsidR="001636FC" w:rsidRPr="007E3B79">
        <w:t xml:space="preserve">In this </w:t>
      </w:r>
      <w:r w:rsidR="00764C15" w:rsidRPr="007E3B79">
        <w:t xml:space="preserve">literature </w:t>
      </w:r>
      <w:r w:rsidR="002A353D" w:rsidRPr="00384173">
        <w:t>ove</w:t>
      </w:r>
      <w:r w:rsidR="00764C15" w:rsidRPr="005E4F79">
        <w:t>rview</w:t>
      </w:r>
      <w:r w:rsidR="001636FC" w:rsidRPr="005E4F79">
        <w:t xml:space="preserve">, we focus on </w:t>
      </w:r>
      <w:r w:rsidR="004A64D6">
        <w:t>studies that are the most germa</w:t>
      </w:r>
      <w:r w:rsidR="00B20BD2">
        <w:t xml:space="preserve">ne to the current study, which include those that (a) investigate </w:t>
      </w:r>
      <w:r w:rsidR="00C416BD">
        <w:t>the sociodemographic determinants of telemedicine adoption</w:t>
      </w:r>
      <w:r w:rsidR="00B05595">
        <w:t>,</w:t>
      </w:r>
      <w:r w:rsidR="00C416BD">
        <w:t xml:space="preserve"> and </w:t>
      </w:r>
      <w:r w:rsidR="00B20BD2" w:rsidRPr="005E4F79">
        <w:t>(b) explor</w:t>
      </w:r>
      <w:r w:rsidR="00B20BD2">
        <w:t>e</w:t>
      </w:r>
      <w:r w:rsidR="00B20BD2" w:rsidRPr="005E4F79">
        <w:t xml:space="preserve"> </w:t>
      </w:r>
      <w:r w:rsidR="00B20BD2">
        <w:t xml:space="preserve">the </w:t>
      </w:r>
      <w:r w:rsidR="00B20BD2" w:rsidRPr="005E4F79">
        <w:t xml:space="preserve">service-related variables and </w:t>
      </w:r>
      <w:r w:rsidR="00B20BD2">
        <w:t xml:space="preserve">other </w:t>
      </w:r>
      <w:r w:rsidR="00B20BD2" w:rsidRPr="005E4F79">
        <w:t>reasons for telemedicine adoption from the patients’ perspective</w:t>
      </w:r>
      <w:r w:rsidR="00B05595">
        <w:t>.</w:t>
      </w:r>
      <w:r w:rsidR="00B20BD2" w:rsidRPr="005E4F79">
        <w:t xml:space="preserve"> </w:t>
      </w:r>
    </w:p>
    <w:p w14:paraId="1FCC2DDD" w14:textId="77777777" w:rsidR="003F4E56" w:rsidRPr="005E4F79" w:rsidRDefault="003F4E56" w:rsidP="009D0CA2">
      <w:pPr>
        <w:spacing w:after="0" w:line="240" w:lineRule="auto"/>
        <w:ind w:firstLine="720"/>
        <w:jc w:val="both"/>
      </w:pPr>
    </w:p>
    <w:p w14:paraId="5128E62F" w14:textId="469589D3" w:rsidR="007532A0" w:rsidRPr="005E4F79" w:rsidRDefault="001636FC" w:rsidP="009D0CA2">
      <w:pPr>
        <w:pStyle w:val="Heading2"/>
        <w:spacing w:after="0" w:line="240" w:lineRule="auto"/>
        <w:contextualSpacing w:val="0"/>
      </w:pPr>
      <w:bookmarkStart w:id="9" w:name="_Ref178940595"/>
      <w:r w:rsidRPr="005E4F79">
        <w:t xml:space="preserve">Sociodemographic </w:t>
      </w:r>
      <w:r w:rsidR="002A353D" w:rsidRPr="005E4F79">
        <w:t xml:space="preserve">and </w:t>
      </w:r>
      <w:r w:rsidR="00957DD9" w:rsidRPr="005E4F79">
        <w:t>Residential Location</w:t>
      </w:r>
      <w:r w:rsidR="002A353D" w:rsidRPr="005E4F79">
        <w:t xml:space="preserve"> </w:t>
      </w:r>
      <w:r w:rsidR="00957DD9" w:rsidRPr="005E4F79">
        <w:t xml:space="preserve">Correlates </w:t>
      </w:r>
      <w:r w:rsidRPr="005E4F79">
        <w:t>of Telemedicine Adoption</w:t>
      </w:r>
      <w:bookmarkEnd w:id="9"/>
    </w:p>
    <w:p w14:paraId="24E97639" w14:textId="4F4C8BED" w:rsidR="00E60E1B" w:rsidRPr="0069340B" w:rsidRDefault="0082391B" w:rsidP="009D0CA2">
      <w:pPr>
        <w:spacing w:after="0" w:line="240" w:lineRule="auto"/>
        <w:jc w:val="both"/>
        <w:rPr>
          <w:color w:val="000000" w:themeColor="text1"/>
        </w:rPr>
      </w:pPr>
      <w:r>
        <w:rPr>
          <w:color w:val="000000" w:themeColor="text1"/>
        </w:rPr>
        <w:t>I</w:t>
      </w:r>
      <w:r w:rsidR="00C218AB" w:rsidRPr="005E4F79">
        <w:rPr>
          <w:color w:val="000000" w:themeColor="text1"/>
        </w:rPr>
        <w:t xml:space="preserve">n this section, we focus on studies </w:t>
      </w:r>
      <w:r w:rsidR="0069340B">
        <w:rPr>
          <w:color w:val="000000" w:themeColor="text1"/>
        </w:rPr>
        <w:t xml:space="preserve">investigating </w:t>
      </w:r>
      <w:r w:rsidR="00C218AB" w:rsidRPr="005E4F79">
        <w:rPr>
          <w:color w:val="000000" w:themeColor="text1"/>
        </w:rPr>
        <w:t xml:space="preserve">the actual </w:t>
      </w:r>
      <w:r w:rsidR="00783171">
        <w:rPr>
          <w:color w:val="000000" w:themeColor="text1"/>
        </w:rPr>
        <w:t>adoption</w:t>
      </w:r>
      <w:r w:rsidR="00C218AB" w:rsidRPr="005E4F79">
        <w:rPr>
          <w:color w:val="000000" w:themeColor="text1"/>
        </w:rPr>
        <w:t xml:space="preserve"> or the expressed willingness to adopt telemedicine</w:t>
      </w:r>
      <w:r w:rsidR="0069340B">
        <w:rPr>
          <w:color w:val="000000" w:themeColor="text1"/>
        </w:rPr>
        <w:t xml:space="preserve"> at the individual level</w:t>
      </w:r>
      <w:r w:rsidR="0069340B">
        <w:t>.</w:t>
      </w:r>
      <w:r w:rsidRPr="005A1F2A">
        <w:rPr>
          <w:rStyle w:val="FootnoteReference"/>
        </w:rPr>
        <w:footnoteReference w:id="1"/>
      </w:r>
      <w:r w:rsidR="0069340B">
        <w:t xml:space="preserve"> </w:t>
      </w:r>
      <w:r w:rsidR="00D16132" w:rsidRPr="007E3B79">
        <w:t>Our overview is structured below based on the specific dem</w:t>
      </w:r>
      <w:r w:rsidR="00D16132" w:rsidRPr="005E4F79">
        <w:t xml:space="preserve">ographic factors that have been found to influence telemedicine adoption. </w:t>
      </w:r>
    </w:p>
    <w:p w14:paraId="72670686" w14:textId="77777777" w:rsidR="00F200CD" w:rsidRPr="00832A81" w:rsidRDefault="00F200CD" w:rsidP="009D0CA2">
      <w:pPr>
        <w:spacing w:after="0" w:line="240" w:lineRule="auto"/>
        <w:jc w:val="both"/>
        <w:rPr>
          <w:shd w:val="clear" w:color="auto" w:fill="FFFFFF"/>
        </w:rPr>
      </w:pPr>
    </w:p>
    <w:p w14:paraId="3CFE7546" w14:textId="6689DA85" w:rsidR="00E60E1B" w:rsidRPr="00832A81" w:rsidRDefault="00E60E1B" w:rsidP="009D0CA2">
      <w:pPr>
        <w:spacing w:after="0" w:line="240" w:lineRule="auto"/>
        <w:jc w:val="both"/>
        <w:rPr>
          <w:u w:val="single"/>
          <w:shd w:val="clear" w:color="auto" w:fill="FFFFFF"/>
        </w:rPr>
      </w:pPr>
      <w:r w:rsidRPr="00832A81">
        <w:rPr>
          <w:u w:val="single"/>
          <w:shd w:val="clear" w:color="auto" w:fill="FFFFFF"/>
        </w:rPr>
        <w:t>Age and Gender Effects</w:t>
      </w:r>
    </w:p>
    <w:p w14:paraId="05382C7F" w14:textId="7E63B837" w:rsidR="0069340B" w:rsidRDefault="00E60E1B" w:rsidP="0069340B">
      <w:pPr>
        <w:spacing w:after="0" w:line="240" w:lineRule="auto"/>
        <w:jc w:val="both"/>
        <w:rPr>
          <w:color w:val="000000" w:themeColor="text1"/>
          <w:shd w:val="clear" w:color="auto" w:fill="FFFFFF"/>
        </w:rPr>
      </w:pPr>
      <w:bookmarkStart w:id="10" w:name="_Hlk165977574"/>
      <w:r w:rsidRPr="00832A81">
        <w:rPr>
          <w:color w:val="000000" w:themeColor="text1"/>
          <w:shd w:val="clear" w:color="auto" w:fill="FFFFFF"/>
        </w:rPr>
        <w:t>A</w:t>
      </w:r>
      <w:r w:rsidR="00BD31BD" w:rsidRPr="00832A81">
        <w:rPr>
          <w:color w:val="000000" w:themeColor="text1"/>
          <w:shd w:val="clear" w:color="auto" w:fill="FFFFFF"/>
        </w:rPr>
        <w:t xml:space="preserve">ge and gender </w:t>
      </w:r>
      <w:r w:rsidRPr="00832A81">
        <w:rPr>
          <w:color w:val="000000" w:themeColor="text1"/>
          <w:shd w:val="clear" w:color="auto" w:fill="FFFFFF"/>
        </w:rPr>
        <w:t xml:space="preserve">have been </w:t>
      </w:r>
      <w:r w:rsidR="00702E42" w:rsidRPr="00832A81">
        <w:rPr>
          <w:color w:val="000000" w:themeColor="text1"/>
          <w:shd w:val="clear" w:color="auto" w:fill="FFFFFF"/>
        </w:rPr>
        <w:t xml:space="preserve">found to </w:t>
      </w:r>
      <w:r w:rsidR="00BD31BD" w:rsidRPr="00832A81">
        <w:rPr>
          <w:color w:val="000000" w:themeColor="text1"/>
          <w:shd w:val="clear" w:color="auto" w:fill="FFFFFF"/>
        </w:rPr>
        <w:t xml:space="preserve">significantly impact telemedicine utilization. </w:t>
      </w:r>
      <w:r w:rsidR="0069340B">
        <w:t xml:space="preserve">Multiple studies </w:t>
      </w:r>
      <w:r w:rsidR="0069340B">
        <w:rPr>
          <w:color w:val="000000" w:themeColor="text1"/>
          <w:shd w:val="clear" w:color="auto" w:fill="FFFFFF"/>
        </w:rPr>
        <w:t xml:space="preserve">(see </w:t>
      </w:r>
      <w:r w:rsidR="00BD31BD"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{"citationID":"uAuZjRYB","properties":{"formattedCitation":"(Eberly et al., 2020; Jaffe et al., 2020)","plainCitation":"(Eberly et al., 2020; Jaffe et al., 2020)","dontUpdate":true,"noteIndex":0},"citationItems":[{"id":2095,"uris":["http://zotero.org/users/9292995/items/66KTZ472"],"itemData":{"id":2095,"type":"article-journal","abstract":"The coronavirus disease 2019 (COVID-19) pandemic has required a shift in health care delivery platforms, necessitating a new reliance on telemedicine.To evaluate whether inequities are present in telemedicine use and video visit use for telemedicine visits during the COVID-19 pandemic.In this cohort study, a retrospective medical record review was conducted from March 16 to May 11, 2020, of all patients scheduled for telemedicine visits in primary care and specialty ambulatory clinics at a large academic health system. Age, race/ethnicity, sex, language, median household income, and insurance type were all identified from the electronic medical record.A successfully completed telemedicine visit and video (vs telephone) visit for a telemedicine encounter. Multivariable models were used to assess the association between sociodemographic factors, including sex, race/ethnicity, socioeconomic status, and language, and the use of telemedicine visits, as well as video use specifically.A total of 148 402 unique patients (86 055 women [58.0%]; mean [SD] age, 56.5 [17.7] years) had scheduled telemedicine visits during the study period; 80 780 patients (54.4%) completed visits. Of 78 539 patients with completed visits in which visit modality was specified, 35 824 (45.6%) were conducted via video, whereas 42 715 (54.4%) had telephone visits. In multivariable models, older age (adjusted odds ratio [aOR], 0.85 [95% CI, 0.83-0.88] for those aged 55-64 years; aOR, 0.75 [95% CI, 0.72-0.78] for those aged 65-74 years; aOR, 0.67 [95% CI, 0.64-0.70] for those aged ≥75 years), Asian race (aOR, 0.69 [95% CI, 0.66-0.73]), non-English language as the patient’s preferred language (aOR, 0.84 [95% CI, 0.78-0.90]), and Medicaid insurance (aOR, 0.93 [95% CI, 0.89-0.97]) were independently associated with fewer completed telemedicine visits. Older age (aOR, 0.79 [95% CI, 0.76-0.82] for those aged 55-64 years; aOR, 0.78 [95% CI, 0.74-0.83] for those aged 65-74 years; aOR, 0.49 [95% CI, 0.46-0.53] for those aged ≥75 years), female sex (aOR, 0.92 [95% CI, 0.90-0.95]), Black race (aOR, 0.65 [95% CI, 0.62-0.68]), Latinx ethnicity (aOR, 0.90 [95% CI, 0.83-0.97]), and lower household income (aOR, 0.57 [95% CI, 0.54-0.60] for income &amp;lt;$50 000; aOR, 0.89 [95% CI, 0.85-0.92], for $50 000-$100 000) were associated with less video use for telemedicine visits. These results were similar across medical specialties.In this cohort study of patients scheduled for primary care and medical specialty ambulatory telemedicine visits at a large academic health system during the early phase of the COVID-19 pandemic, older patients, Asian patients, and non–English-speaking patients had lower rates of telemedicine use, while older patients, female patients, Black, Latinx, and poorer patients had less video use. Inequities in accessing telemedicine care are present, which warrant further attention.","container-title":"JAMA Network Open","DOI":"10.1001/jamanetworkopen.2020.31640","ISSN":"2574-3805","issue":"12","journalAbbreviation":"JAMA Network Open","page":"e2031640","source":"Silverchair","title":"Patient Characteristics Associated With Telemedicine Access for Primary and Specialty Ambulatory Care During the COVID-19 Pandemic","volume":"3","author":[{"family":"Eberly","given":"Lauren A."},{"family":"Kallan","given":"Michael J."},{"family":"Julien","given":"Howard M."},{"family":"Haynes","given":"Norrisa"},{"family":"Khatana","given":"Sameed Ahmed M."},{"family":"Nathan","given":"Ashwin S."},{"family":"Snider","given":"Christopher"},{"family":"Chokshi","given":"Neel P."},{"family":"Eneanya","given":"Nwamaka D."},{"family":"Takvorian","given":"Samuel U."},{"family":"Anastos-Wallen","given":"Rebecca"},{"family":"Chaiyachati","given":"Krisda"},{"family":"Ambrose","given":"Marietta"},{"family":"O’Quinn","given":"Rupal"},{"family":"Seigerman","given":"Matthew"},{"family":"Goldberg","given":"Lee R."},{"family":"Leri","given":"Damien"},{"family":"Choi","given":"Katherine"},{"family":"Gitelman","given":"Yevginiy"},{"family":"Kolansky","given":"Daniel M."},{"family":"Cappola","given":"Thomas P."},{"family":"Ferrari","given":"Victor A."},{"family":"Hanson","given":"C. William"},{"family":"Deleener","given":"Mary Elizabeth"},{"family":"Adusumalli","given":"Srinath"}],"issued":{"date-parts":[["2020",12,29]]}}},{"id":2224,"uris":["http://zotero.org/users/9292995/items/5I64WJV6"],"itemData":{"id":2224,"type":"article-journal","abstract":"The use of remote health care services, or telehealth, is a promising solution for providing health care to those unable to access care in person easily and thus helping to reduce health inequalities. The COVID-19 pandemic and resulting stay-at-home orders in the United States have created an optimal situation for the use of telehealth services for non-life-threatening health care use. A retrospective cohort study was performed using Kantar's Claritis™ database, which links insurance claims encounters (Komodo Health) with patient-reported data (Kantar Health, National Health &amp; Wellness Survey). Logistic regression models (odds ratios [OR], 95% confidence intervals [CI]) examined predictors of telehealth versus in-person encounters. Adults ages ≥18 years eligible for payer-complete health care encounters in both March 2019 and March 2020 were identified (n = 35,376). Telehealth use increased from 0.2% in 2019 to 1.9% in 2020. In adjusted models of respondents with ≥1 health care encounter (n = 11,614), age, marital status, geographic residence (region; urban/rural), and presence of anxiety or depression were significant predictors of telehealth compared with in-person use in March 2020. For example, adults 45-46 years versus 18-44 years were less likely to use telehealth (OR 0.684, 95% CI: 0.561-0.834), and respondents living in urban versus rural areas were more likely to use telehealth (OR 1.543, 95% CI: 1.153-2.067). Substantial increases in telehealth use were observed during the onset of the COVID-19 pandemic in the United States; however, disparities existed. These inequalities represent the baseline landscape that population health management must monitor and address during this pandemic.","container-title":"Population Health Management","DOI":"10.1089/pop.2020.0186","ISSN":"1942-7905","issue":"5","journalAbbreviation":"Popul Health Manag","language":"eng","note":"PMID: 32816644","page":"368-377","source":"PubMed","title":"Health Inequalities in the Use of Telehealth in the United States in the Lens of COVID-19","volume":"23","author":[{"family":"Jaffe","given":"Dena H."},{"family":"Lee","given":"Lulu"},{"family":"Huynh","given":"Stephanie"},{"family":"Haskell","given":"Thomas P."}],"issued":{"date-parts":[["2020",10]]}}}],"schema":"https://github.com/citation-style-language/schema/raw/master/csl-citation.json"} </w:instrText>
      </w:r>
      <w:r w:rsidR="00BD31BD" w:rsidRPr="00832A81">
        <w:rPr>
          <w:color w:val="000000" w:themeColor="text1"/>
          <w:shd w:val="clear" w:color="auto" w:fill="FFFFFF"/>
        </w:rPr>
        <w:fldChar w:fldCharType="separate"/>
      </w:r>
      <w:r w:rsidR="00D061F9" w:rsidRPr="00D061F9">
        <w:t>Eberly et al.</w:t>
      </w:r>
      <w:r w:rsidR="0082391B">
        <w:t xml:space="preserve">, </w:t>
      </w:r>
      <w:r w:rsidR="00D061F9" w:rsidRPr="00D061F9">
        <w:t>2020</w:t>
      </w:r>
      <w:r w:rsidR="00D061F9">
        <w:t>,</w:t>
      </w:r>
      <w:r w:rsidR="00D061F9" w:rsidRPr="00D061F9">
        <w:t xml:space="preserve"> Jaffe et al.</w:t>
      </w:r>
      <w:r w:rsidR="0082391B">
        <w:t xml:space="preserve">, </w:t>
      </w:r>
      <w:r w:rsidR="00D061F9" w:rsidRPr="00D061F9">
        <w:t>2020</w:t>
      </w:r>
      <w:r w:rsidR="00BD31BD" w:rsidRPr="00832A81">
        <w:rPr>
          <w:color w:val="000000" w:themeColor="text1"/>
          <w:shd w:val="clear" w:color="auto" w:fill="FFFFFF"/>
        </w:rPr>
        <w:fldChar w:fldCharType="end"/>
      </w:r>
      <w:bookmarkEnd w:id="10"/>
      <w:r w:rsidR="00D061F9">
        <w:rPr>
          <w:color w:val="000000" w:themeColor="text1"/>
          <w:shd w:val="clear" w:color="auto" w:fill="FFFFFF"/>
        </w:rPr>
        <w:t xml:space="preserve">, </w:t>
      </w:r>
      <w:r w:rsidR="00D061F9">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{"citationID":"BroUB368","properties":{"formattedCitation":"(Zhang et al., 2021)","plainCitation":"(Zhang et al., 2021)","dontUpdate":true,"noteIndex":0},"citationItems":[{"id":2260,"uris":["http://zotero.org/users/9292995/items/AHD9S4MV"],"itemData":{"id":2260,"type":"article-journal","abstract":"Telehealth is an important source of health care during the COVID-19 pandemic. Evidence is scarce regarding disparities in telehealth utilization in the United States. We aimed to investigate the prevalence and factors associated with telehealth utilization among US adults. Our data came from the Health, Ethnicity, and Pandemic Study, a nationally representative survey conducted in October 2020, with 2554 adults ≥ 18 and an oversample of racial/ethnic minorities. Telehealth utilization was measured as self-reported teleconsultation with providers via email, text message, phone, video, and remote patient monitoring during the pandemic. Logistic regressions were performed to examine the association between telehealth use and factors at the individual, household, and community levels. Overall, 43% of the sample reported having used telehealth, representing 114.5 million adults in the nation. East and Southeast Asians used telehealth less than non-Hispanic Whites (OR = 0.5, 95% CI: 0.3–0.8). Being uninsured (compared with private insurance: OR = 0.4, 95% CI: 0.2–0.8), and those with limited broadband coverage in the community (OR = 0.5, 95% CI: 0.3–0.8) were less likely to use telehealth. There is a need to develop and implement more equitable policies and interventions at both the individual and community levels to improve access to telehealth services and reduce related disparities.","container-title":"Journal of Telemedicine and Telecare","DOI":"10.1177/1357633X211051677","ISSN":"1357-633X","issue":"1","journalAbbreviation":"J Telemed Telecare","language":"en","note":"publisher: SAGE Publications","page":"90-97","source":"SAGE Journals","title":"Disparities in telehealth utilization during the COVID-19 pandemic: Findings from a nationally representative survey in the United States","title-short":"Disparities in telehealth utilization during the COVID-19 pandemic","volume":"30","author":[{"family":"Zhang","given":"Donglan"},{"family":"Shi","given":"Lu"},{"family":"Han","given":"Xuesong"},{"family":"Li","given":"Yan"},{"family":"Jalajel","given":"Nahyo A"},{"family":"Patel","given":"Sejal"},{"family":"Chen","given":"Zhuo"},{"family":"Chen","given":"Liwei"},{"family":"Wen","given":"Ming"},{"family":"Li","given":"Hongmei"},{"family":"Chen","given":"Baojiang"},{"family":"Li","given":"Jian"},{"family":"Su","given":"Dejun"}],"issued":{"date-parts":[["2021"]]}}}],"schema":"https://github.com/citation-style-language/schema/raw/master/csl-citation.json"} </w:instrText>
      </w:r>
      <w:r w:rsidR="00D061F9">
        <w:rPr>
          <w:color w:val="000000" w:themeColor="text1"/>
          <w:shd w:val="clear" w:color="auto" w:fill="FFFFFF"/>
        </w:rPr>
        <w:fldChar w:fldCharType="separate"/>
      </w:r>
      <w:r w:rsidR="00D061F9" w:rsidRPr="00D061F9">
        <w:t>Zhang et al.</w:t>
      </w:r>
      <w:r w:rsidR="0082391B">
        <w:t xml:space="preserve">, </w:t>
      </w:r>
      <w:r w:rsidR="00D061F9" w:rsidRPr="00D061F9">
        <w:t>2021</w:t>
      </w:r>
      <w:r w:rsidR="00D061F9">
        <w:rPr>
          <w:color w:val="000000" w:themeColor="text1"/>
          <w:shd w:val="clear" w:color="auto" w:fill="FFFFFF"/>
        </w:rPr>
        <w:fldChar w:fldCharType="end"/>
      </w:r>
      <w:r w:rsidR="00D061F9">
        <w:rPr>
          <w:color w:val="000000" w:themeColor="text1"/>
          <w:shd w:val="clear" w:color="auto" w:fill="FFFFFF"/>
        </w:rPr>
        <w:t xml:space="preserve">, </w:t>
      </w:r>
      <w:r w:rsidR="00D061F9">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{"citationID":"JyyvREVl","properties":{"formattedCitation":"(Drake et al., 2022; Xu et al., 2022)","plainCitation":"(Drake et al., 2022; Xu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B"},{"family":"Shah","given":"Kevin"}],"issued":{"date-parts":[["2022"]]}}},{"id":2104,"uris":["http://zotero.org/users/9292995/items/QIAHX3DE"],"itemData":{"id":2104,"type":"article-journal","abstract":"Background\nThe adoption of telehealth services has been a challenge in rural communities. The reasons for the slow adoption of such technology-driven services have been attributed to social norms, health care policies, and a lack of infrastructure to support the delivery of services. However, the COVID-19 pandemic–related shutdown of in-person health care services resulted in the usage of telehealth services as a necessity rather than a choice. The pandemic also fast-tracked some needed legislation to allow medical cost reimbursement for remote examination and health care services. As services return to normalcy, it is important to examine whether the usage of telehealth services during the period of a shutdown has changed any of the trends in the acceptance of telehealth as a reliable alternative to traditional in-person health care services.\n\nObjective\nOur aim was to explore whether the temporary shift to telehealth services has changed the attitudes toward the usage of technology-enabled health services in rural communities.\n\nMethods\nWe examined the Medicaid reimbursement data for the state of Alabama from March 2019 through June 2021. Selecting the telehealth service codes, we explored the adoption rates in 3 phases of the COVID-19 shutdown: prepandemic, pandemic before the rollout of mass vaccination, and pandemic after the rollout of mass vaccination.\n\nResults\nThe trend in telemedicine claims had an opposite pattern to that in nontelemedicine claims across the 3 periods. The distribution of various characteristics of patients who used telemedicine (age group, gender, race, level of rurality, and service provider type) was different across the 3 periods. Claims related to behavior and mental health had the highest rates of telemedicine usage after the onset of the pandemic. The rate of telemedicine usage remained at a high level after the rollout of mass vaccination.\n\nConclusions\nThe current trends indicate that adoption of telehealth services is likely to increase postpandemic and that the consumers (patients), service providers, health care establishments, insurance companies, and state and local policies have changed their attitudes toward telehealth. An increase in the use of telehealth could help local and federal governments address the shortage of health care facilities and service providers in underserved communities, and patients can get the much-needed care in a timely and effective manner.","container-title":"Journal of Medical Internet Research","DOI":"10.2196/38602","ISSN":"1439-4456","issue":"7","journalAbbreviation":"J Med Internet Res","note":"PMID: 35786564\nPMCID: PMC9290332","page":"e38602","source":"PubMed Central","title":"Pandemic-Triggered Adoption of Telehealth in Underserved Communities: Descriptive Study of Pre- and Postshutdown Trends","title-short":"Pandemic-Triggered Adoption of Telehealth in Underserved Communities","volume":"24","author":[{"family":"Xu","given":"Pei"},{"family":"Hudnall","given":"Matthew"},{"family":"Zhao","given":"Sidi"},{"family":"Raja","given":"Uzma"},{"family":"Parton","given":"Jason"},{"family":"Lewis","given":"Dwight"}],"issued":{"date-parts":[["2022",7,15]]}}}],"schema":"https://github.com/citation-style-language/schema/raw/master/csl-citation.json"} </w:instrText>
      </w:r>
      <w:r w:rsidR="00D061F9">
        <w:rPr>
          <w:color w:val="000000" w:themeColor="text1"/>
          <w:shd w:val="clear" w:color="auto" w:fill="FFFFFF"/>
        </w:rPr>
        <w:fldChar w:fldCharType="separate"/>
      </w:r>
      <w:r w:rsidR="00D061F9" w:rsidRPr="00D061F9">
        <w:t>Drake et al.</w:t>
      </w:r>
      <w:r w:rsidR="0082391B">
        <w:t xml:space="preserve">, </w:t>
      </w:r>
      <w:r w:rsidR="00D061F9" w:rsidRPr="00D061F9">
        <w:t>2022</w:t>
      </w:r>
      <w:r w:rsidR="00D061F9">
        <w:t>,</w:t>
      </w:r>
      <w:r w:rsidR="00D061F9" w:rsidRPr="00D061F9">
        <w:t xml:space="preserve"> Xu et al.</w:t>
      </w:r>
      <w:r w:rsidR="0082391B">
        <w:t xml:space="preserve">, </w:t>
      </w:r>
      <w:r w:rsidR="00D061F9" w:rsidRPr="00D061F9">
        <w:t>2022</w:t>
      </w:r>
      <w:r w:rsidR="00D061F9">
        <w:rPr>
          <w:color w:val="000000" w:themeColor="text1"/>
          <w:shd w:val="clear" w:color="auto" w:fill="FFFFFF"/>
        </w:rPr>
        <w:fldChar w:fldCharType="end"/>
      </w:r>
      <w:r w:rsidR="00D061F9">
        <w:rPr>
          <w:color w:val="000000" w:themeColor="text1"/>
          <w:shd w:val="clear" w:color="auto" w:fill="FFFFFF"/>
        </w:rPr>
        <w:t>,</w:t>
      </w:r>
      <w:r w:rsidR="0082391B">
        <w:rPr>
          <w:color w:val="000000" w:themeColor="text1"/>
          <w:shd w:val="clear" w:color="auto" w:fill="FFFFFF"/>
        </w:rPr>
        <w:t xml:space="preserve"> </w:t>
      </w:r>
      <w:r w:rsidR="00D061F9">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{"citationID":"nMPN5i4J","properties":{"formattedCitation":"(Chandrasekaran, 2023; Chen et al., 2023)","plainCitation":"(Chandrasekaran, 2023; Chen et al., 2023)","dontUpdate":true,"noteIndex":0},"citationItems":[{"id":2109,"uris":["http://zotero.org/users/9292995/items/JHY5WA7B"],"itemData":{"id":2109,"type":"article-journal","container-title":"Telemedicine and e-Health","DOI":"10.1089/tmj.2023.0277","language":"en","source":"www-liebertpub-com.ezproxy.lib.utexas.edu","title":"Telemedicine in the Post-Pandemic Period: Understanding Patterns of Use and the Influence of Socioeconomic Demographics, Health Status, and Social Determinants","title-short":"Telemedicine in the Post-Pandemic Period","URL":"https://www.liebertpub.com/doi/10.1089/tmj.2023.0277","author":[{"family":"Chandrasekaran","given":"Ranganathan"}],"accessed":{"date-parts":[["2023",9,21]]},"issued":{"date-parts":[["2023"]]}}},{"id":2280,"uris":["http://zotero.org/users/9292995/items/W45LD2UL"],"itemData":{"id":2280,"type":"article-journal","abstract":"Understanding patient characteristics associated with scheduling and completing telehealth visits can identify potential biases or latent preferences related to telehealth usage. We describe patient characteristics associated with being scheduled for and completing audio and video visits. We used data from patients at 17 adult primary care departments in a large, urban public healthcare system from August 1, 2020 to July 31, 2021. We used hierarchical multivariable logistic regression to generate adjusted odds ratios (aOR) for patient characteristics associated with having been scheduled for and completed telehealth (vs in-person) visits and for video (vs audio) scheduling and completion during two time periods: a telehealth transition period (N = 190,949) and a telehealth elective period (N = 181,808). Patient characteristics were significantly associated with scheduling and completion of telehealth visits. Many associations were similar across time periods, but others changed over time. Patients who were older (≥ 65 years old vs 18–44 years old: aOR for scheduling 0.53/completion 0.48), Black (0.86/0.71), Hispanic (0.76/0.62), or had Medicaid (0.93/0.84) were among those less likely to be scheduled for or complete video (vs audio) visits. Patients with activated patient portals (1.97/3.34) or more visits (≥ 3 scheduled visits vs 1 visit: 2.40/1.52) were more likely to be scheduled for or complete video visits. Variation in scheduling/completion explained by patient characteristics was 7.2%/7.5%, clustering by provider 37.2%/34.9%, and clustering by facility 43.1%/37.4%. Stable and dynamic associations suggest persistent gaps in access and evolving preferences/biases. Variation explained by patient characteristics was relatively low compared with that explained by provider and facility clustering.","container-title":"Journal of Urban Health","DOI":"10.1007/s11524-023-00744-9","ISSN":"1468-2869","issue":"3","journalAbbreviation":"J Urban Health","language":"en","page":"468-477","source":"Springer Link","title":"Patient Characteristics Associated with Telehealth Scheduling and Completion in Primary Care at a Large, Urban Public Healthcare System","volume":"100","author":[{"family":"Chen","given":"Kevin"},{"family":"Zhang","given":"Christine"},{"family":"Gurley","given":"Alexandra"},{"family":"Akkem","given":"Shashi"},{"family":"Jackson","given":"Hannah"}],"issued":{"date-parts":[["2023",6,1]]}}}],"schema":"https://github.com/citation-style-language/schema/raw/master/csl-citation.json"} </w:instrText>
      </w:r>
      <w:r w:rsidR="00D061F9">
        <w:rPr>
          <w:color w:val="000000" w:themeColor="text1"/>
          <w:shd w:val="clear" w:color="auto" w:fill="FFFFFF"/>
        </w:rPr>
        <w:fldChar w:fldCharType="separate"/>
      </w:r>
      <w:r w:rsidR="00D061F9" w:rsidRPr="00D061F9">
        <w:t>Chandrasekaran</w:t>
      </w:r>
      <w:r w:rsidR="0082391B">
        <w:t xml:space="preserve">, </w:t>
      </w:r>
      <w:r w:rsidR="00D061F9" w:rsidRPr="00D061F9">
        <w:t>2023</w:t>
      </w:r>
      <w:r w:rsidR="00D061F9">
        <w:t>, and</w:t>
      </w:r>
      <w:r w:rsidR="00D061F9" w:rsidRPr="00D061F9">
        <w:t xml:space="preserve"> Chen et al.</w:t>
      </w:r>
      <w:r w:rsidR="0082391B">
        <w:t xml:space="preserve">, </w:t>
      </w:r>
      <w:r w:rsidR="00D061F9" w:rsidRPr="00D061F9">
        <w:t>2023)</w:t>
      </w:r>
      <w:r w:rsidR="00D061F9">
        <w:rPr>
          <w:color w:val="000000" w:themeColor="text1"/>
          <w:shd w:val="clear" w:color="auto" w:fill="FFFFFF"/>
        </w:rPr>
        <w:fldChar w:fldCharType="end"/>
      </w:r>
      <w:r w:rsidR="0069340B">
        <w:rPr>
          <w:color w:val="000000" w:themeColor="text1"/>
          <w:shd w:val="clear" w:color="auto" w:fill="FFFFFF"/>
        </w:rPr>
        <w:t xml:space="preserve">) </w:t>
      </w:r>
      <w:r w:rsidR="00BD31BD" w:rsidRPr="00832A81">
        <w:rPr>
          <w:color w:val="000000" w:themeColor="text1"/>
          <w:shd w:val="clear" w:color="auto" w:fill="FFFFFF"/>
        </w:rPr>
        <w:t xml:space="preserve">suggest that </w:t>
      </w:r>
      <w:r w:rsidRPr="00832A81">
        <w:rPr>
          <w:color w:val="000000" w:themeColor="text1"/>
          <w:shd w:val="clear" w:color="auto" w:fill="FFFFFF"/>
        </w:rPr>
        <w:t>women</w:t>
      </w:r>
      <w:r w:rsidR="00BD31BD" w:rsidRPr="00832A81">
        <w:rPr>
          <w:color w:val="000000" w:themeColor="text1"/>
          <w:shd w:val="clear" w:color="auto" w:fill="FFFFFF"/>
        </w:rPr>
        <w:t xml:space="preserve"> may have a greater propensity to</w:t>
      </w:r>
      <w:r w:rsidR="0082391B">
        <w:rPr>
          <w:color w:val="000000" w:themeColor="text1"/>
          <w:shd w:val="clear" w:color="auto" w:fill="FFFFFF"/>
        </w:rPr>
        <w:t xml:space="preserve"> take to </w:t>
      </w:r>
      <w:r w:rsidR="00BD31BD" w:rsidRPr="00832A81">
        <w:rPr>
          <w:color w:val="000000" w:themeColor="text1"/>
          <w:shd w:val="clear" w:color="auto" w:fill="FFFFFF"/>
        </w:rPr>
        <w:t>tele</w:t>
      </w:r>
      <w:r w:rsidR="002A353D" w:rsidRPr="00832A81">
        <w:rPr>
          <w:color w:val="000000" w:themeColor="text1"/>
          <w:shd w:val="clear" w:color="auto" w:fill="FFFFFF"/>
        </w:rPr>
        <w:t>medicine</w:t>
      </w:r>
      <w:r w:rsidR="0069340B">
        <w:rPr>
          <w:color w:val="000000" w:themeColor="text1"/>
          <w:shd w:val="clear" w:color="auto" w:fill="FFFFFF"/>
        </w:rPr>
        <w:t xml:space="preserve"> than men,</w:t>
      </w:r>
      <w:r w:rsidR="0069340B" w:rsidRPr="0069340B">
        <w:t xml:space="preserve"> </w:t>
      </w:r>
      <w:r w:rsidR="0069340B">
        <w:t xml:space="preserve">though some research </w:t>
      </w:r>
      <w:r w:rsidR="0069340B">
        <w:rPr>
          <w:color w:val="000000" w:themeColor="text1"/>
          <w:shd w:val="clear" w:color="auto" w:fill="FFFFFF"/>
        </w:rPr>
        <w:t>(</w:t>
      </w:r>
      <w:bookmarkStart w:id="11" w:name="_Hlk165977687"/>
      <w:r w:rsidR="0069340B">
        <w:rPr>
          <w:color w:val="000000" w:themeColor="text1"/>
          <w:shd w:val="clear" w:color="auto" w:fill="FFFFFF"/>
        </w:rPr>
        <w:t xml:space="preserve">see </w:t>
      </w:r>
      <w:r w:rsidR="00BD31BD"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{"citationID":"FAOcTSR2","properties":{"formattedCitation":"(Schifeling et al., 2020; Sharma et al., 2024)","plainCitation":"(Schifeling et al., 2020; Sharma et al., 2024)","dontUpdate":true,"noteIndex":0},"citationItems":[{"id":2226,"uris":["http://zotero.org/users/9292995/items/4XWLVNAH"],"itemData":{"id":2226,"type":"article-journal","abstract":"Background: Telephone and video telemedicine appointments have been a crucial service delivery method during the COVID-19 pandemic for maintaining access to health care without increasing the risk of exposure. Although studies conducted prior to the pandemic have suggested that telemedicine is an acceptable format for older adults, there is a paucity of data on the practical implementation of telemedicine visits. Due to prior lack of reimbursement for telemedicine visits involving nonrural patients, no studies have compared telephone visits to video visits in geriatric primary care.\nObjective: This study aimed to determine (1) whether video visits had longer durations, more visit diagnoses, and more advance care planning discussions than telephone visits during the rapid implementation of telemedicine in the COVID-19 pandemic, and (2) whether disparities in visit type existed based on patient characteristics.\nMethods: We conducted a retrospective, cross-sectional analysis of patients seen at two geriatric clinics from April 23 to May 22, 2020. Approximately 25% of patients who had telephone and video appointments during this time underwent chart review. We analyzed patient characteristics, visit characteristics, duration of visits, number of visit diagnoses, and the presence of advance care planning discussion in clinical documentation.\nResults: Of the 190 appointments reviewed, 47.4% (n=90) were video visits. Compared to telephone appointments, videoconferencing was, on average, 7 minutes longer (mean 37.3 minutes, SD 10 minutes; P&amp;lt;.001) and had, on average, 1.2 more visit diagnoses (mean 5.7, SD 3; P=.001). Video and telephone visits had similar rates of advance care planning. Furthermore, hearing, vision, and cognitive impairment did not result in different rates of video or telephone appointments. Non-White patients, patients who needed interpreter services, and patients who received Medicaid were less likely to have video visits than White patients, patients who did not need an interpreter, and patients who did not receive Medicaid, respectively (P=.003, P=.01, P&amp;lt;.001, respectively).\nConclusions: Although clinicians spent more time on video visits than telephone visits, more than half of this study’s older patients did not use video visits, especially if they were from racial or ethnic minority backgrounds or Medicaid beneficiaries. This potential health care disparity merits greater attention.","container-title":"JMIR Aging","DOI":"10.2196/23176","issue":"2","language":"EN","license":"This is an open-access article distributed under the terms of the Creative Commons Attribution License (https://creativecommons.org/licenses/by/4.0/), which permits unrestricted use, distribution, and reproduction in any medium, provided the original work, first published JMIR Aging, is properly cited. The complete bibliographic information, a link to the original publication on https://aging.jmir.org/, as well as this copyright and license information must be included.","note":"Company: JMIR Aging\nDistributor: JMIR Aging\nInstitution: JMIR Aging\nLabel: JMIR Aging\npublisher: JMIR Publications Inc., Toronto, Canada","page":"e23176","source":"aging.jmir.org","title":"Disparities in Video and Telephone Visits Among Older Adults During the COVID-19 Pandemic: Cross-Sectional Analysis","title-short":"Disparities in Video and Telephone Visits Among Older Adults During the COVID-19 Pandemic","volume":"3","author":[{"family":"Schifeling","given":"Christopher H."},{"family":"Shanbhag","given":"Prajakta"},{"family":"Johnson","given":"Angene"},{"family":"Atwater","given":"Riannon C."},{"family":"Koljack","given":"Claire"},{"family":"Parnes","given":"Bennett L."},{"family":"Vejar","given":"Maria M."},{"family":"Farro","given":"Samantha A."},{"family":"Phimphasone-Brady","given":"Phoutdavone"},{"family":"Lum","given":"Hillary D."}],"issued":{"date-parts":[["2020",11,10]]}}},{"id":2204,"uris":["http://zotero.org/users/9292995/items/B5LDPDSV"],"itemData":{"id":2204,"type":"article-journal","abstract":"BACKGROUND: During the COVID-19 outbreak, video appointments became a popular method for health care delivery, particularly in the early stages of the pandemic. Although Mayo Clinic aimed to reduce face-to-face (F2F) appointments to prevent the spread of the virus, some patients continued seeing their health care providers in person. In the later stages of the pandemic, many patients became comfortable with video appointments, even if they were initially hesitant. However, a subset of patients continued to avoid video appointments. It is not yet clear what sociodemographic factors may be associated with this group of patients.\nOBJECTIVE: This cross-sectional study aimed to examine demographic and social determinant of health (SDoH) factors associated with persistent nonusers of video appointments among a sample of patients within a multistate health care organization. We also explored patient beliefs about the use of video for health care appointments.\nMETHODS: We conducted a 1-time cross-sectional paper survey, mailed between July and December 2022, of patients matching the eligibility criteria: (1) aged ≥18 years as of April 2020, (2) Mayo Clinic Midwest, Florida, or Arizona patient, (3) did not use video appointment services during April-December 2020 but attended F2F appointments in the departments of primary care and psychiatry/psychology. The survey asked patients, \"Have you ever had a video appointment with a healthcare provider?\" \"Yes\" respondents were defined as \"users\" (adapted to video appointments), and \"no\" respondents were defined as \"persistent nonusers\" of video appointments. We analyzed demographics, SDoH, and patient beliefs toward video appointments in 2 groups: persistent nonusers of video appointments and users. We used chi-square and 2-tailed t tests for analysis.\nRESULTS: Our findings indicate that patients who were older, lived in rural areas, sought care at Mayo Clinic Midwest, and did not have access to the patient portal system were likely to be persistent nonusers of video appointments. Only 1 SDoH factor (not having a disability, handicap, or chronic disease) was associated with persistent nonuse of video appointments. Persistent nonusers of video appointments held personal beliefs such as discomfort with video communication, difficulty interpreting nonverbal cues, and personal preference for F2F appointments over video.\nCONCLUSIONS: Our study identified demographic (older age and rural residence), sociodemographic factors (not having a disability, handicap, or chronic disease), and personal beliefs associated with patients' decisions to choose between video versus F2F appointments for health care delivery. Health care institutions should assess patients' negative attitudes toward technology prior to introducing them to digital health care services. Failing to do so may result in its restricted usage, negative patient experience, and wasted resources. For patients who hold negative beliefs about technology but are willing to learn, a \"digital health coordinator\" could be assigned to assist with various digital health solutions.","container-title":"JMIR formative research","DOI":"10.2196/50572","ISSN":"2561-326X","journalAbbreviation":"JMIR Form Res","language":"eng","note":"PMID: 38265855","page":"e50572","source":"PubMed","title":"Demographics and Social Factors Associated With Persistent Nonuse of Video Appointments at a Multisite Health Care Institution: Cross-Sectional Study","title-short":"Demographics and Social Factors Associated With Persistent Nonuse of Video Appointments at a Multisite Health Care Institution","volume":"8","author":[{"family":"Sharma","given":"Pravesh"},{"family":"Kamath","given":"Celia"},{"family":"Brockman","given":"Tabetha A."},{"family":"Roche","given":"Anne"},{"family":"Sinicrope","given":"Pamela"},{"family":"Jiang","given":"Ruoxiang"},{"family":"Decker","given":"Paul A."},{"family":"Pazdernik","given":"Vanessa"},{"family":"Patten","given":"Christi"}],"issued":{"date-parts":[["2024",1,24]]}}}],"schema":"https://github.com/citation-style-language/schema/raw/master/csl-citation.json"} </w:instrText>
      </w:r>
      <w:r w:rsidR="00BD31BD" w:rsidRPr="00832A81">
        <w:rPr>
          <w:color w:val="000000" w:themeColor="text1"/>
          <w:shd w:val="clear" w:color="auto" w:fill="FFFFFF"/>
        </w:rPr>
        <w:fldChar w:fldCharType="separate"/>
      </w:r>
      <w:r w:rsidR="00BD31BD" w:rsidRPr="00832A81">
        <w:rPr>
          <w:color w:val="000000" w:themeColor="text1"/>
        </w:rPr>
        <w:t>Schifeling et al.</w:t>
      </w:r>
      <w:r w:rsidR="0069340B">
        <w:rPr>
          <w:color w:val="000000" w:themeColor="text1"/>
        </w:rPr>
        <w:t>,</w:t>
      </w:r>
      <w:r w:rsidR="00BD31BD" w:rsidRPr="00832A81">
        <w:rPr>
          <w:color w:val="000000" w:themeColor="text1"/>
        </w:rPr>
        <w:t xml:space="preserve"> 2020</w:t>
      </w:r>
      <w:r w:rsidR="00D061F9">
        <w:rPr>
          <w:color w:val="000000" w:themeColor="text1"/>
        </w:rPr>
        <w:t>, and</w:t>
      </w:r>
      <w:r w:rsidR="00BD31BD" w:rsidRPr="00832A81">
        <w:rPr>
          <w:color w:val="000000" w:themeColor="text1"/>
        </w:rPr>
        <w:t xml:space="preserve"> Sharma et al.</w:t>
      </w:r>
      <w:r w:rsidR="0069340B">
        <w:rPr>
          <w:color w:val="000000" w:themeColor="text1"/>
        </w:rPr>
        <w:t>,</w:t>
      </w:r>
      <w:r w:rsidR="00BD31BD" w:rsidRPr="00832A81">
        <w:rPr>
          <w:color w:val="000000" w:themeColor="text1"/>
        </w:rPr>
        <w:t xml:space="preserve"> 2024</w:t>
      </w:r>
      <w:r w:rsidR="00BD31BD" w:rsidRPr="00832A81">
        <w:rPr>
          <w:color w:val="000000" w:themeColor="text1"/>
          <w:shd w:val="clear" w:color="auto" w:fill="FFFFFF"/>
        </w:rPr>
        <w:fldChar w:fldCharType="end"/>
      </w:r>
      <w:r w:rsidR="00656200">
        <w:rPr>
          <w:color w:val="000000" w:themeColor="text1"/>
          <w:shd w:val="clear" w:color="auto" w:fill="FFFFFF"/>
        </w:rPr>
        <w:t>)</w:t>
      </w:r>
      <w:r w:rsidR="00BD31BD" w:rsidRPr="00832A81">
        <w:rPr>
          <w:color w:val="000000" w:themeColor="text1"/>
          <w:shd w:val="clear" w:color="auto" w:fill="FFFFFF"/>
        </w:rPr>
        <w:t xml:space="preserve"> </w:t>
      </w:r>
      <w:bookmarkEnd w:id="11"/>
      <w:r w:rsidR="00BD31BD" w:rsidRPr="00832A81">
        <w:rPr>
          <w:color w:val="000000" w:themeColor="text1"/>
          <w:shd w:val="clear" w:color="auto" w:fill="FFFFFF"/>
        </w:rPr>
        <w:t>report</w:t>
      </w:r>
      <w:r w:rsidR="0069340B">
        <w:rPr>
          <w:color w:val="000000" w:themeColor="text1"/>
          <w:shd w:val="clear" w:color="auto" w:fill="FFFFFF"/>
        </w:rPr>
        <w:t xml:space="preserve">s no significant gender </w:t>
      </w:r>
      <w:r w:rsidR="00BD31BD" w:rsidRPr="00832A81">
        <w:rPr>
          <w:color w:val="000000" w:themeColor="text1"/>
          <w:shd w:val="clear" w:color="auto" w:fill="FFFFFF"/>
        </w:rPr>
        <w:t>association</w:t>
      </w:r>
      <w:r w:rsidR="0069340B">
        <w:rPr>
          <w:color w:val="000000" w:themeColor="text1"/>
          <w:shd w:val="clear" w:color="auto" w:fill="FFFFFF"/>
        </w:rPr>
        <w:t>,</w:t>
      </w:r>
      <w:r w:rsidR="00BD31BD" w:rsidRPr="00832A81">
        <w:rPr>
          <w:color w:val="000000" w:themeColor="text1"/>
          <w:shd w:val="clear" w:color="auto" w:fill="FFFFFF"/>
        </w:rPr>
        <w:t xml:space="preserve"> indicating</w:t>
      </w:r>
      <w:r w:rsidR="0069340B">
        <w:rPr>
          <w:color w:val="000000" w:themeColor="text1"/>
          <w:shd w:val="clear" w:color="auto" w:fill="FFFFFF"/>
        </w:rPr>
        <w:t xml:space="preserve"> variability across </w:t>
      </w:r>
      <w:r w:rsidR="00BD31BD" w:rsidRPr="00832A81">
        <w:rPr>
          <w:color w:val="000000" w:themeColor="text1"/>
          <w:shd w:val="clear" w:color="auto" w:fill="FFFFFF"/>
        </w:rPr>
        <w:t>population</w:t>
      </w:r>
      <w:r w:rsidR="0082391B">
        <w:rPr>
          <w:color w:val="000000" w:themeColor="text1"/>
          <w:shd w:val="clear" w:color="auto" w:fill="FFFFFF"/>
        </w:rPr>
        <w:t xml:space="preserve"> contexts and geographic </w:t>
      </w:r>
      <w:r w:rsidR="00BD31BD" w:rsidRPr="00832A81">
        <w:rPr>
          <w:color w:val="000000" w:themeColor="text1"/>
          <w:shd w:val="clear" w:color="auto" w:fill="FFFFFF"/>
        </w:rPr>
        <w:t xml:space="preserve">settings. </w:t>
      </w:r>
    </w:p>
    <w:p w14:paraId="59D7588D" w14:textId="17E682BE" w:rsidR="00567257" w:rsidRDefault="0069340B" w:rsidP="0069340B">
      <w:pPr>
        <w:spacing w:after="0" w:line="240" w:lineRule="auto"/>
        <w:ind w:firstLine="720"/>
        <w:jc w:val="both"/>
        <w:rPr>
          <w:color w:val="000000" w:themeColor="text1"/>
          <w:shd w:val="clear" w:color="auto" w:fill="FFFFFF"/>
        </w:rPr>
      </w:pPr>
      <w:r>
        <w:rPr>
          <w:color w:val="000000" w:themeColor="text1"/>
          <w:shd w:val="clear" w:color="auto" w:fill="FFFFFF"/>
        </w:rPr>
        <w:t xml:space="preserve">Age also </w:t>
      </w:r>
      <w:r w:rsidR="0082391B">
        <w:rPr>
          <w:color w:val="000000" w:themeColor="text1"/>
          <w:shd w:val="clear" w:color="auto" w:fill="FFFFFF"/>
        </w:rPr>
        <w:t xml:space="preserve">has been identified as </w:t>
      </w:r>
      <w:r w:rsidR="00567257" w:rsidRPr="00832A81">
        <w:rPr>
          <w:color w:val="000000" w:themeColor="text1"/>
          <w:shd w:val="clear" w:color="auto" w:fill="FFFFFF"/>
        </w:rPr>
        <w:t xml:space="preserve">a significant determinant of telemedicine </w:t>
      </w:r>
      <w:r w:rsidR="00783171">
        <w:rPr>
          <w:color w:val="000000" w:themeColor="text1"/>
          <w:shd w:val="clear" w:color="auto" w:fill="FFFFFF"/>
        </w:rPr>
        <w:t>adoption</w:t>
      </w:r>
      <w:r w:rsidR="00567257" w:rsidRPr="00832A81">
        <w:rPr>
          <w:color w:val="000000" w:themeColor="text1"/>
          <w:shd w:val="clear" w:color="auto" w:fill="FFFFFF"/>
        </w:rPr>
        <w:t>. Studies consistently show that younger adults, typically under 45 years old</w:t>
      </w:r>
      <w:r w:rsidR="0095531B" w:rsidRPr="00832A81">
        <w:rPr>
          <w:color w:val="000000" w:themeColor="text1"/>
          <w:shd w:val="clear" w:color="auto" w:fill="FFFFFF"/>
        </w:rPr>
        <w:t xml:space="preserve"> (see</w:t>
      </w:r>
      <w:bookmarkStart w:id="12" w:name="_Hlk165977717"/>
      <w:r w:rsidR="00D061F9">
        <w:rPr>
          <w:color w:val="000000" w:themeColor="text1"/>
          <w:shd w:val="clear" w:color="auto" w:fill="FFFFFF"/>
        </w:rPr>
        <w:t xml:space="preserve"> </w:t>
      </w:r>
      <w:r w:rsidR="0095531B"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{"citationID":"bvdGmScT","properties":{"formattedCitation":"(Drake et al., 2022; Fischer et al., 2022; Xu et al., 2022)","plainCitation":"(Drake et al., 2022; Fischer et al., 2022; Xu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B"},{"family":"Shah","given":"Kevin"}],"issued":{"date-parts":[["2022"]]}}},{"id":2222,"uris":["http://zotero.org/users/9292995/items/IESQ79V4"],"itemData":{"id":2222,"type":"article-journal","abstract":"We examined use of and willingness to use video telehealth during the COVID-19 pandemic in a longitudinally followed cohort. Between February 2019 and March 2021, use and willingness to use increased among nearly all subgroups, with large increases among Black adults and adults with lower educational attainment. In March 2021 Black adults, adults ages 20-39, and high-income adults reported the greatest willingness to use video telehealth.","container-title":"Health Affairs (Project Hope)","DOI":"10.1377/hlthaff.2022.00118","ISSN":"1544-5208","issue":"11","journalAbbreviation":"Health Aff (Millwood)","language":"eng","note":"PMID: 36343311","page":"1645-1651","source":"PubMed","title":"Use Of And Willingness To Use Video Telehealth Through The COVID-19 Pandemic","volume":"41","author":[{"family":"Fischer","given":"Shira H."},{"family":"Predmore","given":"Zachary"},{"family":"Roth","given":"Elizabeth"},{"family":"Uscher-Pines","given":"Lori"},{"family":"Baird","given":"Matthew"},{"family":"Breslau","given":"Joshua"}],"issued":{"date-parts":[["2022",11]]}}},{"id":2104,"uris":["http://zotero.org/users/9292995/items/QIAHX3DE"],"itemData":{"id":2104,"type":"article-journal","abstract":"Background\nThe adoption of telehealth services has been a challenge in rural communities. The reasons for the slow adoption of such technology-driven services have been attributed to social norms, health care policies, and a lack of infrastructure to support the delivery of services. However, the COVID-19 pandemic–related shutdown of in-person health care services resulted in the usage of telehealth services as a necessity rather than a choice. The pandemic also fast-tracked some needed legislation to allow medical cost reimbursement for remote examination and health care services. As services return to normalcy, it is important to examine whether the usage of telehealth services during the period of a shutdown has changed any of the trends in the acceptance of telehealth as a reliable alternative to traditional in-person health care services.\n\nObjective\nOur aim was to explore whether the temporary shift to telehealth services has changed the attitudes toward the usage of technology-enabled health services in rural communities.\n\nMethods\nWe examined the Medicaid reimbursement data for the state of Alabama from March 2019 through June 2021. Selecting the telehealth service codes, we explored the adoption rates in 3 phases of the COVID-19 shutdown: prepandemic, pandemic before the rollout of mass vaccination, and pandemic after the rollout of mass vaccination.\n\nResults\nThe trend in telemedicine claims had an opposite pattern to that in nontelemedicine claims across the 3 periods. The distribution of various characteristics of patients who used telemedicine (age group, gender, race, level of rurality, and service provider type) was different across the 3 periods. Claims related to behavior and mental health had the highest rates of telemedicine usage after the onset of the pandemic. The rate of telemedicine usage remained at a high level after the rollout of mass vaccination.\n\nConclusions\nThe current trends indicate that adoption of telehealth services is likely to increase postpandemic and that the consumers (patients), service providers, health care establishments, insurance companies, and state and local policies have changed their attitudes toward telehealth. An increase in the use of telehealth could help local and federal governments address the shortage of health care facilities and service providers in underserved communities, and patients can get the much-needed care in a timely and effective manner.","container-title":"Journal of Medical Internet Research","DOI":"10.2196/38602","ISSN":"1439-4456","issue":"7","journalAbbreviation":"J Med Internet Res","note":"PMID: 35786564\nPMCID: PMC9290332","page":"e38602","source":"PubMed Central","title":"Pandemic-Triggered Adoption of Telehealth in Underserved Communities: Descriptive Study of Pre- and Postshutdown Trends","title-short":"Pandemic-Triggered Adoption of Telehealth in Underserved Communities","volume":"24","author":[{"family":"Xu","given":"Pei"},{"family":"Hudnall","given":"Matthew"},{"family":"Zhao","given":"Sidi"},{"family":"Raja","given":"Uzma"},{"family":"Parton","given":"Jason"},{"family":"Lewis","given":"Dwight"}],"issued":{"date-parts":[["2022",7,15]]}}}],"schema":"https://github.com/citation-style-language/schema/raw/master/csl-citation.json"} </w:instrText>
      </w:r>
      <w:r w:rsidR="0095531B" w:rsidRPr="00832A81">
        <w:rPr>
          <w:color w:val="000000" w:themeColor="text1"/>
          <w:shd w:val="clear" w:color="auto" w:fill="FFFFFF"/>
        </w:rPr>
        <w:fldChar w:fldCharType="separate"/>
      </w:r>
      <w:r w:rsidR="00D061F9" w:rsidRPr="00D061F9">
        <w:t>Fischer et al., 2022</w:t>
      </w:r>
      <w:r w:rsidR="00D061F9">
        <w:t xml:space="preserve"> and</w:t>
      </w:r>
      <w:r w:rsidR="00D061F9" w:rsidRPr="00D061F9">
        <w:t xml:space="preserve"> Xu et al., 2022)</w:t>
      </w:r>
      <w:r w:rsidR="0095531B" w:rsidRPr="00832A81">
        <w:rPr>
          <w:color w:val="000000" w:themeColor="text1"/>
          <w:shd w:val="clear" w:color="auto" w:fill="FFFFFF"/>
        </w:rPr>
        <w:fldChar w:fldCharType="end"/>
      </w:r>
      <w:bookmarkEnd w:id="12"/>
      <w:r w:rsidR="00567257" w:rsidRPr="00832A81">
        <w:rPr>
          <w:color w:val="000000" w:themeColor="text1"/>
          <w:shd w:val="clear" w:color="auto" w:fill="FFFFFF"/>
        </w:rPr>
        <w:t xml:space="preserve">, are the most </w:t>
      </w:r>
      <w:r w:rsidR="00783171">
        <w:rPr>
          <w:color w:val="000000" w:themeColor="text1"/>
          <w:shd w:val="clear" w:color="auto" w:fill="FFFFFF"/>
        </w:rPr>
        <w:t xml:space="preserve">likely adopters of </w:t>
      </w:r>
      <w:r w:rsidR="00567257" w:rsidRPr="00832A81">
        <w:rPr>
          <w:color w:val="000000" w:themeColor="text1"/>
          <w:shd w:val="clear" w:color="auto" w:fill="FFFFFF"/>
        </w:rPr>
        <w:t>tele</w:t>
      </w:r>
      <w:r w:rsidR="0082391B">
        <w:rPr>
          <w:color w:val="000000" w:themeColor="text1"/>
          <w:shd w:val="clear" w:color="auto" w:fill="FFFFFF"/>
        </w:rPr>
        <w:t>medicine</w:t>
      </w:r>
      <w:r w:rsidR="00567257" w:rsidRPr="00832A81">
        <w:rPr>
          <w:color w:val="000000" w:themeColor="text1"/>
          <w:shd w:val="clear" w:color="auto" w:fill="FFFFFF"/>
        </w:rPr>
        <w:t xml:space="preserve"> services</w:t>
      </w:r>
      <w:r w:rsidR="0082391B">
        <w:rPr>
          <w:color w:val="000000" w:themeColor="text1"/>
          <w:shd w:val="clear" w:color="auto" w:fill="FFFFFF"/>
        </w:rPr>
        <w:t>,</w:t>
      </w:r>
      <w:r>
        <w:rPr>
          <w:color w:val="000000" w:themeColor="text1"/>
          <w:shd w:val="clear" w:color="auto" w:fill="FFFFFF"/>
        </w:rPr>
        <w:t xml:space="preserve"> </w:t>
      </w:r>
      <w:r w:rsidR="00783171">
        <w:rPr>
          <w:color w:val="000000" w:themeColor="text1"/>
          <w:shd w:val="clear" w:color="auto" w:fill="FFFFFF"/>
        </w:rPr>
        <w:t>possibly</w:t>
      </w:r>
      <w:r>
        <w:rPr>
          <w:color w:val="000000" w:themeColor="text1"/>
          <w:shd w:val="clear" w:color="auto" w:fill="FFFFFF"/>
        </w:rPr>
        <w:t xml:space="preserve"> due to </w:t>
      </w:r>
      <w:r w:rsidR="00567257" w:rsidRPr="00832A81">
        <w:rPr>
          <w:color w:val="000000" w:themeColor="text1"/>
          <w:shd w:val="clear" w:color="auto" w:fill="FFFFFF"/>
        </w:rPr>
        <w:t>technolog</w:t>
      </w:r>
      <w:r>
        <w:rPr>
          <w:color w:val="000000" w:themeColor="text1"/>
          <w:shd w:val="clear" w:color="auto" w:fill="FFFFFF"/>
        </w:rPr>
        <w:t>ical comfort</w:t>
      </w:r>
      <w:r w:rsidR="00567257" w:rsidRPr="00832A81">
        <w:rPr>
          <w:color w:val="000000" w:themeColor="text1"/>
          <w:shd w:val="clear" w:color="auto" w:fill="FFFFFF"/>
        </w:rPr>
        <w:t xml:space="preserve"> and flexible healthcare needs</w:t>
      </w:r>
      <w:r>
        <w:rPr>
          <w:color w:val="000000" w:themeColor="text1"/>
          <w:shd w:val="clear" w:color="auto" w:fill="FFFFFF"/>
        </w:rPr>
        <w:t xml:space="preserve">. </w:t>
      </w:r>
      <w:r w:rsidR="00567257" w:rsidRPr="00832A81">
        <w:rPr>
          <w:color w:val="000000" w:themeColor="text1"/>
          <w:shd w:val="clear" w:color="auto" w:fill="FFFFFF"/>
        </w:rPr>
        <w:t xml:space="preserve">Yet, a </w:t>
      </w:r>
      <w:r w:rsidR="00485689" w:rsidRPr="00832A81">
        <w:rPr>
          <w:color w:val="000000" w:themeColor="text1"/>
          <w:shd w:val="clear" w:color="auto" w:fill="FFFFFF"/>
        </w:rPr>
        <w:t xml:space="preserve">small </w:t>
      </w:r>
      <w:r w:rsidR="00567257" w:rsidRPr="00832A81">
        <w:rPr>
          <w:color w:val="000000" w:themeColor="text1"/>
          <w:shd w:val="clear" w:color="auto" w:fill="FFFFFF"/>
        </w:rPr>
        <w:t xml:space="preserve">subset of research </w:t>
      </w:r>
      <w:r w:rsidR="00567257"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{"citationID":"ACua1rR6","properties":{"formattedCitation":"(Eberly et al., 2020; Weber et al., 2020)","plainCitation":"(Eberly et al., 2020; Weber et al., 2020)","dontUpdate":true,"noteIndex":0},"citationItems":[{"id":2095,"uris":["http://zotero.org/users/9292995/items/66KTZ472"],"itemData":{"id":2095,"type":"article-journal","abstract":"The coronavirus disease 2019 (COVID-19) pandemic has required a shift in health care delivery platforms, necessitating a new reliance on telemedicine.To evaluate whether inequities are present in telemedicine use and video visit use for telemedicine visits during the COVID-19 pandemic.In this cohort study, a retrospective medical record review was conducted from March 16 to May 11, 2020, of all patients scheduled for telemedicine visits in primary care and specialty ambulatory clinics at a large academic health system. Age, race/ethnicity, sex, language, median household income, and insurance type were all identified from the electronic medical record.A successfully completed telemedicine visit and video (vs telephone) visit for a telemedicine encounter. Multivariable models were used to assess the association between sociodemographic factors, including sex, race/ethnicity, socioeconomic status, and language, and the use of telemedicine visits, as well as video use specifically.A total of 148 402 unique patients (86 055 women [58.0%]; mean [SD] age, 56.5 [17.7] years) had scheduled telemedicine visits during the study period; 80 780 patients (54.4%) completed visits. Of 78 539 patients with completed visits in which visit modality was specified, 35 824 (45.6%) were conducted via video, whereas 42 715 (54.4%) had telephone visits. In multivariable models, older age (adjusted odds ratio [aOR], 0.85 [95% CI, 0.83-0.88] for those aged 55-64 years; aOR, 0.75 [95% CI, 0.72-0.78] for those aged 65-74 years; aOR, 0.67 [95% CI, 0.64-0.70] for those aged ≥75 years), Asian race (aOR, 0.69 [95% CI, 0.66-0.73]), non-English language as the patient’s preferred language (aOR, 0.84 [95% CI, 0.78-0.90]), and Medicaid insurance (aOR, 0.93 [95% CI, 0.89-0.97]) were independently associated with fewer completed telemedicine visits. Older age (aOR, 0.79 [95% CI, 0.76-0.82] for those aged 55-64 years; aOR, 0.78 [95% CI, 0.74-0.83] for those aged 65-74 years; aOR, 0.49 [95% CI, 0.46-0.53] for those aged ≥75 years), female sex (aOR, 0.92 [95% CI, 0.90-0.95]), Black race (aOR, 0.65 [95% CI, 0.62-0.68]), Latinx ethnicity (aOR, 0.90 [95% CI, 0.83-0.97]), and lower household income (aOR, 0.57 [95% CI, 0.54-0.60] for income &amp;lt;$50 000; aOR, 0.89 [95% CI, 0.85-0.92], for $50 000-$100 000) were associated with less video use for telemedicine visits. These results were similar across medical specialties.In this cohort study of patients scheduled for primary care and medical specialty ambulatory telemedicine visits at a large academic health system during the early phase of the COVID-19 pandemic, older patients, Asian patients, and non–English-speaking patients had lower rates of telemedicine use, while older patients, female patients, Black, Latinx, and poorer patients had less video use. Inequities in accessing telemedicine care are present, which warrant further attention.","container-title":"JAMA Network Open","DOI":"10.1001/jamanetworkopen.2020.31640","ISSN":"2574-3805","issue":"12","journalAbbreviation":"JAMA Network Open","page":"e2031640","source":"Silverchair","title":"Patient Characteristics Associated With Telemedicine Access for Primary and Specialty Ambulatory Care During the COVID-19 Pandemic","volume":"3","author":[{"family":"Eberly","given":"Lauren A."},{"family":"Kallan","given":"Michael J."},{"family":"Julien","given":"Howard M."},{"family":"Haynes","given":"Norrisa"},{"family":"Khatana","given":"Sameed Ahmed M."},{"family":"Nathan","given":"Ashwin S."},{"family":"Snider","given":"Christopher"},{"family":"Chokshi","given":"Neel P."},{"family":"Eneanya","given":"Nwamaka D."},{"family":"Takvorian","given":"Samuel U."},{"family":"Anastos-Wallen","given":"Rebecca"},{"family":"Chaiyachati","given":"Krisda"},{"family":"Ambrose","given":"Marietta"},{"family":"O’Quinn","given":"Rupal"},{"family":"Seigerman","given":"Matthew"},{"family":"Goldberg","given":"Lee R."},{"family":"Leri","given":"Damien"},{"family":"Choi","given":"Katherine"},{"family":"Gitelman","given":"Yevginiy"},{"family":"Kolansky","given":"Daniel M."},{"family":"Cappola","given":"Thomas P."},{"family":"Ferrari","given":"Victor A."},{"family":"Hanson","given":"C. William"},{"family":"Deleener","given":"Mary Elizabeth"},{"family":"Adusumalli","given":"Srinath"}],"issued":{"date-parts":[["2020",12,29]]}}},{"id":2270,"uris":["http://zotero.org/users/9292995/items/46N4G8BU"],"itemData":{"id":2270,"type":"article-journal","abstract":"OBJECTIVE: To explore whether racial/ethnic differences in telehealth use existed during the peak pandemic period among NYC patients seeking care for COVID-19 related symptoms.\nMATERIALS AND METHODS: This study used data from a large health system in NYC - the epicenter of the US crisis - to describe characteristics of patients seeking COVID-related care via telehealth, ER, or office encounters during the peak pandemic period. Using multinomial logistic regression, we estimated the magnitude of the relationship between patient characteristics and the odds of having a first encounter via telehealth versus ER or office visit, and then used regression parameter estimates to predict patients' probabilities of using different encounter types given their characteristics.\nRESULTS: Demographic factors, including race/ethnicity and age, were significantly predictive of telehealth use. As compared to Whites, Blacks had higher adjusted odds of using both the ER versus telehealth (OR: 4.3, 95% CI: 4.0-4.6) and office visits versus telehealth (OR: 1.4, 95% CI: 1.3-1.5). For Hispanics versus Whites, the analogous ORs were 2.5 (95% CI: 2.3-2.7) and 1.2 (95% CI: 1.1-1.3). Compared to any age groups, patients 65+ had significantly higher odds of using either ER or office visits versus telehealth.\nCONCLUSIONS: The response to COVID-19 has involved an unprecedented expansion in telehealth. While older Americans and minority populations among others are known to be disadvantaged by the digital divide, few studies have examined disparities in telehealth specifically, and none during COVID-19. Additional research into sociodemographic heterogeneity in telehealth use is needed to prevent potentially further exacerbating health disparities overall.","container-title":"Journal of the American Medical Informatics Association: JAMIA","DOI":"10.1093/jamia/ocaa216","ISSN":"1527-974X","issue":"12","journalAbbreviation":"J Am Med Inform Assoc","language":"eng","note":"PMID: 32866249\nPMCID: PMC7499577","page":"1949-1954","source":"PubMed","title":"Characteristics of telehealth users in NYC for COVID-related care during the coronavirus pandemic","volume":"27","author":[{"family":"Weber","given":"Ellerie"},{"family":"Miller","given":"Sarah J."},{"family":"Astha","given":"Varuna"},{"family":"Janevic","given":"Teresa"},{"family":"Benn","given":"Emma"}],"issued":{"date-parts":[["2020",12,9]]}}}],"schema":"https://github.com/citation-style-language/schema/raw/master/csl-citation.json"} </w:instrText>
      </w:r>
      <w:r w:rsidR="00567257" w:rsidRPr="00832A81">
        <w:rPr>
          <w:color w:val="000000" w:themeColor="text1"/>
          <w:shd w:val="clear" w:color="auto" w:fill="FFFFFF"/>
        </w:rPr>
        <w:fldChar w:fldCharType="separate"/>
      </w:r>
      <w:r w:rsidR="00567257" w:rsidRPr="00832A81">
        <w:t>(</w:t>
      </w:r>
      <w:r w:rsidR="00656200">
        <w:t xml:space="preserve">see </w:t>
      </w:r>
      <w:r w:rsidR="00567257" w:rsidRPr="00832A81">
        <w:t>Eberly et al., 2020</w:t>
      </w:r>
      <w:r w:rsidR="00656200">
        <w:t>, and</w:t>
      </w:r>
      <w:r w:rsidR="00567257" w:rsidRPr="00832A81">
        <w:t xml:space="preserve"> Weber et al., 2020)</w:t>
      </w:r>
      <w:r w:rsidR="00567257" w:rsidRPr="00832A81">
        <w:rPr>
          <w:color w:val="000000" w:themeColor="text1"/>
          <w:shd w:val="clear" w:color="auto" w:fill="FFFFFF"/>
        </w:rPr>
        <w:fldChar w:fldCharType="end"/>
      </w:r>
      <w:r w:rsidR="00567257" w:rsidRPr="00832A81">
        <w:rPr>
          <w:color w:val="000000" w:themeColor="text1"/>
          <w:shd w:val="clear" w:color="auto" w:fill="FFFFFF"/>
        </w:rPr>
        <w:t xml:space="preserve"> suggests a broader age range of </w:t>
      </w:r>
      <w:r w:rsidR="00E60E1B" w:rsidRPr="00832A81">
        <w:rPr>
          <w:color w:val="000000" w:themeColor="text1"/>
          <w:shd w:val="clear" w:color="auto" w:fill="FFFFFF"/>
        </w:rPr>
        <w:t xml:space="preserve">telemedicine </w:t>
      </w:r>
      <w:r w:rsidR="000706EF">
        <w:rPr>
          <w:color w:val="000000" w:themeColor="text1"/>
          <w:shd w:val="clear" w:color="auto" w:fill="FFFFFF"/>
        </w:rPr>
        <w:t>adopters</w:t>
      </w:r>
      <w:r w:rsidR="00567257" w:rsidRPr="00832A81">
        <w:rPr>
          <w:color w:val="000000" w:themeColor="text1"/>
          <w:shd w:val="clear" w:color="auto" w:fill="FFFFFF"/>
        </w:rPr>
        <w:t>, up to 65 years old.</w:t>
      </w:r>
      <w:r w:rsidR="000237F7" w:rsidRPr="00832A81">
        <w:rPr>
          <w:color w:val="000000" w:themeColor="text1"/>
          <w:shd w:val="clear" w:color="auto" w:fill="FFFFFF"/>
        </w:rPr>
        <w:t xml:space="preserve"> Overall, </w:t>
      </w:r>
      <w:r w:rsidR="00E60E1B" w:rsidRPr="00832A81">
        <w:rPr>
          <w:color w:val="000000" w:themeColor="text1"/>
          <w:shd w:val="clear" w:color="auto" w:fill="FFFFFF"/>
        </w:rPr>
        <w:t xml:space="preserve">though, </w:t>
      </w:r>
      <w:r w:rsidR="000237F7" w:rsidRPr="00832A81">
        <w:rPr>
          <w:color w:val="000000" w:themeColor="text1"/>
          <w:shd w:val="clear" w:color="auto" w:fill="FFFFFF"/>
        </w:rPr>
        <w:t>o</w:t>
      </w:r>
      <w:r w:rsidR="00567257" w:rsidRPr="00832A81">
        <w:rPr>
          <w:color w:val="000000" w:themeColor="text1"/>
          <w:shd w:val="clear" w:color="auto" w:fill="FFFFFF"/>
        </w:rPr>
        <w:t xml:space="preserve">lder adults </w:t>
      </w:r>
      <w:r>
        <w:rPr>
          <w:color w:val="000000" w:themeColor="text1"/>
          <w:shd w:val="clear" w:color="auto" w:fill="FFFFFF"/>
        </w:rPr>
        <w:t>generally</w:t>
      </w:r>
      <w:r w:rsidR="00783171" w:rsidRPr="00783171">
        <w:t xml:space="preserve"> </w:t>
      </w:r>
      <w:r w:rsidR="00783171">
        <w:t>adopt telemedicine to a lesser extent</w:t>
      </w:r>
      <w:r w:rsidR="00567257" w:rsidRPr="00832A81">
        <w:rPr>
          <w:color w:val="000000" w:themeColor="text1"/>
          <w:shd w:val="clear" w:color="auto" w:fill="FFFFFF"/>
        </w:rPr>
        <w:t xml:space="preserve">, particularly video-based services, </w:t>
      </w:r>
      <w:r>
        <w:rPr>
          <w:color w:val="000000" w:themeColor="text1"/>
          <w:shd w:val="clear" w:color="auto" w:fill="FFFFFF"/>
        </w:rPr>
        <w:t xml:space="preserve">preferring </w:t>
      </w:r>
      <w:r w:rsidR="00567257" w:rsidRPr="00832A81">
        <w:rPr>
          <w:color w:val="000000" w:themeColor="text1"/>
          <w:shd w:val="clear" w:color="auto" w:fill="FFFFFF"/>
        </w:rPr>
        <w:t>telephone over video</w:t>
      </w:r>
      <w:r w:rsidR="00656200">
        <w:rPr>
          <w:color w:val="000000" w:themeColor="text1"/>
          <w:shd w:val="clear" w:color="auto" w:fill="FFFFFF"/>
        </w:rPr>
        <w:t xml:space="preserve"> </w:t>
      </w:r>
      <w:r>
        <w:rPr>
          <w:color w:val="000000" w:themeColor="text1"/>
          <w:shd w:val="clear" w:color="auto" w:fill="FFFFFF"/>
        </w:rPr>
        <w:t xml:space="preserve">consultations </w:t>
      </w:r>
      <w:r w:rsidR="00656200">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{"citationID":"leUyKKTO","properties":{"formattedCitation":"(Schifeling et al., 2020)","plainCitation":"(Schifeling et al., 2020)","dontUpdate":true,"noteIndex":0},"citationItems":[{"id":2226,"uris":["http://zotero.org/users/9292995/items/4XWLVNAH"],"itemData":{"id":2226,"type":"article-journal","abstract":"Background: Telephone and video telemedicine appointments have been a crucial service delivery method during the COVID-19 pandemic for maintaining access to health care without increasing the risk of exposure. Although studies conducted prior to the pandemic have suggested that telemedicine is an acceptable format for older adults, there is a paucity of data on the practical implementation of telemedicine visits. Due to prior lack of reimbursement for telemedicine visits involving nonrural patients, no studies have compared telephone visits to video visits in geriatric primary care.\nObjective: This study aimed to determine (1) whether video visits had longer durations, more visit diagnoses, and more advance care planning discussions than telephone visits during the rapid implementation of telemedicine in the COVID-19 pandemic, and (2) whether disparities in visit type existed based on patient characteristics.\nMethods: We conducted a retrospective, cross-sectional analysis of patients seen at two geriatric clinics from April 23 to May 22, 2020. Approximately 25% of patients who had telephone and video appointments during this time underwent chart review. We analyzed patient characteristics, visit characteristics, duration of visits, number of visit diagnoses, and the presence of advance care planning discussion in clinical documentation.\nResults: Of the 190 appointments reviewed, 47.4% (n=90) were video visits. Compared to telephone appointments, videoconferencing was, on average, 7 minutes longer (mean 37.3 minutes, SD 10 minutes; P&amp;lt;.001) and had, on average, 1.2 more visit diagnoses (mean 5.7, SD 3; P=.001). Video and telephone visits had similar rates of advance care planning. Furthermore, hearing, vision, and cognitive impairment did not result in different rates of video or telephone appointments. Non-White patients, patients who needed interpreter services, and patients who received Medicaid were less likely to have video visits than White patients, patients who did not need an interpreter, and patients who did not receive Medicaid, respectively (P=.003, P=.01, P&amp;lt;.001, respectively).\nConclusions: Although clinicians spent more time on video visits than telephone visits, more than half of this study’s older patients did not use video visits, especially if they were from racial or ethnic minority backgrounds or Medicaid beneficiaries. This potential health care disparity merits greater attention.","container-title":"JMIR Aging","DOI":"10.2196/23176","issue":"2","language":"EN","license":"This is an open-access article distributed under the terms of the Creative Commons Attribution License (https://creativecommons.org/licenses/by/4.0/), which permits unrestricted use, distribution, and reproduction in any medium, provided the original work, first published JMIR Aging, is properly cited. The complete bibliographic information, a link to the original publication on https://aging.jmir.org/, as well as this copyright and license information must be included.","note":"Company: JMIR Aging\nDistributor: JMIR Aging\nInstitution: JMIR Aging\nLabel: JMIR Aging\npublisher: JMIR Publications Inc., Toronto, Canada","page":"e23176","source":"aging.jmir.org","title":"Disparities in Video and Telephone Visits Among Older Adults During the COVID-19 Pandemic: Cross-Sectional Analysis","title-short":"Disparities in Video and Telephone Visits Among Older Adults During the COVID-19 Pandemic","volume":"3","author":[{"family":"Schifeling","given":"Christopher H."},{"family":"Shanbhag","given":"Prajakta"},{"family":"Johnson","given":"Angene"},{"family":"Atwater","given":"Riannon C."},{"family":"Koljack","given":"Claire"},{"family":"Parnes","given":"Bennett L."},{"family":"Vejar","given":"Maria M."},{"family":"Farro","given":"Samantha A."},{"family":"Phimphasone-Brady","given":"Phoutdavone"},{"family":"Lum","given":"Hillary D."}],"issued":{"date-parts":[["2020",11,10]]}}}],"schema":"https://github.com/citation-style-language/schema/raw/master/csl-citation.json"} </w:instrText>
      </w:r>
      <w:r w:rsidR="00656200">
        <w:rPr>
          <w:color w:val="000000" w:themeColor="text1"/>
          <w:shd w:val="clear" w:color="auto" w:fill="FFFFFF"/>
        </w:rPr>
        <w:fldChar w:fldCharType="separate"/>
      </w:r>
      <w:r w:rsidR="00656200" w:rsidRPr="00656200">
        <w:t>(Schifeling et al., 2020</w:t>
      </w:r>
      <w:r w:rsidR="00656200">
        <w:rPr>
          <w:color w:val="000000" w:themeColor="text1"/>
          <w:shd w:val="clear" w:color="auto" w:fill="FFFFFF"/>
        </w:rPr>
        <w:fldChar w:fldCharType="end"/>
      </w:r>
      <w:r w:rsidR="00656200">
        <w:rPr>
          <w:color w:val="000000" w:themeColor="text1"/>
          <w:shd w:val="clear" w:color="auto" w:fill="FFFFFF"/>
        </w:rPr>
        <w:t xml:space="preserve"> and</w:t>
      </w:r>
      <w:r w:rsidR="00567257" w:rsidRPr="00832A81">
        <w:rPr>
          <w:color w:val="000000" w:themeColor="text1"/>
          <w:shd w:val="clear" w:color="auto" w:fill="FFFFFF"/>
        </w:rPr>
        <w:t xml:space="preserve"> </w:t>
      </w:r>
      <w:r w:rsidR="00567257"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{"citationID":"lEs1Coex","properties":{"formattedCitation":"(Drake et al., 2022)","plainCitation":"(Drake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B"},{"family":"Shah","given":"Kevin"}],"issued":{"date-parts":[["2022"]]}}}],"schema":"https://github.com/citation-style-language/schema/raw/master/csl-citation.json"} </w:instrText>
      </w:r>
      <w:r w:rsidR="00567257" w:rsidRPr="00832A81">
        <w:rPr>
          <w:color w:val="000000" w:themeColor="text1"/>
          <w:shd w:val="clear" w:color="auto" w:fill="FFFFFF"/>
        </w:rPr>
        <w:fldChar w:fldCharType="separate"/>
      </w:r>
      <w:r w:rsidR="00656200" w:rsidRPr="00656200">
        <w:t xml:space="preserve">Drake et </w:t>
      </w:r>
      <w:r w:rsidR="00656200" w:rsidRPr="00656200">
        <w:lastRenderedPageBreak/>
        <w:t>al., 2022)</w:t>
      </w:r>
      <w:r w:rsidR="00567257" w:rsidRPr="00832A81">
        <w:rPr>
          <w:color w:val="000000" w:themeColor="text1"/>
          <w:shd w:val="clear" w:color="auto" w:fill="FFFFFF"/>
        </w:rPr>
        <w:fldChar w:fldCharType="end"/>
      </w:r>
      <w:r w:rsidR="00567257" w:rsidRPr="00832A81">
        <w:rPr>
          <w:color w:val="000000" w:themeColor="text1"/>
          <w:shd w:val="clear" w:color="auto" w:fill="FFFFFF"/>
        </w:rPr>
        <w:t>.</w:t>
      </w:r>
      <w:r w:rsidR="000237F7" w:rsidRPr="007E3B79">
        <w:t xml:space="preserve"> </w:t>
      </w:r>
      <w:r w:rsidR="000237F7" w:rsidRPr="00832A81">
        <w:rPr>
          <w:color w:val="000000" w:themeColor="text1"/>
          <w:shd w:val="clear" w:color="auto" w:fill="FFFFFF"/>
        </w:rPr>
        <w:t>A</w:t>
      </w:r>
      <w:r w:rsidR="002A353D" w:rsidRPr="00832A81">
        <w:rPr>
          <w:color w:val="000000" w:themeColor="text1"/>
          <w:shd w:val="clear" w:color="auto" w:fill="FFFFFF"/>
        </w:rPr>
        <w:t>n</w:t>
      </w:r>
      <w:r w:rsidR="000237F7" w:rsidRPr="00832A81">
        <w:rPr>
          <w:color w:val="000000" w:themeColor="text1"/>
          <w:shd w:val="clear" w:color="auto" w:fill="FFFFFF"/>
        </w:rPr>
        <w:t xml:space="preserve"> exception </w:t>
      </w:r>
      <w:r>
        <w:rPr>
          <w:color w:val="000000" w:themeColor="text1"/>
          <w:shd w:val="clear" w:color="auto" w:fill="FFFFFF"/>
        </w:rPr>
        <w:t>was</w:t>
      </w:r>
      <w:r w:rsidR="000237F7" w:rsidRPr="00832A81">
        <w:rPr>
          <w:color w:val="000000" w:themeColor="text1"/>
          <w:shd w:val="clear" w:color="auto" w:fill="FFFFFF"/>
        </w:rPr>
        <w:t xml:space="preserve"> reported by </w:t>
      </w:r>
      <w:bookmarkStart w:id="13" w:name="_Hlk165977872"/>
      <w:r w:rsidR="000237F7"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{"citationID":"LHqWF0kl","properties":{"formattedCitation":"(Pierce &amp; Stevermer, 2023)","plainCitation":"(Pierce &amp; Stevermer, 2023)","dontUpdate":true,"noteIndex":0},"citationItems":[{"id":2273,"uris":["http://zotero.org/users/9292995/items/2HXHFDMT"],"itemData":{"id":2273,"type":"article-journal","abstract":"Introduction\nThe coronavirus disease 2019 (COVID-19) pandemic resulted in an unprecedented expansion in telehealth, but little is known about differential use of telehealth according to demographics, rurality, or insurance status.\n\nMethods\nWe performed a cross-sectional analysis of 7742 family medicine encounters at a single USA institution in the initial month of the COVID-19 public health emergency (PHE). We compared the demographics of those using telehealth during the PHE to those with face-to-face visits during the same time period; we also compared the demographics of those using full audio-video to those using audio-only.\n\nResults\nThe likelihood of any telehealth visit in the first 30 days of telehealth expansion was higher for women, those age 65 years and older, self-pay patients, and those with Medicaid and Medicare as primary payers. The likelihood of a telehealth visit was reduced for rural residence and Black or other races. Among all telehealth visits, the likelihood of a full audio-video telehealth visit was reduced for patients who were older, Black, from urban areas, or who were self-pay, Medicaid, or Medicare payer status.\n\nDiscussion\nSignificant disparities exist in telehealth use during the COVID-19 PHE by age, race, residence and payer.","container-title":"Journal of Telemedicine and Telecare","DOI":"10.1177/1357633X20963893","ISSN":"1357-633X","issue":"1","journalAbbreviation":"J Telemed Telecare","note":"PMID: 33081595\nPMCID: PMC7578842","page":"3-9","source":"PubMed Central","title":"Disparities in the use of telehealth at the onset of the COVID-19 public health emergency","volume":"29","author":[{"family":"Pierce","given":"Robert P"},{"family":"Stevermer","given":"James J"}],"issued":{"date-parts":[["2023",1]]}}}],"schema":"https://github.com/citation-style-language/schema/raw/master/csl-citation.json"} </w:instrText>
      </w:r>
      <w:r w:rsidR="000237F7" w:rsidRPr="00832A81">
        <w:rPr>
          <w:color w:val="000000" w:themeColor="text1"/>
          <w:shd w:val="clear" w:color="auto" w:fill="FFFFFF"/>
        </w:rPr>
        <w:fldChar w:fldCharType="separate"/>
      </w:r>
      <w:r w:rsidR="000237F7" w:rsidRPr="00832A81">
        <w:rPr>
          <w:color w:val="000000" w:themeColor="text1"/>
        </w:rPr>
        <w:t xml:space="preserve">Pierce </w:t>
      </w:r>
      <w:r w:rsidR="00656200">
        <w:rPr>
          <w:color w:val="000000" w:themeColor="text1"/>
        </w:rPr>
        <w:t>and</w:t>
      </w:r>
      <w:r w:rsidR="000237F7" w:rsidRPr="00832A81">
        <w:rPr>
          <w:color w:val="000000" w:themeColor="text1"/>
        </w:rPr>
        <w:t xml:space="preserve"> Stevermer </w:t>
      </w:r>
      <w:r w:rsidR="00656200">
        <w:rPr>
          <w:color w:val="000000" w:themeColor="text1"/>
        </w:rPr>
        <w:t>(</w:t>
      </w:r>
      <w:r w:rsidR="000237F7" w:rsidRPr="00832A81">
        <w:rPr>
          <w:color w:val="000000" w:themeColor="text1"/>
        </w:rPr>
        <w:t>2023</w:t>
      </w:r>
      <w:r w:rsidR="000237F7" w:rsidRPr="00832A81">
        <w:rPr>
          <w:color w:val="000000" w:themeColor="text1"/>
          <w:shd w:val="clear" w:color="auto" w:fill="FFFFFF"/>
        </w:rPr>
        <w:fldChar w:fldCharType="end"/>
      </w:r>
      <w:bookmarkEnd w:id="13"/>
      <w:r w:rsidR="00656200">
        <w:rPr>
          <w:color w:val="000000" w:themeColor="text1"/>
          <w:shd w:val="clear" w:color="auto" w:fill="FFFFFF"/>
        </w:rPr>
        <w:t>)</w:t>
      </w:r>
      <w:r w:rsidR="000237F7" w:rsidRPr="00832A81">
        <w:rPr>
          <w:color w:val="000000" w:themeColor="text1"/>
          <w:shd w:val="clear" w:color="auto" w:fill="FFFFFF"/>
        </w:rPr>
        <w:t xml:space="preserve">, who found a higher likelihood of telemedicine </w:t>
      </w:r>
      <w:r w:rsidR="00783171">
        <w:rPr>
          <w:color w:val="000000" w:themeColor="text1"/>
          <w:shd w:val="clear" w:color="auto" w:fill="FFFFFF"/>
        </w:rPr>
        <w:t>adoption</w:t>
      </w:r>
      <w:r w:rsidR="000237F7" w:rsidRPr="00832A81">
        <w:rPr>
          <w:color w:val="000000" w:themeColor="text1"/>
          <w:shd w:val="clear" w:color="auto" w:fill="FFFFFF"/>
        </w:rPr>
        <w:t xml:space="preserve"> among older adults in the initial 30 days of the pandemic</w:t>
      </w:r>
      <w:r w:rsidR="002A353D" w:rsidRPr="00832A81">
        <w:rPr>
          <w:color w:val="000000" w:themeColor="text1"/>
          <w:shd w:val="clear" w:color="auto" w:fill="FFFFFF"/>
        </w:rPr>
        <w:t>.</w:t>
      </w:r>
    </w:p>
    <w:p w14:paraId="01E95225" w14:textId="6F00F788" w:rsidR="0069340B" w:rsidRDefault="0069340B" w:rsidP="0069340B">
      <w:pPr>
        <w:spacing w:after="0" w:line="240" w:lineRule="auto"/>
        <w:ind w:firstLine="720"/>
        <w:jc w:val="both"/>
        <w:rPr>
          <w:color w:val="000000" w:themeColor="text1"/>
          <w:shd w:val="clear" w:color="auto" w:fill="FFFFFF"/>
        </w:rPr>
      </w:pPr>
    </w:p>
    <w:p w14:paraId="074E5D23" w14:textId="08030CBD" w:rsidR="00E60E1B" w:rsidRPr="00832A81" w:rsidRDefault="00E60E1B" w:rsidP="009D0CA2">
      <w:pPr>
        <w:spacing w:after="0" w:line="240" w:lineRule="auto"/>
        <w:jc w:val="both"/>
        <w:rPr>
          <w:color w:val="000000" w:themeColor="text1"/>
          <w:u w:val="single"/>
          <w:shd w:val="clear" w:color="auto" w:fill="FFFFFF"/>
        </w:rPr>
      </w:pPr>
      <w:r w:rsidRPr="00832A81">
        <w:rPr>
          <w:color w:val="000000" w:themeColor="text1"/>
          <w:u w:val="single"/>
          <w:shd w:val="clear" w:color="auto" w:fill="FFFFFF"/>
        </w:rPr>
        <w:t>Racial/Ethnic Disparities</w:t>
      </w:r>
    </w:p>
    <w:p w14:paraId="48E09E00" w14:textId="15B296D5" w:rsidR="0069340B" w:rsidRDefault="000E09AE" w:rsidP="0069340B">
      <w:pPr>
        <w:spacing w:after="0" w:line="240" w:lineRule="auto"/>
        <w:jc w:val="both"/>
        <w:rPr>
          <w:shd w:val="clear" w:color="auto" w:fill="FFFFFF"/>
        </w:rPr>
      </w:pPr>
      <w:r w:rsidRPr="00832A81">
        <w:rPr>
          <w:shd w:val="clear" w:color="auto" w:fill="FFFFFF"/>
        </w:rPr>
        <w:t>T</w:t>
      </w:r>
      <w:r w:rsidR="008C4548" w:rsidRPr="00832A81">
        <w:rPr>
          <w:shd w:val="clear" w:color="auto" w:fill="FFFFFF"/>
        </w:rPr>
        <w:t xml:space="preserve">he literature extensively documents racial and ethnic disparities in telemedicine </w:t>
      </w:r>
      <w:r w:rsidR="00F200CD">
        <w:rPr>
          <w:shd w:val="clear" w:color="auto" w:fill="FFFFFF"/>
        </w:rPr>
        <w:t>uptake</w:t>
      </w:r>
      <w:r w:rsidR="008C4548" w:rsidRPr="00832A81">
        <w:rPr>
          <w:shd w:val="clear" w:color="auto" w:fill="FFFFFF"/>
        </w:rPr>
        <w:t xml:space="preserve">, revealing that minority groups often </w:t>
      </w:r>
      <w:r w:rsidR="00B06743">
        <w:rPr>
          <w:shd w:val="clear" w:color="auto" w:fill="FFFFFF"/>
        </w:rPr>
        <w:t>adopt</w:t>
      </w:r>
      <w:r w:rsidR="008C4548" w:rsidRPr="00832A81">
        <w:rPr>
          <w:shd w:val="clear" w:color="auto" w:fill="FFFFFF"/>
        </w:rPr>
        <w:t xml:space="preserve"> tele</w:t>
      </w:r>
      <w:r w:rsidR="00485689" w:rsidRPr="00832A81">
        <w:rPr>
          <w:shd w:val="clear" w:color="auto" w:fill="FFFFFF"/>
        </w:rPr>
        <w:t>medicine</w:t>
      </w:r>
      <w:r w:rsidR="008C4548" w:rsidRPr="00832A81">
        <w:rPr>
          <w:shd w:val="clear" w:color="auto" w:fill="FFFFFF"/>
        </w:rPr>
        <w:t xml:space="preserve"> services at lower rates than their </w:t>
      </w:r>
      <w:r w:rsidR="002A353D" w:rsidRPr="00832A81">
        <w:rPr>
          <w:shd w:val="clear" w:color="auto" w:fill="FFFFFF"/>
        </w:rPr>
        <w:t>w</w:t>
      </w:r>
      <w:r w:rsidR="008C4548" w:rsidRPr="00832A81">
        <w:rPr>
          <w:shd w:val="clear" w:color="auto" w:fill="FFFFFF"/>
        </w:rPr>
        <w:t xml:space="preserve">hite counterparts. </w:t>
      </w:r>
      <w:r w:rsidR="00564F53">
        <w:rPr>
          <w:shd w:val="clear" w:color="auto" w:fill="FFFFFF"/>
        </w:rPr>
        <w:t>In particular, s</w:t>
      </w:r>
      <w:r w:rsidR="0069340B" w:rsidRPr="0069340B">
        <w:rPr>
          <w:shd w:val="clear" w:color="auto" w:fill="FFFFFF"/>
        </w:rPr>
        <w:t xml:space="preserve">tudies from </w:t>
      </w:r>
      <w:r w:rsidR="00564F53">
        <w:rPr>
          <w:shd w:val="clear" w:color="auto" w:fill="FFFFFF"/>
        </w:rPr>
        <w:t>multiple geographic locations</w:t>
      </w:r>
      <w:r w:rsidR="0069340B">
        <w:rPr>
          <w:shd w:val="clear" w:color="auto" w:fill="FFFFFF"/>
        </w:rPr>
        <w:t xml:space="preserve"> </w:t>
      </w:r>
      <w:r w:rsidR="00564F53">
        <w:rPr>
          <w:shd w:val="clear" w:color="auto" w:fill="FFFFFF"/>
        </w:rPr>
        <w:t xml:space="preserve">have </w:t>
      </w:r>
      <w:r w:rsidR="00564F53">
        <w:t>noted</w:t>
      </w:r>
      <w:r w:rsidR="0069340B">
        <w:t xml:space="preserve"> lower telemedicine </w:t>
      </w:r>
      <w:r w:rsidR="00783171">
        <w:t>adoption</w:t>
      </w:r>
      <w:r w:rsidR="0069340B">
        <w:t xml:space="preserve"> among Black and Latinx patients </w:t>
      </w:r>
      <w:r w:rsidR="0069340B">
        <w:rPr>
          <w:shd w:val="clear" w:color="auto" w:fill="FFFFFF"/>
        </w:rPr>
        <w:t>(see</w:t>
      </w:r>
      <w:r w:rsidR="00F200CD">
        <w:rPr>
          <w:shd w:val="clear" w:color="auto" w:fill="FFFFFF"/>
        </w:rPr>
        <w:t xml:space="preserve"> </w:t>
      </w:r>
      <w:r w:rsidR="0069340B" w:rsidRPr="007E3B79">
        <w:fldChar w:fldCharType="begin"/>
      </w:r>
      <w:r w:rsidR="0069340B">
        <w:instrText xml:space="preserve"> ADDIN ZOTERO_ITEM CSL_CITATION {"citationID":"uXf9BSjQ","properties":{"formattedCitation":"(Adepoju et al., 2022)","plainCitation":"(Adepoju et al., 2022)","dontUpdate":true,"noteIndex":0},"citationItems":[{"id":2241,"uris":["http://zotero.org/users/9292995/items/VBWB4HT5"],"itemData":{"id":2241,"type":"article-journal","abstract":"BACKGROUND: The Coronavirus Aid, Relief, and Economic Security (CARES) Act led to the rapid implementation of telemedicine across healthcare office settings. This innovation has the potential to improve healthcare use and ensure continuity of care. However, this delivery model could have an unintended consequence of worsening racial/ethnic disparities in healthcare utilization if adoption varies across sub-populations.\nOBJECTIVE: To examine associations between telemedicine use and race/ethnicity between 3/1/2020 and 11/30/2020, and the influence of other individual- and geographical-level factors on this relationship.\nDESIGN: Cohort study PARTICIPANTS: EMR data from 55 clinics in a FQHC network MAIN MEASURES: The dependent variable was visit type (in-person vs. telemedicine). Predictors of interest were patient race and ethnicity. To account for repeated visits within each patient nested within clinic, a three-level, mixed-effects, multivariable, logistic regression model was used. Subgroup analyses examined correlates of telemedicine use in African American and Hispanic cohorts, separately.\nKEY RESULTS: The analytic sample included 233,302 visits for 67,733 unique patients. African Americans (OR = 0.65, 95% CI: 0.61, 0.69), Asians (OR = 0.58, 95% CI: 0.52, 0.65), and American Indians / Alaska Natives and other Pacific Islanders (OR = 0.82, 95% CI: 0.70, 0.98) were significantly less likely to use telemedicine compared to Whites. Hispanics were also less likely to have a telemedicine visit (OR = 0.49, 95% CI: 0.47, 0.51) compared to non-Hispanics. Nonacute visits were more likely to be conducted via telemedicine. Distance to clinic exhibited a dose-response relationship such that patients who lived farthest from the clinics were most likely to have telemedicine visits. In the subgroup analyses to examine predictors of telemedicine use, the dose-response relationship between distance from clinic and telemedicine use persisted, with increasing distance associated with increasing likelihood of telemedicine use, in both African American and Hispanic cohorts. Nonacute visits were associated with telemedicine use in the Hispanic cohort, but not in the Black / African American cohort.\nCONCLUSION: Racial/ethnic disparities in telemedicine use persisted among this cohort. However, telemedicine improved utilization for African Americans and Hispanics living farther away from the clinic.","container-title":"Journal of General Internal Medicine","DOI":"10.1007/s11606-021-07304-4","ISSN":"1525-1497","issue":"5","journalAbbreviation":"J Gen Intern Med","language":"eng","note":"PMID: 35112280\nPMCID: PMC8809627","page":"1191-1197","source":"PubMed","title":"Utilization Gaps During the COVID-19 Pandemic: Racial and Ethnic Disparities in Telemedicine Uptake in Federally Qualified Health Center Clinics","title-short":"Utilization Gaps During the COVID-19 Pandemic","volume":"37","author":[{"family":"Adepoju","given":"Omolola E."},{"family":"Chae","given":"Minji"},{"family":"Ojinnaka","given":"Chinedum O."},{"family":"Shetty","given":"Sharonya"},{"family":"Angelocci","given":"Tracy"}],"issued":{"date-parts":[["2022",4]]}}}],"schema":"https://github.com/citation-style-language/schema/raw/master/csl-citation.json"} </w:instrText>
      </w:r>
      <w:r w:rsidR="0069340B" w:rsidRPr="007E3B79">
        <w:fldChar w:fldCharType="separate"/>
      </w:r>
      <w:bookmarkStart w:id="14" w:name="_Hlk179635594"/>
      <w:r w:rsidR="0069340B" w:rsidRPr="007E3B79">
        <w:t>Adepoju</w:t>
      </w:r>
      <w:bookmarkEnd w:id="14"/>
      <w:r w:rsidR="0069340B" w:rsidRPr="007E3B79">
        <w:t xml:space="preserve"> et al.</w:t>
      </w:r>
      <w:r w:rsidR="0069340B">
        <w:t>,</w:t>
      </w:r>
      <w:r w:rsidR="0069340B" w:rsidRPr="007E3B79">
        <w:t xml:space="preserve"> 2022</w:t>
      </w:r>
      <w:r w:rsidR="0069340B" w:rsidRPr="007E3B79">
        <w:fldChar w:fldCharType="end"/>
      </w:r>
      <w:r w:rsidR="0069340B">
        <w:t>,</w:t>
      </w:r>
      <w:r w:rsidR="0069340B" w:rsidRPr="00832A81">
        <w:rPr>
          <w:bCs/>
        </w:rPr>
        <w:t xml:space="preserve"> </w:t>
      </w:r>
      <w:r w:rsidR="0069340B" w:rsidRPr="00832A81">
        <w:rPr>
          <w:bCs/>
        </w:rPr>
        <w:fldChar w:fldCharType="begin"/>
      </w:r>
      <w:r w:rsidR="0069340B">
        <w:rPr>
          <w:bCs/>
        </w:rPr>
        <w:instrText xml:space="preserve"> ADDIN ZOTERO_ITEM CSL_CITATION {"citationID":"S0pjz2pP","properties":{"formattedCitation":"(Drake et al., 2022)","plainCitation":"(Drake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B"},{"family":"Shah","given":"Kevin"}],"issued":{"date-parts":[["2022"]]}}}],"schema":"https://github.com/citation-style-language/schema/raw/master/csl-citation.json"} </w:instrText>
      </w:r>
      <w:r w:rsidR="0069340B" w:rsidRPr="00832A81">
        <w:rPr>
          <w:bCs/>
        </w:rPr>
        <w:fldChar w:fldCharType="separate"/>
      </w:r>
      <w:r w:rsidR="0069340B" w:rsidRPr="005E4F79">
        <w:t>Drake et al.</w:t>
      </w:r>
      <w:r w:rsidR="0069340B">
        <w:t xml:space="preserve">, </w:t>
      </w:r>
      <w:r w:rsidR="0069340B" w:rsidRPr="005E4F79">
        <w:t>2022</w:t>
      </w:r>
      <w:r w:rsidR="0069340B">
        <w:t>,</w:t>
      </w:r>
      <w:r w:rsidR="0069340B" w:rsidRPr="00832A81">
        <w:rPr>
          <w:bCs/>
        </w:rPr>
        <w:fldChar w:fldCharType="end"/>
      </w:r>
      <w:r w:rsidR="0069340B">
        <w:rPr>
          <w:bCs/>
        </w:rPr>
        <w:t xml:space="preserve"> and</w:t>
      </w:r>
      <w:r w:rsidR="0069340B" w:rsidRPr="0069340B">
        <w:rPr>
          <w:shd w:val="clear" w:color="auto" w:fill="FFFFFF"/>
        </w:rPr>
        <w:t xml:space="preserve"> </w:t>
      </w:r>
      <w:r w:rsidR="0069340B" w:rsidRPr="00832A81">
        <w:rPr>
          <w:shd w:val="clear" w:color="auto" w:fill="FFFFFF"/>
        </w:rPr>
        <w:t>Chandrasekaran</w:t>
      </w:r>
      <w:r w:rsidR="0069340B">
        <w:rPr>
          <w:shd w:val="clear" w:color="auto" w:fill="FFFFFF"/>
        </w:rPr>
        <w:t xml:space="preserve">, </w:t>
      </w:r>
      <w:r w:rsidR="0069340B" w:rsidRPr="00832A81">
        <w:rPr>
          <w:shd w:val="clear" w:color="auto" w:fill="FFFFFF"/>
        </w:rPr>
        <w:t xml:space="preserve"> 202</w:t>
      </w:r>
      <w:r w:rsidR="0069340B">
        <w:rPr>
          <w:shd w:val="clear" w:color="auto" w:fill="FFFFFF"/>
        </w:rPr>
        <w:t>3</w:t>
      </w:r>
      <w:r w:rsidR="0069340B" w:rsidRPr="00832A81">
        <w:rPr>
          <w:shd w:val="clear" w:color="auto" w:fill="FFFFFF"/>
        </w:rPr>
        <w:t>)</w:t>
      </w:r>
      <w:r w:rsidR="0069340B">
        <w:rPr>
          <w:shd w:val="clear" w:color="auto" w:fill="FFFFFF"/>
        </w:rPr>
        <w:t>. However,</w:t>
      </w:r>
      <w:r w:rsidR="005A53FA" w:rsidRPr="00832A81">
        <w:rPr>
          <w:shd w:val="clear" w:color="auto" w:fill="FFFFFF"/>
        </w:rPr>
        <w:t xml:space="preserve"> </w:t>
      </w:r>
      <w:r w:rsidR="00564F53">
        <w:rPr>
          <w:shd w:val="clear" w:color="auto" w:fill="FFFFFF"/>
        </w:rPr>
        <w:t>s</w:t>
      </w:r>
      <w:r w:rsidR="0069340B">
        <w:rPr>
          <w:shd w:val="clear" w:color="auto" w:fill="FFFFFF"/>
        </w:rPr>
        <w:t>ome studies</w:t>
      </w:r>
      <w:r w:rsidR="008C4548" w:rsidRPr="00832A81">
        <w:rPr>
          <w:bCs/>
        </w:rPr>
        <w:t xml:space="preserve"> did not identify a significant link between race or ethnicity and tele</w:t>
      </w:r>
      <w:r w:rsidR="002A353D" w:rsidRPr="00832A81">
        <w:rPr>
          <w:bCs/>
        </w:rPr>
        <w:t>medicine</w:t>
      </w:r>
      <w:r w:rsidR="008C4548" w:rsidRPr="00832A81">
        <w:rPr>
          <w:bCs/>
        </w:rPr>
        <w:t xml:space="preserve"> usage</w:t>
      </w:r>
      <w:r w:rsidR="0069340B">
        <w:rPr>
          <w:bCs/>
        </w:rPr>
        <w:t xml:space="preserve"> </w:t>
      </w:r>
      <w:r w:rsidR="0069340B">
        <w:rPr>
          <w:shd w:val="clear" w:color="auto" w:fill="FFFFFF"/>
        </w:rPr>
        <w:t xml:space="preserve">(see </w:t>
      </w:r>
      <w:r w:rsidR="0069340B" w:rsidRPr="00832A81">
        <w:rPr>
          <w:bCs/>
        </w:rPr>
        <w:fldChar w:fldCharType="begin"/>
      </w:r>
      <w:r w:rsidR="0069340B">
        <w:rPr>
          <w:bCs/>
        </w:rPr>
        <w:instrText xml:space="preserve"> ADDIN ZOTERO_ITEM CSL_CITATION {"citationID":"YwpL9GVi","properties":{"formattedCitation":"(Jaffe et al., 2020)","plainCitation":"(Jaffe et al., 2020)","dontUpdate":true,"noteIndex":0},"citationItems":[{"id":2224,"uris":["http://zotero.org/users/9292995/items/5I64WJV6"],"itemData":{"id":2224,"type":"article-journal","abstract":"The use of remote health care services, or telehealth, is a promising solution for providing health care to those unable to access care in person easily and thus helping to reduce health inequalities. The COVID-19 pandemic and resulting stay-at-home orders in the United States have created an optimal situation for the use of telehealth services for non-life-threatening health care use. A retrospective cohort study was performed using Kantar's Claritis™ database, which links insurance claims encounters (Komodo Health) with patient-reported data (Kantar Health, National Health &amp; Wellness Survey). Logistic regression models (odds ratios [OR], 95% confidence intervals [CI]) examined predictors of telehealth versus in-person encounters. Adults ages ≥18 years eligible for payer-complete health care encounters in both March 2019 and March 2020 were identified (n = 35,376). Telehealth use increased from 0.2% in 2019 to 1.9% in 2020. In adjusted models of respondents with ≥1 health care encounter (n = 11,614), age, marital status, geographic residence (region; urban/rural), and presence of anxiety or depression were significant predictors of telehealth compared with in-person use in March 2020. For example, adults 45-46 years versus 18-44 years were less likely to use telehealth (OR 0.684, 95% CI: 0.561-0.834), and respondents living in urban versus rural areas were more likely to use telehealth (OR 1.543, 95% CI: 1.153-2.067). Substantial increases in telehealth use were observed during the onset of the COVID-19 pandemic in the United States; however, disparities existed. These inequalities represent the baseline landscape that population health management must monitor and address during this pandemic.","container-title":"Population Health Management","DOI":"10.1089/pop.2020.0186","ISSN":"1942-7905","issue":"5","journalAbbreviation":"Popul Health Manag","language":"eng","note":"PMID: 32816644","page":"368-377","source":"PubMed","title":"Health Inequalities in the Use of Telehealth in the United States in the Lens of COVID-19","volume":"23","author":[{"family":"Jaffe","given":"Dena H."},{"family":"Lee","given":"Lulu"},{"family":"Huynh","given":"Stephanie"},{"family":"Haskell","given":"Thomas P."}],"issued":{"date-parts":[["2020",10]]}}}],"schema":"https://github.com/citation-style-language/schema/raw/master/csl-citation.json"} </w:instrText>
      </w:r>
      <w:r w:rsidR="0069340B" w:rsidRPr="00832A81">
        <w:rPr>
          <w:bCs/>
        </w:rPr>
        <w:fldChar w:fldCharType="separate"/>
      </w:r>
      <w:r w:rsidR="0069340B" w:rsidRPr="005E4F79">
        <w:t>Jaffe et al.</w:t>
      </w:r>
      <w:r w:rsidR="0069340B">
        <w:t>,</w:t>
      </w:r>
      <w:r w:rsidR="0069340B" w:rsidRPr="005E4F79">
        <w:t xml:space="preserve"> 2020</w:t>
      </w:r>
      <w:r w:rsidR="0069340B" w:rsidRPr="00832A81">
        <w:rPr>
          <w:bCs/>
        </w:rPr>
        <w:fldChar w:fldCharType="end"/>
      </w:r>
      <w:r w:rsidR="0069340B">
        <w:rPr>
          <w:bCs/>
        </w:rPr>
        <w:t>,</w:t>
      </w:r>
      <w:r w:rsidR="0069340B" w:rsidRPr="00832A81">
        <w:rPr>
          <w:bCs/>
        </w:rPr>
        <w:fldChar w:fldCharType="begin"/>
      </w:r>
      <w:r w:rsidR="0069340B">
        <w:rPr>
          <w:bCs/>
        </w:rPr>
        <w:instrText xml:space="preserve"> ADDIN ZOTERO_ITEM CSL_CITATION {"citationID":"iHJkzTj8","properties":{"formattedCitation":"(Sharma et al., 2024)","plainCitation":"(Sharma et al., 2024)","dontUpdate":true,"noteIndex":0},"citationItems":[{"id":2204,"uris":["http://zotero.org/users/9292995/items/B5LDPDSV"],"itemData":{"id":2204,"type":"article-journal","abstract":"BACKGROUND: During the COVID-19 outbreak, video appointments became a popular method for health care delivery, particularly in the early stages of the pandemic. Although Mayo Clinic aimed to reduce face-to-face (F2F) appointments to prevent the spread of the virus, some patients continued seeing their health care providers in person. In the later stages of the pandemic, many patients became comfortable with video appointments, even if they were initially hesitant. However, a subset of patients continued to avoid video appointments. It is not yet clear what sociodemographic factors may be associated with this group of patients.\nOBJECTIVE: This cross-sectional study aimed to examine demographic and social determinant of health (SDoH) factors associated with persistent nonusers of video appointments among a sample of patients within a multistate health care organization. We also explored patient beliefs about the use of video for health care appointments.\nMETHODS: We conducted a 1-time cross-sectional paper survey, mailed between July and December 2022, of patients matching the eligibility criteria: (1) aged ≥18 years as of April 2020, (2) Mayo Clinic Midwest, Florida, or Arizona patient, (3) did not use video appointment services during April-December 2020 but attended F2F appointments in the departments of primary care and psychiatry/psychology. The survey asked patients, \"Have you ever had a video appointment with a healthcare provider?\" \"Yes\" respondents were defined as \"users\" (adapted to video appointments), and \"no\" respondents were defined as \"persistent nonusers\" of video appointments. We analyzed demographics, SDoH, and patient beliefs toward video appointments in 2 groups: persistent nonusers of video appointments and users. We used chi-square and 2-tailed t tests for analysis.\nRESULTS: Our findings indicate that patients who were older, lived in rural areas, sought care at Mayo Clinic Midwest, and did not have access to the patient portal system were likely to be persistent nonusers of video appointments. Only 1 SDoH factor (not having a disability, handicap, or chronic disease) was associated with persistent nonuse of video appointments. Persistent nonusers of video appointments held personal beliefs such as discomfort with video communication, difficulty interpreting nonverbal cues, and personal preference for F2F appointments over video.\nCONCLUSIONS: Our study identified demographic (older age and rural residence), sociodemographic factors (not having a disability, handicap, or chronic disease), and personal beliefs associated with patients' decisions to choose between video versus F2F appointments for health care delivery. Health care institutions should assess patients' negative attitudes toward technology prior to introducing them to digital health care services. Failing to do so may result in its restricted usage, negative patient experience, and wasted resources. For patients who hold negative beliefs about technology but are willing to learn, a \"digital health coordinator\" could be assigned to assist with various digital health solutions.","container-title":"JMIR formative research","DOI":"10.2196/50572","ISSN":"2561-326X","journalAbbreviation":"JMIR Form Res","language":"eng","note":"PMID: 38265855","page":"e50572","source":"PubMed","title":"Demographics and Social Factors Associated With Persistent Nonuse of Video Appointments at a Multisite Health Care Institution: Cross-Sectional Study","title-short":"Demographics and Social Factors Associated With Persistent Nonuse of Video Appointments at a Multisite Health Care Institution","volume":"8","author":[{"family":"Sharma","given":"Pravesh"},{"family":"Kamath","given":"Celia"},{"family":"Brockman","given":"Tabetha A."},{"family":"Roche","given":"Anne"},{"family":"Sinicrope","given":"Pamela"},{"family":"Jiang","given":"Ruoxiang"},{"family":"Decker","given":"Paul A."},{"family":"Pazdernik","given":"Vanessa"},{"family":"Patten","given":"Christi"}],"issued":{"date-parts":[["2024",1,24]]}}}],"schema":"https://github.com/citation-style-language/schema/raw/master/csl-citation.json"} </w:instrText>
      </w:r>
      <w:r w:rsidR="0069340B" w:rsidRPr="00832A81">
        <w:rPr>
          <w:bCs/>
        </w:rPr>
        <w:fldChar w:fldCharType="separate"/>
      </w:r>
      <w:r w:rsidR="0069340B">
        <w:t xml:space="preserve"> </w:t>
      </w:r>
      <w:r w:rsidR="0069340B" w:rsidRPr="00832A81">
        <w:rPr>
          <w:bCs/>
        </w:rPr>
        <w:fldChar w:fldCharType="begin"/>
      </w:r>
      <w:r w:rsidR="0069340B">
        <w:rPr>
          <w:bCs/>
        </w:rPr>
        <w:instrText xml:space="preserve"> ADDIN ZOTERO_ITEM CSL_CITATION {"citationID":"fTqEzuTp","properties":{"formattedCitation":"(Zhang et al., 2021)","plainCitation":"(Zhang et al., 2021)","dontUpdate":true,"noteIndex":0},"citationItems":[{"id":2260,"uris":["http://zotero.org/users/9292995/items/AHD9S4MV"],"itemData":{"id":2260,"type":"article-journal","abstract":"Telehealth is an important source of health care during the COVID-19 pandemic. Evidence is scarce regarding disparities in telehealth utilization in the United States. We aimed to investigate the prevalence and factors associated with telehealth utilization among US adults. Our data came from the Health, Ethnicity, and Pandemic Study, a nationally representative survey conducted in October 2020, with 2554 adults ≥ 18 and an oversample of racial/ethnic minorities. Telehealth utilization was measured as self-reported teleconsultation with providers via email, text message, phone, video, and remote patient monitoring during the pandemic. Logistic regressions were performed to examine the association between telehealth use and factors at the individual, household, and community levels. Overall, 43% of the sample reported having used telehealth, representing 114.5 million adults in the nation. East and Southeast Asians used telehealth less than non-Hispanic Whites (OR = 0.5, 95% CI: 0.3–0.8). Being uninsured (compared with private insurance: OR = 0.4, 95% CI: 0.2–0.8), and those with limited broadband coverage in the community (OR = 0.5, 95% CI: 0.3–0.8) were less likely to use telehealth. There is a need to develop and implement more equitable policies and interventions at both the individual and community levels to improve access to telehealth services and reduce related disparities.","container-title":"Journal of Telemedicine and Telecare","DOI":"10.1177/1357633X211051677","ISSN":"1357-633X","issue":"1","journalAbbreviation":"J Telemed Telecare","language":"en","note":"publisher: SAGE Publications","page":"90-97","source":"SAGE Journals","title":"Disparities in telehealth utilization during the COVID-19 pandemic: Findings from a nationally representative survey in the United States","title-short":"Disparities in telehealth utilization during the COVID-19 pandemic","volume":"30","author":[{"family":"Zhang","given":"Donglan"},{"family":"Shi","given":"Lu"},{"family":"Han","given":"Xuesong"},{"family":"Li","given":"Yan"},{"family":"Jalajel","given":"Nahyo A"},{"family":"Patel","given":"Sejal"},{"family":"Chen","given":"Zhuo"},{"family":"Chen","given":"Liwei"},{"family":"Wen","given":"Ming"},{"family":"Li","given":"Hongmei"},{"family":"Chen","given":"Baojiang"},{"family":"Li","given":"Jian"},{"family":"Su","given":"Dejun"}],"issued":{"date-parts":[["2021"]]}}}],"schema":"https://github.com/citation-style-language/schema/raw/master/csl-citation.json"} </w:instrText>
      </w:r>
      <w:r w:rsidR="0069340B" w:rsidRPr="00832A81">
        <w:rPr>
          <w:bCs/>
        </w:rPr>
        <w:fldChar w:fldCharType="separate"/>
      </w:r>
      <w:r w:rsidR="0069340B" w:rsidRPr="005E4F79">
        <w:t>Zhang et al.</w:t>
      </w:r>
      <w:r w:rsidR="0069340B">
        <w:t>,</w:t>
      </w:r>
      <w:r w:rsidR="0069340B" w:rsidRPr="005E4F79">
        <w:t xml:space="preserve"> 2021</w:t>
      </w:r>
      <w:r w:rsidR="0069340B" w:rsidRPr="00832A81">
        <w:rPr>
          <w:bCs/>
        </w:rPr>
        <w:fldChar w:fldCharType="end"/>
      </w:r>
      <w:r w:rsidR="0069340B">
        <w:rPr>
          <w:bCs/>
        </w:rPr>
        <w:t xml:space="preserve">, and </w:t>
      </w:r>
      <w:r w:rsidR="0069340B" w:rsidRPr="005E4F79">
        <w:t>Sharma et al.</w:t>
      </w:r>
      <w:r w:rsidR="0069340B">
        <w:t xml:space="preserve">, </w:t>
      </w:r>
      <w:r w:rsidR="0069340B" w:rsidRPr="005E4F79">
        <w:t>2024)</w:t>
      </w:r>
      <w:r w:rsidR="0069340B" w:rsidRPr="00832A81">
        <w:rPr>
          <w:bCs/>
        </w:rPr>
        <w:fldChar w:fldCharType="end"/>
      </w:r>
      <w:r w:rsidR="0069340B">
        <w:rPr>
          <w:bCs/>
        </w:rPr>
        <w:t xml:space="preserve">, while </w:t>
      </w:r>
      <w:r w:rsidR="00564F53">
        <w:rPr>
          <w:bCs/>
        </w:rPr>
        <w:t xml:space="preserve">some </w:t>
      </w:r>
      <w:r w:rsidR="0069340B">
        <w:rPr>
          <w:bCs/>
        </w:rPr>
        <w:t xml:space="preserve">others </w:t>
      </w:r>
      <w:r w:rsidR="00564F53">
        <w:rPr>
          <w:bCs/>
        </w:rPr>
        <w:t xml:space="preserve">even </w:t>
      </w:r>
      <w:r w:rsidR="0069340B">
        <w:rPr>
          <w:shd w:val="clear" w:color="auto" w:fill="FFFFFF"/>
        </w:rPr>
        <w:t>reported higher usage among</w:t>
      </w:r>
      <w:r w:rsidR="005A53FA" w:rsidRPr="00832A81">
        <w:rPr>
          <w:shd w:val="clear" w:color="auto" w:fill="FFFFFF"/>
        </w:rPr>
        <w:t xml:space="preserve"> non-Hispanic Black </w:t>
      </w:r>
      <w:r w:rsidR="000B17AB" w:rsidRPr="00832A81">
        <w:rPr>
          <w:shd w:val="clear" w:color="auto" w:fill="FFFFFF"/>
        </w:rPr>
        <w:t xml:space="preserve">and Hispanic </w:t>
      </w:r>
      <w:r w:rsidR="005A53FA" w:rsidRPr="00832A81">
        <w:rPr>
          <w:shd w:val="clear" w:color="auto" w:fill="FFFFFF"/>
        </w:rPr>
        <w:t>patients</w:t>
      </w:r>
      <w:r w:rsidR="0069340B">
        <w:rPr>
          <w:shd w:val="clear" w:color="auto" w:fill="FFFFFF"/>
        </w:rPr>
        <w:t xml:space="preserve"> </w:t>
      </w:r>
      <w:r w:rsidR="0069340B">
        <w:rPr>
          <w:bCs/>
        </w:rPr>
        <w:t>(see</w:t>
      </w:r>
      <w:bookmarkStart w:id="15" w:name="_Hlk165978171"/>
      <w:r w:rsidR="0069340B" w:rsidRPr="00832A81">
        <w:rPr>
          <w:bCs/>
        </w:rPr>
        <w:t xml:space="preserve"> </w:t>
      </w:r>
      <w:r w:rsidR="0069340B" w:rsidRPr="00832A81">
        <w:rPr>
          <w:bCs/>
        </w:rPr>
        <w:fldChar w:fldCharType="begin"/>
      </w:r>
      <w:r w:rsidR="0069340B">
        <w:rPr>
          <w:bCs/>
        </w:rPr>
        <w:instrText xml:space="preserve"> ADDIN ZOTERO_ITEM CSL_CITATION {"citationID":"cGFBmQwG","properties":{"formattedCitation":"(Campos-Castillo &amp; Anthony, 2021)","plainCitation":"(Campos-Castillo &amp; Anthony, 2021)","dontUpdate":true,"noteIndex":0},"citationItems":[{"id":2264,"uris":["http://zotero.org/users/9292995/items/RPIDMRX7"],"itemData":{"id":2264,"type":"article-journal","abstract":"OBJECTIVE: Widespread technological changes, like the rapid uptake of telehealth in the US during the COVID-19 pandemic, risk creating or widening racial/ethnic disparities. We conducted a secondary analysis of a cross-sectional, nationally representative survey of internet users to evaluate whether there were racial/ethnic disparities in self-reported telehealth use early in the pandemic.\nMATERIALS AND METHODS: The Pew Research Center fielded the survey March 19-24, 2020. Telehealth use because of the pandemic was measured by asking whether respondents (N = 10 624) \"used the internet or e-mail to connect with doctors or other medical professionals as a result of the coronavirus outbreak.\" We conducted survey-weighted logistic regressions, adjusting for respondents' socioeconomic characteristics and perceived threat of the pandemic to their own health (eg, no threat, minor, major).\nRESULTS: Approximately 17% of respondents reported using telehealth because of the pandemic, with significantly higher unadjusted odds among Blacks, Latinos, and those identified with other race compared to White respondents. The multivariable logistic regressions and sensitivity analyses show Black respondents were more likely than Whites to report using telehealth because of the pandemic, particularly when perceiving the pandemic as a minor threat to their own health.\nDISCUSSION: Black respondents are most likely to report using telehealth because of the COVID-19 pandemic, particularly when they perceive the pandemic as a minor health threat.\nCONCLUSION: The systemic racism creating health and health care disparities has likely raised the need for telehealth among Black patients during the pandemic. Findings suggest opportunities to leverage a broadly defined set of telehealth tools to reduce health care disparities postpandemic.","container-title":"Journal of the American Medical Informatics Association: JAMIA","DOI":"10.1093/jamia/ocaa221","ISSN":"1527-974X","issue":"1","journalAbbreviation":"J Am Med Inform Assoc","language":"eng","note":"PMID: 32894772\nPMCID: PMC7499625","page":"119-125","source":"PubMed","title":"Racial and ethnic differences in self-reported telehealth use during the COVID-19 pandemic: a secondary analysis of a US survey of internet users from late March","title-short":"Racial and ethnic differences in self-reported telehealth use during the COVID-19 pandemic","volume":"28","author":[{"family":"Campos-Castillo","given":"Celeste"},{"family":"Anthony","given":"Denise"}],"issued":{"date-parts":[["2021",1,15]]}}}],"schema":"https://github.com/citation-style-language/schema/raw/master/csl-citation.json"} </w:instrText>
      </w:r>
      <w:r w:rsidR="0069340B" w:rsidRPr="00832A81">
        <w:rPr>
          <w:bCs/>
        </w:rPr>
        <w:fldChar w:fldCharType="separate"/>
      </w:r>
      <w:r w:rsidR="0069340B" w:rsidRPr="005E4F79">
        <w:t xml:space="preserve">Campos-Castillo </w:t>
      </w:r>
      <w:r w:rsidR="0069340B">
        <w:t>and</w:t>
      </w:r>
      <w:r w:rsidR="0069340B" w:rsidRPr="005E4F79">
        <w:t xml:space="preserve"> Anthony</w:t>
      </w:r>
      <w:r w:rsidR="0069340B">
        <w:t>,</w:t>
      </w:r>
      <w:r w:rsidR="0069340B" w:rsidRPr="005E4F79">
        <w:t xml:space="preserve"> 2021</w:t>
      </w:r>
      <w:r w:rsidR="0069340B" w:rsidRPr="00832A81">
        <w:rPr>
          <w:bCs/>
        </w:rPr>
        <w:fldChar w:fldCharType="end"/>
      </w:r>
      <w:r w:rsidR="0069340B">
        <w:rPr>
          <w:bCs/>
        </w:rPr>
        <w:t xml:space="preserve">, </w:t>
      </w:r>
      <w:r w:rsidR="0069340B" w:rsidRPr="00832A81">
        <w:rPr>
          <w:bCs/>
        </w:rPr>
        <w:fldChar w:fldCharType="begin"/>
      </w:r>
      <w:r w:rsidR="0069340B">
        <w:rPr>
          <w:bCs/>
        </w:rPr>
        <w:instrText xml:space="preserve"> ADDIN ZOTERO_ITEM CSL_CITATION {"citationID":"Bojj5vsT","properties":{"formattedCitation":"(Chumbler et al., 2023)","plainCitation":"(Chumbler et al., 2023)","dontUpdate":true,"noteIndex":0},"citationItems":[{"id":2229,"uris":["http://zotero.org/users/9292995/items/VIDJ5IDB"],"itemData":{"id":2229,"type":"article-journal","abstract":"INTRODUCTION: The COVID-19 pandemic led to a major transition for patients from routine ambulatory-care-based in-person primary care visits to telehealth visits to manage chronic diseases. However, it remains unclear the extent to which individuals access telehealth services and whether such utilization varies along neighborhood characteristics, especially among racial minorities. This study aims to examine the association of outpatient telehealth utilization with sociodemographic, clinical, and neighborhood characteristics among adults with ambulatory care sensitive conditions (ACSCs) during the COVID-19 pandemic.\nMETHODS: We included adults treated for an ACSC between March 5, 2020, and December 31, 2020, at a single ambulatory-care-based healthcare system, which serves a large population of low-income patients in the South region of the United States (i.e., Memphis, TN, Metropolitan Statistical Area). Telehealth utilization was defined by outpatient procedural codes and providers' notes on the type of visits. Generalized linear mixed models were used to examine the association of sociodemographic, clinical, and neighborhood factors with telehealth utilization in the overall cohort and the racial subpopulations.\nRESULTS: Among the 13,962 adults with ACSCs, 8583 (62.5%) used outpatient telehealth services. Patients who were older, female, with mental disorders, and who had more comorbidities had higher rates of telehealth services (p &lt; .05). Controlling for covariates, we observed 75.2% and 23.1% increased use of telehealth services among Hispanics and other race groups, respectively, compared to Whites. Patients who commuted more than 30 minutes to health facilities were slightly less likely to use telehealth services [OR: 0.994 (0.991,0.998)]. Racial minorities (Blacks and Hispanics) with mental disorders were more likely to use telehealth service when compared to Whites.\nDISCUSSION: We found that among patients being treated for ACSCs, the use of telehealth services was highly prevalent in Hispanic patients in general and were more pronounced among both Hispanics and Black patients who have mental disorders.","container-title":"Health Services Research and Managerial Epidemiology","DOI":"10.1177/23333928231154334","ISSN":"2333-3928","journalAbbreviation":"Health Serv Res Manag Epidemiol","language":"eng","note":"PMID: 36895424\nPMCID: PMC9989408","page":"23333928231154334","source":"PubMed","title":"Racial and Socioeconomic Characteristics Associated with the use of Telehealth Services Among Adults With Ambulatory Sensitive Conditions","volume":"10","author":[{"family":"Chumbler","given":"Neale R."},{"family":"Chen","given":"Ming"},{"family":"Harrison","given":"Austin"},{"family":"Surbhi","given":"Satya"}],"issued":{"date-parts":[["2023"]]}}}],"schema":"https://github.com/citation-style-language/schema/raw/master/csl-citation.json"} </w:instrText>
      </w:r>
      <w:r w:rsidR="0069340B" w:rsidRPr="00832A81">
        <w:rPr>
          <w:bCs/>
        </w:rPr>
        <w:fldChar w:fldCharType="separate"/>
      </w:r>
      <w:r w:rsidR="0069340B" w:rsidRPr="005E4F79">
        <w:t>Chumbler et al.</w:t>
      </w:r>
      <w:r w:rsidR="0069340B">
        <w:t>,</w:t>
      </w:r>
      <w:r w:rsidR="0069340B" w:rsidRPr="005E4F79">
        <w:t xml:space="preserve"> 2023</w:t>
      </w:r>
      <w:r w:rsidR="0069340B" w:rsidRPr="00832A81">
        <w:rPr>
          <w:bCs/>
        </w:rPr>
        <w:fldChar w:fldCharType="end"/>
      </w:r>
      <w:r w:rsidR="0069340B" w:rsidRPr="00832A81">
        <w:rPr>
          <w:bCs/>
          <w:color w:val="000000" w:themeColor="text1"/>
        </w:rPr>
        <w:t>,</w:t>
      </w:r>
      <w:r w:rsidR="0069340B" w:rsidRPr="00832A81">
        <w:rPr>
          <w:bCs/>
        </w:rPr>
        <w:t xml:space="preserve"> </w:t>
      </w:r>
      <w:r w:rsidR="0069340B">
        <w:rPr>
          <w:bCs/>
        </w:rPr>
        <w:t xml:space="preserve">and </w:t>
      </w:r>
      <w:r w:rsidR="0069340B" w:rsidRPr="00832A81">
        <w:rPr>
          <w:bCs/>
          <w:color w:val="000000" w:themeColor="text1"/>
        </w:rPr>
        <w:fldChar w:fldCharType="begin"/>
      </w:r>
      <w:r w:rsidR="0069340B">
        <w:rPr>
          <w:bCs/>
          <w:color w:val="000000" w:themeColor="text1"/>
        </w:rPr>
        <w:instrText xml:space="preserve"> ADDIN ZOTERO_ITEM CSL_CITATION {"citationID":"MpKbhrgV","properties":{"formattedCitation":"(White-Williams et al., 2023)","plainCitation":"(White-Williams et al., 2023)","dontUpdate":true,"noteIndex":0},"citationItems":[{"id":2249,"uris":["http://zotero.org/users/9292995/items/MN5YEYNJ"],"itemData":{"id":2249,"type":"article-journal","abstract":"Objectives: The COVID-19 pandemic has propelled the use of technology for health care services delivery. Because of inequities in health care and technology access, we investigated the use of telehealth services among racial and ethnic minority groups before and during the COVID-19 pandemic.\nMethods: For this retrospective study, we examined the electronic health records of privately insured patients in the Healthjump database, provided by the COVID-19 Research Database Consortium. We examined 17.98 million unique visit records of 2.93 million patients from March through December 2019 and 22.17 million records of 3.55 million patients from March through December 2020. We conducted a descriptive analysis and used multiple logistic regression to examine differences in the use of telehealth services among 3 racial and ethnic groups: non-Hispanic White, non-Hispanic Black, and Hispanic people.\nResults: Telehealth visits before and during COVID-19 accounted for 8.3% and 10.9% of total visits, respectively, with a peak of 15.5% in April 2020. Pre–COVID-19, Hispanic patients had a significantly lower monthly utilization rate (5.3%) than non-Hispanic White patients (8.4%, P &lt; .001) and non-Hispanic Black patients (10.4%, P = .001). During the pandemic study period, Hispanic patients were 41% less likely than non-Hispanic White patients to have a telehealth visit, controlling for age and sex.\nConclusions: The likelihood of using telehealth was lower among Hispanic patients than among non-Hispanic White and non-Hispanic Black patients during the pandemic. Culturally sensitive measures are needed to support telehealth use among the Hispanic population.","container-title":"Public Health Reports","DOI":"10.1177/00333549221123575","ISSN":"0033-3549","issue":"1","journalAbbreviation":"Public Health Rep","language":"en","note":"publisher: SAGE Publications Inc","page":"149-156","source":"SAGE Journals","title":"Use of Telehealth Among Racial and Ethnic Minority Groups in the United States Before and During the COVID-19 Pandemic","volume":"138","author":[{"family":"White-Williams","given":"Cynthia"},{"family":"Liu","given":"Xinliang"},{"family":"Shang","given":"Di"},{"family":"Santiago","given":"Jared"}],"issued":{"date-parts":[["2023",1,1]]}}}],"schema":"https://github.com/citation-style-language/schema/raw/master/csl-citation.json"} </w:instrText>
      </w:r>
      <w:r w:rsidR="0069340B" w:rsidRPr="00832A81">
        <w:rPr>
          <w:bCs/>
          <w:color w:val="000000" w:themeColor="text1"/>
        </w:rPr>
        <w:fldChar w:fldCharType="separate"/>
      </w:r>
      <w:r w:rsidR="0069340B" w:rsidRPr="005E4F79">
        <w:t>White-Williams et al.</w:t>
      </w:r>
      <w:r w:rsidR="0069340B">
        <w:t>,</w:t>
      </w:r>
      <w:r w:rsidR="0069340B" w:rsidRPr="005E4F79">
        <w:t xml:space="preserve"> 2023)</w:t>
      </w:r>
      <w:r w:rsidR="0069340B" w:rsidRPr="00832A81">
        <w:rPr>
          <w:bCs/>
          <w:color w:val="000000" w:themeColor="text1"/>
        </w:rPr>
        <w:fldChar w:fldCharType="end"/>
      </w:r>
      <w:bookmarkEnd w:id="15"/>
      <w:r w:rsidR="008C4548" w:rsidRPr="00832A81">
        <w:rPr>
          <w:shd w:val="clear" w:color="auto" w:fill="FFFFFF"/>
        </w:rPr>
        <w:t>.</w:t>
      </w:r>
    </w:p>
    <w:p w14:paraId="1A17973C" w14:textId="34438D97" w:rsidR="000B17AB" w:rsidRDefault="005A53FA" w:rsidP="0069340B">
      <w:pPr>
        <w:spacing w:after="0" w:line="240" w:lineRule="auto"/>
        <w:ind w:firstLine="720"/>
        <w:jc w:val="both"/>
        <w:rPr>
          <w:shd w:val="clear" w:color="auto" w:fill="FFFFFF"/>
        </w:rPr>
      </w:pPr>
      <w:r w:rsidRPr="00832A81">
        <w:rPr>
          <w:shd w:val="clear" w:color="auto" w:fill="FFFFFF"/>
        </w:rPr>
        <w:t>The intersection of race and telemedicine modality</w:t>
      </w:r>
      <w:r w:rsidR="002A353D" w:rsidRPr="00832A81">
        <w:rPr>
          <w:shd w:val="clear" w:color="auto" w:fill="FFFFFF"/>
        </w:rPr>
        <w:t xml:space="preserve"> (telephone versus video) </w:t>
      </w:r>
      <w:r w:rsidRPr="00832A81">
        <w:rPr>
          <w:shd w:val="clear" w:color="auto" w:fill="FFFFFF"/>
        </w:rPr>
        <w:t xml:space="preserve">further complicates the </w:t>
      </w:r>
      <w:r w:rsidR="00CB6867">
        <w:rPr>
          <w:shd w:val="clear" w:color="auto" w:fill="FFFFFF"/>
        </w:rPr>
        <w:t>adoption</w:t>
      </w:r>
      <w:r w:rsidR="002A353D" w:rsidRPr="00832A81">
        <w:rPr>
          <w:shd w:val="clear" w:color="auto" w:fill="FFFFFF"/>
        </w:rPr>
        <w:t xml:space="preserve"> </w:t>
      </w:r>
      <w:r w:rsidRPr="00832A81">
        <w:rPr>
          <w:shd w:val="clear" w:color="auto" w:fill="FFFFFF"/>
        </w:rPr>
        <w:t>landscape among racial and ethnic groups</w:t>
      </w:r>
      <w:bookmarkStart w:id="16" w:name="_Hlk165978224"/>
      <w:r w:rsidRPr="00832A81">
        <w:rPr>
          <w:shd w:val="clear" w:color="auto" w:fill="FFFFFF"/>
        </w:rPr>
        <w:t>.</w:t>
      </w:r>
      <w:r w:rsidR="0069340B">
        <w:rPr>
          <w:shd w:val="clear" w:color="auto" w:fill="FFFFFF"/>
        </w:rPr>
        <w:t xml:space="preserve"> Studies by</w:t>
      </w:r>
      <w:r w:rsidR="00F200CD">
        <w:rPr>
          <w:bCs/>
          <w:color w:val="000000" w:themeColor="text1"/>
        </w:rPr>
        <w:t xml:space="preserve"> </w:t>
      </w:r>
      <w:r w:rsidR="0069340B" w:rsidRPr="00832A81">
        <w:rPr>
          <w:bCs/>
        </w:rPr>
        <w:fldChar w:fldCharType="begin"/>
      </w:r>
      <w:r w:rsidR="0069340B">
        <w:rPr>
          <w:bCs/>
        </w:rPr>
        <w:instrText xml:space="preserve"> ADDIN ZOTERO_ITEM CSL_CITATION {"citationID":"MdMiOfGg","properties":{"formattedCitation":"(Rodriguez et al., 2021)","plainCitation":"(Rodriguez et al., 2021)","dontUpdate":true,"noteIndex":0},"citationItems":[{"id":2258,"uris":["http://zotero.org/users/9292995/items/TMEVPHEG"],"itemData":{"id":2258,"type":"article-journal","abstract":"OBJECTIVES: The coronavirus disease 2019 (COVID-19) pandemic forced health systems to offer video and telephone visits as in-person visit alternatives. Although video visits offer some benefits compared with telephone visits, they require complex setup, which may disadvantage some patients due to the \"digital divide.\" Our objective was to determine patient and neighborhood characteristics associated with visit modality.\nSTUDY DESIGN: This was a cross-sectional study across 1652 primary care and specialty care practices of adult patients at an integrated health system from April 23 to June 1, 2020.\nMETHODS: We used electronic health record and administrative data. Our primary outcome was visit modality (in-person, video, or telephone), which was captured using billing codes. We assessed predictors of using video vs telephone using multivariable logistic regression. We used hierarchical logistic regression to determine the contribution of patient-, physician-, and practice-level components of variance in the choice of video or telephone visits.\nRESULTS: We analyzed 231,596 visits by 162,102 patients. Sixty-five percent of the visits were virtual (31.7% telephone, 33.5% video). Patients who were older than 65 years (adjusted odds ratio [AOR], 0.41; 95% CI, 0.40-0.43), Black (AOR, 0.60; 95% CI, 0.57-0.63), Hispanic (AOR, 0.76; 95% CI, 0.73-0.80), Spanish-speaking (AOR, 0.57; 95% CI, 0.52-0.61), and from areas with low broadband access (AOR, 0.93; 95% CI, 0.88-0.98) were less likely to use video visits. Practices (38%) and clinicians (26%) drove more of the variation in video visit use than patients (9%).\nCONCLUSIONS: Telemedicine access differences may compound disparities in chronic disease and COVID-19 outcomes. Institutions should monitor video visit use across demographics and equip patients, clinicians, and practices to promote telemedicine equity.","container-title":"The American Journal of Managed Care","DOI":"10.37765/ajmc.2021.88573","ISSN":"1936-2692","issue":"1","journalAbbreviation":"Am J Manag Care","language":"eng","note":"PMID: 33471458","page":"21-26","source":"PubMed","title":"Differences in the use of telephone and video telemedicine visits during the COVID-19 pandemic","volume":"27","author":[{"family":"Rodriguez","given":"Jorge A."},{"family":"Betancourt","given":"Joseph R."},{"family":"Sequist","given":"Thomas D."},{"family":"Ganguli","given":"Ishani"}],"issued":{"date-parts":[["2021",1]]}}}],"schema":"https://github.com/citation-style-language/schema/raw/master/csl-citation.json"} </w:instrText>
      </w:r>
      <w:r w:rsidR="0069340B" w:rsidRPr="00832A81">
        <w:rPr>
          <w:bCs/>
        </w:rPr>
        <w:fldChar w:fldCharType="separate"/>
      </w:r>
      <w:r w:rsidR="0069340B" w:rsidRPr="005E4F79">
        <w:t xml:space="preserve">Rodriguez et al. </w:t>
      </w:r>
      <w:r w:rsidR="0069340B">
        <w:t>(</w:t>
      </w:r>
      <w:r w:rsidR="0069340B" w:rsidRPr="005E4F79">
        <w:t>2021)</w:t>
      </w:r>
      <w:r w:rsidR="0069340B" w:rsidRPr="00832A81">
        <w:rPr>
          <w:bCs/>
        </w:rPr>
        <w:fldChar w:fldCharType="end"/>
      </w:r>
      <w:r w:rsidR="0069340B">
        <w:rPr>
          <w:bCs/>
        </w:rPr>
        <w:t>,</w:t>
      </w:r>
      <w:r w:rsidR="00656200">
        <w:rPr>
          <w:shd w:val="clear" w:color="auto" w:fill="FFFFFF"/>
        </w:rPr>
        <w:t xml:space="preserve"> </w:t>
      </w:r>
      <w:r w:rsidR="00F97025" w:rsidRPr="00832A81">
        <w:rPr>
          <w:bCs/>
          <w:color w:val="000000" w:themeColor="text1"/>
        </w:rPr>
        <w:fldChar w:fldCharType="begin"/>
      </w:r>
      <w:r w:rsidR="009A6E84">
        <w:rPr>
          <w:bCs/>
          <w:color w:val="000000" w:themeColor="text1"/>
        </w:rPr>
        <w:instrText xml:space="preserve"> ADDIN ZOTERO_ITEM CSL_CITATION {"citationID":"bVi5Eosu","properties":{"formattedCitation":"(Der-Martirosian et al., 2022)","plainCitation":"(Der-Martirosian et al., 2022)","dontUpdate":true,"noteIndex":0},"citationItems":[{"id":2244,"uris":["http://zotero.org/users/9292995/items/XYNE2WNU"],"itemData":{"id":2244,"type":"article-journal","abstract":"At the onset of COVID-19, there was a rapid expansion of telehealth (video/telephone) visits to maintain delivery of primary care (PC) services at the Veterans Health Administration (VA). This study examines patient, provider, and site-level characteristics of any virtual and video-based care in PC.","container-title":"BMC Primary Care","DOI":"10.1186/s12875-022-01738-3","ISSN":"2731-4553","issue":"1","journalAbbreviation":"BMC Primary Care","page":"155","source":"BioMed Central","title":"Examining telehealth use among primary care patients, providers, and clinics during the COVID-19 pandemic","volume":"23","author":[{"family":"Der-Martirosian","given":"Claudia"},{"family":"Chu","given":"Karen"},{"family":"Steers","given":"W. Neil"},{"family":"Wyte-Lake","given":"Tamar"},{"family":"Balut","given":"Michelle D."},{"family":"Dobalian","given":"Aram"},{"family":"Heyworth","given":"Leonie"},{"family":"Paige","given":"Neil M."},{"family":"Leung","given":"Lucinda"}],"issued":{"date-parts":[["2022",6,18]]}}}],"schema":"https://github.com/citation-style-language/schema/raw/master/csl-citation.json"} </w:instrText>
      </w:r>
      <w:r w:rsidR="00F97025" w:rsidRPr="00832A81">
        <w:rPr>
          <w:bCs/>
          <w:color w:val="000000" w:themeColor="text1"/>
        </w:rPr>
        <w:fldChar w:fldCharType="separate"/>
      </w:r>
      <w:r w:rsidR="00F97025" w:rsidRPr="005E4F79">
        <w:t xml:space="preserve">Der-Martirosian et al. </w:t>
      </w:r>
      <w:r w:rsidR="00656200">
        <w:t>(</w:t>
      </w:r>
      <w:r w:rsidR="00F97025" w:rsidRPr="005E4F79">
        <w:t>2022)</w:t>
      </w:r>
      <w:r w:rsidR="00F97025" w:rsidRPr="00832A81">
        <w:rPr>
          <w:bCs/>
          <w:color w:val="000000" w:themeColor="text1"/>
        </w:rPr>
        <w:fldChar w:fldCharType="end"/>
      </w:r>
      <w:bookmarkEnd w:id="16"/>
      <w:r w:rsidR="0069340B">
        <w:rPr>
          <w:bCs/>
          <w:color w:val="000000" w:themeColor="text1"/>
        </w:rPr>
        <w:t xml:space="preserve">, and </w:t>
      </w:r>
      <w:r w:rsidR="0069340B" w:rsidRPr="00832A81">
        <w:rPr>
          <w:bCs/>
        </w:rPr>
        <w:fldChar w:fldCharType="begin"/>
      </w:r>
      <w:r w:rsidR="0069340B">
        <w:rPr>
          <w:bCs/>
        </w:rPr>
        <w:instrText xml:space="preserve"> ADDIN ZOTERO_ITEM CSL_CITATION {"citationID":"a0PlDTni","properties":{"formattedCitation":"(Drake et al., 2022)","plainCitation":"(Drake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B"},{"family":"Shah","given":"Kevin"}],"issued":{"date-parts":[["2022"]]}}}],"schema":"https://github.com/citation-style-language/schema/raw/master/csl-citation.json"} </w:instrText>
      </w:r>
      <w:r w:rsidR="0069340B" w:rsidRPr="00832A81">
        <w:rPr>
          <w:bCs/>
        </w:rPr>
        <w:fldChar w:fldCharType="separate"/>
      </w:r>
      <w:r w:rsidR="0069340B" w:rsidRPr="005E4F79">
        <w:t xml:space="preserve">Drake et al. </w:t>
      </w:r>
      <w:r w:rsidR="0069340B">
        <w:t>(</w:t>
      </w:r>
      <w:r w:rsidR="0069340B" w:rsidRPr="005E4F79">
        <w:t>2022)</w:t>
      </w:r>
      <w:r w:rsidR="0069340B" w:rsidRPr="00832A81">
        <w:rPr>
          <w:bCs/>
        </w:rPr>
        <w:fldChar w:fldCharType="end"/>
      </w:r>
      <w:r w:rsidR="000B17AB" w:rsidRPr="007E3B79">
        <w:t xml:space="preserve"> highlighted </w:t>
      </w:r>
      <w:r w:rsidR="00F97025" w:rsidRPr="00832A81">
        <w:rPr>
          <w:shd w:val="clear" w:color="auto" w:fill="FFFFFF"/>
        </w:rPr>
        <w:t xml:space="preserve">a preference for telephone </w:t>
      </w:r>
      <w:r w:rsidR="000B17AB" w:rsidRPr="00832A81">
        <w:rPr>
          <w:shd w:val="clear" w:color="auto" w:fill="FFFFFF"/>
        </w:rPr>
        <w:t xml:space="preserve">visits </w:t>
      </w:r>
      <w:r w:rsidR="00F97025" w:rsidRPr="00832A81">
        <w:rPr>
          <w:shd w:val="clear" w:color="auto" w:fill="FFFFFF"/>
        </w:rPr>
        <w:t>over video among certain minority groups</w:t>
      </w:r>
      <w:r w:rsidR="000B17AB" w:rsidRPr="00832A81">
        <w:rPr>
          <w:shd w:val="clear" w:color="auto" w:fill="FFFFFF"/>
        </w:rPr>
        <w:t>,</w:t>
      </w:r>
      <w:r w:rsidR="00F97025" w:rsidRPr="00832A81">
        <w:rPr>
          <w:shd w:val="clear" w:color="auto" w:fill="FFFFFF"/>
        </w:rPr>
        <w:t xml:space="preserve"> </w:t>
      </w:r>
      <w:r w:rsidR="000B17AB" w:rsidRPr="00832A81">
        <w:rPr>
          <w:shd w:val="clear" w:color="auto" w:fill="FFFFFF"/>
        </w:rPr>
        <w:t xml:space="preserve">likely due to </w:t>
      </w:r>
      <w:r w:rsidR="0069340B">
        <w:rPr>
          <w:shd w:val="clear" w:color="auto" w:fill="FFFFFF"/>
        </w:rPr>
        <w:t>technology access barriers. Conversely</w:t>
      </w:r>
      <w:r w:rsidR="00F97025" w:rsidRPr="00832A81">
        <w:rPr>
          <w:shd w:val="clear" w:color="auto" w:fill="FFFFFF"/>
        </w:rPr>
        <w:t>,</w:t>
      </w:r>
      <w:bookmarkStart w:id="17" w:name="_Hlk165978290"/>
      <w:r w:rsidR="00F97025" w:rsidRPr="00832A81">
        <w:rPr>
          <w:shd w:val="clear" w:color="auto" w:fill="FFFFFF"/>
        </w:rPr>
        <w:t xml:space="preserve"> </w:t>
      </w:r>
      <w:r w:rsidR="00F97025" w:rsidRPr="00832A81">
        <w:rPr>
          <w:bCs/>
        </w:rPr>
        <w:fldChar w:fldCharType="begin"/>
      </w:r>
      <w:r w:rsidR="009A6E84">
        <w:rPr>
          <w:bCs/>
        </w:rPr>
        <w:instrText xml:space="preserve"> ADDIN ZOTERO_ITEM CSL_CITATION {"citationID":"jBAWvncL","properties":{"formattedCitation":"(Fischer et al., 2022)","plainCitation":"(Fischer et al., 2022)","dontUpdate":true,"noteIndex":0},"citationItems":[{"id":2222,"uris":["http://zotero.org/users/9292995/items/IESQ79V4"],"itemData":{"id":2222,"type":"article-journal","abstract":"We examined use of and willingness to use video telehealth during the COVID-19 pandemic in a longitudinally followed cohort. Between February 2019 and March 2021, use and willingness to use increased among nearly all subgroups, with large increases among Black adults and adults with lower educational attainment. In March 2021 Black adults, adults ages 20-39, and high-income adults reported the greatest willingness to use video telehealth.","container-title":"Health Affairs (Project Hope)","DOI":"10.1377/hlthaff.2022.00118","ISSN":"1544-5208","issue":"11","journalAbbreviation":"Health Aff (Millwood)","language":"eng","note":"PMID: 36343311","page":"1645-1651","source":"PubMed","title":"Use Of And Willingness To Use Video Telehealth Through The COVID-19 Pandemic","volume":"41","author":[{"family":"Fischer","given":"Shira H."},{"family":"Predmore","given":"Zachary"},{"family":"Roth","given":"Elizabeth"},{"family":"Uscher-Pines","given":"Lori"},{"family":"Baird","given":"Matthew"},{"family":"Breslau","given":"Joshua"}],"issued":{"date-parts":[["2022",11]]}}}],"schema":"https://github.com/citation-style-language/schema/raw/master/csl-citation.json"} </w:instrText>
      </w:r>
      <w:r w:rsidR="00F97025" w:rsidRPr="00832A81">
        <w:rPr>
          <w:bCs/>
        </w:rPr>
        <w:fldChar w:fldCharType="separate"/>
      </w:r>
      <w:r w:rsidR="00F97025" w:rsidRPr="005E4F79">
        <w:t xml:space="preserve">Fischer et al. </w:t>
      </w:r>
      <w:r w:rsidR="00656200">
        <w:t>(</w:t>
      </w:r>
      <w:r w:rsidR="00F97025" w:rsidRPr="005E4F79">
        <w:t>2022)</w:t>
      </w:r>
      <w:r w:rsidR="00F97025" w:rsidRPr="00832A81">
        <w:rPr>
          <w:bCs/>
        </w:rPr>
        <w:fldChar w:fldCharType="end"/>
      </w:r>
      <w:bookmarkEnd w:id="17"/>
      <w:r w:rsidR="00F97025" w:rsidRPr="00832A81">
        <w:rPr>
          <w:bCs/>
        </w:rPr>
        <w:t xml:space="preserve"> </w:t>
      </w:r>
      <w:r w:rsidR="000B17AB" w:rsidRPr="00832A81">
        <w:rPr>
          <w:bCs/>
        </w:rPr>
        <w:t xml:space="preserve">reported a significant willingness among Black adults to </w:t>
      </w:r>
      <w:r w:rsidR="00CB6867">
        <w:rPr>
          <w:bCs/>
        </w:rPr>
        <w:t>adopt</w:t>
      </w:r>
      <w:r w:rsidR="000B17AB" w:rsidRPr="00832A81">
        <w:rPr>
          <w:bCs/>
        </w:rPr>
        <w:t xml:space="preserve"> video tele</w:t>
      </w:r>
      <w:r w:rsidR="002E674A" w:rsidRPr="00832A81">
        <w:rPr>
          <w:bCs/>
        </w:rPr>
        <w:t>medicine</w:t>
      </w:r>
      <w:r w:rsidR="0069340B">
        <w:rPr>
          <w:bCs/>
        </w:rPr>
        <w:t>.</w:t>
      </w:r>
    </w:p>
    <w:p w14:paraId="589FF540" w14:textId="77777777" w:rsidR="009D0CA2" w:rsidRPr="00832A81" w:rsidRDefault="009D0CA2" w:rsidP="009D0CA2">
      <w:pPr>
        <w:spacing w:after="0" w:line="240" w:lineRule="auto"/>
        <w:jc w:val="both"/>
        <w:rPr>
          <w:shd w:val="clear" w:color="auto" w:fill="FFFFFF"/>
        </w:rPr>
      </w:pPr>
    </w:p>
    <w:p w14:paraId="7EFD3129" w14:textId="18E9A609" w:rsidR="000E09AE" w:rsidRPr="00832A81" w:rsidRDefault="000E09AE" w:rsidP="009D0CA2">
      <w:pPr>
        <w:spacing w:after="0" w:line="240" w:lineRule="auto"/>
        <w:jc w:val="both"/>
        <w:rPr>
          <w:u w:val="single"/>
          <w:shd w:val="clear" w:color="auto" w:fill="FFFFFF"/>
        </w:rPr>
      </w:pPr>
      <w:r w:rsidRPr="00832A81">
        <w:rPr>
          <w:u w:val="single"/>
          <w:shd w:val="clear" w:color="auto" w:fill="FFFFFF"/>
        </w:rPr>
        <w:t xml:space="preserve">Other </w:t>
      </w:r>
      <w:r w:rsidR="009D0CA2">
        <w:rPr>
          <w:u w:val="single"/>
          <w:shd w:val="clear" w:color="auto" w:fill="FFFFFF"/>
        </w:rPr>
        <w:t>D</w:t>
      </w:r>
      <w:r w:rsidRPr="00832A81">
        <w:rPr>
          <w:u w:val="single"/>
          <w:shd w:val="clear" w:color="auto" w:fill="FFFFFF"/>
        </w:rPr>
        <w:t xml:space="preserve">emographic </w:t>
      </w:r>
      <w:r w:rsidR="009D0CA2">
        <w:rPr>
          <w:u w:val="single"/>
          <w:shd w:val="clear" w:color="auto" w:fill="FFFFFF"/>
        </w:rPr>
        <w:t>V</w:t>
      </w:r>
      <w:r w:rsidRPr="00832A81">
        <w:rPr>
          <w:u w:val="single"/>
          <w:shd w:val="clear" w:color="auto" w:fill="FFFFFF"/>
        </w:rPr>
        <w:t>ariables</w:t>
      </w:r>
    </w:p>
    <w:p w14:paraId="63EAC8E3" w14:textId="1A6B10F6" w:rsidR="0069340B" w:rsidRDefault="00B33933" w:rsidP="009D0CA2">
      <w:pPr>
        <w:spacing w:after="0" w:line="240" w:lineRule="auto"/>
        <w:jc w:val="both"/>
        <w:rPr>
          <w:shd w:val="clear" w:color="auto" w:fill="FFFFFF"/>
        </w:rPr>
      </w:pPr>
      <w:r w:rsidRPr="00832A81">
        <w:rPr>
          <w:shd w:val="clear" w:color="auto" w:fill="FFFFFF"/>
        </w:rPr>
        <w:t xml:space="preserve">Other demographic variables that have been explored, perhaps to a lesser </w:t>
      </w:r>
      <w:r w:rsidR="00E039B8" w:rsidRPr="00832A81">
        <w:rPr>
          <w:shd w:val="clear" w:color="auto" w:fill="FFFFFF"/>
        </w:rPr>
        <w:t>degree</w:t>
      </w:r>
      <w:r w:rsidR="000E09AE" w:rsidRPr="00832A81">
        <w:rPr>
          <w:shd w:val="clear" w:color="auto" w:fill="FFFFFF"/>
        </w:rPr>
        <w:t xml:space="preserve"> than age, gender, and race/ethnicity</w:t>
      </w:r>
      <w:r w:rsidR="00E039B8" w:rsidRPr="00832A81">
        <w:rPr>
          <w:shd w:val="clear" w:color="auto" w:fill="FFFFFF"/>
        </w:rPr>
        <w:t xml:space="preserve">, </w:t>
      </w:r>
      <w:r w:rsidRPr="00832A81">
        <w:rPr>
          <w:shd w:val="clear" w:color="auto" w:fill="FFFFFF"/>
        </w:rPr>
        <w:t xml:space="preserve">are related to household </w:t>
      </w:r>
      <w:r w:rsidR="00E039B8" w:rsidRPr="00832A81">
        <w:rPr>
          <w:shd w:val="clear" w:color="auto" w:fill="FFFFFF"/>
        </w:rPr>
        <w:t>composition</w:t>
      </w:r>
      <w:r w:rsidR="006B6941" w:rsidRPr="00832A81">
        <w:rPr>
          <w:shd w:val="clear" w:color="auto" w:fill="FFFFFF"/>
        </w:rPr>
        <w:t>, particularly</w:t>
      </w:r>
      <w:r w:rsidR="00E039B8" w:rsidRPr="00832A81">
        <w:rPr>
          <w:shd w:val="clear" w:color="auto" w:fill="FFFFFF"/>
        </w:rPr>
        <w:t xml:space="preserve"> focusing on</w:t>
      </w:r>
      <w:r w:rsidRPr="00832A81">
        <w:rPr>
          <w:shd w:val="clear" w:color="auto" w:fill="FFFFFF"/>
        </w:rPr>
        <w:t xml:space="preserve"> marital status.</w:t>
      </w:r>
      <w:r w:rsidR="006B6941" w:rsidRPr="00832A81">
        <w:rPr>
          <w:shd w:val="clear" w:color="auto" w:fill="FFFFFF"/>
        </w:rPr>
        <w:t xml:space="preserve"> </w:t>
      </w:r>
      <w:r w:rsidR="0069340B">
        <w:rPr>
          <w:shd w:val="clear" w:color="auto" w:fill="FFFFFF"/>
        </w:rPr>
        <w:t>Most s</w:t>
      </w:r>
      <w:r w:rsidR="00E039B8" w:rsidRPr="00832A81">
        <w:rPr>
          <w:shd w:val="clear" w:color="auto" w:fill="FFFFFF"/>
        </w:rPr>
        <w:t xml:space="preserve">tudies </w:t>
      </w:r>
      <w:r w:rsidR="0069340B">
        <w:rPr>
          <w:shd w:val="clear" w:color="auto" w:fill="FFFFFF"/>
        </w:rPr>
        <w:t xml:space="preserve">(see </w:t>
      </w:r>
      <w:r w:rsidR="00656200">
        <w:rPr>
          <w:shd w:val="clear" w:color="auto" w:fill="FFFFFF"/>
        </w:rPr>
        <w:fldChar w:fldCharType="begin"/>
      </w:r>
      <w:r w:rsidR="009A6E84">
        <w:rPr>
          <w:shd w:val="clear" w:color="auto" w:fill="FFFFFF"/>
        </w:rPr>
        <w:instrText xml:space="preserve"> ADDIN ZOTERO_ITEM CSL_CITATION {"citationID":"0DnsBczP","properties":{"formattedCitation":"(Zhang et al., 2021)","plainCitation":"(Zhang et al., 2021)","dontUpdate":true,"noteIndex":0},"citationItems":[{"id":2260,"uris":["http://zotero.org/users/9292995/items/AHD9S4MV"],"itemData":{"id":2260,"type":"article-journal","abstract":"Telehealth is an important source of health care during the COVID-19 pandemic. Evidence is scarce regarding disparities in telehealth utilization in the United States. We aimed to investigate the prevalence and factors associated with telehealth utilization among US adults. Our data came from the Health, Ethnicity, and Pandemic Study, a nationally representative survey conducted in October 2020, with 2554 adults ≥ 18 and an oversample of racial/ethnic minorities. Telehealth utilization was measured as self-reported teleconsultation with providers via email, text message, phone, video, and remote patient monitoring during the pandemic. Logistic regressions were performed to examine the association between telehealth use and factors at the individual, household, and community levels. Overall, 43% of the sample reported having used telehealth, representing 114.5 million adults in the nation. East and Southeast Asians used telehealth less than non-Hispanic Whites (OR = 0.5, 95% CI: 0.3–0.8). Being uninsured (compared with private insurance: OR = 0.4, 95% CI: 0.2–0.8), and those with limited broadband coverage in the community (OR = 0.5, 95% CI: 0.3–0.8) were less likely to use telehealth. There is a need to develop and implement more equitable policies and interventions at both the individual and community levels to improve access to telehealth services and reduce related disparities.","container-title":"Journal of Telemedicine and Telecare","DOI":"10.1177/1357633X211051677","ISSN":"1357-633X","issue":"1","journalAbbreviation":"J Telemed Telecare","language":"en","note":"publisher: SAGE Publications","page":"90-97","source":"SAGE Journals","title":"Disparities in telehealth utilization during the COVID-19 pandemic: Findings from a nationally representative survey in the United States","title-short":"Disparities in telehealth utilization during the COVID-19 pandemic","volume":"30","author":[{"family":"Zhang","given":"Donglan"},{"family":"Shi","given":"Lu"},{"family":"Han","given":"Xuesong"},{"family":"Li","given":"Yan"},{"family":"Jalajel","given":"Nahyo A"},{"family":"Patel","given":"Sejal"},{"family":"Chen","given":"Zhuo"},{"family":"Chen","given":"Liwei"},{"family":"Wen","given":"Ming"},{"family":"Li","given":"Hongmei"},{"family":"Chen","given":"Baojiang"},{"family":"Li","given":"Jian"},{"family":"Su","given":"Dejun"}],"issued":{"date-parts":[["2021"]]}}}],"schema":"https://github.com/citation-style-language/schema/raw/master/csl-citation.json"} </w:instrText>
      </w:r>
      <w:r w:rsidR="00656200">
        <w:rPr>
          <w:shd w:val="clear" w:color="auto" w:fill="FFFFFF"/>
        </w:rPr>
        <w:fldChar w:fldCharType="separate"/>
      </w:r>
      <w:r w:rsidR="00656200" w:rsidRPr="00656200">
        <w:t>Zhang et al.</w:t>
      </w:r>
      <w:r w:rsidR="0069340B">
        <w:t>,</w:t>
      </w:r>
      <w:r w:rsidR="00656200" w:rsidRPr="00656200">
        <w:t xml:space="preserve"> 2021</w:t>
      </w:r>
      <w:r w:rsidR="00656200">
        <w:rPr>
          <w:shd w:val="clear" w:color="auto" w:fill="FFFFFF"/>
        </w:rPr>
        <w:fldChar w:fldCharType="end"/>
      </w:r>
      <w:r w:rsidR="00656200">
        <w:rPr>
          <w:shd w:val="clear" w:color="auto" w:fill="FFFFFF"/>
        </w:rPr>
        <w:t xml:space="preserve">, </w:t>
      </w:r>
      <w:r w:rsidR="00656200">
        <w:rPr>
          <w:shd w:val="clear" w:color="auto" w:fill="FFFFFF"/>
        </w:rPr>
        <w:fldChar w:fldCharType="begin"/>
      </w:r>
      <w:r w:rsidR="009A6E84">
        <w:rPr>
          <w:shd w:val="clear" w:color="auto" w:fill="FFFFFF"/>
        </w:rPr>
        <w:instrText xml:space="preserve"> ADDIN ZOTERO_ITEM CSL_CITATION {"citationID":"DX1HizR7","properties":{"formattedCitation":"(Choi et al., 2022)","plainCitation":"(Choi et al., 2022)","dontUpdate":true,"noteIndex":0},"citationItems":[{"id":2107,"uris":["http://zotero.org/users/9292995/items/D8Y76BZE"],"itemData":{"id":2107,"type":"article-journal","abstract":"The COVID-19 pandemic ushered in rapid telehealth/telemedicine adoption. In this study, we (1) examined rates and correlates of telehealth (video call) use among those aged 70+, and (2) tested the significance of access to information and communication technology (ICT) device ownership and knowledge of how to use the internet and devices as telehealth-enabling factors. The Behavioral Model of Health Services Use served as the conceptual framework, and data came from the COVID-19 supplemental survey of the National Health and Aging Trend Study. Results show that telehealth use increased to 21.1% from 4.6% pre-pandemic. In logistic regression models without technology-enabling factors, older age and lower income were negatively associated with telehealth use; however, when technology-enabling factors were included, they were significant while age and income were no longer significant. Insuring that older adults have ICT devices and internet access may reduce health disparities and improve telehealth care delivery.","container-title":"Journal of Applied Gerontology","DOI":"10.1177/07334648211047347","ISSN":"0733-4648","issue":"3","journalAbbreviation":"J Appl Gerontol","language":"en","note":"publisher: SAGE Publications Inc","page":"600-609","source":"SAGE Journals","title":"Telehealth Use Among Older Adults During COVID-19: Associations With Sociodemographic and Health Characteristics, Technology Device Ownership, and Technology Learning","title-short":"Telehealth Use Among Older Adults During COVID-19","volume":"41","author":[{"family":"Choi","given":"Namkee G."},{"family":"DiNitto","given":"Diana M."},{"family":"Marti","given":"C. Nathan"},{"family":"Choi","given":"Bryan Y."}],"issued":{"date-parts":[["2022",3,1]]}}}],"schema":"https://github.com/citation-style-language/schema/raw/master/csl-citation.json"} </w:instrText>
      </w:r>
      <w:r w:rsidR="00656200">
        <w:rPr>
          <w:shd w:val="clear" w:color="auto" w:fill="FFFFFF"/>
        </w:rPr>
        <w:fldChar w:fldCharType="separate"/>
      </w:r>
      <w:r w:rsidR="00656200" w:rsidRPr="00656200">
        <w:t>Choi et al.</w:t>
      </w:r>
      <w:r w:rsidR="0069340B">
        <w:t>,</w:t>
      </w:r>
      <w:r w:rsidR="00656200" w:rsidRPr="00656200">
        <w:t xml:space="preserve"> 2022</w:t>
      </w:r>
      <w:r w:rsidR="00656200">
        <w:rPr>
          <w:shd w:val="clear" w:color="auto" w:fill="FFFFFF"/>
        </w:rPr>
        <w:fldChar w:fldCharType="end"/>
      </w:r>
      <w:r w:rsidR="00656200">
        <w:rPr>
          <w:shd w:val="clear" w:color="auto" w:fill="FFFFFF"/>
        </w:rPr>
        <w:t xml:space="preserve">, and </w:t>
      </w:r>
      <w:r w:rsidR="00656200">
        <w:rPr>
          <w:shd w:val="clear" w:color="auto" w:fill="FFFFFF"/>
        </w:rPr>
        <w:fldChar w:fldCharType="begin"/>
      </w:r>
      <w:r w:rsidR="009A6E84">
        <w:rPr>
          <w:shd w:val="clear" w:color="auto" w:fill="FFFFFF"/>
        </w:rPr>
        <w:instrText xml:space="preserve"> ADDIN ZOTERO_ITEM CSL_CITATION {"citationID":"uP8c4rvo","properties":{"formattedCitation":"(Chandrasekaran, 2023)","plainCitation":"(Chandrasekaran, 2023)","dontUpdate":true,"noteIndex":0},"citationItems":[{"id":2109,"uris":["http://zotero.org/users/9292995/items/JHY5WA7B"],"itemData":{"id":2109,"type":"article-journal","container-title":"Telemedicine and e-Health","DOI":"10.1089/tmj.2023.0277","language":"en","source":"www-liebertpub-com.ezproxy.lib.utexas.edu","title":"Telemedicine in the Post-Pandemic Period: Understanding Patterns of Use and the Influence of Socioeconomic Demographics, Health Status, and Social Determinants","title-short":"Telemedicine in the Post-Pandemic Period","URL":"https://www.liebertpub.com/doi/10.1089/tmj.2023.0277","author":[{"family":"Chandrasekaran","given":"Ranganathan"}],"accessed":{"date-parts":[["2023",9,21]]},"issued":{"date-parts":[["2023"]]}}}],"schema":"https://github.com/citation-style-language/schema/raw/master/csl-citation.json"} </w:instrText>
      </w:r>
      <w:r w:rsidR="00656200">
        <w:rPr>
          <w:shd w:val="clear" w:color="auto" w:fill="FFFFFF"/>
        </w:rPr>
        <w:fldChar w:fldCharType="separate"/>
      </w:r>
      <w:r w:rsidR="00656200" w:rsidRPr="00656200">
        <w:t>Chandrasekaran</w:t>
      </w:r>
      <w:r w:rsidR="0069340B">
        <w:t xml:space="preserve">, </w:t>
      </w:r>
      <w:r w:rsidR="00656200" w:rsidRPr="00656200">
        <w:t>2023)</w:t>
      </w:r>
      <w:r w:rsidR="00656200">
        <w:rPr>
          <w:shd w:val="clear" w:color="auto" w:fill="FFFFFF"/>
        </w:rPr>
        <w:fldChar w:fldCharType="end"/>
      </w:r>
      <w:r w:rsidR="006B6941" w:rsidRPr="00832A81">
        <w:rPr>
          <w:shd w:val="clear" w:color="auto" w:fill="FFFFFF"/>
        </w:rPr>
        <w:t xml:space="preserve"> </w:t>
      </w:r>
      <w:r w:rsidR="00423155">
        <w:rPr>
          <w:shd w:val="clear" w:color="auto" w:fill="FFFFFF"/>
        </w:rPr>
        <w:t xml:space="preserve">have </w:t>
      </w:r>
      <w:r w:rsidR="00E039B8" w:rsidRPr="00832A81">
        <w:rPr>
          <w:shd w:val="clear" w:color="auto" w:fill="FFFFFF"/>
        </w:rPr>
        <w:t>found that married individuals or those cohabitating with a partner</w:t>
      </w:r>
      <w:r w:rsidR="006B6941" w:rsidRPr="00832A81">
        <w:rPr>
          <w:shd w:val="clear" w:color="auto" w:fill="FFFFFF"/>
        </w:rPr>
        <w:t xml:space="preserve"> are more likely to </w:t>
      </w:r>
      <w:r w:rsidR="00CB6867">
        <w:rPr>
          <w:shd w:val="clear" w:color="auto" w:fill="FFFFFF"/>
        </w:rPr>
        <w:t>take to</w:t>
      </w:r>
      <w:r w:rsidR="00E039B8" w:rsidRPr="00832A81">
        <w:rPr>
          <w:shd w:val="clear" w:color="auto" w:fill="FFFFFF"/>
        </w:rPr>
        <w:t xml:space="preserve"> telemedicine</w:t>
      </w:r>
      <w:r w:rsidR="0069340B">
        <w:rPr>
          <w:shd w:val="clear" w:color="auto" w:fill="FFFFFF"/>
        </w:rPr>
        <w:t xml:space="preserve">, while </w:t>
      </w:r>
      <w:r w:rsidR="00564F53">
        <w:rPr>
          <w:shd w:val="clear" w:color="auto" w:fill="FFFFFF"/>
        </w:rPr>
        <w:t xml:space="preserve">a few studies have </w:t>
      </w:r>
      <w:r w:rsidR="0069340B">
        <w:rPr>
          <w:shd w:val="clear" w:color="auto" w:fill="FFFFFF"/>
        </w:rPr>
        <w:t>suggested the opposite (</w:t>
      </w:r>
      <w:r w:rsidR="0069340B" w:rsidRPr="00832A81">
        <w:rPr>
          <w:shd w:val="clear" w:color="auto" w:fill="FFFFFF"/>
        </w:rPr>
        <w:fldChar w:fldCharType="begin"/>
      </w:r>
      <w:r w:rsidR="0069340B">
        <w:rPr>
          <w:shd w:val="clear" w:color="auto" w:fill="FFFFFF"/>
        </w:rPr>
        <w:instrText xml:space="preserve"> ADDIN ZOTERO_ITEM CSL_CITATION {"citationID":"VqnSdekg","properties":{"formattedCitation":"(Jaffe et al., 2020)","plainCitation":"(Jaffe et al., 2020)","dontUpdate":true,"noteIndex":0},"citationItems":[{"id":2224,"uris":["http://zotero.org/users/9292995/items/5I64WJV6"],"itemData":{"id":2224,"type":"article-journal","abstract":"The use of remote health care services, or telehealth, is a promising solution for providing health care to those unable to access care in person easily and thus helping to reduce health inequalities. The COVID-19 pandemic and resulting stay-at-home orders in the United States have created an optimal situation for the use of telehealth services for non-life-threatening health care use. A retrospective cohort study was performed using Kantar's Claritis™ database, which links insurance claims encounters (Komodo Health) with patient-reported data (Kantar Health, National Health &amp; Wellness Survey). Logistic regression models (odds ratios [OR], 95% confidence intervals [CI]) examined predictors of telehealth versus in-person encounters. Adults ages ≥18 years eligible for payer-complete health care encounters in both March 2019 and March 2020 were identified (n = 35,376). Telehealth use increased from 0.2% in 2019 to 1.9% in 2020. In adjusted models of respondents with ≥1 health care encounter (n = 11,614), age, marital status, geographic residence (region; urban/rural), and presence of anxiety or depression were significant predictors of telehealth compared with in-person use in March 2020. For example, adults 45-46 years versus 18-44 years were less likely to use telehealth (OR 0.684, 95% CI: 0.561-0.834), and respondents living in urban versus rural areas were more likely to use telehealth (OR 1.543, 95% CI: 1.153-2.067). Substantial increases in telehealth use were observed during the onset of the COVID-19 pandemic in the United States; however, disparities existed. These inequalities represent the baseline landscape that population health management must monitor and address during this pandemic.","container-title":"Population Health Management","DOI":"10.1089/pop.2020.0186","ISSN":"1942-7905","issue":"5","journalAbbreviation":"Popul Health Manag","language":"eng","note":"PMID: 32816644","page":"368-377","source":"PubMed","title":"Health Inequalities in the Use of Telehealth in the United States in the Lens of COVID-19","volume":"23","author":[{"family":"Jaffe","given":"Dena H."},{"family":"Lee","given":"Lulu"},{"family":"Huynh","given":"Stephanie"},{"family":"Haskell","given":"Thomas P."}],"issued":{"date-parts":[["2020",10]]}}}],"schema":"https://github.com/citation-style-language/schema/raw/master/csl-citation.json"} </w:instrText>
      </w:r>
      <w:r w:rsidR="0069340B" w:rsidRPr="00832A81">
        <w:rPr>
          <w:shd w:val="clear" w:color="auto" w:fill="FFFFFF"/>
        </w:rPr>
        <w:fldChar w:fldCharType="separate"/>
      </w:r>
      <w:r w:rsidR="0069340B" w:rsidRPr="00832A81">
        <w:t>Jaffe et al.</w:t>
      </w:r>
      <w:r w:rsidR="0069340B">
        <w:t>,</w:t>
      </w:r>
      <w:r w:rsidR="0069340B" w:rsidRPr="00832A81">
        <w:t xml:space="preserve"> 2020)</w:t>
      </w:r>
      <w:r w:rsidR="0069340B" w:rsidRPr="00832A81">
        <w:rPr>
          <w:shd w:val="clear" w:color="auto" w:fill="FFFFFF"/>
        </w:rPr>
        <w:fldChar w:fldCharType="end"/>
      </w:r>
      <w:r w:rsidR="0069340B">
        <w:rPr>
          <w:shd w:val="clear" w:color="auto" w:fill="FFFFFF"/>
        </w:rPr>
        <w:t>.</w:t>
      </w:r>
    </w:p>
    <w:p w14:paraId="78C67768" w14:textId="62C921C4" w:rsidR="00B05595" w:rsidRDefault="000B17AB" w:rsidP="0069070F">
      <w:pPr>
        <w:spacing w:after="0" w:line="240" w:lineRule="auto"/>
        <w:ind w:firstLine="720"/>
        <w:jc w:val="both"/>
        <w:rPr>
          <w:shd w:val="clear" w:color="auto" w:fill="FFFFFF"/>
        </w:rPr>
      </w:pPr>
      <w:r w:rsidRPr="00832A81">
        <w:rPr>
          <w:shd w:val="clear" w:color="auto" w:fill="FFFFFF"/>
        </w:rPr>
        <w:t xml:space="preserve">Socioeconomic status </w:t>
      </w:r>
      <w:r w:rsidR="0069340B">
        <w:rPr>
          <w:shd w:val="clear" w:color="auto" w:fill="FFFFFF"/>
        </w:rPr>
        <w:t>also significantly influences telemedicine</w:t>
      </w:r>
      <w:r w:rsidR="00CB6867">
        <w:rPr>
          <w:shd w:val="clear" w:color="auto" w:fill="FFFFFF"/>
        </w:rPr>
        <w:t xml:space="preserve"> adoption</w:t>
      </w:r>
      <w:r w:rsidR="002A353D" w:rsidRPr="00832A81">
        <w:rPr>
          <w:shd w:val="clear" w:color="auto" w:fill="FFFFFF"/>
        </w:rPr>
        <w:t xml:space="preserve">, </w:t>
      </w:r>
      <w:r w:rsidR="0069340B">
        <w:rPr>
          <w:shd w:val="clear" w:color="auto" w:fill="FFFFFF"/>
        </w:rPr>
        <w:t xml:space="preserve">though findings </w:t>
      </w:r>
      <w:r w:rsidR="00DA026A" w:rsidRPr="00832A81">
        <w:rPr>
          <w:shd w:val="clear" w:color="auto" w:fill="FFFFFF"/>
        </w:rPr>
        <w:t xml:space="preserve">are </w:t>
      </w:r>
      <w:r w:rsidR="00423155">
        <w:rPr>
          <w:shd w:val="clear" w:color="auto" w:fill="FFFFFF"/>
        </w:rPr>
        <w:t xml:space="preserve">again not </w:t>
      </w:r>
      <w:r w:rsidR="00DA026A" w:rsidRPr="00832A81">
        <w:rPr>
          <w:shd w:val="clear" w:color="auto" w:fill="FFFFFF"/>
        </w:rPr>
        <w:t>consistent</w:t>
      </w:r>
      <w:r w:rsidR="0069340B">
        <w:rPr>
          <w:shd w:val="clear" w:color="auto" w:fill="FFFFFF"/>
        </w:rPr>
        <w:t>.</w:t>
      </w:r>
      <w:r w:rsidR="00DA026A" w:rsidRPr="00832A81">
        <w:rPr>
          <w:shd w:val="clear" w:color="auto" w:fill="FFFFFF"/>
        </w:rPr>
        <w:t xml:space="preserve"> </w:t>
      </w:r>
      <w:r w:rsidR="0069340B">
        <w:rPr>
          <w:shd w:val="clear" w:color="auto" w:fill="FFFFFF"/>
        </w:rPr>
        <w:t xml:space="preserve">Several studies </w:t>
      </w:r>
      <w:r w:rsidR="00423155">
        <w:rPr>
          <w:shd w:val="clear" w:color="auto" w:fill="FFFFFF"/>
        </w:rPr>
        <w:t xml:space="preserve">have </w:t>
      </w:r>
      <w:r w:rsidR="0069340B">
        <w:rPr>
          <w:shd w:val="clear" w:color="auto" w:fill="FFFFFF"/>
        </w:rPr>
        <w:t>associated</w:t>
      </w:r>
      <w:r w:rsidR="00DA026A" w:rsidRPr="00832A81">
        <w:rPr>
          <w:shd w:val="clear" w:color="auto" w:fill="FFFFFF"/>
        </w:rPr>
        <w:t xml:space="preserve"> lower</w:t>
      </w:r>
      <w:r w:rsidR="0069340B">
        <w:rPr>
          <w:shd w:val="clear" w:color="auto" w:fill="FFFFFF"/>
        </w:rPr>
        <w:t xml:space="preserve"> </w:t>
      </w:r>
      <w:r w:rsidR="00DA026A" w:rsidRPr="00832A81">
        <w:rPr>
          <w:shd w:val="clear" w:color="auto" w:fill="FFFFFF"/>
        </w:rPr>
        <w:t xml:space="preserve">income with reduced telemedicine </w:t>
      </w:r>
      <w:r w:rsidR="00BF51EC" w:rsidRPr="00832A81">
        <w:rPr>
          <w:shd w:val="clear" w:color="auto" w:fill="FFFFFF"/>
        </w:rPr>
        <w:t>adoption</w:t>
      </w:r>
      <w:r w:rsidR="00DA026A" w:rsidRPr="00832A81">
        <w:rPr>
          <w:shd w:val="clear" w:color="auto" w:fill="FFFFFF"/>
        </w:rPr>
        <w:t xml:space="preserve"> (</w:t>
      </w:r>
      <w:bookmarkStart w:id="18" w:name="_Hlk165978385"/>
      <w:r w:rsidR="00DA026A" w:rsidRPr="00832A81">
        <w:rPr>
          <w:shd w:val="clear" w:color="auto" w:fill="FFFFFF"/>
        </w:rPr>
        <w:t>see</w:t>
      </w:r>
      <w:r w:rsidR="009524DC">
        <w:rPr>
          <w:shd w:val="clear" w:color="auto" w:fill="FFFFFF"/>
        </w:rPr>
        <w:t xml:space="preserve"> </w:t>
      </w:r>
      <w:r w:rsidR="009524DC">
        <w:rPr>
          <w:shd w:val="clear" w:color="auto" w:fill="FFFFFF"/>
        </w:rPr>
        <w:fldChar w:fldCharType="begin"/>
      </w:r>
      <w:r w:rsidR="009A6E84">
        <w:rPr>
          <w:shd w:val="clear" w:color="auto" w:fill="FFFFFF"/>
        </w:rPr>
        <w:instrText xml:space="preserve"> ADDIN ZOTERO_ITEM CSL_CITATION {"citationID":"jLhe5XIR","properties":{"formattedCitation":"(Eberly et al., 2020; Luo et al., 2021)","plainCitation":"(Eberly et al., 2020; Luo et al., 2021)","dontUpdate":true,"noteIndex":0},"citationItems":[{"id":2095,"uris":["http://zotero.org/users/9292995/items/66KTZ472"],"itemData":{"id":2095,"type":"article-journal","abstract":"The coronavirus disease 2019 (COVID-19) pandemic has required a shift in health care delivery platforms, necessitating a new reliance on telemedicine.To evaluate whether inequities are present in telemedicine use and video visit use for telemedicine visits during the COVID-19 pandemic.In this cohort study, a retrospective medical record review was conducted from March 16 to May 11, 2020, of all patients scheduled for telemedicine visits in primary care and specialty ambulatory clinics at a large academic health system. Age, race/ethnicity, sex, language, median household income, and insurance type were all identified from the electronic medical record.A successfully completed telemedicine visit and video (vs telephone) visit for a telemedicine encounter. Multivariable models were used to assess the association between sociodemographic factors, including sex, race/ethnicity, socioeconomic status, and language, and the use of telemedicine visits, as well as video use specifically.A total of 148 402 unique patients (86 055 women [58.0%]; mean [SD] age, 56.5 [17.7] years) had scheduled telemedicine visits during the study period; 80 780 patients (54.4%) completed visits. Of 78 539 patients with completed visits in which visit modality was specified, 35 824 (45.6%) were conducted via video, whereas 42 715 (54.4%) had telephone visits. In multivariable models, older age (adjusted odds ratio [aOR], 0.85 [95% CI, 0.83-0.88] for those aged 55-64 years; aOR, 0.75 [95% CI, 0.72-0.78] for those aged 65-74 years; aOR, 0.67 [95% CI, 0.64-0.70] for those aged ≥75 years), Asian race (aOR, 0.69 [95% CI, 0.66-0.73]), non-English language as the patient’s preferred language (aOR, 0.84 [95% CI, 0.78-0.90]), and Medicaid insurance (aOR, 0.93 [95% CI, 0.89-0.97]) were independently associated with fewer completed telemedicine visits. Older age (aOR, 0.79 [95% CI, 0.76-0.82] for those aged 55-64 years; aOR, 0.78 [95% CI, 0.74-0.83] for those aged 65-74 years; aOR, 0.49 [95% CI, 0.46-0.53] for those aged ≥75 years), female sex (aOR, 0.92 [95% CI, 0.90-0.95]), Black race (aOR, 0.65 [95% CI, 0.62-0.68]), Latinx ethnicity (aOR, 0.90 [95% CI, 0.83-0.97]), and lower household income (aOR, 0.57 [95% CI, 0.54-0.60] for income &amp;lt;$50 000; aOR, 0.89 [95% CI, 0.85-0.92], for $50 000-$100 000) were associated with less video use for telemedicine visits. These results were similar across medical specialties.In this cohort study of patients scheduled for primary care and medical specialty ambulatory telemedicine visits at a large academic health system during the early phase of the COVID-19 pandemic, older patients, Asian patients, and non–English-speaking patients had lower rates of telemedicine use, while older patients, female patients, Black, Latinx, and poorer patients had less video use. Inequities in accessing telemedicine care are present, which warrant further attention.","container-title":"JAMA Network Open","DOI":"10.1001/jamanetworkopen.2020.31640","ISSN":"2574-3805","issue":"12","journalAbbreviation":"JAMA Network Open","page":"e2031640","source":"Silverchair","title":"Patient Characteristics Associated With Telemedicine Access for Primary and Specialty Ambulatory Care During the COVID-19 Pandemic","volume":"3","author":[{"family":"Eberly","given":"Lauren A."},{"family":"Kallan","given":"Michael J."},{"family":"Julien","given":"Howard M."},{"family":"Haynes","given":"Norrisa"},{"family":"Khatana","given":"Sameed Ahmed M."},{"family":"Nathan","given":"Ashwin S."},{"family":"Snider","given":"Christopher"},{"family":"Chokshi","given":"Neel P."},{"family":"Eneanya","given":"Nwamaka D."},{"family":"Takvorian","given":"Samuel U."},{"family":"Anastos-Wallen","given":"Rebecca"},{"family":"Chaiyachati","given":"Krisda"},{"family":"Ambrose","given":"Marietta"},{"family":"O’Quinn","given":"Rupal"},{"family":"Seigerman","given":"Matthew"},{"family":"Goldberg","given":"Lee R."},{"family":"Leri","given":"Damien"},{"family":"Choi","given":"Katherine"},{"family":"Gitelman","given":"Yevginiy"},{"family":"Kolansky","given":"Daniel M."},{"family":"Cappola","given":"Thomas P."},{"family":"Ferrari","given":"Victor A."},{"family":"Hanson","given":"C. William"},{"family":"Deleener","given":"Mary Elizabeth"},{"family":"Adusumalli","given":"Srinath"}],"issued":{"date-parts":[["2020",12,29]]}}},{"id":2210,"uris":["http://zotero.org/users/9292995/items/ZDRUZ5CT"],"itemData":{"id":2210,"type":"article-journal","abstract":"Background\n The telemedicine industry has been experiencing fast growth in recent years. The outbreak of coronavirus disease 2019 (COVID-19) further accelerated the deployment and utilization of telemedicine services. An analysis of the socioeconomic characteristics of telemedicine users to understand potential socioeconomic gaps and disparities is critical for improving the adoption of telemedicine services among patients.\n, Objectives\n This study aims to measure the correlation of socioeconomic determinants with the use of telemedicine services in Milwaukee metropolitan area.\n, Methods\n Electronic health record review of patients using telemedicine services compared with those not using telemedicine services within an academic-community health system: patient demographics (e.g., age, gender, race, and ethnicity), insurance status, and socioeconomic determinants obtained through block-level census data in Milwaukee area. The telemedicine users were compared with all other patients using regression analysis. The telemedicine adoption rates were calculated across regional ZIP codes to analyze the geographic patterns of telemedicine adoption.\n, Results\n A total of 104,139 patients used telemedicine services during the study period. Patients who used video visits were younger (median age 48.12), more likely to be White (odds ratio [OR] 1.34; 95% confidence interval [CI], 1.31–1.37), and have private insurance (OR 1.43; CI, 1.41–1.46); patients who used telephone visits were older (median age 57.58), more likely to be Black (OR 1.31; CI 1.28–1.35), and have public insurance (OR 1.30; CI 1.27–1.32). In general, Latino and Asian populations were less likely to use telemedicine; women used more telemedicine services in general than men. In the multiple regression analysis of social determinant factors across 126 ZIP codes, college education (coefficient 1.41,\np\n = 0.01) had a strong correlation to video telemedicine adoption rate.\n, Conclusion\n Adoption of telemedicine services was significantly impacted by the social determinant factors of health, such as income, education level, race, and insurance type. The study reveals the potential inequities and disparities in telemedicine adoption.","container-title":"Applied Clinical Informatics","DOI":"10.1055/s-0041-1733848","ISSN":"1869-0327","issue":"4","journalAbbreviation":"Appl Clin Inform","note":"PMID: 34496419\nPMCID: PMC8426040","page":"836-844","source":"PubMed Central","title":"Telemedicine Adoption during the COVID-19 Pandemic: Gaps and Inequalities","title-short":"Telemedicine Adoption during the COVID-19 Pandemic","volume":"12","author":[{"family":"Luo","given":"Jake"},{"family":"Tong","given":"Ling"},{"family":"Crotty","given":"Bradley H."},{"family":"Somai","given":"Melek"},{"family":"Taylor","given":"Bradley"},{"family":"Osinski","given":"Kristen"},{"family":"George","given":"Ben"}],"issued":{"date-parts":[["2021",8]]}}}],"schema":"https://github.com/citation-style-language/schema/raw/master/csl-citation.json"} </w:instrText>
      </w:r>
      <w:r w:rsidR="009524DC">
        <w:rPr>
          <w:shd w:val="clear" w:color="auto" w:fill="FFFFFF"/>
        </w:rPr>
        <w:fldChar w:fldCharType="separate"/>
      </w:r>
      <w:r w:rsidR="009524DC" w:rsidRPr="009524DC">
        <w:t>Eberly et al., 2020</w:t>
      </w:r>
      <w:r w:rsidR="009524DC">
        <w:t>,</w:t>
      </w:r>
      <w:r w:rsidR="009524DC" w:rsidRPr="009524DC">
        <w:t xml:space="preserve"> Luo et al., 2021</w:t>
      </w:r>
      <w:r w:rsidR="009524DC">
        <w:rPr>
          <w:shd w:val="clear" w:color="auto" w:fill="FFFFFF"/>
        </w:rPr>
        <w:fldChar w:fldCharType="end"/>
      </w:r>
      <w:r w:rsidR="009524DC">
        <w:rPr>
          <w:shd w:val="clear" w:color="auto" w:fill="FFFFFF"/>
        </w:rPr>
        <w:t xml:space="preserve">, </w:t>
      </w:r>
      <w:r w:rsidR="00DA026A" w:rsidRPr="00832A81">
        <w:rPr>
          <w:shd w:val="clear" w:color="auto" w:fill="FFFFFF"/>
        </w:rPr>
        <w:fldChar w:fldCharType="begin"/>
      </w:r>
      <w:r w:rsidR="009A6E84">
        <w:rPr>
          <w:shd w:val="clear" w:color="auto" w:fill="FFFFFF"/>
        </w:rPr>
        <w:instrText xml:space="preserve"> ADDIN ZOTERO_ITEM CSL_CITATION {"citationID":"2eLPb1oB","properties":{"formattedCitation":"(Choi et al., 2022; Drake et al., 2022; Fischer et al., 2022; Osobase, 2023)","plainCitation":"(Choi et al., 2022; Drake et al., 2022; Fischer et al., 2022; Osobase, 2023)","dontUpdate":true,"noteIndex":0},"citationItems":[{"id":2107,"uris":["http://zotero.org/users/9292995/items/D8Y76BZE"],"itemData":{"id":2107,"type":"article-journal","abstract":"The COVID-19 pandemic ushered in rapid telehealth/telemedicine adoption. In this study, we (1) examined rates and correlates of telehealth (video call) use among those aged 70+, and (2) tested the significance of access to information and communication technology (ICT) device ownership and knowledge of how to use the internet and devices as telehealth-enabling factors. The Behavioral Model of Health Services Use served as the conceptual framework, and data came from the COVID-19 supplemental survey of the National Health and Aging Trend Study. Results show that telehealth use increased to 21.1% from 4.6% pre-pandemic. In logistic regression models without technology-enabling factors, older age and lower income were negatively associated with telehealth use; however, when technology-enabling factors were included, they were significant while age and income were no longer significant. Insuring that older adults have ICT devices and internet access may reduce health disparities and improve telehealth care delivery.","container-title":"Journal of Applied Gerontology","DOI":"10.1177/07334648211047347","ISSN":"0733-4648","issue":"3","journalAbbreviation":"J Appl Gerontol","language":"en","note":"publisher: SAGE Publications Inc","page":"600-609","source":"SAGE Journals","title":"Telehealth Use Among Older Adults During COVID-19: Associations With Sociodemographic and Health Characteristics, Technology Device Ownership, and Technology Learning","title-short":"Telehealth Use Among Older Adults During COVID-19","volume":"41","author":[{"family":"Choi","given":"Namkee G."},{"family":"DiNitto","given":"Diana M."},{"family":"Marti","given":"C. Nathan"},{"family":"Choi","given":"Bryan Y."}],"issued":{"date-parts":[["2022",3,1]]}}},{"id":2135,"uris":["http://zotero.org/users/9292995/items/9RPZ3SHG"],"itemData":{"id":2135,"type":"article-journal","container-title":"Telemedicine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B"},{"family":"Shah","given":"Kevin"}],"issued":{"date-parts":[["2022"]]}}},{"id":2222,"uris":["http://zotero.org/users/9292995/items/IESQ79V4"],"itemData":{"id":2222,"type":"article-journal","abstract":"We examined use of and willingness to use video telehealth during the COVID-19 pandemic in a longitudinally followed cohort. Between February 2019 and March 2021, use and willingness to use increased among nearly all subgroups, with large increases among Black adults and adults with lower educational attainment. In March 2021 Black adults, adults ages 20-39, and high-income adults reported the greatest willingness to use video telehealth.","container-title":"Health Affairs (Project Hope)","DOI":"10.1377/hlthaff.2022.00118","ISSN":"1544-5208","issue":"11","journalAbbreviation":"Health Aff (Millwood)","language":"eng","note":"PMID: 36343311","page":"1645-1651","source":"PubMed","title":"Use Of And Willingness To Use Video Telehealth Through The COVID-19 Pandemic","volume":"41","author":[{"family":"Fischer","given":"Shira H."},{"family":"Predmore","given":"Zachary"},{"family":"Roth","given":"Elizabeth"},{"family":"Uscher-Pines","given":"Lori"},{"family":"Baird","given":"Matthew"},{"family":"Breslau","given":"Joshua"}],"issued":{"date-parts":[["2022",11]]}}},{"id":2234,"uris":["http://zotero.org/users/9292995/items/XBS5W45N"],"itemData":{"id":2234,"type":"thesis","publisher":"Walden University","title":"Evaluating U.S. Household T aluating U.S. Household Telemedicine Use in Primar elemedicine Use in Primary Care Settings","URL":"https://scholarworks.waldenu.edu/cgi/viewcontent.cgi?article=13072&amp;context=dissertations","author":[{"family":"Osobase","given":"Robert"}],"issued":{"date-parts":[["2023"]]}}}],"schema":"https://github.com/citation-style-language/schema/raw/master/csl-citation.json"} </w:instrText>
      </w:r>
      <w:r w:rsidR="00DA026A" w:rsidRPr="00832A81">
        <w:rPr>
          <w:shd w:val="clear" w:color="auto" w:fill="FFFFFF"/>
        </w:rPr>
        <w:fldChar w:fldCharType="separate"/>
      </w:r>
      <w:r w:rsidR="009524DC" w:rsidRPr="009524DC">
        <w:t>Choi et al., 2022</w:t>
      </w:r>
      <w:r w:rsidR="009524DC">
        <w:t>,</w:t>
      </w:r>
      <w:r w:rsidR="009524DC" w:rsidRPr="009524DC">
        <w:t xml:space="preserve"> Drake et al., 2022</w:t>
      </w:r>
      <w:r w:rsidR="009524DC">
        <w:t>,</w:t>
      </w:r>
      <w:r w:rsidR="009524DC" w:rsidRPr="009524DC">
        <w:t xml:space="preserve"> Fischer et al., 2022</w:t>
      </w:r>
      <w:r w:rsidR="009524DC">
        <w:t>,</w:t>
      </w:r>
      <w:r w:rsidR="009524DC" w:rsidRPr="009524DC">
        <w:t xml:space="preserve"> </w:t>
      </w:r>
      <w:r w:rsidR="009524DC">
        <w:t xml:space="preserve">and </w:t>
      </w:r>
      <w:r w:rsidR="009524DC" w:rsidRPr="009524DC">
        <w:t>Osobase, 2023)</w:t>
      </w:r>
      <w:r w:rsidR="00DA026A" w:rsidRPr="00832A81">
        <w:rPr>
          <w:shd w:val="clear" w:color="auto" w:fill="FFFFFF"/>
        </w:rPr>
        <w:fldChar w:fldCharType="end"/>
      </w:r>
      <w:r w:rsidR="00DA026A" w:rsidRPr="00832A81">
        <w:rPr>
          <w:shd w:val="clear" w:color="auto" w:fill="FFFFFF"/>
        </w:rPr>
        <w:t xml:space="preserve">, </w:t>
      </w:r>
      <w:bookmarkEnd w:id="18"/>
      <w:r w:rsidR="00DA026A" w:rsidRPr="00832A81">
        <w:rPr>
          <w:shd w:val="clear" w:color="auto" w:fill="FFFFFF"/>
        </w:rPr>
        <w:t xml:space="preserve">while others </w:t>
      </w:r>
      <w:r w:rsidR="00423155">
        <w:rPr>
          <w:shd w:val="clear" w:color="auto" w:fill="FFFFFF"/>
        </w:rPr>
        <w:t xml:space="preserve">have noted </w:t>
      </w:r>
      <w:r w:rsidR="0069340B">
        <w:rPr>
          <w:shd w:val="clear" w:color="auto" w:fill="FFFFFF"/>
        </w:rPr>
        <w:t>the</w:t>
      </w:r>
      <w:r w:rsidR="00DA026A" w:rsidRPr="00832A81">
        <w:rPr>
          <w:shd w:val="clear" w:color="auto" w:fill="FFFFFF"/>
        </w:rPr>
        <w:t xml:space="preserve"> opposite (see </w:t>
      </w:r>
      <w:r w:rsidR="00DA026A" w:rsidRPr="00832A81">
        <w:rPr>
          <w:shd w:val="clear" w:color="auto" w:fill="FFFFFF"/>
        </w:rPr>
        <w:fldChar w:fldCharType="begin"/>
      </w:r>
      <w:r w:rsidR="009A6E84">
        <w:rPr>
          <w:shd w:val="clear" w:color="auto" w:fill="FFFFFF"/>
        </w:rPr>
        <w:instrText xml:space="preserve"> ADDIN ZOTERO_ITEM CSL_CITATION {"citationID":"0hdorLA7","properties":{"formattedCitation":"(Patel et al., 2021)","plainCitation":"(Patel et al., 2021)","dontUpdate":true,"noteIndex":0},"citationItems":[{"id":2213,"uris":["http://zotero.org/users/9292995/items/SUYQT4CY"],"itemData":{"id":2213,"type":"article-journal","abstract":"Coronavirus disease 2019 (COVID-19) spurred a rapid rise in telemedicine, but it is unclear how use has varied by clinical and patient factors during the pandemic. We examined the variation in total outpatient visits and telemedicine use across patient demographics, specialties, and conditions in a database of 16.7 million commercially insured and Medicare Advantage enrollees from January to June 2020. During the pandemic, 30.1 percent of all visits were provided via telemedicine, and the weekly number of visits increased twenty-three-fold compared with the prepandemic period. Telemedicine use was lower in communities with higher rates of poverty (31.9 percent versus 27.9 percent for the lowest and highest quartiles of poverty rate, respectively). Across specialties, the use of any telemedicine during the pandemic ranged from 68 percent of endocrinologists to 9 percent of ophthalmologists. Across common conditions, the percentage of visits provided during the pandemic via telemedicine ranged from 53 percent for depression to 3 percent for glaucoma. Higher rates of telemedicine use for common conditions were associated with smaller decreases in total weekly visits during the pandemic.","container-title":"Health Affairs (Project Hope)","DOI":"10.1377/hlthaff.2020.01786","ISSN":"1544-5208","issue":"2","journalAbbreviation":"Health Aff (Millwood)","language":"eng","note":"PMID: 33523745\nPMCID: PMC7967498","page":"349-358","source":"PubMed","title":"Variation In Telemedicine Use And Outpatient Care During The COVID-19 Pandemic In The United States","volume":"40","author":[{"family":"Patel","given":"Sadiq Y."},{"family":"Mehrotra","given":"Ateev"},{"family":"Huskamp","given":"Haiden A."},{"family":"Uscher-Pines","given":"Lori"},{"family":"Ganguli","given":"Ishani"},{"family":"Barnett","given":"Michael Lawrence"}],"issued":{"date-parts":[["2021",2]]}}}],"schema":"https://github.com/citation-style-language/schema/raw/master/csl-citation.json"} </w:instrText>
      </w:r>
      <w:r w:rsidR="00DA026A" w:rsidRPr="00832A81">
        <w:rPr>
          <w:shd w:val="clear" w:color="auto" w:fill="FFFFFF"/>
        </w:rPr>
        <w:fldChar w:fldCharType="separate"/>
      </w:r>
      <w:r w:rsidR="00DA026A" w:rsidRPr="00832A81">
        <w:t>Patel et al., 2021)</w:t>
      </w:r>
      <w:r w:rsidR="00DA026A" w:rsidRPr="00832A81">
        <w:rPr>
          <w:shd w:val="clear" w:color="auto" w:fill="FFFFFF"/>
        </w:rPr>
        <w:fldChar w:fldCharType="end"/>
      </w:r>
      <w:r w:rsidR="00DA026A" w:rsidRPr="00832A81">
        <w:rPr>
          <w:shd w:val="clear" w:color="auto" w:fill="FFFFFF"/>
        </w:rPr>
        <w:t xml:space="preserve"> or</w:t>
      </w:r>
      <w:r w:rsidR="00B30881" w:rsidRPr="00832A81">
        <w:rPr>
          <w:shd w:val="clear" w:color="auto" w:fill="FFFFFF"/>
        </w:rPr>
        <w:t xml:space="preserve"> statistically</w:t>
      </w:r>
      <w:r w:rsidR="00DA026A" w:rsidRPr="00832A81">
        <w:rPr>
          <w:shd w:val="clear" w:color="auto" w:fill="FFFFFF"/>
        </w:rPr>
        <w:t xml:space="preserve"> insignificant relationship</w:t>
      </w:r>
      <w:r w:rsidR="00423155">
        <w:rPr>
          <w:shd w:val="clear" w:color="auto" w:fill="FFFFFF"/>
        </w:rPr>
        <w:t>s</w:t>
      </w:r>
      <w:r w:rsidR="00DA026A" w:rsidRPr="00832A81">
        <w:rPr>
          <w:shd w:val="clear" w:color="auto" w:fill="FFFFFF"/>
        </w:rPr>
        <w:t xml:space="preserve"> (see </w:t>
      </w:r>
      <w:r w:rsidR="00DA026A" w:rsidRPr="00832A81">
        <w:rPr>
          <w:shd w:val="clear" w:color="auto" w:fill="FFFFFF"/>
        </w:rPr>
        <w:fldChar w:fldCharType="begin"/>
      </w:r>
      <w:r w:rsidR="009A6E84">
        <w:rPr>
          <w:shd w:val="clear" w:color="auto" w:fill="FFFFFF"/>
        </w:rPr>
        <w:instrText xml:space="preserve"> ADDIN ZOTERO_ITEM CSL_CITATION {"citationID":"0bFfyFK9","properties":{"formattedCitation":"(Chandrasekaran, 2023)","plainCitation":"(Chandrasekaran, 2023)","dontUpdate":true,"noteIndex":0},"citationItems":[{"id":2109,"uris":["http://zotero.org/users/9292995/items/JHY5WA7B"],"itemData":{"id":2109,"type":"article-journal","container-title":"Telemedicine and e-Health","DOI":"10.1089/tmj.2023.0277","language":"en","source":"www-liebertpub-com.ezproxy.lib.utexas.edu","title":"Telemedicine in the Post-Pandemic Period: Understanding Patterns of Use and the Influence of Socioeconomic Demographics, Health Status, and Social Determinants","title-short":"Telemedicine in the Post-Pandemic Period","URL":"https://www.liebertpub.com/doi/10.1089/tmj.2023.0277","author":[{"family":"Chandrasekaran","given":"Ranganathan"}],"accessed":{"date-parts":[["2023",9,21]]},"issued":{"date-parts":[["2023"]]}}}],"schema":"https://github.com/citation-style-language/schema/raw/master/csl-citation.json"} </w:instrText>
      </w:r>
      <w:r w:rsidR="00DA026A" w:rsidRPr="00832A81">
        <w:rPr>
          <w:shd w:val="clear" w:color="auto" w:fill="FFFFFF"/>
        </w:rPr>
        <w:fldChar w:fldCharType="separate"/>
      </w:r>
      <w:r w:rsidR="00DA026A" w:rsidRPr="00832A81">
        <w:t>Chandrasekaran, 2023</w:t>
      </w:r>
      <w:r w:rsidR="00DA026A" w:rsidRPr="00832A81">
        <w:rPr>
          <w:shd w:val="clear" w:color="auto" w:fill="FFFFFF"/>
        </w:rPr>
        <w:fldChar w:fldCharType="end"/>
      </w:r>
      <w:r w:rsidR="0069340B">
        <w:rPr>
          <w:shd w:val="clear" w:color="auto" w:fill="FFFFFF"/>
        </w:rPr>
        <w:t>,</w:t>
      </w:r>
      <w:r w:rsidR="002E6131">
        <w:rPr>
          <w:shd w:val="clear" w:color="auto" w:fill="FFFFFF"/>
        </w:rPr>
        <w:t xml:space="preserve"> and</w:t>
      </w:r>
      <w:r w:rsidR="00B30881" w:rsidRPr="00832A81">
        <w:rPr>
          <w:shd w:val="clear" w:color="auto" w:fill="FFFFFF"/>
        </w:rPr>
        <w:t xml:space="preserve"> </w:t>
      </w:r>
      <w:r w:rsidR="00B30881" w:rsidRPr="00832A81">
        <w:rPr>
          <w:bCs/>
        </w:rPr>
        <w:fldChar w:fldCharType="begin"/>
      </w:r>
      <w:r w:rsidR="009A6E84">
        <w:rPr>
          <w:bCs/>
        </w:rPr>
        <w:instrText xml:space="preserve"> ADDIN ZOTERO_ITEM CSL_CITATION {"citationID":"MGYnHabI","properties":{"formattedCitation":"(Ko et al., 2023)","plainCitation":"(Ko et al., 2023)","dontUpdate":true,"noteIndex":0},"citationItems":[{"id":2206,"uris":["http://zotero.org/users/9292995/items/Y726UBQF"],"itemData":{"id":2206,"type":"article-journal","abstract":"Purpose Although telehealth access and utilization have increased during the pandemic, rural and low-income disparities persist. We sought to assess whether access or willingness to use telehealth differed between rural and non-rural and low-income and non-low-income adults and measure the prevalence of perceived barriers. Methods We conducted a cross-sectional study using COVID-19's Unequal Racial Burden (CURB) online survey (December 17, 2020-February 17, 2021), which included 2 nationally representative cohorts of rural and low-income Black/African American, Latino, and White adults. Non-rural and non-low-income participants from the main, nationally representative sample were matched for rural versus non-rural and low-income versus non-low-income comparisons. We measured perceived telehealth access, willingness to use telehealth, and perceived telehealth barriers. Findings Rural (38.6% vs 44.9%) and low-income adults (42.0% vs 47.4%) were less likely to report telehealth access, compared to non-rural and non-low-income counterparts. After adjustment, rural adults were still less likely to report telehealth access (adjusted prevalence ratio [aPR] = 0.89, 95% CI = 0.79-0.99); no differences were seen between low-income and non-low-income adults (aPR = 1.02, 95% CI = 0.88-1.17). The majority of adults reported willingness to use telehealth (rural = 78.4%; low-income = 79.0%), with no differences between rural and non-rural (aPR = 0.99, 95% CI = 0.92-1.08) or low-income versus non-low-income (aPR = 1.01, 95% CI = 0.91-1.13). No racial/ethnic differences were observed in willingness to use telehealth. The prevalence of perceived telehealth barriers was low, with the majority reporting no barriers (rural = 57.4%; low-income = 56.9%). Conclusions Lack of access (and awareness of access) is likely a primary driver of disparities in rural telehealth use. Race/ethnicity was not associated with telehealth willingness, suggesting that equal utilization is possible once granted access.","container-title":"The Journal of Rural Health","DOI":"10.1111/jrh.12759","ISSN":"1748-0361","issue":"3","language":"en","license":"© 2023 National Rural Health Association. This article has been contributed to by U.S. Government employees and their work is in the public domain in the USA.","note":"_eprint: https://onlinelibrary.wiley.com/doi/pdf/10.1111/jrh.12759","page":"617-624","source":"Wiley Online Library","title":"Disparities in telehealth access, not willingness to use services, likely explain rural telehealth disparities","volume":"39","author":[{"family":"Ko","given":"Jamie S."},{"family":"El-Toukhy","given":"Sherine"},{"family":"Quintero","given":"Stephanie M."},{"family":"Wilkerson","given":"Miciah J."},{"family":"Nápoles","given":"Anna M."},{"family":"Stewart","given":"Anita L."},{"family":"Strassle","given":"Paula D."}],"issued":{"date-parts":[["2023"]]}}}],"schema":"https://github.com/citation-style-language/schema/raw/master/csl-citation.json"} </w:instrText>
      </w:r>
      <w:r w:rsidR="00B30881" w:rsidRPr="00832A81">
        <w:rPr>
          <w:bCs/>
        </w:rPr>
        <w:fldChar w:fldCharType="separate"/>
      </w:r>
      <w:r w:rsidR="00B30881" w:rsidRPr="005E4F79">
        <w:t>Ko et al., 2023)</w:t>
      </w:r>
      <w:r w:rsidR="00B30881" w:rsidRPr="00832A81">
        <w:rPr>
          <w:bCs/>
        </w:rPr>
        <w:fldChar w:fldCharType="end"/>
      </w:r>
      <w:r w:rsidR="00DA026A" w:rsidRPr="00832A81">
        <w:rPr>
          <w:shd w:val="clear" w:color="auto" w:fill="FFFFFF"/>
        </w:rPr>
        <w:t xml:space="preserve">. </w:t>
      </w:r>
      <w:r w:rsidR="0069070F">
        <w:rPr>
          <w:shd w:val="clear" w:color="auto" w:fill="FFFFFF"/>
        </w:rPr>
        <w:t>Similarly, s</w:t>
      </w:r>
      <w:r w:rsidR="001D145A" w:rsidRPr="00832A81">
        <w:rPr>
          <w:shd w:val="clear" w:color="auto" w:fill="FFFFFF"/>
        </w:rPr>
        <w:t xml:space="preserve">ome studies </w:t>
      </w:r>
      <w:r w:rsidR="0069070F">
        <w:rPr>
          <w:shd w:val="clear" w:color="auto" w:fill="FFFFFF"/>
        </w:rPr>
        <w:t xml:space="preserve">have </w:t>
      </w:r>
      <w:r w:rsidR="001D145A" w:rsidRPr="00832A81">
        <w:rPr>
          <w:shd w:val="clear" w:color="auto" w:fill="FFFFFF"/>
        </w:rPr>
        <w:t>identif</w:t>
      </w:r>
      <w:r w:rsidR="0069070F">
        <w:rPr>
          <w:shd w:val="clear" w:color="auto" w:fill="FFFFFF"/>
        </w:rPr>
        <w:t>i</w:t>
      </w:r>
      <w:r w:rsidR="0069340B">
        <w:rPr>
          <w:shd w:val="clear" w:color="auto" w:fill="FFFFFF"/>
        </w:rPr>
        <w:t>ed</w:t>
      </w:r>
      <w:r w:rsidR="001D145A" w:rsidRPr="00832A81">
        <w:rPr>
          <w:shd w:val="clear" w:color="auto" w:fill="FFFFFF"/>
        </w:rPr>
        <w:t xml:space="preserve"> a positive correlation between higher </w:t>
      </w:r>
      <w:r w:rsidR="00BD2DF4">
        <w:rPr>
          <w:shd w:val="clear" w:color="auto" w:fill="FFFFFF"/>
        </w:rPr>
        <w:t xml:space="preserve">formal </w:t>
      </w:r>
      <w:r w:rsidR="001D145A" w:rsidRPr="00832A81">
        <w:rPr>
          <w:shd w:val="clear" w:color="auto" w:fill="FFFFFF"/>
        </w:rPr>
        <w:t xml:space="preserve">educational levels and increased </w:t>
      </w:r>
      <w:r w:rsidR="00CB6867">
        <w:rPr>
          <w:shd w:val="clear" w:color="auto" w:fill="FFFFFF"/>
        </w:rPr>
        <w:t xml:space="preserve">likelihood of </w:t>
      </w:r>
      <w:r w:rsidR="001D145A" w:rsidRPr="00832A81">
        <w:rPr>
          <w:shd w:val="clear" w:color="auto" w:fill="FFFFFF"/>
        </w:rPr>
        <w:t xml:space="preserve">telemedicine </w:t>
      </w:r>
      <w:r w:rsidR="00CB6867">
        <w:rPr>
          <w:shd w:val="clear" w:color="auto" w:fill="FFFFFF"/>
        </w:rPr>
        <w:t>adoption</w:t>
      </w:r>
      <w:r w:rsidR="001D145A" w:rsidRPr="00832A81">
        <w:rPr>
          <w:shd w:val="clear" w:color="auto" w:fill="FFFFFF"/>
        </w:rPr>
        <w:t xml:space="preserve"> </w:t>
      </w:r>
      <w:r w:rsidR="00A81DE4" w:rsidRPr="00832A81">
        <w:rPr>
          <w:shd w:val="clear" w:color="auto" w:fill="FFFFFF"/>
        </w:rPr>
        <w:fldChar w:fldCharType="begin"/>
      </w:r>
      <w:r w:rsidR="009A6E84">
        <w:rPr>
          <w:shd w:val="clear" w:color="auto" w:fill="FFFFFF"/>
        </w:rPr>
        <w:instrText xml:space="preserve"> ADDIN ZOTERO_ITEM CSL_CITATION {"citationID":"njt24x2R","properties":{"formattedCitation":"(Eberly et al., 2020; Luo et al., 2021; Rodriguez et al., 2021)","plainCitation":"(Eberly et al., 2020; Luo et al., 2021; Rodriguez et al., 2021)","dontUpdate":true,"noteIndex":0},"citationItems":[{"id":2095,"uris":["http://zotero.org/users/9292995/items/66KTZ472"],"itemData":{"id":2095,"type":"article-journal","abstract":"The coronavirus disease 2019 (COVID-19) pandemic has required a shift in health care delivery platforms, necessitating a new reliance on telemedicine.To evaluate whether inequities are present in telemedicine use and video visit use for telemedicine visits during the COVID-19 pandemic.In this cohort study, a retrospective medical record review was conducted from March 16 to May 11, 2020, of all patients scheduled for telemedicine visits in primary care and specialty ambulatory clinics at a large academic health system. Age, race/ethnicity, sex, language, median household income, and insurance type were all identified from the electronic medical record.A successfully completed telemedicine visit and video (vs telephone) visit for a telemedicine encounter. Multivariable models were used to assess the association between sociodemographic factors, including sex, race/ethnicity, socioeconomic status, and language, and the use of telemedicine visits, as well as video use specifically.A total of 148 402 unique patients (86 055 women [58.0%]; mean [SD] age, 56.5 [17.7] years) had scheduled telemedicine visits during the study period; 80 780 patients (54.4%) completed visits. Of 78 539 patients with completed visits in which visit modality was specified, 35 824 (45.6%) were conducted via video, whereas 42 715 (54.4%) had telephone visits. In multivariable models, older age (adjusted odds ratio [aOR], 0.85 [95% CI, 0.83-0.88] for those aged 55-64 years; aOR, 0.75 [95% CI, 0.72-0.78] for those aged 65-74 years; aOR, 0.67 [95% CI, 0.64-0.70] for those aged ≥75 years), Asian race (aOR, 0.69 [95% CI, 0.66-0.73]), non-English language as the patient’s preferred language (aOR, 0.84 [95% CI, 0.78-0.90]), and Medicaid insurance (aOR, 0.93 [95% CI, 0.89-0.97]) were independently associated with fewer completed telemedicine visits. Older age (aOR, 0.79 [95% CI, 0.76-0.82] for those aged 55-64 years; aOR, 0.78 [95% CI, 0.74-0.83] for those aged 65-74 years; aOR, 0.49 [95% CI, 0.46-0.53] for those aged ≥75 years), female sex (aOR, 0.92 [95% CI, 0.90-0.95]), Black race (aOR, 0.65 [95% CI, 0.62-0.68]), Latinx ethnicity (aOR, 0.90 [95% CI, 0.83-0.97]), and lower household income (aOR, 0.57 [95% CI, 0.54-0.60] for income &amp;lt;$50 000; aOR, 0.89 [95% CI, 0.85-0.92], for $50 000-$100 000) were associated with less video use for telemedicine visits. These results were similar across medical specialties.In this cohort study of patients scheduled for primary care and medical specialty ambulatory telemedicine visits at a large academic health system during the early phase of the COVID-19 pandemic, older patients, Asian patients, and non–English-speaking patients had lower rates of telemedicine use, while older patients, female patients, Black, Latinx, and poorer patients had less video use. Inequities in accessing telemedicine care are present, which warrant further attention.","container-title":"JAMA Network Open","DOI":"10.1001/jamanetworkopen.2020.31640","ISSN":"2574-3805","issue":"12","journalAbbreviation":"JAMA Network Open","page":"e2031640","source":"Silverchair","title":"Patient Characteristics Associated With Telemedicine Access for Primary and Specialty Ambulatory Care During the COVID-19 Pandemic","volume":"3","author":[{"family":"Eberly","given":"Lauren A."},{"family":"Kallan","given":"Michael J."},{"family":"Julien","given":"Howard M."},{"family":"Haynes","given":"Norrisa"},{"family":"Khatana","given":"Sameed Ahmed M."},{"family":"Nathan","given":"Ashwin S."},{"family":"Snider","given":"Christopher"},{"family":"Chokshi","given":"Neel P."},{"family":"Eneanya","given":"Nwamaka D."},{"family":"Takvorian","given":"Samuel U."},{"family":"Anastos-Wallen","given":"Rebecca"},{"family":"Chaiyachati","given":"Krisda"},{"family":"Ambrose","given":"Marietta"},{"family":"O’Quinn","given":"Rupal"},{"family":"Seigerman","given":"Matthew"},{"family":"Goldberg","given":"Lee R."},{"family":"Leri","given":"Damien"},{"family":"Choi","given":"Katherine"},{"family":"Gitelman","given":"Yevginiy"},{"family":"Kolansky","given":"Daniel M."},{"family":"Cappola","given":"Thomas P."},{"family":"Ferrari","given":"Victor A."},{"family":"Hanson","given":"C. William"},{"family":"Deleener","given":"Mary Elizabeth"},{"family":"Adusumalli","given":"Srinath"}],"issued":{"date-parts":[["2020",12,29]]}}},{"id":2210,"uris":["http://zotero.org/users/9292995/items/ZDRUZ5CT"],"itemData":{"id":2210,"type":"article-journal","abstract":"Background\n The telemedicine industry has been experiencing fast growth in recent years. The outbreak of coronavirus disease 2019 (COVID-19) further accelerated the deployment and utilization of telemedicine services. An analysis of the socioeconomic characteristics of telemedicine users to understand potential socioeconomic gaps and disparities is critical for improving the adoption of telemedicine services among patients.\n, Objectives\n This study aims to measure the correlation of socioeconomic determinants with the use of telemedicine services in Milwaukee metropolitan area.\n, Methods\n Electronic health record review of patients using telemedicine services compared with those not using telemedicine services within an academic-community health system: patient demographics (e.g., age, gender, race, and ethnicity), insurance status, and socioeconomic determinants obtained through block-level census data in Milwaukee area. The telemedicine users were compared with all other patients using regression analysis. The telemedicine adoption rates were calculated across regional ZIP codes to analyze the geographic patterns of telemedicine adoption.\n, Results\n A total of 104,139 patients used telemedicine services during the study period. Patients who used video visits were younger (median age 48.12), more likely to be White (odds ratio [OR] 1.34; 95% confidence interval [CI], 1.31–1.37), and have private insurance (OR 1.43; CI, 1.41–1.46); patients who used telephone visits were older (median age 57.58), more likely to be Black (OR 1.31; CI 1.28–1.35), and have public insurance (OR 1.30; CI 1.27–1.32). In general, Latino and Asian populations were less likely to use telemedicine; women used more telemedicine services in general than men. In the multiple regression analysis of social determinant factors across 126 ZIP codes, college education (coefficient 1.41,\np\n = 0.01) had a strong correlation to video telemedicine adoption rate.\n, Conclusion\n Adoption of telemedicine services was significantly impacted by the social determinant factors of health, such as income, education level, race, and insurance type. The study reveals the potential inequities and disparities in telemedicine adoption.","container-title":"Applied Clinical Informatics","DOI":"10.1055/s-0041-1733848","ISSN":"1869-0327","issue":"4","journalAbbreviation":"Appl Clin Inform","note":"PMID: 34496419\nPMCID: PMC8426040","page":"836-844","source":"PubMed Central","title":"Telemedicine Adoption during the COVID-19 Pandemic: Gaps and Inequalities","title-short":"Telemedicine Adoption during the COVID-19 Pandemic","volume":"12","author":[{"family":"Luo","given":"Jake"},{"family":"Tong","given":"Ling"},{"family":"Crotty","given":"Bradley H."},{"family":"Somai","given":"Melek"},{"family":"Taylor","given":"Bradley"},{"family":"Osinski","given":"Kristen"},{"family":"George","given":"Ben"}],"issued":{"date-parts":[["2021",8]]}}},{"id":2258,"uris":["http://zotero.org/users/9292995/items/TMEVPHEG"],"itemData":{"id":2258,"type":"article-journal","abstract":"OBJECTIVES: The coronavirus disease 2019 (COVID-19) pandemic forced health systems to offer video and telephone visits as in-person visit alternatives. Although video visits offer some benefits compared with telephone visits, they require complex setup, which may disadvantage some patients due to the \"digital divide.\" Our objective was to determine patient and neighborhood characteristics associated with visit modality.\nSTUDY DESIGN: This was a cross-sectional study across 1652 primary care and specialty care practices of adult patients at an integrated health system from April 23 to June 1, 2020.\nMETHODS: We used electronic health record and administrative data. Our primary outcome was visit modality (in-person, video, or telephone), which was captured using billing codes. We assessed predictors of using video vs telephone using multivariable logistic regression. We used hierarchical logistic regression to determine the contribution of patient-, physician-, and practice-level components of variance in the choice of video or telephone visits.\nRESULTS: We analyzed 231,596 visits by 162,102 patients. Sixty-five percent of the visits were virtual (31.7% telephone, 33.5% video). Patients who were older than 65 years (adjusted odds ratio [AOR], 0.41; 95% CI, 0.40-0.43), Black (AOR, 0.60; 95% CI, 0.57-0.63), Hispanic (AOR, 0.76; 95% CI, 0.73-0.80), Spanish-speaking (AOR, 0.57; 95% CI, 0.52-0.61), and from areas with low broadband access (AOR, 0.93; 95% CI, 0.88-0.98) were less likely to use video visits. Practices (38%) and clinicians (26%) drove more of the variation in video visit use than patients (9%).\nCONCLUSIONS: Telemedicine access differences may compound disparities in chronic disease and COVID-19 outcomes. Institutions should monitor video visit use across demographics and equip patients, clinicians, and practices to promote telemedicine equity.","container-title":"The American Journal of Managed Care","DOI":"10.37765/ajmc.2021.88573","ISSN":"1936-2692","issue":"1","journalAbbreviation":"Am J Manag Care","language":"eng","note":"PMID: 33471458","page":"21-26","source":"PubMed","title":"Differences in the use of telephone and video telemedicine visits during the COVID-19 pandemic","volume":"27","author":[{"family":"Rodriguez","given":"Jorge A."},{"family":"Betancourt","given":"Joseph R."},{"family":"Sequist","given":"Thomas D."},{"family":"Ganguli","given":"Ishani"}],"issued":{"date-parts":[["2021",1]]}}}],"schema":"https://github.com/citation-style-language/schema/raw/master/csl-citation.json"} </w:instrText>
      </w:r>
      <w:r w:rsidR="00A81DE4" w:rsidRPr="00832A81">
        <w:rPr>
          <w:shd w:val="clear" w:color="auto" w:fill="FFFFFF"/>
        </w:rPr>
        <w:fldChar w:fldCharType="separate"/>
      </w:r>
      <w:r w:rsidR="001D145A" w:rsidRPr="00832A81">
        <w:t>(</w:t>
      </w:r>
      <w:r w:rsidR="009524DC">
        <w:t xml:space="preserve">see </w:t>
      </w:r>
      <w:r w:rsidR="001D145A" w:rsidRPr="00832A81">
        <w:t>Eberly et al., 2020</w:t>
      </w:r>
      <w:r w:rsidR="009524DC">
        <w:t>,</w:t>
      </w:r>
      <w:r w:rsidR="001D145A" w:rsidRPr="00832A81">
        <w:t xml:space="preserve"> Luo et al., 2021</w:t>
      </w:r>
      <w:r w:rsidR="009524DC">
        <w:t>, and</w:t>
      </w:r>
      <w:r w:rsidR="001D145A" w:rsidRPr="00832A81">
        <w:t xml:space="preserve"> Rodriguez et al., 2021)</w:t>
      </w:r>
      <w:r w:rsidR="00A81DE4" w:rsidRPr="00832A81">
        <w:rPr>
          <w:shd w:val="clear" w:color="auto" w:fill="FFFFFF"/>
        </w:rPr>
        <w:fldChar w:fldCharType="end"/>
      </w:r>
      <w:r w:rsidR="001D145A" w:rsidRPr="00832A81">
        <w:rPr>
          <w:shd w:val="clear" w:color="auto" w:fill="FFFFFF"/>
        </w:rPr>
        <w:t xml:space="preserve">, while others have found no significant relationship </w:t>
      </w:r>
      <w:bookmarkStart w:id="19" w:name="_Hlk165978578"/>
      <w:r w:rsidR="001D145A" w:rsidRPr="00832A81">
        <w:rPr>
          <w:shd w:val="clear" w:color="auto" w:fill="FFFFFF"/>
        </w:rPr>
        <w:fldChar w:fldCharType="begin"/>
      </w:r>
      <w:r w:rsidR="009A6E84">
        <w:rPr>
          <w:shd w:val="clear" w:color="auto" w:fill="FFFFFF"/>
        </w:rPr>
        <w:instrText xml:space="preserve"> ADDIN ZOTERO_ITEM CSL_CITATION {"citationID":"eprEYIdg","properties":{"formattedCitation":"(Chandrasekaran, 2023; Chumbler et al., 2023; Sharma et al., 2024)","plainCitation":"(Chandrasekaran, 2023; Chumbler et al., 2023; Sharma et al., 2024)","dontUpdate":true,"noteIndex":0},"citationItems":[{"id":2109,"uris":["http://zotero.org/users/9292995/items/JHY5WA7B"],"itemData":{"id":2109,"type":"article-journal","container-title":"Telemedicine and e-Health","DOI":"10.1089/tmj.2023.0277","language":"en","source":"www-liebertpub-com.ezproxy.lib.utexas.edu","title":"Telemedicine in the Post-Pandemic Period: Understanding Patterns of Use and the Influence of Socioeconomic Demographics, Health Status, and Social Determinants","title-short":"Telemedicine in the Post-Pandemic Period","URL":"https://www.liebertpub.com/doi/10.1089/tmj.2023.0277","author":[{"family":"Chandrasekaran","given":"Ranganathan"}],"accessed":{"date-parts":[["2023",9,21]]},"issued":{"date-parts":[["2023"]]}}},{"id":2229,"uris":["http://zotero.org/users/9292995/items/VIDJ5IDB"],"itemData":{"id":2229,"type":"article-journal","abstract":"INTRODUCTION: The COVID-19 pandemic led to a major transition for patients from routine ambulatory-care-based in-person primary care visits to telehealth visits to manage chronic diseases. However, it remains unclear the extent to which individuals access telehealth services and whether such utilization varies along neighborhood characteristics, especially among racial minorities. This study aims to examine the association of outpatient telehealth utilization with sociodemographic, clinical, and neighborhood characteristics among adults with ambulatory care sensitive conditions (ACSCs) during the COVID-19 pandemic.\nMETHODS: We included adults treated for an ACSC between March 5, 2020, and December 31, 2020, at a single ambulatory-care-based healthcare system, which serves a large population of low-income patients in the South region of the United States (i.e., Memphis, TN, Metropolitan Statistical Area). Telehealth utilization was defined by outpatient procedural codes and providers' notes on the type of visits. Generalized linear mixed models were used to examine the association of sociodemographic, clinical, and neighborhood factors with telehealth utilization in the overall cohort and the racial subpopulations.\nRESULTS: Among the 13,962 adults with ACSCs, 8583 (62.5%) used outpatient telehealth services. Patients who were older, female, with mental disorders, and who had more comorbidities had higher rates of telehealth services (p &lt; .05). Controlling for covariates, we observed 75.2% and 23.1% increased use of telehealth services among Hispanics and other race groups, respectively, compared to Whites. Patients who commuted more than 30 minutes to health facilities were slightly less likely to use telehealth services [OR: 0.994 (0.991,0.998)]. Racial minorities (Blacks and Hispanics) with mental disorders were more likely to use telehealth service when compared to Whites.\nDISCUSSION: We found that among patients being treated for ACSCs, the use of telehealth services was highly prevalent in Hispanic patients in general and were more pronounced among both Hispanics and Black patients who have mental disorders.","container-title":"Health Services Research and Managerial Epidemiology","DOI":"10.1177/23333928231154334","ISSN":"2333-3928","journalAbbreviation":"Health Serv Res Manag Epidemiol","language":"eng","note":"PMID: 36895424\nPMCID: PMC9989408","page":"23333928231154334","source":"PubMed","title":"Racial and Socioeconomic Characteristics Associated with the use of Telehealth Services Among Adults With Ambulatory Sensitive Conditions","volume":"10","author":[{"family":"Chumbler","given":"Neale R."},{"family":"Chen","given":"Ming"},{"family":"Harrison","given":"Austin"},{"family":"Surbhi","given":"Satya"}],"issued":{"date-parts":[["2023"]]}}},{"id":2204,"uris":["http://zotero.org/users/9292995/items/B5LDPDSV"],"itemData":{"id":2204,"type":"article-journal","abstract":"BACKGROUND: During the COVID-19 outbreak, video appointments became a popular method for health care delivery, particularly in the early stages of the pandemic. Although Mayo Clinic aimed to reduce face-to-face (F2F) appointments to prevent the spread of the virus, some patients continued seeing their health care providers in person. In the later stages of the pandemic, many patients became comfortable with video appointments, even if they were initially hesitant. However, a subset of patients continued to avoid video appointments. It is not yet clear what sociodemographic factors may be associated with this group of patients.\nOBJECTIVE: This cross-sectional study aimed to examine demographic and social determinant of health (SDoH) factors associated with persistent nonusers of video appointments among a sample of patients within a multistate health care organization. We also explored patient beliefs about the use of video for health care appointments.\nMETHODS: We conducted a 1-time cross-sectional paper survey, mailed between July and December 2022, of patients matching the eligibility criteria: (1) aged ≥18 years as of April 2020, (2) Mayo Clinic Midwest, Florida, or Arizona patient, (3) did not use video appointment services during April-December 2020 but attended F2F appointments in the departments of primary care and psychiatry/psychology. The survey asked patients, \"Have you ever had a video appointment with a healthcare provider?\" \"Yes\" respondents were defined as \"users\" (adapted to video appointments), and \"no\" respondents were defined as \"persistent nonusers\" of video appointments. We analyzed demographics, SDoH, and patient beliefs toward video appointments in 2 groups: persistent nonusers of video appointments and users. We used chi-square and 2-tailed t tests for analysis.\nRESULTS: Our findings indicate that patients who were older, lived in rural areas, sought care at Mayo Clinic Midwest, and did not have access to the patient portal system were likely to be persistent nonusers of video appointments. Only 1 SDoH factor (not having a disability, handicap, or chronic disease) was associated with persistent nonuse of video appointments. Persistent nonusers of video appointments held personal beliefs such as discomfort with video communication, difficulty interpreting nonverbal cues, and personal preference for F2F appointments over video.\nCONCLUSIONS: Our study identified demographic (older age and rural residence), sociodemographic factors (not having a disability, handicap, or chronic disease), and personal beliefs associated with patients' decisions to choose between video versus F2F appointments for health care delivery. Health care institutions should assess patients' negative attitudes toward technology prior to introducing them to digital health care services. Failing to do so may result in its restricted usage, negative patient experience, and wasted resources. For patients who hold negative beliefs about technology but are willing to learn, a \"digital health coordinator\" could be assigned to assist with various digital health solutions.","container-title":"JMIR formative research","DOI":"10.2196/50572","ISSN":"2561-326X","journalAbbreviation":"JMIR Form Res","language":"eng","note":"PMID: 38265855","page":"e50572","source":"PubMed","title":"Demographics and Social Factors Associated With Persistent Nonuse of Video Appointments at a Multisite Health Care Institution: Cross-Sectional Study","title-short":"Demographics and Social Factors Associated With Persistent Nonuse of Video Appointments at a Multisite Health Care Institution","volume":"8","author":[{"family":"Sharma","given":"Pravesh"},{"family":"Kamath","given":"Celia"},{"family":"Brockman","given":"Tabetha A."},{"family":"Roche","given":"Anne"},{"family":"Sinicrope","given":"Pamela"},{"family":"Jiang","given":"Ruoxiang"},{"family":"Decker","given":"Paul A."},{"family":"Pazdernik","given":"Vanessa"},{"family":"Patten","given":"Christi"}],"issued":{"date-parts":[["2024",1,24]]}}}],"schema":"https://github.com/citation-style-language/schema/raw/master/csl-citation.json"} </w:instrText>
      </w:r>
      <w:r w:rsidR="001D145A" w:rsidRPr="00832A81">
        <w:rPr>
          <w:shd w:val="clear" w:color="auto" w:fill="FFFFFF"/>
        </w:rPr>
        <w:fldChar w:fldCharType="separate"/>
      </w:r>
      <w:r w:rsidR="001D145A" w:rsidRPr="00832A81">
        <w:t>(</w:t>
      </w:r>
      <w:r w:rsidR="009524DC">
        <w:t xml:space="preserve">see </w:t>
      </w:r>
      <w:r w:rsidR="001D145A" w:rsidRPr="00832A81">
        <w:t>Chandrasekaran, 2023</w:t>
      </w:r>
      <w:r w:rsidR="009524DC">
        <w:t>,</w:t>
      </w:r>
      <w:r w:rsidR="001D145A" w:rsidRPr="00832A81">
        <w:t xml:space="preserve"> Chumbler et al., 2023</w:t>
      </w:r>
      <w:r w:rsidR="009524DC">
        <w:t>, and</w:t>
      </w:r>
      <w:r w:rsidR="001D145A" w:rsidRPr="00832A81">
        <w:t xml:space="preserve"> Sharma et al., 2024)</w:t>
      </w:r>
      <w:r w:rsidR="001D145A" w:rsidRPr="00832A81">
        <w:rPr>
          <w:shd w:val="clear" w:color="auto" w:fill="FFFFFF"/>
        </w:rPr>
        <w:fldChar w:fldCharType="end"/>
      </w:r>
      <w:r w:rsidR="001D145A" w:rsidRPr="00832A81">
        <w:rPr>
          <w:shd w:val="clear" w:color="auto" w:fill="FFFFFF"/>
        </w:rPr>
        <w:t xml:space="preserve">. </w:t>
      </w:r>
      <w:bookmarkEnd w:id="19"/>
      <w:r w:rsidR="001D145A" w:rsidRPr="00832A81">
        <w:rPr>
          <w:shd w:val="clear" w:color="auto" w:fill="FFFFFF"/>
        </w:rPr>
        <w:t xml:space="preserve">Interestingly, </w:t>
      </w:r>
      <w:r w:rsidR="00A81DE4" w:rsidRPr="00832A81">
        <w:rPr>
          <w:shd w:val="clear" w:color="auto" w:fill="FFFFFF"/>
        </w:rPr>
        <w:fldChar w:fldCharType="begin"/>
      </w:r>
      <w:r w:rsidR="009A6E84">
        <w:rPr>
          <w:shd w:val="clear" w:color="auto" w:fill="FFFFFF"/>
        </w:rPr>
        <w:instrText xml:space="preserve"> ADDIN ZOTERO_ITEM CSL_CITATION {"citationID":"Egv9G7HV","properties":{"formattedCitation":"(Fischer et al., 2022)","plainCitation":"(Fischer et al., 2022)","dontUpdate":true,"noteIndex":0},"citationItems":[{"id":2222,"uris":["http://zotero.org/users/9292995/items/IESQ79V4"],"itemData":{"id":2222,"type":"article-journal","abstract":"We examined use of and willingness to use video telehealth during the COVID-19 pandemic in a longitudinally followed cohort. Between February 2019 and March 2021, use and willingness to use increased among nearly all subgroups, with large increases among Black adults and adults with lower educational attainment. In March 2021 Black adults, adults ages 20-39, and high-income adults reported the greatest willingness to use video telehealth.","container-title":"Health Affairs (Project Hope)","DOI":"10.1377/hlthaff.2022.00118","ISSN":"1544-5208","issue":"11","journalAbbreviation":"Health Aff (Millwood)","language":"eng","note":"PMID: 36343311","page":"1645-1651","source":"PubMed","title":"Use Of And Willingness To Use Video Telehealth Through The COVID-19 Pandemic","volume":"41","author":[{"family":"Fischer","given":"Shira H."},{"family":"Predmore","given":"Zachary"},{"family":"Roth","given":"Elizabeth"},{"family":"Uscher-Pines","given":"Lori"},{"family":"Baird","given":"Matthew"},{"family":"Breslau","given":"Joshua"}],"issued":{"date-parts":[["2022",11]]}}}],"schema":"https://github.com/citation-style-language/schema/raw/master/csl-citation.json"} </w:instrText>
      </w:r>
      <w:r w:rsidR="00A81DE4" w:rsidRPr="00832A81">
        <w:rPr>
          <w:shd w:val="clear" w:color="auto" w:fill="FFFFFF"/>
        </w:rPr>
        <w:fldChar w:fldCharType="separate"/>
      </w:r>
      <w:r w:rsidR="00A81DE4" w:rsidRPr="00832A81">
        <w:t xml:space="preserve">Fischer et al. </w:t>
      </w:r>
      <w:r w:rsidR="009524DC">
        <w:t>(</w:t>
      </w:r>
      <w:r w:rsidR="00A81DE4" w:rsidRPr="00832A81">
        <w:t>2022)</w:t>
      </w:r>
      <w:r w:rsidR="00A81DE4" w:rsidRPr="00832A81">
        <w:rPr>
          <w:shd w:val="clear" w:color="auto" w:fill="FFFFFF"/>
        </w:rPr>
        <w:fldChar w:fldCharType="end"/>
      </w:r>
      <w:r w:rsidR="00A81DE4" w:rsidRPr="00832A81">
        <w:rPr>
          <w:shd w:val="clear" w:color="auto" w:fill="FFFFFF"/>
        </w:rPr>
        <w:t xml:space="preserve"> </w:t>
      </w:r>
      <w:r w:rsidR="001D145A" w:rsidRPr="00832A81">
        <w:rPr>
          <w:shd w:val="clear" w:color="auto" w:fill="FFFFFF"/>
        </w:rPr>
        <w:t>observed</w:t>
      </w:r>
      <w:r w:rsidR="00A81DE4" w:rsidRPr="00832A81">
        <w:rPr>
          <w:shd w:val="clear" w:color="auto" w:fill="FFFFFF"/>
        </w:rPr>
        <w:t xml:space="preserve"> that </w:t>
      </w:r>
      <w:r w:rsidR="001D145A" w:rsidRPr="00832A81">
        <w:rPr>
          <w:shd w:val="clear" w:color="auto" w:fill="FFFFFF"/>
        </w:rPr>
        <w:t xml:space="preserve">individuals with lower </w:t>
      </w:r>
      <w:r w:rsidR="00BD2DF4">
        <w:rPr>
          <w:shd w:val="clear" w:color="auto" w:fill="FFFFFF"/>
        </w:rPr>
        <w:t xml:space="preserve">formal </w:t>
      </w:r>
      <w:r w:rsidR="001D145A" w:rsidRPr="00832A81">
        <w:rPr>
          <w:shd w:val="clear" w:color="auto" w:fill="FFFFFF"/>
        </w:rPr>
        <w:t xml:space="preserve">educational levels exhibited the most significant </w:t>
      </w:r>
      <w:r w:rsidR="0069070F">
        <w:rPr>
          <w:shd w:val="clear" w:color="auto" w:fill="FFFFFF"/>
        </w:rPr>
        <w:t>increase</w:t>
      </w:r>
      <w:r w:rsidR="001D145A" w:rsidRPr="00832A81">
        <w:rPr>
          <w:shd w:val="clear" w:color="auto" w:fill="FFFFFF"/>
        </w:rPr>
        <w:t xml:space="preserve"> in </w:t>
      </w:r>
      <w:r w:rsidR="0069070F">
        <w:rPr>
          <w:shd w:val="clear" w:color="auto" w:fill="FFFFFF"/>
        </w:rPr>
        <w:t xml:space="preserve">the </w:t>
      </w:r>
      <w:r w:rsidR="001D145A" w:rsidRPr="00832A81">
        <w:rPr>
          <w:shd w:val="clear" w:color="auto" w:fill="FFFFFF"/>
        </w:rPr>
        <w:t xml:space="preserve">willingness to </w:t>
      </w:r>
      <w:r w:rsidR="00CB6867">
        <w:rPr>
          <w:shd w:val="clear" w:color="auto" w:fill="FFFFFF"/>
        </w:rPr>
        <w:t>adopt</w:t>
      </w:r>
      <w:r w:rsidR="001D145A" w:rsidRPr="00832A81">
        <w:rPr>
          <w:shd w:val="clear" w:color="auto" w:fill="FFFFFF"/>
        </w:rPr>
        <w:t xml:space="preserve"> telemedicine </w:t>
      </w:r>
      <w:r w:rsidR="0069070F">
        <w:rPr>
          <w:shd w:val="clear" w:color="auto" w:fill="FFFFFF"/>
        </w:rPr>
        <w:t>during</w:t>
      </w:r>
      <w:r w:rsidR="001D145A" w:rsidRPr="00832A81">
        <w:rPr>
          <w:shd w:val="clear" w:color="auto" w:fill="FFFFFF"/>
        </w:rPr>
        <w:t xml:space="preserve"> the pandemic, </w:t>
      </w:r>
      <w:r w:rsidR="0069070F">
        <w:rPr>
          <w:shd w:val="clear" w:color="auto" w:fill="FFFFFF"/>
        </w:rPr>
        <w:t xml:space="preserve">relative </w:t>
      </w:r>
      <w:r w:rsidR="001D145A" w:rsidRPr="00832A81">
        <w:rPr>
          <w:shd w:val="clear" w:color="auto" w:fill="FFFFFF"/>
        </w:rPr>
        <w:t xml:space="preserve">to their predispositions before the health crisis. </w:t>
      </w:r>
    </w:p>
    <w:p w14:paraId="715A5352" w14:textId="77777777" w:rsidR="009D0CA2" w:rsidRPr="00832A81" w:rsidRDefault="009D0CA2" w:rsidP="009D0CA2">
      <w:pPr>
        <w:spacing w:after="0" w:line="240" w:lineRule="auto"/>
        <w:ind w:firstLine="720"/>
        <w:jc w:val="both"/>
        <w:rPr>
          <w:shd w:val="clear" w:color="auto" w:fill="FFFFFF"/>
        </w:rPr>
      </w:pPr>
    </w:p>
    <w:p w14:paraId="197A0F57" w14:textId="0D6FE255" w:rsidR="000E09AE" w:rsidRPr="00832A81" w:rsidRDefault="000E09AE" w:rsidP="009D0CA2">
      <w:pPr>
        <w:spacing w:after="0" w:line="240" w:lineRule="auto"/>
        <w:jc w:val="both"/>
        <w:rPr>
          <w:u w:val="single"/>
          <w:shd w:val="clear" w:color="auto" w:fill="FFFFFF"/>
        </w:rPr>
      </w:pPr>
      <w:r w:rsidRPr="00832A81">
        <w:rPr>
          <w:u w:val="single"/>
          <w:shd w:val="clear" w:color="auto" w:fill="FFFFFF"/>
        </w:rPr>
        <w:t>Residential Location</w:t>
      </w:r>
    </w:p>
    <w:p w14:paraId="1C1A20DC" w14:textId="65990314" w:rsidR="00E171D1" w:rsidRPr="00832A81" w:rsidRDefault="000E09AE" w:rsidP="009D0CA2">
      <w:pPr>
        <w:spacing w:after="0" w:line="240" w:lineRule="auto"/>
        <w:jc w:val="both"/>
        <w:rPr>
          <w:shd w:val="clear" w:color="auto" w:fill="FFFFFF"/>
        </w:rPr>
      </w:pPr>
      <w:r w:rsidRPr="00832A81">
        <w:rPr>
          <w:shd w:val="clear" w:color="auto" w:fill="FFFFFF"/>
        </w:rPr>
        <w:t>R</w:t>
      </w:r>
      <w:r w:rsidR="00E039B8" w:rsidRPr="00832A81">
        <w:rPr>
          <w:shd w:val="clear" w:color="auto" w:fill="FFFFFF"/>
        </w:rPr>
        <w:t xml:space="preserve">esidential </w:t>
      </w:r>
      <w:r w:rsidR="00DD75BA" w:rsidRPr="00832A81">
        <w:rPr>
          <w:shd w:val="clear" w:color="auto" w:fill="FFFFFF"/>
        </w:rPr>
        <w:t xml:space="preserve">location </w:t>
      </w:r>
      <w:r w:rsidR="00AB5F40" w:rsidRPr="00832A81">
        <w:rPr>
          <w:shd w:val="clear" w:color="auto" w:fill="FFFFFF"/>
        </w:rPr>
        <w:t>has also been reported as a significant determinant of telemedicine adoption</w:t>
      </w:r>
      <w:r w:rsidR="005B0EC5" w:rsidRPr="00832A81">
        <w:rPr>
          <w:shd w:val="clear" w:color="auto" w:fill="FFFFFF"/>
        </w:rPr>
        <w:t>. While</w:t>
      </w:r>
      <w:bookmarkStart w:id="20" w:name="_Hlk165978630"/>
      <w:r w:rsidR="0069340B">
        <w:rPr>
          <w:shd w:val="clear" w:color="auto" w:fill="FFFFFF"/>
        </w:rPr>
        <w:t xml:space="preserve"> </w:t>
      </w:r>
      <w:r w:rsidR="0069340B" w:rsidRPr="00832A81">
        <w:rPr>
          <w:shd w:val="clear" w:color="auto" w:fill="FFFFFF"/>
        </w:rPr>
        <w:fldChar w:fldCharType="begin"/>
      </w:r>
      <w:r w:rsidR="0069340B">
        <w:rPr>
          <w:shd w:val="clear" w:color="auto" w:fill="FFFFFF"/>
        </w:rPr>
        <w:instrText xml:space="preserve"> ADDIN ZOTERO_ITEM CSL_CITATION {"citationID":"yz9aiKP4","properties":{"formattedCitation":"(Chu et al., 2021; Xu et al., 2022)","plainCitation":"(Chu et al., 2021; Xu et al., 2022)","dontUpdate":true,"noteIndex":0},"citationItems":[{"id":2130,"uris":["http://zotero.org/users/9292995/items/A938DXW2"],"itemData":{"id":2130,"type":"article-journal","abstract":"Background: The COVID-19 pandemic has led to a notable increase in telemedicine adoption. However, the impact of the pandemic on telemedicine use at a population level in rural and remote settings remains unclear. Objective: This study aimed to evaluate changes in the rate of telemedicine use among rural populations and identify patient characteristics associated with telemedicine use prior to and during the pandemic. Methods: We conducted a repeated cross-sectional study on all monthly and quarterly rural telemedicine visits from January 2012 to June 2020, using administrative data from Ontario, Canada. We compared the changes in telemedicine use among residents of rural and urban regions of Ontario prior to and during the pandemic. Results: Before the pandemic, telemedicine use was steadily low in 2012-2019 for both rural and urban populations but slightly higher overall for rural patients (11 visits per 1000 patients vs 7 visits per 1000 patients in December 2019, P&lt;.001). The rate of telemedicine visits among rural patients significantly increased to 147 visits per 1000 patients in June 2020. A similar but steeper increase (P=.15) was observed among urban patients (220 visits per 1000 urban patients). Telemedicine use increased across all age groups, with the highest rates reported among older adults aged ≥65 years (77 visits per 100 patients in 2020). The proportions of patients with at least 1 telemedicine visit were similar across the adult age groups (n=82,246/290,401, 28.3% for patients aged 18-49 years, n=79,339/290,401, 27.3% for patients aged 50-64 years, and n=80,833/290,401, 27.8% for patients aged 65-79 years), but lower among younger patients &lt;18 years (n=23,699/290,401, 8.2%) and older patients ≥80 years (n=24,284/290,401, 8.4%) in 2020 (P&lt;.001). There were more female users than male users of telemedicine (n=158,643/290,401, 54.6% vs n=131,758/290,401, 45.4%, respectively, in 2020; P&lt;.001). There was a significantly higher proportion of telemedicine users residing in relatively less rural than in more rural regions (n=261,814/290,401, 90.2% vs n=28,587/290,401, 9.8%, respectively, in 2020; P&lt;.001). Conclusions: Telemedicine adoption increased in rural and remote areas during the COVID-19 pandemic, but its use increased in urban and less rural populations. Future studies should investigate the potential barriers to telemedicine use among rural patients and the impact of rural telemedicine on patient health care utilization and outcomes.","container-title":"Journal of Medical Internet Research","DOI":"10.2196/26960","issue":"4","language":"EN","note":"Company: Journal of Medical Internet Research\nDistributor: Journal of Medical Internet Research\nInstitution: Journal of Medical Internet Research\nLabel: Journal of Medical Internet Research\npublisher: JMIR Publications Inc., Toronto, Canada","page":"e26960","source":"www.jmir.org","title":"Rural Telemedicine Use Before and During the COVID-19 Pandemic: Repeated Cross-sectional Study","title-short":"Rural Telemedicine Use Before and During the COVID-19 Pandemic","volume":"23","author":[{"family":"Chu","given":"Cherry"},{"family":"Cram","given":"Peter"},{"family":"Pang","given":"Andrea"},{"family":"Stamenova","given":"Vess"},{"family":"Tadrous","given":"Mina"},{"family":"Bhatia","given":"R. Sacha"}],"issued":{"date-parts":[["2021",4,5]]}}},{"id":2104,"uris":["http://zotero.org/users/9292995/items/QIAHX3DE"],"itemData":{"id":2104,"type":"article-journal","abstract":"Background\nThe adoption of telehealth services has been a challenge in rural communities. The reasons for the slow adoption of such technology-driven services have been attributed to social norms, health care policies, and a lack of infrastructure to support the delivery of services. However, the COVID-19 pandemic–related shutdown of in-person health care services resulted in the usage of telehealth services as a necessity rather than a choice. The pandemic also fast-tracked some needed legislation to allow medical cost reimbursement for remote examination and health care services. As services return to normalcy, it is important to examine whether the usage of telehealth services during the period of a shutdown has changed any of the trends in the acceptance of telehealth as a reliable alternative to traditional in-person health care services.\n\nObjective\nOur aim was to explore whether the temporary shift to telehealth services has changed the attitudes toward the usage of technology-enabled health services in rural communities.\n\nMethods\nWe examined the Medicaid reimbursement data for the state of Alabama from March 2019 through June 2021. Selecting the telehealth service codes, we explored the adoption rates in 3 phases of the COVID-19 shutdown: prepandemic, pandemic before the rollout of mass vaccination, and pandemic after the rollout of mass vaccination.\n\nResults\nThe trend in telemedicine claims had an opposite pattern to that in nontelemedicine claims across the 3 periods. The distribution of various characteristics of patients who used telemedicine (age group, gender, race, level of rurality, and service provider type) was different across the 3 periods. Claims related to behavior and mental health had the highest rates of telemedicine usage after the onset of the pandemic. The rate of telemedicine usage remained at a high level after the rollout of mass vaccination.\n\nConclusions\nThe current trends indicate that adoption of telehealth services is likely to increase postpandemic and that the consumers (patients), service providers, health care establishments, insurance companies, and state and local policies have changed their attitudes toward telehealth. An increase in the use of telehealth could help local and federal governments address the shortage of health care facilities and service providers in underserved communities, and patients can get the much-needed care in a timely and effective manner.","container-title":"Journal of Medical Internet Research","DOI":"10.2196/38602","ISSN":"1439-4456","issue":"7","journalAbbreviation":"J Med Internet Res","note":"PMID: 35786564\nPMCID: PMC9290332","page":"e38602","source":"PubMed Central","title":"Pandemic-Triggered Adoption of Telehealth in Underserved Communities: Descriptive Study of Pre- and Postshutdown Trends","title-short":"Pandemic-Triggered Adoption of Telehealth in Underserved Communities","volume":"24","author":[{"family":"Xu","given":"Pei"},{"family":"Hudnall","given":"Matthew"},{"family":"Zhao","given":"Sidi"},{"family":"Raja","given":"Uzma"},{"family":"Parton","given":"Jason"},{"family":"Lewis","given":"Dwight"}],"issued":{"date-parts":[["2022",7,15]]}}}],"schema":"https://github.com/citation-style-language/schema/raw/master/csl-citation.json"} </w:instrText>
      </w:r>
      <w:r w:rsidR="0069340B" w:rsidRPr="00832A81">
        <w:rPr>
          <w:shd w:val="clear" w:color="auto" w:fill="FFFFFF"/>
        </w:rPr>
        <w:fldChar w:fldCharType="separate"/>
      </w:r>
      <w:r w:rsidR="0069340B" w:rsidRPr="00832A81">
        <w:t xml:space="preserve">Chu et al. </w:t>
      </w:r>
      <w:r w:rsidR="0069340B">
        <w:t>(</w:t>
      </w:r>
      <w:r w:rsidR="0069340B" w:rsidRPr="00832A81">
        <w:t>2021)</w:t>
      </w:r>
      <w:r w:rsidR="0069340B" w:rsidRPr="00832A81">
        <w:rPr>
          <w:shd w:val="clear" w:color="auto" w:fill="FFFFFF"/>
        </w:rPr>
        <w:fldChar w:fldCharType="end"/>
      </w:r>
      <w:bookmarkEnd w:id="20"/>
      <w:r w:rsidR="0069340B">
        <w:rPr>
          <w:shd w:val="clear" w:color="auto" w:fill="FFFFFF"/>
        </w:rPr>
        <w:t xml:space="preserve"> reported a</w:t>
      </w:r>
      <w:r w:rsidR="005B0EC5" w:rsidRPr="00832A81">
        <w:rPr>
          <w:shd w:val="clear" w:color="auto" w:fill="FFFFFF"/>
        </w:rPr>
        <w:t xml:space="preserve"> notable increase in telemedicine us</w:t>
      </w:r>
      <w:r w:rsidR="0069070F">
        <w:rPr>
          <w:shd w:val="clear" w:color="auto" w:fill="FFFFFF"/>
        </w:rPr>
        <w:t>e</w:t>
      </w:r>
      <w:r w:rsidR="005B0EC5" w:rsidRPr="00832A81">
        <w:rPr>
          <w:shd w:val="clear" w:color="auto" w:fill="FFFFFF"/>
        </w:rPr>
        <w:t xml:space="preserve"> across rural areas following the onset of the pandemic, the </w:t>
      </w:r>
      <w:r w:rsidR="0069070F">
        <w:rPr>
          <w:shd w:val="clear" w:color="auto" w:fill="FFFFFF"/>
        </w:rPr>
        <w:t xml:space="preserve">telemedicine use </w:t>
      </w:r>
      <w:r w:rsidR="005B0EC5" w:rsidRPr="00832A81">
        <w:rPr>
          <w:shd w:val="clear" w:color="auto" w:fill="FFFFFF"/>
        </w:rPr>
        <w:t xml:space="preserve">increase in urban areas was significantly more pronounced. This trend highlights a persistent </w:t>
      </w:r>
      <w:r w:rsidR="0069340B">
        <w:rPr>
          <w:shd w:val="clear" w:color="auto" w:fill="FFFFFF"/>
        </w:rPr>
        <w:t xml:space="preserve">urban-rural </w:t>
      </w:r>
      <w:r w:rsidR="005B0EC5" w:rsidRPr="00832A81">
        <w:rPr>
          <w:shd w:val="clear" w:color="auto" w:fill="FFFFFF"/>
        </w:rPr>
        <w:t>divide, primarily attribut</w:t>
      </w:r>
      <w:r w:rsidR="002E674A" w:rsidRPr="00832A81">
        <w:rPr>
          <w:shd w:val="clear" w:color="auto" w:fill="FFFFFF"/>
        </w:rPr>
        <w:t>able</w:t>
      </w:r>
      <w:r w:rsidR="005B0EC5" w:rsidRPr="00832A81">
        <w:rPr>
          <w:shd w:val="clear" w:color="auto" w:fill="FFFFFF"/>
        </w:rPr>
        <w:t xml:space="preserve"> to access barriers in rural regions</w:t>
      </w:r>
      <w:r w:rsidR="0069340B">
        <w:rPr>
          <w:shd w:val="clear" w:color="auto" w:fill="FFFFFF"/>
        </w:rPr>
        <w:t xml:space="preserve">, as observed </w:t>
      </w:r>
      <w:r w:rsidR="005B0EC5" w:rsidRPr="00832A81">
        <w:rPr>
          <w:shd w:val="clear" w:color="auto" w:fill="FFFFFF"/>
        </w:rPr>
        <w:t>by</w:t>
      </w:r>
      <w:bookmarkStart w:id="21" w:name="_Hlk165978652"/>
      <w:r w:rsidR="005B0EC5" w:rsidRPr="00832A81">
        <w:rPr>
          <w:shd w:val="clear" w:color="auto" w:fill="FFFFFF"/>
        </w:rPr>
        <w:t xml:space="preserve"> </w:t>
      </w:r>
      <w:r w:rsidR="005B0EC5" w:rsidRPr="00832A81">
        <w:rPr>
          <w:shd w:val="clear" w:color="auto" w:fill="FFFFFF"/>
        </w:rPr>
        <w:fldChar w:fldCharType="begin"/>
      </w:r>
      <w:r w:rsidR="009A6E84">
        <w:rPr>
          <w:shd w:val="clear" w:color="auto" w:fill="FFFFFF"/>
        </w:rPr>
        <w:instrText xml:space="preserve"> ADDIN ZOTERO_ITEM CSL_CITATION {"citationID":"0iO1AVcQ","properties":{"formattedCitation":"(Iasiello et al., 2023; Ko et al., 2023; Sharma et al., 2024)","plainCitation":"(Iasiello et al., 2023; Ko et al., 2023; Sharma et al., 2024)","dontUpdate":true,"noteIndex":0},"citationItems":[{"id":2232,"uris":["http://zotero.org/users/9292995/items/PI7QLM95"],"itemData":{"id":2232,"type":"article-journal","container-title":"JCO Oncol Practoce","DOI":"10.1200/OP.23.00006","issue":"12","title":"Racial Differences in Patient-Reported Access to Telehealth: An Important and Unmeasured Social Determinant of Health | JCO Oncology Practice","URL":"https://ascopubs.org/doi/full/10.1200/OP.23.00006","volume":"19","author":[{"family":"Iasiello","given":"John A."},{"family":"Rajan","given":"Arvind"},{"family":"Zervos","given":"Emmanuel"},{"family":"Parikh","given":"Alexander A."},{"family":"Snyder","given":"Rebecca A."}],"accessed":{"date-parts":[["2024",2,4]]},"issued":{"date-parts":[["2023"]]}}},{"id":2206,"uris":["http://zotero.org/users/9292995/items/Y726UBQF"],"itemData":{"id":2206,"type":"article-journal","abstract":"Purpose Although telehealth access and utilization have increased during the pandemic, rural and low-income disparities persist. We sought to assess whether access or willingness to use telehealth differed between rural and non-rural and low-income and non-low-income adults and measure the prevalence of perceived barriers. Methods We conducted a cross-sectional study using COVID-19's Unequal Racial Burden (CURB) online survey (December 17, 2020-February 17, 2021), which included 2 nationally representative cohorts of rural and low-income Black/African American, Latino, and White adults. Non-rural and non-low-income participants from the main, nationally representative sample were matched for rural versus non-rural and low-income versus non-low-income comparisons. We measured perceived telehealth access, willingness to use telehealth, and perceived telehealth barriers. Findings Rural (38.6% vs 44.9%) and low-income adults (42.0% vs 47.4%) were less likely to report telehealth access, compared to non-rural and non-low-income counterparts. After adjustment, rural adults were still less likely to report telehealth access (adjusted prevalence ratio [aPR] = 0.89, 95% CI = 0.79-0.99); no differences were seen between low-income and non-low-income adults (aPR = 1.02, 95% CI = 0.88-1.17). The majority of adults reported willingness to use telehealth (rural = 78.4%; low-income = 79.0%), with no differences between rural and non-rural (aPR = 0.99, 95% CI = 0.92-1.08) or low-income versus non-low-income (aPR = 1.01, 95% CI = 0.91-1.13). No racial/ethnic differences were observed in willingness to use telehealth. The prevalence of perceived telehealth barriers was low, with the majority reporting no barriers (rural = 57.4%; low-income = 56.9%). Conclusions Lack of access (and awareness of access) is likely a primary driver of disparities in rural telehealth use. Race/ethnicity was not associated with telehealth willingness, suggesting that equal utilization is possible once granted access.","container-title":"The Journal of Rural Health","DOI":"10.1111/jrh.12759","ISSN":"1748-0361","issue":"3","language":"en","license":"© 2023 National Rural Health Association. This article has been contributed to by U.S. Government employees and their work is in the public domain in the USA.","note":"_eprint: https://onlinelibrary.wiley.com/doi/pdf/10.1111/jrh.12759","page":"617-624","source":"Wiley Online Library","title":"Disparities in telehealth access, not willingness to use services, likely explain rural telehealth disparities","volume":"39","author":[{"family":"Ko","given":"Jamie S."},{"family":"El-Toukhy","given":"Sherine"},{"family":"Quintero","given":"Stephanie M."},{"family":"Wilkerson","given":"Miciah J."},{"family":"Nápoles","given":"Anna M."},{"family":"Stewart","given":"Anita L."},{"family":"Strassle","given":"Paula D."}],"issued":{"date-parts":[["2023"]]}}},{"id":2204,"uris":["http://zotero.org/users/9292995/items/B5LDPDSV"],"itemData":{"id":2204,"type":"article-journal","abstract":"BACKGROUND: During the COVID-19 outbreak, video appointments became a popular method for health care delivery, particularly in the early stages of the pandemic. Although Mayo Clinic aimed to reduce face-to-face (F2F) appointments to prevent the spread of the virus, some patients continued seeing their health care providers in person. In the later stages of the pandemic, many patients became comfortable with video appointments, even if they were initially hesitant. However, a subset of patients continued to avoid video appointments. It is not yet clear what sociodemographic factors may be associated with this group of patients.\nOBJECTIVE: This cross-sectional study aimed to examine demographic and social determinant of health (SDoH) factors associated with persistent nonusers of video appointments among a sample of patients within a multistate health care organization. We also explored patient beliefs about the use of video for health care appointments.\nMETHODS: We conducted a 1-time cross-sectional paper survey, mailed between July and December 2022, of patients matching the eligibility criteria: (1) aged ≥18 years as of April 2020, (2) Mayo Clinic Midwest, Florida, or Arizona patient, (3) did not use video appointment services during April-December 2020 but attended F2F appointments in the departments of primary care and psychiatry/psychology. The survey asked patients, \"Have you ever had a video appointment with a healthcare provider?\" \"Yes\" respondents were defined as \"users\" (adapted to video appointments), and \"no\" respondents were defined as \"persistent nonusers\" of video appointments. We analyzed demographics, SDoH, and patient beliefs toward video appointments in 2 groups: persistent nonusers of video appointments and users. We used chi-square and 2-tailed t tests for analysis.\nRESULTS: Our findings indicate that patients who were older, lived in rural areas, sought care at Mayo Clinic Midwest, and did not have access to the patient portal system were likely to be persistent nonusers of video appointments. Only 1 SDoH factor (not having a disability, handicap, or chronic disease) was associated with persistent nonuse of video appointments. Persistent nonusers of video appointments held personal beliefs such as discomfort with video communication, difficulty interpreting nonverbal cues, and personal preference for F2F appointments over video.\nCONCLUSIONS: Our study identified demographic (older age and rural residence), sociodemographic factors (not having a disability, handicap, or chronic disease), and personal beliefs associated with patients' decisions to choose between video versus F2F appointments for health care delivery. Health care institutions should assess patients' negative attitudes toward technology prior to introducing them to digital health care services. Failing to do so may result in its restricted usage, negative patient experience, and wasted resources. For patients who hold negative beliefs about technology but are willing to learn, a \"digital health coordinator\" could be assigned to assist with various digital health solutions.","container-title":"JMIR formative research","DOI":"10.2196/50572","ISSN":"2561-326X","journalAbbreviation":"JMIR Form Res","language":"eng","note":"PMID: 38265855","page":"e50572","source":"PubMed","title":"Demographics and Social Factors Associated With Persistent Nonuse of Video Appointments at a Multisite Health Care Institution: Cross-Sectional Study","title-short":"Demographics and Social Factors Associated With Persistent Nonuse of Video Appointments at a Multisite Health Care Institution","volume":"8","author":[{"family":"Sharma","given":"Pravesh"},{"family":"Kamath","given":"Celia"},{"family":"Brockman","given":"Tabetha A."},{"family":"Roche","given":"Anne"},{"family":"Sinicrope","given":"Pamela"},{"family":"Jiang","given":"Ruoxiang"},{"family":"Decker","given":"Paul A."},{"family":"Pazdernik","given":"Vanessa"},{"family":"Patten","given":"Christi"}],"issued":{"date-parts":[["2024",1,24]]}}}],"schema":"https://github.com/citation-style-language/schema/raw/master/csl-citation.json"} </w:instrText>
      </w:r>
      <w:r w:rsidR="005B0EC5" w:rsidRPr="00832A81">
        <w:rPr>
          <w:shd w:val="clear" w:color="auto" w:fill="FFFFFF"/>
        </w:rPr>
        <w:fldChar w:fldCharType="separate"/>
      </w:r>
      <w:r w:rsidR="005B0EC5" w:rsidRPr="00832A81">
        <w:t xml:space="preserve">Iasiello et al. </w:t>
      </w:r>
      <w:r w:rsidR="009524DC">
        <w:t>(</w:t>
      </w:r>
      <w:r w:rsidR="005B0EC5" w:rsidRPr="00832A81">
        <w:t>2023</w:t>
      </w:r>
      <w:r w:rsidR="009524DC">
        <w:t>),</w:t>
      </w:r>
      <w:r w:rsidR="005B0EC5" w:rsidRPr="00832A81">
        <w:t xml:space="preserve"> Ko et al. </w:t>
      </w:r>
      <w:r w:rsidR="009524DC">
        <w:t>(</w:t>
      </w:r>
      <w:r w:rsidR="005B0EC5" w:rsidRPr="00832A81">
        <w:t>2023</w:t>
      </w:r>
      <w:r w:rsidR="009524DC">
        <w:t>),</w:t>
      </w:r>
      <w:r w:rsidR="005B0EC5" w:rsidRPr="00832A81">
        <w:t xml:space="preserve"> </w:t>
      </w:r>
      <w:r w:rsidR="009524DC">
        <w:t xml:space="preserve">and </w:t>
      </w:r>
      <w:r w:rsidR="005B0EC5" w:rsidRPr="00832A81">
        <w:t xml:space="preserve">Sharma et al. </w:t>
      </w:r>
      <w:r w:rsidR="009524DC">
        <w:t>(</w:t>
      </w:r>
      <w:r w:rsidR="005B0EC5" w:rsidRPr="00832A81">
        <w:t>2024)</w:t>
      </w:r>
      <w:r w:rsidR="005B0EC5" w:rsidRPr="00832A81">
        <w:rPr>
          <w:shd w:val="clear" w:color="auto" w:fill="FFFFFF"/>
        </w:rPr>
        <w:fldChar w:fldCharType="end"/>
      </w:r>
      <w:bookmarkEnd w:id="21"/>
      <w:r w:rsidR="0069340B">
        <w:rPr>
          <w:shd w:val="clear" w:color="auto" w:fill="FFFFFF"/>
        </w:rPr>
        <w:t xml:space="preserve">. </w:t>
      </w:r>
      <w:r w:rsidR="00DD75BA" w:rsidRPr="00832A81">
        <w:rPr>
          <w:shd w:val="clear" w:color="auto" w:fill="FFFFFF"/>
        </w:rPr>
        <w:t>Moreover, regional differences</w:t>
      </w:r>
      <w:r w:rsidR="005B0EC5" w:rsidRPr="00832A81">
        <w:rPr>
          <w:shd w:val="clear" w:color="auto" w:fill="FFFFFF"/>
        </w:rPr>
        <w:t xml:space="preserve"> across the U.S. </w:t>
      </w:r>
      <w:r w:rsidR="0069340B">
        <w:rPr>
          <w:shd w:val="clear" w:color="auto" w:fill="FFFFFF"/>
        </w:rPr>
        <w:t xml:space="preserve">also </w:t>
      </w:r>
      <w:r w:rsidR="005B0EC5" w:rsidRPr="00832A81">
        <w:rPr>
          <w:shd w:val="clear" w:color="auto" w:fill="FFFFFF"/>
        </w:rPr>
        <w:t>influence</w:t>
      </w:r>
      <w:r w:rsidR="00DD75BA" w:rsidRPr="00832A81">
        <w:rPr>
          <w:shd w:val="clear" w:color="auto" w:fill="FFFFFF"/>
        </w:rPr>
        <w:t xml:space="preserve"> telemedicine </w:t>
      </w:r>
      <w:r w:rsidR="0027145A">
        <w:rPr>
          <w:shd w:val="clear" w:color="auto" w:fill="FFFFFF"/>
        </w:rPr>
        <w:t>adoption</w:t>
      </w:r>
      <w:r w:rsidR="0069340B">
        <w:rPr>
          <w:shd w:val="clear" w:color="auto" w:fill="FFFFFF"/>
        </w:rPr>
        <w:t xml:space="preserve">, </w:t>
      </w:r>
      <w:r w:rsidR="0069340B">
        <w:rPr>
          <w:shd w:val="clear" w:color="auto" w:fill="FFFFFF"/>
        </w:rPr>
        <w:lastRenderedPageBreak/>
        <w:t>reflecting variations in</w:t>
      </w:r>
      <w:r w:rsidR="00C466BC" w:rsidRPr="00832A81">
        <w:rPr>
          <w:shd w:val="clear" w:color="auto" w:fill="FFFFFF"/>
        </w:rPr>
        <w:t xml:space="preserve"> healthcare infrastructure, policy environments, and specific population health needs.</w:t>
      </w:r>
      <w:r w:rsidR="00D445E1" w:rsidRPr="00832A81">
        <w:rPr>
          <w:shd w:val="clear" w:color="auto" w:fill="FFFFFF"/>
        </w:rPr>
        <w:t xml:space="preserve"> </w:t>
      </w:r>
      <w:r w:rsidR="005B0EC5" w:rsidRPr="00832A81">
        <w:rPr>
          <w:shd w:val="clear" w:color="auto" w:fill="FFFFFF"/>
        </w:rPr>
        <w:t xml:space="preserve">For instance, </w:t>
      </w:r>
      <w:r w:rsidR="005B0EC5" w:rsidRPr="00832A81">
        <w:rPr>
          <w:shd w:val="clear" w:color="auto" w:fill="FFFFFF"/>
        </w:rPr>
        <w:fldChar w:fldCharType="begin"/>
      </w:r>
      <w:r w:rsidR="009A6E84">
        <w:rPr>
          <w:shd w:val="clear" w:color="auto" w:fill="FFFFFF"/>
        </w:rPr>
        <w:instrText xml:space="preserve"> ADDIN ZOTERO_ITEM CSL_CITATION {"citationID":"mG1QEiWi","properties":{"formattedCitation":"(Jaffe et al., 2020)","plainCitation":"(Jaffe et al., 2020)","dontUpdate":true,"noteIndex":0},"citationItems":[{"id":2224,"uris":["http://zotero.org/users/9292995/items/5I64WJV6"],"itemData":{"id":2224,"type":"article-journal","abstract":"The use of remote health care services, or telehealth, is a promising solution for providing health care to those unable to access care in person easily and thus helping to reduce health inequalities. The COVID-19 pandemic and resulting stay-at-home orders in the United States have created an optimal situation for the use of telehealth services for non-life-threatening health care use. A retrospective cohort study was performed using Kantar's Claritis™ database, which links insurance claims encounters (Komodo Health) with patient-reported data (Kantar Health, National Health &amp; Wellness Survey). Logistic regression models (odds ratios [OR], 95% confidence intervals [CI]) examined predictors of telehealth versus in-person encounters. Adults ages ≥18 years eligible for payer-complete health care encounters in both March 2019 and March 2020 were identified (n = 35,376). Telehealth use increased from 0.2% in 2019 to 1.9% in 2020. In adjusted models of respondents with ≥1 health care encounter (n = 11,614), age, marital status, geographic residence (region; urban/rural), and presence of anxiety or depression were significant predictors of telehealth compared with in-person use in March 2020. For example, adults 45-46 years versus 18-44 years were less likely to use telehealth (OR 0.684, 95% CI: 0.561-0.834), and respondents living in urban versus rural areas were more likely to use telehealth (OR 1.543, 95% CI: 1.153-2.067). Substantial increases in telehealth use were observed during the onset of the COVID-19 pandemic in the United States; however, disparities existed. These inequalities represent the baseline landscape that population health management must monitor and address during this pandemic.","container-title":"Population Health Management","DOI":"10.1089/pop.2020.0186","ISSN":"1942-7905","issue":"5","journalAbbreviation":"Popul Health Manag","language":"eng","note":"PMID: 32816644","page":"368-377","source":"PubMed","title":"Health Inequalities in the Use of Telehealth in the United States in the Lens of COVID-19","volume":"23","author":[{"family":"Jaffe","given":"Dena H."},{"family":"Lee","given":"Lulu"},{"family":"Huynh","given":"Stephanie"},{"family":"Haskell","given":"Thomas P."}],"issued":{"date-parts":[["2020",10]]}}}],"schema":"https://github.com/citation-style-language/schema/raw/master/csl-citation.json"} </w:instrText>
      </w:r>
      <w:r w:rsidR="005B0EC5" w:rsidRPr="00832A81">
        <w:rPr>
          <w:shd w:val="clear" w:color="auto" w:fill="FFFFFF"/>
        </w:rPr>
        <w:fldChar w:fldCharType="separate"/>
      </w:r>
      <w:r w:rsidR="005B0EC5" w:rsidRPr="00832A81">
        <w:t xml:space="preserve">Jaffe et al. </w:t>
      </w:r>
      <w:r w:rsidR="009524DC">
        <w:t>(</w:t>
      </w:r>
      <w:r w:rsidR="005B0EC5" w:rsidRPr="00832A81">
        <w:t>2020)</w:t>
      </w:r>
      <w:r w:rsidR="005B0EC5" w:rsidRPr="00832A81">
        <w:rPr>
          <w:shd w:val="clear" w:color="auto" w:fill="FFFFFF"/>
        </w:rPr>
        <w:fldChar w:fldCharType="end"/>
      </w:r>
      <w:r w:rsidR="005B0EC5" w:rsidRPr="00832A81">
        <w:rPr>
          <w:shd w:val="clear" w:color="auto" w:fill="FFFFFF"/>
        </w:rPr>
        <w:t xml:space="preserve"> </w:t>
      </w:r>
      <w:r w:rsidR="00C466BC" w:rsidRPr="00832A81">
        <w:rPr>
          <w:shd w:val="clear" w:color="auto" w:fill="FFFFFF"/>
        </w:rPr>
        <w:t xml:space="preserve">found that individuals residing in the Southern states exhibited lower </w:t>
      </w:r>
      <w:r w:rsidR="00680195">
        <w:rPr>
          <w:shd w:val="clear" w:color="auto" w:fill="FFFFFF"/>
        </w:rPr>
        <w:t>telemedicine adoption</w:t>
      </w:r>
      <w:r w:rsidR="0069340B">
        <w:rPr>
          <w:shd w:val="clear" w:color="auto" w:fill="FFFFFF"/>
        </w:rPr>
        <w:t xml:space="preserve"> rates than</w:t>
      </w:r>
      <w:r w:rsidR="00C466BC" w:rsidRPr="00832A81">
        <w:rPr>
          <w:shd w:val="clear" w:color="auto" w:fill="FFFFFF"/>
        </w:rPr>
        <w:t xml:space="preserve"> their counterparts in the West, Midwest, or Northeast. </w:t>
      </w:r>
    </w:p>
    <w:p w14:paraId="356AD8C8" w14:textId="55891CBE" w:rsidR="00746842" w:rsidRPr="0069340B" w:rsidRDefault="002E6131" w:rsidP="00A9586D">
      <w:pPr>
        <w:spacing w:after="0" w:line="240" w:lineRule="auto"/>
        <w:ind w:firstLine="720"/>
        <w:jc w:val="both"/>
        <w:rPr>
          <w:bCs/>
        </w:rPr>
      </w:pPr>
      <w:r>
        <w:rPr>
          <w:bCs/>
          <w:color w:val="000000" w:themeColor="text1"/>
        </w:rPr>
        <w:t>O</w:t>
      </w:r>
      <w:r w:rsidR="00A73E57" w:rsidRPr="00832A81">
        <w:rPr>
          <w:bCs/>
          <w:color w:val="000000" w:themeColor="text1"/>
        </w:rPr>
        <w:t>verall, the reviewed body of literature on telemedicine adoption</w:t>
      </w:r>
      <w:r w:rsidR="0069340B">
        <w:rPr>
          <w:bCs/>
          <w:color w:val="000000" w:themeColor="text1"/>
        </w:rPr>
        <w:t xml:space="preserve"> reveals </w:t>
      </w:r>
      <w:r w:rsidR="00C253B7" w:rsidRPr="00832A81">
        <w:rPr>
          <w:bCs/>
          <w:color w:val="000000" w:themeColor="text1"/>
        </w:rPr>
        <w:t>variations in telemedicine adoption based on demographic and residential location characteristics, even if the results are not always consistent. Th</w:t>
      </w:r>
      <w:r w:rsidR="001B4A27" w:rsidRPr="00832A81">
        <w:rPr>
          <w:bCs/>
          <w:color w:val="000000" w:themeColor="text1"/>
        </w:rPr>
        <w:t>e</w:t>
      </w:r>
      <w:r w:rsidR="0069340B">
        <w:rPr>
          <w:bCs/>
          <w:color w:val="000000" w:themeColor="text1"/>
        </w:rPr>
        <w:t xml:space="preserve">se inconsistencies </w:t>
      </w:r>
      <w:r w:rsidR="00C253B7" w:rsidRPr="00832A81">
        <w:rPr>
          <w:bCs/>
          <w:color w:val="000000" w:themeColor="text1"/>
        </w:rPr>
        <w:t xml:space="preserve">may be attributed to </w:t>
      </w:r>
      <w:r w:rsidR="00A73E57" w:rsidRPr="00832A81">
        <w:rPr>
          <w:bCs/>
          <w:color w:val="000000" w:themeColor="text1"/>
        </w:rPr>
        <w:t xml:space="preserve">differences in specific telemedicine modalities </w:t>
      </w:r>
      <w:r w:rsidR="00C253B7" w:rsidRPr="00832A81">
        <w:rPr>
          <w:bCs/>
          <w:color w:val="000000" w:themeColor="text1"/>
        </w:rPr>
        <w:t>studie</w:t>
      </w:r>
      <w:r w:rsidR="009524DC">
        <w:rPr>
          <w:bCs/>
          <w:color w:val="000000" w:themeColor="text1"/>
        </w:rPr>
        <w:t>d</w:t>
      </w:r>
      <w:r w:rsidR="00A73E57" w:rsidRPr="00832A81">
        <w:rPr>
          <w:bCs/>
          <w:color w:val="000000" w:themeColor="text1"/>
        </w:rPr>
        <w:t>, the time period during which data were collected, the geographic location of the study, and the particular medical institutions from which data were sourced.</w:t>
      </w:r>
      <w:r w:rsidR="00C218AB" w:rsidRPr="005E4F79">
        <w:t xml:space="preserve"> </w:t>
      </w:r>
      <w:r w:rsidR="00D16132" w:rsidRPr="005E4F79">
        <w:t xml:space="preserve">For instance, on the temporal dimension, </w:t>
      </w:r>
      <w:r w:rsidR="00D16132" w:rsidRPr="00832A81">
        <w:rPr>
          <w:bCs/>
        </w:rPr>
        <w:t>m</w:t>
      </w:r>
      <w:r w:rsidR="00C218AB" w:rsidRPr="00832A81">
        <w:rPr>
          <w:bCs/>
        </w:rPr>
        <w:t xml:space="preserve">ost studies </w:t>
      </w:r>
      <w:r w:rsidR="009F0593">
        <w:rPr>
          <w:bCs/>
        </w:rPr>
        <w:t xml:space="preserve">have </w:t>
      </w:r>
      <w:r w:rsidR="00C218AB" w:rsidRPr="00832A81">
        <w:rPr>
          <w:bCs/>
        </w:rPr>
        <w:t>used data spanning from March and September of 2020,</w:t>
      </w:r>
      <w:r w:rsidR="00C218AB" w:rsidRPr="007E3B79">
        <w:t xml:space="preserve"> capturing the early stages of the pandemic</w:t>
      </w:r>
      <w:r w:rsidR="009F0593">
        <w:t>, while</w:t>
      </w:r>
      <w:r w:rsidR="00C218AB" w:rsidRPr="00832A81">
        <w:rPr>
          <w:bCs/>
        </w:rPr>
        <w:t xml:space="preserve"> </w:t>
      </w:r>
      <w:r w:rsidR="009F0593">
        <w:rPr>
          <w:bCs/>
        </w:rPr>
        <w:t xml:space="preserve">some others employed </w:t>
      </w:r>
      <w:r w:rsidR="00C218AB" w:rsidRPr="00832A81">
        <w:rPr>
          <w:bCs/>
        </w:rPr>
        <w:t xml:space="preserve">data </w:t>
      </w:r>
      <w:r w:rsidR="009F0593">
        <w:rPr>
          <w:bCs/>
        </w:rPr>
        <w:t xml:space="preserve">collected in </w:t>
      </w:r>
      <w:r w:rsidR="00C218AB" w:rsidRPr="00832A81">
        <w:rPr>
          <w:bCs/>
        </w:rPr>
        <w:t>late</w:t>
      </w:r>
      <w:r w:rsidR="009F0593">
        <w:rPr>
          <w:bCs/>
        </w:rPr>
        <w:t>r periods of</w:t>
      </w:r>
      <w:r w:rsidR="00C218AB" w:rsidRPr="00832A81">
        <w:rPr>
          <w:bCs/>
        </w:rPr>
        <w:t xml:space="preserve"> 2020 </w:t>
      </w:r>
      <w:r w:rsidR="0069340B">
        <w:rPr>
          <w:bCs/>
        </w:rPr>
        <w:t>or early 2021</w:t>
      </w:r>
      <w:r w:rsidR="00C218AB" w:rsidRPr="00832A81">
        <w:rPr>
          <w:bCs/>
        </w:rPr>
        <w:t xml:space="preserve">. </w:t>
      </w:r>
      <w:r w:rsidR="0069340B">
        <w:rPr>
          <w:bCs/>
        </w:rPr>
        <w:t xml:space="preserve">Only a few </w:t>
      </w:r>
      <w:r w:rsidR="00C218AB" w:rsidRPr="00832A81">
        <w:rPr>
          <w:bCs/>
        </w:rPr>
        <w:t xml:space="preserve">studies utilized data from after the first quarter of 2021, when telemedicine had become an integral part of regular healthcare delivery (see </w:t>
      </w:r>
      <w:r w:rsidR="00C218AB" w:rsidRPr="00832A81">
        <w:rPr>
          <w:bCs/>
        </w:rPr>
        <w:fldChar w:fldCharType="begin"/>
      </w:r>
      <w:r w:rsidR="007B245D">
        <w:rPr>
          <w:bCs/>
        </w:rPr>
        <w:instrText xml:space="preserve"> ADDIN ZOTERO_ITEM CSL_CITATION {"citationID":"zV8Wllzk","properties":{"formattedCitation":"(Chandrasekaran, 2023; Chen et al., 2023; J.-H. Park et al., 2023; Sharma et al., 2024)","plainCitation":"(Chandrasekaran, 2023; Chen et al., 2023; J.-H. Park et al., 2023; Sharma et al., 2024)","dontUpdate":true,"noteIndex":0},"citationItems":[{"id":2109,"uris":["http://zotero.org/users/9292995/items/JHY5WA7B"],"itemData":{"id":2109,"type":"article-journal","container-title":"Telemedicine and e-Health","DOI":"10.1089/tmj.2023.0277","language":"en","source":"www-liebertpub-com.ezproxy.lib.utexas.edu","title":"Telemedicine in the Post-Pandemic Period: Understanding Patterns of Use and the Influence of Socioeconomic Demographics, Health Status, and Social Determinants","title-short":"Telemedicine in the Post-Pandemic Period","URL":"https://www.liebertpub.com/doi/10.1089/tmj.2023.0277","author":[{"family":"Chandrasekaran","given":"Ranganathan"}],"accessed":{"date-parts":[["2023",9,21]]},"issued":{"date-parts":[["2023"]]}}},{"id":2280,"uris":["http://zotero.org/users/9292995/items/W45LD2UL"],"itemData":{"id":2280,"type":"article-journal","abstract":"Understanding patient characteristics associated with scheduling and completing telehealth visits can identify potential biases or latent preferences related to telehealth usage. We describe patient characteristics associated with being scheduled for and completing audio and video visits. We used data from patients at 17 adult primary care departments in a large, urban public healthcare system from August 1, 2020 to July 31, 2021. We used hierarchical multivariable logistic regression to generate adjusted odds ratios (aOR) for patient characteristics associated with having been scheduled for and completed telehealth (vs in-person) visits and for video (vs audio) scheduling and completion during two time periods: a telehealth transition period (N = 190,949) and a telehealth elective period (N = 181,808). Patient characteristics were significantly associated with scheduling and completion of telehealth visits. Many associations were similar across time periods, but others changed over time. Patients who were older (≥ 65 years old vs 18–44 years old: aOR for scheduling 0.53/completion 0.48), Black (0.86/0.71), Hispanic (0.76/0.62), or had Medicaid (0.93/0.84) were among those less likely to be scheduled for or complete video (vs audio) visits. Patients with activated patient portals (1.97/3.34) or more visits (≥ 3 scheduled visits vs 1 visit: 2.40/1.52) were more likely to be scheduled for or complete video visits. Variation in scheduling/completion explained by patient characteristics was 7.2%/7.5%, clustering by provider 37.2%/34.9%, and clustering by facility 43.1%/37.4%. Stable and dynamic associations suggest persistent gaps in access and evolving preferences/biases. Variation explained by patient characteristics was relatively low compared with that explained by provider and facility clustering.","container-title":"Journal of Urban Health","DOI":"10.1007/s11524-023-00744-9","ISSN":"1468-2869","issue":"3","journalAbbreviation":"J Urban Health","language":"en","page":"468-477","source":"Springer Link","title":"Patient Characteristics Associated with Telehealth Scheduling and Completion in Primary Care at a Large, Urban Public Healthcare System","volume":"100","author":[{"family":"Chen","given":"Kevin"},{"family":"Zhang","given":"Christine"},{"family":"Gurley","given":"Alexandra"},{"family":"Akkem","given":"Shashi"},{"family":"Jackson","given":"Hannah"}],"issued":{"date-parts":[["2023",6,1]]}}},{"id":2235,"uris":["http://zotero.org/users/9292995/items/X3YBVYGI"],"itemData":{"id":2235,"type":"article-journal","abstract":"OBJECTIVE: The primary objective of this study is to conduct a comparative analysis of telemedicine utilization patterns among adult populations residing in both rural and urban areas and evaluate the probability of telemedicine adoption among adults dwelling in both rural and urban areas amid the backdrop of the COVID-19 pandemic.\nMETHODS: Our study has attained sample populations (n = 279,260, National Weighted Estimates = 2,391,188,373) through the secondary analysis of the National Health Interview Survey (NHIS) for the year 2021. We examined the relationship between the rural, regional, and racial variables using chi-square tests and binary logistic regression associated with telemedicine use in our multivariable analysis.\nRESULTS: Telemedicine use by population decreased with decreasing urbanization level, from 40.2% among adults living in large central metropolitan to 29.7% among adults living in rural area (p&lt;0.0001). Regarding household income, adults with 400% or more of the federal poverty level (FPL) were significantly more likely to use telemedicine than adults with less than 100% of the FPL. Females were more likely than males to utilize telemedicine. In terms of region, adults living in the West were 1.25 times more likely to use telemedicine than adults living in the Northeast, and minority race/ethnicity groups (eg, Non-Hispanic Black, Hispanic, and other) are less likely to use the telemedicine rather than Non-Hispanic White.\nCONCLUSION: Health equity is attained when all demographic groups enjoy uniform access to healthcare services, but disparities emerge when there are discernible variations in access to treatment. Considering this study's findings, it becomes evident that the distinctions in poverty rates, median income levels, and healthcare utilization patterns across racial and regional lines may serve as indicators of potential health equity concerns.","container-title":"Patient Preference and Adherence","DOI":"10.2147/PPA.S439437","ISSN":"1177-889X","journalAbbreviation":"Patient Prefer Adherence","language":"eng","note":"PMID: 38143946\nPMCID: PMC10749101","page":"3477-3487","source":"PubMed","title":"Rural, Regional, Racial Disparities in Telemedicine Use During the COVID-19 Pandemic Among US Adults: 2021 National Health Interview Survey (NHIS)","title-short":"Rural, Regional, Racial Disparities in Telemedicine Use During the COVID-19 Pandemic Among US Adults","volume":"17","author":[{"family":"Park","given":"Jeong-Hui"},{"family":"Lee","given":"Min Jee"},{"family":"Tsai","given":"Meng-Han"},{"family":"Shih","given":"Huan-Ju"},{"family":"Chang","given":"Jongwha"}],"issued":{"date-parts":[["2023"]]}}},{"id":2204,"uris":["http://zotero.org/users/9292995/items/B5LDPDSV"],"itemData":{"id":2204,"type":"article-journal","abstract":"BACKGROUND: During the COVID-19 outbreak, video appointments became a popular method for health care delivery, particularly in the early stages of the pandemic. Although Mayo Clinic aimed to reduce face-to-face (F2F) appointments to prevent the spread of the virus, some patients continued seeing their health care providers in person. In the later stages of the pandemic, many patients became comfortable with video appointments, even if they were initially hesitant. However, a subset of patients continued to avoid video appointments. It is not yet clear what sociodemographic factors may be associated with this group of patients.\nOBJECTIVE: This cross-sectional study aimed to examine demographic and social determinant of health (SDoH) factors associated with persistent nonusers of video appointments among a sample of patients within a multistate health care organization. We also explored patient beliefs about the use of video for health care appointments.\nMETHODS: We conducted a 1-time cross-sectional paper survey, mailed between July and December 2022, of patients matching the eligibility criteria: (1) aged ≥18 years as of April 2020, (2) Mayo Clinic Midwest, Florida, or Arizona patient, (3) did not use video appointment services during April-December 2020 but attended F2F appointments in the departments of primary care and psychiatry/psychology. The survey asked patients, \"Have you ever had a video appointment with a healthcare provider?\" \"Yes\" respondents were defined as \"users\" (adapted to video appointments), and \"no\" respondents were defined as \"persistent nonusers\" of video appointments. We analyzed demographics, SDoH, and patient beliefs toward video appointments in 2 groups: persistent nonusers of video appointments and users. We used chi-square and 2-tailed t tests for analysis.\nRESULTS: Our findings indicate that patients who were older, lived in rural areas, sought care at Mayo Clinic Midwest, and did not have access to the patient portal system were likely to be persistent nonusers of video appointments. Only 1 SDoH factor (not having a disability, handicap, or chronic disease) was associated with persistent nonuse of video appointments. Persistent nonusers of video appointments held personal beliefs such as discomfort with video communication, difficulty interpreting nonverbal cues, and personal preference for F2F appointments over video.\nCONCLUSIONS: Our study identified demographic (older age and rural residence), sociodemographic factors (not having a disability, handicap, or chronic disease), and personal beliefs associated with patients' decisions to choose between video versus F2F appointments for health care delivery. Health care institutions should assess patients' negative attitudes toward technology prior to introducing them to digital health care services. Failing to do so may result in its restricted usage, negative patient experience, and wasted resources. For patients who hold negative beliefs about technology but are willing to learn, a \"digital health coordinator\" could be assigned to assist with various digital health solutions.","container-title":"JMIR formative research","DOI":"10.2196/50572","ISSN":"2561-326X","journalAbbreviation":"JMIR Form Res","language":"eng","note":"PMID: 38265855","page":"e50572","source":"PubMed","title":"Demographics and Social Factors Associated With Persistent Nonuse of Video Appointments at a Multisite Health Care Institution: Cross-Sectional Study","title-short":"Demographics and Social Factors Associated With Persistent Nonuse of Video Appointments at a Multisite Health Care Institution","volume":"8","author":[{"family":"Sharma","given":"Pravesh"},{"family":"Kamath","given":"Celia"},{"family":"Brockman","given":"Tabetha A."},{"family":"Roche","given":"Anne"},{"family":"Sinicrope","given":"Pamela"},{"family":"Jiang","given":"Ruoxiang"},{"family":"Decker","given":"Paul A."},{"family":"Pazdernik","given":"Vanessa"},{"family":"Patten","given":"Christi"}],"issued":{"date-parts":[["2024",1,24]]}}}],"schema":"https://github.com/citation-style-language/schema/raw/master/csl-citation.json"} </w:instrText>
      </w:r>
      <w:r w:rsidR="00C218AB" w:rsidRPr="00832A81">
        <w:rPr>
          <w:bCs/>
        </w:rPr>
        <w:fldChar w:fldCharType="separate"/>
      </w:r>
      <w:r w:rsidR="00C218AB" w:rsidRPr="005E4F79">
        <w:t>Chandrasekaran, 2023</w:t>
      </w:r>
      <w:r w:rsidR="009524DC">
        <w:t>,</w:t>
      </w:r>
      <w:r w:rsidR="00204503" w:rsidRPr="005E4F79">
        <w:t xml:space="preserve"> </w:t>
      </w:r>
      <w:r w:rsidR="00C218AB" w:rsidRPr="005E4F79">
        <w:t>Park et al., 2023</w:t>
      </w:r>
      <w:r w:rsidR="009524DC">
        <w:t>, and</w:t>
      </w:r>
      <w:r w:rsidR="00C218AB" w:rsidRPr="005E4F79">
        <w:t xml:space="preserve"> Sharma et al., 2024)</w:t>
      </w:r>
      <w:r w:rsidR="00C218AB" w:rsidRPr="00832A81">
        <w:rPr>
          <w:bCs/>
        </w:rPr>
        <w:fldChar w:fldCharType="end"/>
      </w:r>
      <w:r w:rsidR="00C218AB" w:rsidRPr="00832A81">
        <w:rPr>
          <w:bCs/>
        </w:rPr>
        <w:t xml:space="preserve">. </w:t>
      </w:r>
      <w:r w:rsidR="009F0593">
        <w:rPr>
          <w:bCs/>
        </w:rPr>
        <w:t>Further, t</w:t>
      </w:r>
      <w:r w:rsidR="0069340B">
        <w:rPr>
          <w:bCs/>
        </w:rPr>
        <w:t>o our knowledge, o</w:t>
      </w:r>
      <w:r w:rsidR="00D16132" w:rsidRPr="00832A81">
        <w:rPr>
          <w:bCs/>
        </w:rPr>
        <w:t>nly one study</w:t>
      </w:r>
      <w:r w:rsidR="0069340B">
        <w:rPr>
          <w:bCs/>
        </w:rPr>
        <w:t xml:space="preserve"> by </w:t>
      </w:r>
      <w:r w:rsidR="0069340B" w:rsidRPr="00832A81">
        <w:rPr>
          <w:bCs/>
        </w:rPr>
        <w:t xml:space="preserve">Chen et al. </w:t>
      </w:r>
      <w:r w:rsidR="0069340B">
        <w:rPr>
          <w:bCs/>
        </w:rPr>
        <w:t>(</w:t>
      </w:r>
      <w:r w:rsidR="0069340B" w:rsidRPr="00832A81">
        <w:rPr>
          <w:bCs/>
        </w:rPr>
        <w:t>2023</w:t>
      </w:r>
      <w:r w:rsidR="0069340B">
        <w:rPr>
          <w:bCs/>
        </w:rPr>
        <w:t>)</w:t>
      </w:r>
      <w:r w:rsidR="00D16132" w:rsidRPr="00832A81">
        <w:rPr>
          <w:bCs/>
        </w:rPr>
        <w:t xml:space="preserve"> examine</w:t>
      </w:r>
      <w:r w:rsidR="0069340B">
        <w:rPr>
          <w:bCs/>
        </w:rPr>
        <w:t>d</w:t>
      </w:r>
      <w:r w:rsidR="00D16132" w:rsidRPr="00832A81">
        <w:rPr>
          <w:bCs/>
        </w:rPr>
        <w:t xml:space="preserve"> </w:t>
      </w:r>
      <w:r w:rsidR="00204503" w:rsidRPr="00832A81">
        <w:rPr>
          <w:bCs/>
        </w:rPr>
        <w:t>the</w:t>
      </w:r>
      <w:r w:rsidR="00651AAB">
        <w:rPr>
          <w:bCs/>
        </w:rPr>
        <w:t xml:space="preserve"> evolution of</w:t>
      </w:r>
      <w:r w:rsidR="00204503" w:rsidRPr="00832A81">
        <w:rPr>
          <w:bCs/>
        </w:rPr>
        <w:t xml:space="preserve"> </w:t>
      </w:r>
      <w:r w:rsidR="00D16132" w:rsidRPr="00832A81">
        <w:rPr>
          <w:bCs/>
        </w:rPr>
        <w:t>telemedicine adoption trend</w:t>
      </w:r>
      <w:r w:rsidR="0069340B">
        <w:rPr>
          <w:bCs/>
        </w:rPr>
        <w:t>s</w:t>
      </w:r>
      <w:r w:rsidR="00D16132" w:rsidRPr="00832A81">
        <w:rPr>
          <w:bCs/>
        </w:rPr>
        <w:t xml:space="preserve"> </w:t>
      </w:r>
      <w:r w:rsidR="00204503" w:rsidRPr="00832A81">
        <w:rPr>
          <w:bCs/>
        </w:rPr>
        <w:t xml:space="preserve">over time </w:t>
      </w:r>
      <w:r w:rsidR="00D16132" w:rsidRPr="00832A81">
        <w:rPr>
          <w:bCs/>
        </w:rPr>
        <w:t>at an individual</w:t>
      </w:r>
      <w:r w:rsidR="00746842">
        <w:rPr>
          <w:bCs/>
        </w:rPr>
        <w:t xml:space="preserve"> </w:t>
      </w:r>
      <w:r w:rsidR="00D16132" w:rsidRPr="00832A81">
        <w:rPr>
          <w:bCs/>
        </w:rPr>
        <w:t>level</w:t>
      </w:r>
      <w:r w:rsidR="0069340B">
        <w:rPr>
          <w:bCs/>
        </w:rPr>
        <w:t>, using</w:t>
      </w:r>
      <w:r w:rsidR="00204503" w:rsidRPr="00832A81">
        <w:rPr>
          <w:bCs/>
        </w:rPr>
        <w:t xml:space="preserve"> data from August 2020 to July 2021</w:t>
      </w:r>
      <w:r w:rsidR="00957DD9" w:rsidRPr="00832A81">
        <w:rPr>
          <w:bCs/>
        </w:rPr>
        <w:t xml:space="preserve">. </w:t>
      </w:r>
      <w:r w:rsidR="00052536" w:rsidRPr="00832A81">
        <w:rPr>
          <w:bCs/>
        </w:rPr>
        <w:t>Chen et al. identified two time periods</w:t>
      </w:r>
      <w:r w:rsidR="0069340B">
        <w:rPr>
          <w:bCs/>
        </w:rPr>
        <w:t>:</w:t>
      </w:r>
      <w:r w:rsidR="0069340B" w:rsidRPr="0069340B">
        <w:t xml:space="preserve"> </w:t>
      </w:r>
      <w:r w:rsidR="0069340B">
        <w:t xml:space="preserve">a telehealth transition period and a telehealth elective period. </w:t>
      </w:r>
      <w:r w:rsidR="00C17C1A" w:rsidRPr="00832A81">
        <w:rPr>
          <w:bdr w:val="none" w:sz="0" w:space="0" w:color="auto" w:frame="1"/>
          <w:shd w:val="clear" w:color="auto" w:fill="FFFFFF"/>
        </w:rPr>
        <w:t xml:space="preserve"> </w:t>
      </w:r>
      <w:r w:rsidR="00C17C1A" w:rsidRPr="007E3B79">
        <w:t>They examined telemedicine visits during each of these pe</w:t>
      </w:r>
      <w:r w:rsidR="00C17C1A" w:rsidRPr="005E4F79">
        <w:t xml:space="preserve">riods, as extracted from New York City’s urban public healthcare administrative system, as a function of </w:t>
      </w:r>
      <w:r w:rsidR="00FE1F51" w:rsidRPr="005E4F79">
        <w:t>demographics. In doing so, they controlled for random effects associated with clinicians/</w:t>
      </w:r>
      <w:r w:rsidR="00FE1F51" w:rsidRPr="00832A81">
        <w:rPr>
          <w:bdr w:val="none" w:sz="0" w:space="0" w:color="auto" w:frame="1"/>
          <w:shd w:val="clear" w:color="auto" w:fill="FFFFFF"/>
        </w:rPr>
        <w:t>facilities using a hierarchical logistic regression.</w:t>
      </w:r>
      <w:r w:rsidR="00C17C1A" w:rsidRPr="007E3B79">
        <w:t xml:space="preserve"> </w:t>
      </w:r>
      <w:r w:rsidR="00FE1F51" w:rsidRPr="007E3B79">
        <w:t xml:space="preserve">Their results indicated minimal changes in the </w:t>
      </w:r>
      <w:r w:rsidR="00FE1F51" w:rsidRPr="005E4F79">
        <w:t>effect</w:t>
      </w:r>
      <w:r w:rsidR="0069070F">
        <w:t>s</w:t>
      </w:r>
      <w:r w:rsidR="00FE1F51" w:rsidRPr="005E4F79">
        <w:t xml:space="preserve"> of demographics on telemedicine adoption across the two periods. </w:t>
      </w:r>
      <w:r>
        <w:t>It is i</w:t>
      </w:r>
      <w:r w:rsidR="00FE1F51" w:rsidRPr="005E4F79">
        <w:t xml:space="preserve">mportant to note that their study was fundamentally a </w:t>
      </w:r>
      <w:r w:rsidR="001F57EF" w:rsidRPr="005E4F79">
        <w:t xml:space="preserve">cross-sectional </w:t>
      </w:r>
      <w:r w:rsidR="00FE1F51" w:rsidRPr="005E4F79">
        <w:t>trend analysis based o</w:t>
      </w:r>
      <w:r w:rsidR="001F57EF" w:rsidRPr="005E4F79">
        <w:t xml:space="preserve">n different sets of individuals across the two time periods, which confounds the effects of unobserved individual factors affecting telemedicine adoption with the effects of observed individual factors. </w:t>
      </w:r>
    </w:p>
    <w:p w14:paraId="1470920F" w14:textId="77777777" w:rsidR="003F4E56" w:rsidRPr="00832A81" w:rsidRDefault="003F4E56" w:rsidP="009D0CA2">
      <w:pPr>
        <w:spacing w:after="0" w:line="240" w:lineRule="auto"/>
        <w:ind w:firstLine="720"/>
        <w:jc w:val="both"/>
        <w:rPr>
          <w:bdr w:val="none" w:sz="0" w:space="0" w:color="auto" w:frame="1"/>
          <w:shd w:val="clear" w:color="auto" w:fill="FFFFFF"/>
        </w:rPr>
      </w:pPr>
    </w:p>
    <w:p w14:paraId="4FD92C9A" w14:textId="5AD662AF" w:rsidR="000625D6" w:rsidRPr="005E4F79" w:rsidRDefault="00E2510D" w:rsidP="009D0CA2">
      <w:pPr>
        <w:pStyle w:val="Heading2"/>
        <w:spacing w:after="0" w:line="240" w:lineRule="auto"/>
        <w:contextualSpacing w:val="0"/>
      </w:pPr>
      <w:bookmarkStart w:id="22" w:name="_Ref178940611"/>
      <w:r w:rsidRPr="005E4F79">
        <w:t xml:space="preserve">Reasons for </w:t>
      </w:r>
      <w:r w:rsidR="000706EF">
        <w:t>Adopting</w:t>
      </w:r>
      <w:r w:rsidRPr="005E4F79">
        <w:t xml:space="preserve"> </w:t>
      </w:r>
      <w:r w:rsidR="00C253B7" w:rsidRPr="005E4F79">
        <w:t xml:space="preserve">(or </w:t>
      </w:r>
      <w:r w:rsidR="002E6131">
        <w:t>N</w:t>
      </w:r>
      <w:r w:rsidR="00C253B7" w:rsidRPr="005E4F79">
        <w:t xml:space="preserve">ot </w:t>
      </w:r>
      <w:r w:rsidR="000706EF">
        <w:t>Adopting</w:t>
      </w:r>
      <w:r w:rsidR="00C253B7" w:rsidRPr="005E4F79">
        <w:t xml:space="preserve">) </w:t>
      </w:r>
      <w:r w:rsidRPr="005E4F79">
        <w:t>Telemedicine</w:t>
      </w:r>
      <w:bookmarkEnd w:id="22"/>
    </w:p>
    <w:p w14:paraId="2CE2ED19" w14:textId="6F43E46A" w:rsidR="00623DC2" w:rsidRPr="005E4F79" w:rsidRDefault="0070132E" w:rsidP="00AA480E">
      <w:pPr>
        <w:spacing w:after="0" w:line="240" w:lineRule="auto"/>
        <w:jc w:val="both"/>
        <w:rPr>
          <w:color w:val="000000" w:themeColor="text1"/>
        </w:rPr>
      </w:pPr>
      <w:r>
        <w:t>M</w:t>
      </w:r>
      <w:r w:rsidR="00E2510D" w:rsidRPr="005E4F79">
        <w:t>any systematic reviews have emerged</w:t>
      </w:r>
      <w:r>
        <w:t xml:space="preserve"> regarding </w:t>
      </w:r>
      <w:r w:rsidRPr="005E4F79">
        <w:t>telemedicine service satisfaction</w:t>
      </w:r>
      <w:r>
        <w:t>,</w:t>
      </w:r>
      <w:r w:rsidRPr="005E4F79">
        <w:t xml:space="preserve"> and </w:t>
      </w:r>
      <w:r>
        <w:t xml:space="preserve">the </w:t>
      </w:r>
      <w:r w:rsidRPr="005E4F79">
        <w:t xml:space="preserve">motivations and </w:t>
      </w:r>
      <w:r>
        <w:t>deterrents</w:t>
      </w:r>
      <w:r w:rsidRPr="005E4F79">
        <w:t xml:space="preserve"> associated with telemedicine adoption</w:t>
      </w:r>
      <w:r w:rsidR="00E2510D" w:rsidRPr="005E4F79">
        <w:t>; see</w:t>
      </w:r>
      <w:r w:rsidR="002A353D" w:rsidRPr="005E4F79">
        <w:t>,</w:t>
      </w:r>
      <w:r w:rsidR="00E2510D" w:rsidRPr="005E4F79">
        <w:t xml:space="preserve"> for example</w:t>
      </w:r>
      <w:r w:rsidR="002A353D" w:rsidRPr="005E4F79">
        <w:t>,</w:t>
      </w:r>
      <w:r w:rsidR="00E2510D" w:rsidRPr="005E4F79">
        <w:t xml:space="preserve"> </w:t>
      </w:r>
      <w:bookmarkStart w:id="23" w:name="_Hlk165979014"/>
      <w:r w:rsidR="0071015E">
        <w:fldChar w:fldCharType="begin"/>
      </w:r>
      <w:r w:rsidR="009A6E84">
        <w:instrText xml:space="preserve"> ADDIN ZOTERO_ITEM CSL_CITATION {"citationID":"R4le8Slb","properties":{"formattedCitation":"(Pogorzelska &amp; Chlabicz, 2022)","plainCitation":"(Pogorzelska &amp; Chlabicz, 2022)","dontUpdate":true,"noteIndex":0},"citationItems":[{"id":2289,"uris":["http://zotero.org/users/9292995/items/6IU53HI6"],"itemData":{"id":2289,"type":"article-journal","abstract":"Telemedicine is a convenient tool for providing medical care remotely. It is routinely offered as an alternative to face-to-face consultations in healthcare settings all over the world. Due to the COVID-19 pandemic and increased use of telemedicine in everyday clinical practice, the effectiveness of this modality and patient satisfaction with telemedicine is a subject of growing concern. PubMed and Google Scholar databases were searched. Papers published between January 2020 and August 2021 which met inclusion and exclusion criteria were analyzed. During the COVID-19 pandemic patients have found telemedicine a beneficial tool for consulting healthcare providers. A high level of satisfaction with telehealth was observed in each study across every medical specialty. Telemedicine is undoubtedly a convenient tool that has helped ensure continuity of medical care during the COVID-19 pandemic thanks to its considerable potential. In particular situations, telehealth may adequately replace face-to-face consultation. Regular patients’ feedback is necessary to improve the use of telemedicine in the future.","container-title":"International Journal of Environmental Research and Public Health","DOI":"10.3390/ijerph19106113","ISSN":"1660-4601","issue":"10","language":"en","license":"http://creativecommons.org/licenses/by/3.0/","note":"number: 10\npublisher: Multidisciplinary Digital Publishing Institute","page":"6113","source":"www-mdpi-com.ezproxy.lib.utexas.edu","title":"Patient Satisfaction with Telemedicine during the COVID-19 Pandemic—A Systematic Review","volume":"19","author":[{"family":"Pogorzelska","given":"Karolina"},{"family":"Chlabicz","given":"Slawomir"}],"issued":{"date-parts":[["2022",1]]}}}],"schema":"https://github.com/citation-style-language/schema/raw/master/csl-citation.json"} </w:instrText>
      </w:r>
      <w:r w:rsidR="0071015E">
        <w:fldChar w:fldCharType="separate"/>
      </w:r>
      <w:r w:rsidR="0071015E" w:rsidRPr="0071015E">
        <w:t xml:space="preserve">Pogorzelska </w:t>
      </w:r>
      <w:r w:rsidR="0071015E">
        <w:t>and</w:t>
      </w:r>
      <w:r w:rsidR="0071015E" w:rsidRPr="0071015E">
        <w:t xml:space="preserve"> Chlabicz </w:t>
      </w:r>
      <w:r w:rsidR="0071015E">
        <w:t>(</w:t>
      </w:r>
      <w:r w:rsidR="0071015E" w:rsidRPr="0071015E">
        <w:t>2022</w:t>
      </w:r>
      <w:r w:rsidR="0071015E">
        <w:fldChar w:fldCharType="end"/>
      </w:r>
      <w:r w:rsidR="0071015E">
        <w:t xml:space="preserve">), </w:t>
      </w:r>
      <w:r w:rsidR="00E2510D" w:rsidRPr="007E3B79">
        <w:fldChar w:fldCharType="begin"/>
      </w:r>
      <w:r w:rsidR="009A6E84">
        <w:instrText xml:space="preserve"> ADDIN ZOTERO_ITEM CSL_CITATION {"citationID":"luj3eqDO","properties":{"formattedCitation":"(Bajgain et al., 2023; Rowe Ferrara &amp; Chapman, 2024)","plainCitation":"(Bajgain et al., 2023; Rowe Ferrara &amp; Chapman, 2024)","dontUpdate":true,"noteIndex":0},"citationItems":[{"id":2285,"uris":["http://zotero.org/users/9292995/items/Q984WSWH"],"itemData":{"id":2285,"type":"article-journal","abstract":"The onset of COVID-19 has caused an international upheaval of traditional in-person approaches to care delivery. Rapid system-level transitions to virtual care provision restrict the ability of healthcare professionals to evaluate care quality from the patient's perspective. This poses challenges to ensuring that patient-centered care is upheld within virtual environments. To address this, the study’s objective was to review how virtual care has impacted patient experiences and outcomes during COVID-19, through the use of patient-reported experience and outcome measures (PREMs and PROMs), respectively. A systematic review was conducted in accordance with the Preferred Reporting Items for Systematic Reviews and Meta-Analysis guidelines to evaluate patient responsiveness to virtual care during COVID-19. Using an exhaustive search strategy, relevant peer-reviewed articles published between January 2020 and 2022 were pulled from MEDLINE, CINAHL, EMBASE, and PsychInfo databases. Study quality was independently assessed by two reviewers using the Mixed Methods Appraisal Tool. A patient partner was consulted throughout the study to provide feedback and co-conduct the review. After removing duplicates, 6048 articles underwent title and abstract review, from which 644 studies were included in the full-text review stage. Following this, 102 articles were included in the study. Studies were published in 20 different countries, were predominantly cross-sectional, and reported on the delivery of virtual care in specialized adult outpatient settings. This review identified 29 validated PREMs and 43 PROMs. Several advantages to virtual care were identified, with patients citing greater convenience, (such as saving travel time and cost, less waiting experienced to see care providers) and increased protection from viral spread. Some studies also reported challenges patients and caregivers faced with virtual care, including feeling rushed during the virtual care appointment, lack of physical contact or examination presenting barriers, difficulty with communicating symptoms, and technology issues. This review provides supportive evidence of virtual care experiences during the COVID-19 pandemic from patient and caregiver perspectives. This research provides a comprehensive overview of what patient-reported measures can be used to record virtual care quality amid and following the pandemic. Further research into healthcare professionals’ perspectives would offer a supportive lens toward a strong person-centered healthcare system.","container-title":"Journal of Patient-Reported Outcomes","DOI":"10.1186/s41687-023-00659-8","ISSN":"2509-8020","issue":"1","journalAbbreviation":"J Patient Rep Outcomes","language":"en","license":"2023 The Author(s)","note":"number: 1\npublisher: SpringerOpen","page":"1-21","source":"jpro-springeropen-com.ezproxy.lib.utexas.edu","title":"Patient-reported experiences and outcomes of virtual care during COVID-19: a systematic review","title-short":"Patient-reported experiences and outcomes of virtual care during COVID-19","volume":"7","author":[{"family":"Bajgain","given":"Bishnu"},{"family":"Rabi","given":"Sarah"},{"family":"Ahmed","given":"Sadia"},{"family":"Kiryanova","given":"Veronika"},{"family":"Fairie","given":"Paul"},{"family":"Santana","given":"Maria J."}],"issued":{"date-parts":[["2023",12]]}}},{"id":2287,"uris":["http://zotero.org/users/9292995/items/S3IA462P"],"itemData":{"id":2287,"type":"article-journal","abstract":"Background: Telehealth can help increase rural health care access. To ensure this modality is accessible for rural patients, it is necessary to understand rural patients' experiences with telehealth. Objectives of this scoping review were to explore how rural patients' telehealth experiences have been measured, assess relevant research, and describe rural telehealth patient experiences. Methods: We searched five databases for articles published from 2016 through 2022. Primary research reports assessing rural adult patient experiences with synchronous video telehealth in the United States in any clinical area were included. Data collected pertained to study characteristics and patient experience assessment characteristics and outcomes. Quality of included studies was assessed using the Quality Assessment with Diverse Studies tool. Review findings were presented in a narrative synthesis. Results: There were 740 articles identified for screening, and 24 met review inclusion criteria. Most studies (70%, n = 16) assessed rural telehealth patient experience using questionnaires; studies employed interviews (n = 11) alone or in combination with surveys. The majority of surveys were study developed and not validated. Quantitative patient experience outcomes fell under categories of patient satisfaction, telehealth care characteristics, patient-provider rapport, technology elements, and access. Qualitative themes were most often presented as telehealth benefits or facilitators, and drawbacks or barriers. Conclusions: Available research indicates positive patient experiences with rural telehealth services. However, study weaknesses limit generalizability of findings. Future research should apply established definitions for participant rurality and clearly group samples by rurality. Efforts should be made to use validated telehealth patient experience measures.","container-title":"Telemedicine Journal and E-Health: The Official Journal of the American Telemedicine Association","DOI":"10.1089/tmj.2023.0410","ISSN":"1556-3669","journalAbbreviation":"Telemed J E Health","language":"eng","note":"PMID: 38265694","source":"PubMed","title":"Rural Patients' Experiences with Synchronous Video Telehealth in the United States: A Scoping Review","title-short":"Rural Patients' Experiences with Synchronous Video Telehealth in the United States","author":[{"family":"Rowe Ferrara","given":"Meghan"},{"family":"Chapman","given":"Susan A."}],"issued":{"date-parts":[["2024",1,24]]}}}],"schema":"https://github.com/citation-style-language/schema/raw/master/csl-citation.json"} </w:instrText>
      </w:r>
      <w:r w:rsidR="00E2510D" w:rsidRPr="007E3B79">
        <w:fldChar w:fldCharType="separate"/>
      </w:r>
      <w:bookmarkStart w:id="24" w:name="_Hlk179718170"/>
      <w:r w:rsidR="0071015E" w:rsidRPr="0071015E">
        <w:t>Bajgain</w:t>
      </w:r>
      <w:bookmarkEnd w:id="24"/>
      <w:r w:rsidR="0071015E" w:rsidRPr="0071015E">
        <w:t xml:space="preserve"> et al. </w:t>
      </w:r>
      <w:r w:rsidR="0071015E">
        <w:t>(</w:t>
      </w:r>
      <w:r w:rsidR="0071015E" w:rsidRPr="0071015E">
        <w:t>2023</w:t>
      </w:r>
      <w:r w:rsidR="0071015E">
        <w:t>), and</w:t>
      </w:r>
      <w:r w:rsidR="0071015E" w:rsidRPr="0071015E">
        <w:t xml:space="preserve"> Rowe Ferrara </w:t>
      </w:r>
      <w:r w:rsidR="0071015E">
        <w:t>and</w:t>
      </w:r>
      <w:r w:rsidR="0071015E" w:rsidRPr="0071015E">
        <w:t xml:space="preserve"> Chapman </w:t>
      </w:r>
      <w:r w:rsidR="0071015E">
        <w:t>(</w:t>
      </w:r>
      <w:r w:rsidR="0071015E" w:rsidRPr="0071015E">
        <w:t>2024)</w:t>
      </w:r>
      <w:r w:rsidR="00E2510D" w:rsidRPr="007E3B79">
        <w:fldChar w:fldCharType="end"/>
      </w:r>
      <w:r w:rsidR="00E2510D" w:rsidRPr="007E3B79">
        <w:t>.</w:t>
      </w:r>
      <w:r w:rsidR="00DE336C" w:rsidRPr="007E3B79">
        <w:t xml:space="preserve"> </w:t>
      </w:r>
      <w:bookmarkEnd w:id="23"/>
      <w:r w:rsidR="009F0593">
        <w:rPr>
          <w:color w:val="000000" w:themeColor="text1"/>
        </w:rPr>
        <w:t xml:space="preserve">These </w:t>
      </w:r>
      <w:r w:rsidR="00DE336C" w:rsidRPr="005E4F79">
        <w:rPr>
          <w:color w:val="000000" w:themeColor="text1"/>
        </w:rPr>
        <w:t xml:space="preserve">studies </w:t>
      </w:r>
      <w:r w:rsidR="009F0593">
        <w:rPr>
          <w:color w:val="000000" w:themeColor="text1"/>
        </w:rPr>
        <w:t xml:space="preserve">generally </w:t>
      </w:r>
      <w:r w:rsidR="00DE336C" w:rsidRPr="005E4F79">
        <w:rPr>
          <w:color w:val="000000" w:themeColor="text1"/>
        </w:rPr>
        <w:t>invoke technology acceptance theories, such as the Delone and McLean's theory of technology use</w:t>
      </w:r>
      <w:r w:rsidR="009F0593">
        <w:rPr>
          <w:color w:val="000000" w:themeColor="text1"/>
        </w:rPr>
        <w:t>,</w:t>
      </w:r>
      <w:r w:rsidR="00DE336C" w:rsidRPr="005E4F79">
        <w:rPr>
          <w:color w:val="000000" w:themeColor="text1"/>
        </w:rPr>
        <w:t xml:space="preserve"> and the Unified Theory of Adoption and Use of Technology (UTAUT)</w:t>
      </w:r>
      <w:r w:rsidR="009B1F1A">
        <w:rPr>
          <w:color w:val="000000" w:themeColor="text1"/>
        </w:rPr>
        <w:t xml:space="preserve"> </w:t>
      </w:r>
      <w:r w:rsidR="00DE336C" w:rsidRPr="005E4F79">
        <w:rPr>
          <w:color w:val="000000" w:themeColor="text1"/>
        </w:rPr>
        <w:t>to explain factors influencing acceptance and the willingness to adopt telemedicine</w:t>
      </w:r>
      <w:r w:rsidR="0071015E">
        <w:rPr>
          <w:color w:val="000000" w:themeColor="text1"/>
        </w:rPr>
        <w:t xml:space="preserve">. </w:t>
      </w:r>
      <w:r w:rsidR="00CA0CD4" w:rsidRPr="005E4F79">
        <w:rPr>
          <w:color w:val="000000" w:themeColor="text1"/>
        </w:rPr>
        <w:t>T</w:t>
      </w:r>
      <w:r w:rsidR="000B2F61" w:rsidRPr="005E4F79">
        <w:rPr>
          <w:color w:val="000000" w:themeColor="text1"/>
        </w:rPr>
        <w:t xml:space="preserve">he </w:t>
      </w:r>
      <w:r w:rsidR="00C47054" w:rsidRPr="005E4F79">
        <w:rPr>
          <w:color w:val="000000" w:themeColor="text1"/>
        </w:rPr>
        <w:t xml:space="preserve">commonly cited </w:t>
      </w:r>
      <w:r w:rsidR="00CA0CD4" w:rsidRPr="005E4F79">
        <w:rPr>
          <w:color w:val="000000" w:themeColor="text1"/>
        </w:rPr>
        <w:t xml:space="preserve">facilitators of </w:t>
      </w:r>
      <w:r w:rsidR="00C47054" w:rsidRPr="005E4F79">
        <w:rPr>
          <w:color w:val="000000" w:themeColor="text1"/>
        </w:rPr>
        <w:t xml:space="preserve">telemedicine </w:t>
      </w:r>
      <w:r w:rsidR="000706EF">
        <w:rPr>
          <w:color w:val="000000" w:themeColor="text1"/>
        </w:rPr>
        <w:t>adoption</w:t>
      </w:r>
      <w:r>
        <w:rPr>
          <w:color w:val="000000" w:themeColor="text1"/>
        </w:rPr>
        <w:t xml:space="preserve">, as per </w:t>
      </w:r>
      <w:r w:rsidR="00CA0CD4" w:rsidRPr="005E4F79">
        <w:rPr>
          <w:color w:val="000000" w:themeColor="text1"/>
        </w:rPr>
        <w:t>these earlier studies</w:t>
      </w:r>
      <w:r>
        <w:rPr>
          <w:color w:val="000000" w:themeColor="text1"/>
        </w:rPr>
        <w:t>,</w:t>
      </w:r>
      <w:r w:rsidR="00CA0CD4" w:rsidRPr="005E4F79">
        <w:rPr>
          <w:color w:val="000000" w:themeColor="text1"/>
        </w:rPr>
        <w:t xml:space="preserve"> </w:t>
      </w:r>
      <w:r w:rsidR="00C47054" w:rsidRPr="005E4F79">
        <w:rPr>
          <w:color w:val="000000" w:themeColor="text1"/>
        </w:rPr>
        <w:t xml:space="preserve">include the perceived safety from COVID-19 exposure, easier access to healthcare services, comfort and convenience, the reduction of travel-related </w:t>
      </w:r>
      <w:r>
        <w:rPr>
          <w:color w:val="000000" w:themeColor="text1"/>
        </w:rPr>
        <w:t>challenges</w:t>
      </w:r>
      <w:r w:rsidR="00C47054" w:rsidRPr="005E4F79">
        <w:rPr>
          <w:color w:val="000000" w:themeColor="text1"/>
        </w:rPr>
        <w:t xml:space="preserve">, time savings, shorter wait times, improved provider communication, and enhanced privacy measures. In contrast, </w:t>
      </w:r>
      <w:r w:rsidR="00CA0CD4" w:rsidRPr="005E4F79">
        <w:rPr>
          <w:color w:val="000000" w:themeColor="text1"/>
        </w:rPr>
        <w:t xml:space="preserve">the </w:t>
      </w:r>
      <w:r w:rsidR="00F61E18">
        <w:rPr>
          <w:color w:val="000000" w:themeColor="text1"/>
        </w:rPr>
        <w:t>deterrents</w:t>
      </w:r>
      <w:r w:rsidR="00F61E18" w:rsidRPr="005E4F79">
        <w:rPr>
          <w:color w:val="000000" w:themeColor="text1"/>
        </w:rPr>
        <w:t xml:space="preserve"> </w:t>
      </w:r>
      <w:r w:rsidR="00CA0CD4" w:rsidRPr="005E4F79">
        <w:rPr>
          <w:color w:val="000000" w:themeColor="text1"/>
        </w:rPr>
        <w:t>to</w:t>
      </w:r>
      <w:r w:rsidR="00C47054" w:rsidRPr="005E4F79">
        <w:rPr>
          <w:color w:val="000000" w:themeColor="text1"/>
        </w:rPr>
        <w:t xml:space="preserve"> telemedicine </w:t>
      </w:r>
      <w:r w:rsidR="000706EF">
        <w:rPr>
          <w:color w:val="000000" w:themeColor="text1"/>
        </w:rPr>
        <w:t>adoption</w:t>
      </w:r>
      <w:r w:rsidR="002A353D" w:rsidRPr="005E4F79">
        <w:rPr>
          <w:color w:val="000000" w:themeColor="text1"/>
        </w:rPr>
        <w:t xml:space="preserve"> often</w:t>
      </w:r>
      <w:r w:rsidR="00C47054" w:rsidRPr="005E4F79">
        <w:rPr>
          <w:color w:val="000000" w:themeColor="text1"/>
        </w:rPr>
        <w:t xml:space="preserve"> include concerns about service quality due to the absence of physical examinations, technical difficulties, challenges in communication</w:t>
      </w:r>
      <w:r w:rsidR="0069340B">
        <w:rPr>
          <w:color w:val="000000" w:themeColor="text1"/>
        </w:rPr>
        <w:t>,</w:t>
      </w:r>
      <w:r w:rsidR="00C47054" w:rsidRPr="005E4F79">
        <w:rPr>
          <w:color w:val="000000" w:themeColor="text1"/>
        </w:rPr>
        <w:t xml:space="preserve"> especially with describing symptoms, and difficulty in establishing a rapport between doctor and patient. </w:t>
      </w:r>
      <w:r w:rsidR="00CA0CD4" w:rsidRPr="005E4F79">
        <w:rPr>
          <w:color w:val="000000" w:themeColor="text1"/>
        </w:rPr>
        <w:t>However, w</w:t>
      </w:r>
      <w:r w:rsidR="000B2F61" w:rsidRPr="005E4F79">
        <w:rPr>
          <w:color w:val="000000" w:themeColor="text1"/>
        </w:rPr>
        <w:t xml:space="preserve">hile providing useful information, almost all of these </w:t>
      </w:r>
      <w:r>
        <w:rPr>
          <w:color w:val="000000" w:themeColor="text1"/>
        </w:rPr>
        <w:t xml:space="preserve">earlier </w:t>
      </w:r>
      <w:r w:rsidR="000B2F61" w:rsidRPr="005E4F79">
        <w:rPr>
          <w:color w:val="000000" w:themeColor="text1"/>
        </w:rPr>
        <w:t>studies are based on descriptive statistics collected over all individual responses</w:t>
      </w:r>
      <w:r w:rsidR="00C47054" w:rsidRPr="005E4F79">
        <w:rPr>
          <w:color w:val="000000" w:themeColor="text1"/>
        </w:rPr>
        <w:t xml:space="preserve">. </w:t>
      </w:r>
      <w:r w:rsidR="00844F6E" w:rsidRPr="005E4F79">
        <w:rPr>
          <w:color w:val="000000" w:themeColor="text1"/>
        </w:rPr>
        <w:t>Indeed, we are aware of only two studies</w:t>
      </w:r>
      <w:r w:rsidR="009F0593">
        <w:rPr>
          <w:color w:val="000000" w:themeColor="text1"/>
        </w:rPr>
        <w:t>; one by Adam et al., 2021 and another by Fisher et al., 2020,</w:t>
      </w:r>
      <w:r w:rsidR="00844F6E" w:rsidRPr="005E4F79">
        <w:rPr>
          <w:color w:val="000000" w:themeColor="text1"/>
        </w:rPr>
        <w:t xml:space="preserve"> that attempt to explore </w:t>
      </w:r>
      <w:r w:rsidR="00CA0CD4" w:rsidRPr="005E4F79">
        <w:rPr>
          <w:color w:val="000000" w:themeColor="text1"/>
        </w:rPr>
        <w:t xml:space="preserve">the </w:t>
      </w:r>
      <w:r w:rsidR="00F61E18">
        <w:rPr>
          <w:color w:val="000000" w:themeColor="text1"/>
        </w:rPr>
        <w:t>deterrents</w:t>
      </w:r>
      <w:r w:rsidR="00CA0CD4" w:rsidRPr="005E4F79">
        <w:rPr>
          <w:color w:val="000000" w:themeColor="text1"/>
        </w:rPr>
        <w:t xml:space="preserve"> to </w:t>
      </w:r>
      <w:r w:rsidR="00844F6E" w:rsidRPr="005E4F79">
        <w:rPr>
          <w:color w:val="000000" w:themeColor="text1"/>
        </w:rPr>
        <w:t xml:space="preserve">telemedicine </w:t>
      </w:r>
      <w:r w:rsidR="00680195">
        <w:rPr>
          <w:color w:val="000000" w:themeColor="text1"/>
        </w:rPr>
        <w:t>adoption</w:t>
      </w:r>
      <w:r w:rsidR="00844F6E" w:rsidRPr="005E4F79">
        <w:rPr>
          <w:color w:val="000000" w:themeColor="text1"/>
        </w:rPr>
        <w:t xml:space="preserve"> by sociodemographic groupings. These two studies are discussed below.  </w:t>
      </w:r>
    </w:p>
    <w:p w14:paraId="6652DF18" w14:textId="0F1F1014" w:rsidR="0071015E" w:rsidRDefault="00A37834" w:rsidP="009D0CA2">
      <w:pPr>
        <w:spacing w:after="0" w:line="240" w:lineRule="auto"/>
        <w:jc w:val="both"/>
      </w:pPr>
      <w:r>
        <w:rPr>
          <w:color w:val="000000" w:themeColor="text1"/>
        </w:rPr>
        <w:tab/>
      </w:r>
      <w:r w:rsidR="0087685D" w:rsidRPr="007E3B79">
        <w:rPr>
          <w:color w:val="000000" w:themeColor="text1"/>
        </w:rPr>
        <w:fldChar w:fldCharType="begin"/>
      </w:r>
      <w:r w:rsidR="009A6E84">
        <w:rPr>
          <w:color w:val="000000" w:themeColor="text1"/>
        </w:rPr>
        <w:instrText xml:space="preserve"> ADDIN ZOTERO_ITEM CSL_CITATION {"citationID":"2noI6lXB","properties":{"formattedCitation":"(Adams et al., 2021)","plainCitation":"(Adams et al., 2021)","dontUpdate":true,"noteIndex":0},"citationItems":[{"id":2294,"uris":["http://zotero.org/users/9292995/items/PWDD5H5C"],"itemData":{"id":2294,"type":"article-journal","abstract":"Telemedicine has garnered considerably more attention during the COVID-19 pandemic than in any time previously. However, before the beginning of the pandemic, many individuals had not accessed care in this manner. The purpose of this study was to understand the central reasons that individuals had not used telemedicine before the pandemic. Therefore, we conducted a convenience sample survey in March–April 2020, and 539 participants living in the United States answered questions about exploring their reasons for not having used telemedicine. Descriptive statistics and correlations were conducted to analyze the data. Two themes emerged from these data, including the importance of the patient–provider relationship and that access to technology was not the issue for this particular population. Although technology was not a barrier, many, specifically older participants, had concerns over privacy and security. As the world gains some control over the COVID-19 pandemic and medical appointments begin to return to a new normal, the implication for the continued use of telemedicine is still important to address as this will become a standard of care.","container-title":"Telemedicine Reports","DOI":"10.1089/tmr.2021.0022","ISSN":"2692-4366","issue":"1","journalAbbreviation":"Telemed Rep","note":"PMID: 35720746\nPMCID: PMC9049802","page":"211-216","source":"PubMed Central","title":"Barriers for Telemedicine Use Among Nonusers at the Beginning of the Pandemic","volume":"2","author":[{"family":"Adams","given":"Robyn B."},{"family":"Nelson","given":"Victoria R."},{"family":"Holtz","given":"Bree E."}],"issued":{"date-parts":[["2021",10,5]]}}}],"schema":"https://github.com/citation-style-language/schema/raw/master/csl-citation.json"} </w:instrText>
      </w:r>
      <w:r w:rsidR="0087685D" w:rsidRPr="007E3B79">
        <w:rPr>
          <w:color w:val="000000" w:themeColor="text1"/>
        </w:rPr>
        <w:fldChar w:fldCharType="separate"/>
      </w:r>
      <w:r w:rsidR="0087685D" w:rsidRPr="007E3B79">
        <w:t xml:space="preserve">Adams et al. </w:t>
      </w:r>
      <w:r w:rsidR="0071015E">
        <w:t>(</w:t>
      </w:r>
      <w:r w:rsidR="0087685D" w:rsidRPr="007E3B79">
        <w:t>2021)</w:t>
      </w:r>
      <w:r w:rsidR="0087685D" w:rsidRPr="007E3B79">
        <w:rPr>
          <w:color w:val="000000" w:themeColor="text1"/>
        </w:rPr>
        <w:fldChar w:fldCharType="end"/>
      </w:r>
      <w:r w:rsidR="0087685D" w:rsidRPr="007E3B79">
        <w:rPr>
          <w:color w:val="000000" w:themeColor="text1"/>
        </w:rPr>
        <w:t xml:space="preserve"> </w:t>
      </w:r>
      <w:r w:rsidR="002B7F88" w:rsidRPr="007E3B79">
        <w:rPr>
          <w:color w:val="000000" w:themeColor="text1"/>
        </w:rPr>
        <w:t>used a convenience survey sample</w:t>
      </w:r>
      <w:r w:rsidR="009B586D">
        <w:rPr>
          <w:color w:val="000000" w:themeColor="text1"/>
        </w:rPr>
        <w:t>,</w:t>
      </w:r>
      <w:r w:rsidR="002B7F88" w:rsidRPr="007E3B79">
        <w:rPr>
          <w:color w:val="000000" w:themeColor="text1"/>
        </w:rPr>
        <w:t xml:space="preserve"> collected</w:t>
      </w:r>
      <w:r w:rsidR="002B7F88" w:rsidRPr="005E4F79">
        <w:rPr>
          <w:color w:val="000000" w:themeColor="text1"/>
        </w:rPr>
        <w:t xml:space="preserve"> immediately after the official declaration of COVID-19 as a pandemic in the U.S. (specifically, in </w:t>
      </w:r>
      <w:r w:rsidR="002B7F88" w:rsidRPr="00832A81">
        <w:rPr>
          <w:bdr w:val="none" w:sz="0" w:space="0" w:color="auto" w:frame="1"/>
          <w:shd w:val="clear" w:color="auto" w:fill="FFFFFF"/>
        </w:rPr>
        <w:t xml:space="preserve">March–April 2020), </w:t>
      </w:r>
      <w:r w:rsidR="002B7F88" w:rsidRPr="00832A81">
        <w:rPr>
          <w:bdr w:val="none" w:sz="0" w:space="0" w:color="auto" w:frame="1"/>
          <w:shd w:val="clear" w:color="auto" w:fill="FFFFFF"/>
        </w:rPr>
        <w:lastRenderedPageBreak/>
        <w:t xml:space="preserve">to identify the reasons for non-adoption by telemedicine </w:t>
      </w:r>
      <w:r w:rsidR="00F26396" w:rsidRPr="005E4F79">
        <w:rPr>
          <w:color w:val="000000" w:themeColor="text1"/>
        </w:rPr>
        <w:t>non-users</w:t>
      </w:r>
      <w:r w:rsidR="002B7F88" w:rsidRPr="005E4F79">
        <w:rPr>
          <w:color w:val="000000" w:themeColor="text1"/>
        </w:rPr>
        <w:t xml:space="preserve">. Their study, based on </w:t>
      </w:r>
      <w:r w:rsidR="006A63A2" w:rsidRPr="005E4F79">
        <w:rPr>
          <w:color w:val="000000" w:themeColor="text1"/>
        </w:rPr>
        <w:t>Pearson correlation</w:t>
      </w:r>
      <w:r w:rsidR="002E674A" w:rsidRPr="005E4F79">
        <w:rPr>
          <w:color w:val="000000" w:themeColor="text1"/>
        </w:rPr>
        <w:t xml:space="preserve"> </w:t>
      </w:r>
      <w:r w:rsidR="002B7F88" w:rsidRPr="005E4F79">
        <w:rPr>
          <w:color w:val="000000" w:themeColor="text1"/>
        </w:rPr>
        <w:t>explor</w:t>
      </w:r>
      <w:r w:rsidR="002E674A" w:rsidRPr="005E4F79">
        <w:rPr>
          <w:color w:val="000000" w:themeColor="text1"/>
        </w:rPr>
        <w:t xml:space="preserve">ations of non-adoption </w:t>
      </w:r>
      <w:r w:rsidR="002B7F88" w:rsidRPr="005E4F79">
        <w:rPr>
          <w:color w:val="000000" w:themeColor="text1"/>
        </w:rPr>
        <w:t xml:space="preserve">reasons </w:t>
      </w:r>
      <w:r w:rsidR="002E674A" w:rsidRPr="005E4F79">
        <w:rPr>
          <w:color w:val="000000" w:themeColor="text1"/>
        </w:rPr>
        <w:t xml:space="preserve">with a single </w:t>
      </w:r>
      <w:r w:rsidR="002B7F88" w:rsidRPr="005E4F79">
        <w:rPr>
          <w:color w:val="000000" w:themeColor="text1"/>
        </w:rPr>
        <w:t xml:space="preserve">demographic variable at a time, found that older non-adopters were more likely to select “not being </w:t>
      </w:r>
      <w:r w:rsidR="00FD2315" w:rsidRPr="005E4F79">
        <w:t>technological</w:t>
      </w:r>
      <w:r w:rsidR="002B7F88" w:rsidRPr="005E4F79">
        <w:t>ly savvy</w:t>
      </w:r>
      <w:r w:rsidR="00651AAB">
        <w:t>,</w:t>
      </w:r>
      <w:r w:rsidR="00A60B3C">
        <w:t>”</w:t>
      </w:r>
      <w:r w:rsidR="00623DC2" w:rsidRPr="005E4F79">
        <w:t xml:space="preserve"> </w:t>
      </w:r>
      <w:r w:rsidR="002B7F88" w:rsidRPr="005E4F79">
        <w:t>“do not have the technology needed</w:t>
      </w:r>
      <w:r w:rsidR="00651AAB">
        <w:t>,</w:t>
      </w:r>
      <w:r w:rsidR="002B7F88" w:rsidRPr="005E4F79">
        <w:t>” “worried about confidentiality of private information</w:t>
      </w:r>
      <w:r w:rsidR="00651AAB">
        <w:t>,</w:t>
      </w:r>
      <w:r w:rsidR="002B7F88" w:rsidRPr="005E4F79">
        <w:t>” and “</w:t>
      </w:r>
      <w:r w:rsidR="007F211E" w:rsidRPr="00832A81">
        <w:rPr>
          <w:shd w:val="clear" w:color="auto" w:fill="FFFFFF"/>
        </w:rPr>
        <w:t>worried about the continuity of care” (i.e., concern about not seeing the same provider every time)</w:t>
      </w:r>
      <w:r w:rsidR="0087685D" w:rsidRPr="005E4F79">
        <w:t xml:space="preserve">. </w:t>
      </w:r>
      <w:r w:rsidR="00FD2315" w:rsidRPr="005E4F79">
        <w:t>The</w:t>
      </w:r>
      <w:r w:rsidR="00623DC2" w:rsidRPr="005E4F79">
        <w:t xml:space="preserve"> study found</w:t>
      </w:r>
      <w:r w:rsidR="00FD2315" w:rsidRPr="005E4F79">
        <w:t xml:space="preserve"> no statistically significant correlations between insurance status, gender, and race </w:t>
      </w:r>
      <w:r w:rsidR="00623DC2" w:rsidRPr="005E4F79">
        <w:t xml:space="preserve">and the reasons for not </w:t>
      </w:r>
      <w:r w:rsidR="00680195">
        <w:t>adopting</w:t>
      </w:r>
      <w:r w:rsidR="00623DC2" w:rsidRPr="005E4F79">
        <w:t xml:space="preserve"> telemedicine</w:t>
      </w:r>
      <w:r w:rsidR="00FD2315" w:rsidRPr="005E4F79">
        <w:t xml:space="preserve">. </w:t>
      </w:r>
      <w:r w:rsidR="00623DC2" w:rsidRPr="005E4F79">
        <w:t>Surprisingly, t</w:t>
      </w:r>
      <w:r w:rsidR="00FD2315" w:rsidRPr="005E4F79">
        <w:t xml:space="preserve">he </w:t>
      </w:r>
      <w:r w:rsidR="00623DC2" w:rsidRPr="005E4F79">
        <w:t>findings</w:t>
      </w:r>
      <w:r w:rsidR="00FD2315" w:rsidRPr="005E4F79">
        <w:t xml:space="preserve"> regarding income and educational attainment </w:t>
      </w:r>
      <w:r w:rsidR="00623DC2" w:rsidRPr="005E4F79">
        <w:t>revealed</w:t>
      </w:r>
      <w:r w:rsidR="00FD2315" w:rsidRPr="005E4F79">
        <w:t xml:space="preserve"> that individuals with higher income and educational attainment </w:t>
      </w:r>
      <w:r w:rsidR="00623DC2" w:rsidRPr="005E4F79">
        <w:t>expressed concerns</w:t>
      </w:r>
      <w:r w:rsidR="00FD2315" w:rsidRPr="005E4F79">
        <w:t xml:space="preserve"> about internet</w:t>
      </w:r>
      <w:r w:rsidR="00623DC2" w:rsidRPr="005E4F79">
        <w:t xml:space="preserve"> quality</w:t>
      </w:r>
      <w:r w:rsidR="00FD2315" w:rsidRPr="005E4F79">
        <w:t xml:space="preserve">, </w:t>
      </w:r>
      <w:r w:rsidR="00623DC2" w:rsidRPr="005E4F79">
        <w:t>challenges of virtual communication</w:t>
      </w:r>
      <w:r w:rsidR="00FD2315" w:rsidRPr="005E4F79">
        <w:t xml:space="preserve">, and </w:t>
      </w:r>
      <w:r w:rsidR="00623DC2" w:rsidRPr="005E4F79">
        <w:t>the availability of</w:t>
      </w:r>
      <w:r w:rsidR="00FD2315" w:rsidRPr="005E4F79">
        <w:t xml:space="preserve"> required technology. </w:t>
      </w:r>
      <w:r w:rsidR="002E674A" w:rsidRPr="005E4F79">
        <w:t xml:space="preserve">Of course, </w:t>
      </w:r>
      <w:r w:rsidR="006A63A2" w:rsidRPr="005E4F79">
        <w:t xml:space="preserve">the </w:t>
      </w:r>
      <w:r w:rsidR="002E674A" w:rsidRPr="005E4F79">
        <w:t xml:space="preserve">apparent </w:t>
      </w:r>
      <w:r w:rsidR="006A63A2" w:rsidRPr="005E4F79">
        <w:t xml:space="preserve">use of </w:t>
      </w:r>
      <w:r w:rsidR="002E674A" w:rsidRPr="005E4F79">
        <w:t xml:space="preserve">linearity-based (suitable only for continuous variables) </w:t>
      </w:r>
      <w:r w:rsidR="006A63A2" w:rsidRPr="005E4F79">
        <w:t xml:space="preserve">Pearson correlation factors </w:t>
      </w:r>
      <w:r w:rsidR="002E674A" w:rsidRPr="005E4F79">
        <w:t xml:space="preserve">in the study </w:t>
      </w:r>
      <w:r w:rsidR="006A63A2" w:rsidRPr="005E4F79">
        <w:t xml:space="preserve">for detecting correlations between categorical variables </w:t>
      </w:r>
      <w:r w:rsidR="002E674A" w:rsidRPr="005E4F79">
        <w:t xml:space="preserve">suggests a </w:t>
      </w:r>
      <w:r w:rsidR="006A63A2" w:rsidRPr="005E4F79">
        <w:t xml:space="preserve">need </w:t>
      </w:r>
      <w:r w:rsidR="002E674A" w:rsidRPr="005E4F79">
        <w:t xml:space="preserve">for </w:t>
      </w:r>
      <w:r w:rsidR="006A63A2" w:rsidRPr="005E4F79">
        <w:t>caution</w:t>
      </w:r>
      <w:r w:rsidR="002E674A" w:rsidRPr="005E4F79">
        <w:t xml:space="preserve"> when interpreting the results</w:t>
      </w:r>
      <w:r w:rsidR="006A63A2" w:rsidRPr="005E4F79">
        <w:t xml:space="preserve">. </w:t>
      </w:r>
      <w:r w:rsidR="007F211E" w:rsidRPr="005E4F79">
        <w:t xml:space="preserve">In another study undertaken before the pandemic between February and April of 2019, </w:t>
      </w:r>
      <w:r w:rsidR="00973AAF" w:rsidRPr="007E3B79">
        <w:fldChar w:fldCharType="begin"/>
      </w:r>
      <w:r w:rsidR="009A6E84">
        <w:instrText xml:space="preserve"> ADDIN ZOTERO_ITEM CSL_CITATION {"citationID":"PMmhViVd","properties":{"formattedCitation":"(Fischer et al., 2020)","plainCitation":"(Fischer et al., 2020)","dontUpdate":true,"noteIndex":0},"citationItems":[{"id":2219,"uris":["http://zotero.org/users/9292995/items/THWY5RHF"],"itemData":{"id":2219,"type":"article-journal","abstract":"Telehealth services, which allow patients to communicate with a remotely located clinician, are increasingly available; however, prevalence of telehealth use, including videoconferencing visits, remains unclear.To measure the use of and willingness to use telehealth modalities across the US population.This survey study, conducted between February 2019 and April 2019, asked participants about their use of different telehealth modalities, reasons for not using videoconferencing visits, and willingness to use videoconferencing visits. Questions were continuously posed to panel members and closed after 2555 responses were obtained, at which point 3932 panel members had been invited, for a 65.0% response rate.Demographic characteristics (ie, age, sex, race, rural/urban residency, education level, and income).Self-reported use of specific telehealth modalities, reasons for nonuse, and willingness to use videoconferencing in the future.A total of 2555 individuals completed the survey with a mean (SD) age of 57.2 (14.2) years; 1453 respondents (weighted percentage, 51.9%) were women, and 2043 (weighted percentage, 73.4%) were White individuals. Overall, 1343 respondents (weighted percentage, 50.8%) reported use of a nontelephone telehealth modality, ranging from 873 respondents (weighted percentage, 31.9%) for patient portals and 89 respondents (weighted percentage, 4.2%) for videoconferencing visits. Although 1309 respondents (weighted percentage, 49.2%) overall answered that they were willing or very willing to use videoconferencing visits, respondents who were Black individuals (OR, 0.58; 95% CI, 0.38-0.91), aged older than 65 years (OR, 0.51; 95% CI, 0.40-0.66), or had less education (high school or less vs advanced degrees: OR, 0.37; 95% CI, 0.25-0.56) were less likely to express willingness.Despite the focused policy attention on videoconferencing visits, the results of this survey study suggest that other forms of telehealth were more dominant prior to 2020. Targeted efforts may be necessary for videoconferencing visits to reach patient groups who are older or have less education, and payer policies supporting other forms of telemedicine may be appropriate to enhance access.","container-title":"JAMA Network Open","DOI":"10.1001/jamanetworkopen.2020.22302","ISSN":"2574-3805","issue":"10","journalAbbreviation":"JAMA Network Open","page":"e2022302","source":"Silverchair","title":"Prevalence and Characteristics of Telehealth Utilization in the United States","volume":"3","author":[{"family":"Fischer","given":"Shira H."},{"family":"Ray","given":"Kristin N."},{"family":"Mehrotra","given":"Ateev"},{"family":"Bloom","given":"Erika Litvin"},{"family":"Uscher-Pines","given":"Lori"}],"issued":{"date-parts":[["2020",10,26]]}}}],"schema":"https://github.com/citation-style-language/schema/raw/master/csl-citation.json"} </w:instrText>
      </w:r>
      <w:r w:rsidR="00973AAF" w:rsidRPr="007E3B79">
        <w:fldChar w:fldCharType="separate"/>
      </w:r>
      <w:r w:rsidR="00973AAF" w:rsidRPr="007E3B79">
        <w:t xml:space="preserve">Fischer et al. </w:t>
      </w:r>
      <w:r w:rsidR="0071015E">
        <w:t>(</w:t>
      </w:r>
      <w:r w:rsidR="00973AAF" w:rsidRPr="007E3B79">
        <w:t>2020)</w:t>
      </w:r>
      <w:r w:rsidR="00973AAF" w:rsidRPr="007E3B79">
        <w:fldChar w:fldCharType="end"/>
      </w:r>
      <w:r w:rsidR="00973AAF" w:rsidRPr="007E3B79">
        <w:t xml:space="preserve"> also explored</w:t>
      </w:r>
      <w:r w:rsidR="00FC1E7C" w:rsidRPr="007E3B79">
        <w:t xml:space="preserve"> the relationship between </w:t>
      </w:r>
      <w:r w:rsidR="00973AAF" w:rsidRPr="007E3B79">
        <w:t xml:space="preserve">reasons </w:t>
      </w:r>
      <w:r w:rsidR="00FC1E7C" w:rsidRPr="007E3B79">
        <w:t>for</w:t>
      </w:r>
      <w:r w:rsidR="00973AAF" w:rsidRPr="00384173">
        <w:t xml:space="preserve"> not </w:t>
      </w:r>
      <w:r w:rsidR="00680195">
        <w:t>adopting</w:t>
      </w:r>
      <w:r w:rsidR="00973AAF" w:rsidRPr="00384173">
        <w:t xml:space="preserve"> telemedicine </w:t>
      </w:r>
      <w:r w:rsidR="00FC1E7C" w:rsidRPr="005E4F79">
        <w:t>and</w:t>
      </w:r>
      <w:r w:rsidR="00973AAF" w:rsidRPr="005E4F79">
        <w:t xml:space="preserve"> individual sociodemographic characteristics. They </w:t>
      </w:r>
      <w:r w:rsidR="006A63A2" w:rsidRPr="005E4F79">
        <w:t xml:space="preserve">found that older individuals (aged&gt;65 years) were more likely </w:t>
      </w:r>
      <w:r w:rsidR="00C37BD8" w:rsidRPr="005E4F79">
        <w:t xml:space="preserve">than their younger peers </w:t>
      </w:r>
      <w:r w:rsidR="006A63A2" w:rsidRPr="005E4F79">
        <w:t xml:space="preserve">to indicate that their physician does not offer </w:t>
      </w:r>
      <w:r w:rsidR="00C37BD8" w:rsidRPr="005E4F79">
        <w:t xml:space="preserve">telemedicine visits. </w:t>
      </w:r>
      <w:r w:rsidR="00FC1E7C" w:rsidRPr="005E4F79">
        <w:t>Additionally, o</w:t>
      </w:r>
      <w:r w:rsidR="00973AAF" w:rsidRPr="005E4F79">
        <w:t>lder</w:t>
      </w:r>
      <w:r w:rsidR="00FC1E7C" w:rsidRPr="005E4F79">
        <w:t xml:space="preserve"> adults, those identifying as Black, and individuals with lower incomes </w:t>
      </w:r>
      <w:r w:rsidR="00C37BD8" w:rsidRPr="005E4F79">
        <w:t xml:space="preserve">(&lt;20,000 annual income) </w:t>
      </w:r>
      <w:r w:rsidR="00FC1E7C" w:rsidRPr="005E4F79">
        <w:t>were</w:t>
      </w:r>
      <w:r w:rsidR="00973AAF" w:rsidRPr="005E4F79">
        <w:t xml:space="preserve"> significantly more likely to report technological savviness </w:t>
      </w:r>
      <w:r w:rsidR="00FC1E7C" w:rsidRPr="005E4F79">
        <w:t>as</w:t>
      </w:r>
      <w:r w:rsidR="00973AAF" w:rsidRPr="005E4F79">
        <w:t xml:space="preserve"> a barrier </w:t>
      </w:r>
      <w:r w:rsidR="002A353D" w:rsidRPr="005E4F79">
        <w:t>to</w:t>
      </w:r>
      <w:r w:rsidR="00973AAF" w:rsidRPr="005E4F79">
        <w:t xml:space="preserve"> using telemedicine compared</w:t>
      </w:r>
      <w:r w:rsidR="00FC1E7C" w:rsidRPr="005E4F79">
        <w:t xml:space="preserve"> to th</w:t>
      </w:r>
      <w:r w:rsidR="00C37BD8" w:rsidRPr="005E4F79">
        <w:t xml:space="preserve">ose in the 21-40 age group, </w:t>
      </w:r>
      <w:r w:rsidR="002A353D" w:rsidRPr="005E4F79">
        <w:t xml:space="preserve">non-Black, </w:t>
      </w:r>
      <w:r w:rsidR="007F211E" w:rsidRPr="005E4F79">
        <w:t xml:space="preserve">and </w:t>
      </w:r>
      <w:r w:rsidR="00FC1E7C" w:rsidRPr="005E4F79">
        <w:t>high</w:t>
      </w:r>
      <w:r w:rsidR="00C37BD8" w:rsidRPr="005E4F79">
        <w:t xml:space="preserve"> </w:t>
      </w:r>
      <w:r w:rsidR="00FC1E7C" w:rsidRPr="005E4F79">
        <w:t xml:space="preserve">income </w:t>
      </w:r>
      <w:r w:rsidR="00C37BD8" w:rsidRPr="005E4F79">
        <w:t>(≥200,000 annual income) groups</w:t>
      </w:r>
      <w:r w:rsidR="007F211E" w:rsidRPr="005E4F79">
        <w:t>, respectively</w:t>
      </w:r>
      <w:r w:rsidR="00FC1E7C" w:rsidRPr="005E4F79">
        <w:t xml:space="preserve">. However, the study found no gender-based differences in the reasons for not </w:t>
      </w:r>
      <w:r w:rsidR="00680195">
        <w:t>adopting</w:t>
      </w:r>
      <w:r w:rsidR="00FC1E7C" w:rsidRPr="005E4F79">
        <w:t xml:space="preserve"> telemedicine.</w:t>
      </w:r>
      <w:r w:rsidR="00C37BD8" w:rsidRPr="005E4F79">
        <w:t xml:space="preserve"> As in the study by Adams et al., these relationships were also based on univariate descriptive statistics (that is, the effect of each demographic variable on the reasons for telemedicine non-adoption is examined independently without</w:t>
      </w:r>
      <w:r w:rsidR="00957DD9" w:rsidRPr="005E4F79">
        <w:t>, at the same time,</w:t>
      </w:r>
      <w:r w:rsidR="00C37BD8" w:rsidRPr="005E4F79">
        <w:t xml:space="preserve"> controlling for other variables). </w:t>
      </w:r>
    </w:p>
    <w:p w14:paraId="042C89CE" w14:textId="77777777" w:rsidR="0069340B" w:rsidRDefault="0069340B" w:rsidP="009D0CA2">
      <w:pPr>
        <w:spacing w:after="0" w:line="240" w:lineRule="auto"/>
        <w:jc w:val="both"/>
      </w:pPr>
    </w:p>
    <w:p w14:paraId="751DA5EC" w14:textId="47518EE7" w:rsidR="002D3EE2" w:rsidRPr="005E4F79" w:rsidRDefault="002D3EE2" w:rsidP="009D0CA2">
      <w:pPr>
        <w:pStyle w:val="Heading2"/>
        <w:spacing w:after="0" w:line="240" w:lineRule="auto"/>
        <w:contextualSpacing w:val="0"/>
      </w:pPr>
      <w:bookmarkStart w:id="25" w:name="_Ref178940621"/>
      <w:r w:rsidRPr="005E4F79">
        <w:t>The Current Study</w:t>
      </w:r>
      <w:r w:rsidR="000625D6" w:rsidRPr="005E4F79">
        <w:t xml:space="preserve"> in Context</w:t>
      </w:r>
      <w:bookmarkEnd w:id="25"/>
    </w:p>
    <w:p w14:paraId="36E153D2" w14:textId="779B349C" w:rsidR="0018509E" w:rsidRDefault="0018509E" w:rsidP="00680195">
      <w:pPr>
        <w:spacing w:after="0" w:line="240" w:lineRule="auto"/>
        <w:jc w:val="both"/>
        <w:rPr>
          <w:rStyle w:val="Emphasis"/>
          <w:b/>
          <w:bCs/>
        </w:rPr>
      </w:pPr>
      <w:r w:rsidRPr="005E4F79">
        <w:t xml:space="preserve">In this study, we introduce a new methodological and empirical framework to investigate telemedicine adoption trends in the </w:t>
      </w:r>
      <w:r>
        <w:t>B</w:t>
      </w:r>
      <w:r w:rsidRPr="005E4F79">
        <w:t>efore</w:t>
      </w:r>
      <w:r>
        <w:t>-, During-, and After-COVID</w:t>
      </w:r>
      <w:r w:rsidRPr="005E4F79">
        <w:t xml:space="preserve"> periods. The framework also explores the factors driving</w:t>
      </w:r>
      <w:r w:rsidR="00680195">
        <w:t xml:space="preserve"> adoption</w:t>
      </w:r>
      <w:r w:rsidRPr="005E4F79">
        <w:t xml:space="preserve"> and non-</w:t>
      </w:r>
      <w:r w:rsidR="00680195">
        <w:t>adoption</w:t>
      </w:r>
      <w:r w:rsidRPr="005E4F79">
        <w:t xml:space="preserve"> decisions. Our approach contributes to advancing the existing </w:t>
      </w:r>
      <w:r w:rsidRPr="00B630C2">
        <w:t>body of knowledge in five distinct ways.</w:t>
      </w:r>
    </w:p>
    <w:p w14:paraId="3EF6FDDE" w14:textId="67A7A6D8" w:rsidR="0018509E" w:rsidRPr="00A9586D" w:rsidRDefault="00DA7DFB" w:rsidP="00AA480E">
      <w:pPr>
        <w:spacing w:after="0" w:line="240" w:lineRule="auto"/>
        <w:ind w:firstLine="720"/>
        <w:jc w:val="both"/>
      </w:pPr>
      <w:r w:rsidRPr="00AA480E">
        <w:rPr>
          <w:u w:val="single"/>
        </w:rPr>
        <w:t>First</w:t>
      </w:r>
      <w:r w:rsidRPr="00A9586D">
        <w:t xml:space="preserve">, we </w:t>
      </w:r>
      <w:r w:rsidR="0018509E" w:rsidRPr="00AF4B04">
        <w:t>us</w:t>
      </w:r>
      <w:r w:rsidRPr="00AF4B04">
        <w:t>e</w:t>
      </w:r>
      <w:r w:rsidR="0018509E" w:rsidRPr="00AF4B04">
        <w:t xml:space="preserve"> a comprehensive multivariate analysis </w:t>
      </w:r>
      <w:r w:rsidRPr="00AF4B04">
        <w:t>to identify</w:t>
      </w:r>
      <w:r w:rsidR="0018509E" w:rsidRPr="00AF4B04">
        <w:t xml:space="preserve"> determinant factors</w:t>
      </w:r>
      <w:r w:rsidRPr="00AF4B04">
        <w:t xml:space="preserve"> from amongst </w:t>
      </w:r>
      <w:r w:rsidR="0018509E" w:rsidRPr="00AF4B04">
        <w:t>sociodemographic, employment, personality, and built-environment (BE) variables (</w:t>
      </w:r>
      <w:r w:rsidRPr="00AF4B04">
        <w:t>the BE variables represent</w:t>
      </w:r>
      <w:r w:rsidR="0018509E" w:rsidRPr="00AF4B04">
        <w:t xml:space="preserve"> in-person accessibility to medical facilities and residential neighborhood characteristics). </w:t>
      </w:r>
      <w:r w:rsidRPr="00AF4B04">
        <w:t>T</w:t>
      </w:r>
      <w:r w:rsidR="0018509E" w:rsidRPr="00AF4B04">
        <w:t xml:space="preserve">he use of such a wide range of exogenous variables (see the left side of </w:t>
      </w:r>
      <w:r w:rsidR="0069340B" w:rsidRPr="00A9586D">
        <w:fldChar w:fldCharType="begin"/>
      </w:r>
      <w:r w:rsidR="0069340B" w:rsidRPr="00AF4B04">
        <w:instrText xml:space="preserve"> REF _Ref178944826 \h </w:instrText>
      </w:r>
      <w:r w:rsidR="00AF4B04">
        <w:instrText xml:space="preserve"> \* MERGEFORMAT </w:instrText>
      </w:r>
      <w:r w:rsidR="0069340B" w:rsidRPr="00A9586D">
        <w:fldChar w:fldCharType="separate"/>
      </w:r>
      <w:r w:rsidR="008A3DCE" w:rsidRPr="00A9586D">
        <w:t xml:space="preserve">Figure </w:t>
      </w:r>
      <w:r w:rsidR="008A3DCE" w:rsidRPr="00EF4BCE">
        <w:rPr>
          <w:noProof/>
        </w:rPr>
        <w:t>1</w:t>
      </w:r>
      <w:r w:rsidR="0069340B" w:rsidRPr="00A9586D">
        <w:fldChar w:fldCharType="end"/>
      </w:r>
      <w:r w:rsidR="0018509E" w:rsidRPr="00A9586D">
        <w:t>, and the solid-line arrows from the block labeled “Exogenous Variables” to the “Tele</w:t>
      </w:r>
      <w:r w:rsidR="00680195">
        <w:t xml:space="preserve">medicine </w:t>
      </w:r>
      <w:r w:rsidR="0018509E" w:rsidRPr="00A9586D">
        <w:t>Adoption” and “Adoption/Non-adoption Reasons” blocks)</w:t>
      </w:r>
      <w:r w:rsidRPr="00AF4B04">
        <w:t xml:space="preserve">, all at once, </w:t>
      </w:r>
      <w:r w:rsidR="0018509E" w:rsidRPr="00AF4B04">
        <w:t>allows for a deeper and more accurate understanding of the effect of each exogenous factor after controlling for other exogenous factors</w:t>
      </w:r>
      <w:r w:rsidRPr="00AF4B04">
        <w:t xml:space="preserve"> (</w:t>
      </w:r>
      <w:r w:rsidRPr="00AF4B04">
        <w:rPr>
          <w:color w:val="000000" w:themeColor="text1"/>
        </w:rPr>
        <w:t xml:space="preserve">relative to earlier telemedicine studies that are based on </w:t>
      </w:r>
      <w:r w:rsidRPr="00AF4B04">
        <w:t>simple bivariate correlations of exogenous variables one at a time with telemedicine adoption).</w:t>
      </w:r>
      <w:r w:rsidR="00AF4B04">
        <w:t xml:space="preserve"> In addition, our analysis is based on a survey that includes a wave corresponding to late 2021 </w:t>
      </w:r>
      <w:r w:rsidR="00D60765">
        <w:t xml:space="preserve">(during a time </w:t>
      </w:r>
      <w:r w:rsidR="00AF4B04">
        <w:t>when the peak of the COVID pandemic was well behind us</w:t>
      </w:r>
      <w:r w:rsidR="00D60765">
        <w:t>)</w:t>
      </w:r>
      <w:r w:rsidR="00AF4B04">
        <w:t xml:space="preserve">. </w:t>
      </w:r>
    </w:p>
    <w:p w14:paraId="43FC5C03" w14:textId="2E08C9DB" w:rsidR="00A14D87" w:rsidRPr="00AF4B04" w:rsidRDefault="00DA7DFB" w:rsidP="00AA480E">
      <w:pPr>
        <w:spacing w:after="0" w:line="240" w:lineRule="auto"/>
        <w:ind w:firstLine="720"/>
        <w:jc w:val="both"/>
      </w:pPr>
      <w:r w:rsidRPr="00AA480E">
        <w:rPr>
          <w:u w:val="single"/>
        </w:rPr>
        <w:t>S</w:t>
      </w:r>
      <w:r w:rsidR="0018509E" w:rsidRPr="00AA480E">
        <w:rPr>
          <w:u w:val="single"/>
        </w:rPr>
        <w:t>econd</w:t>
      </w:r>
      <w:r w:rsidRPr="00A9586D">
        <w:t xml:space="preserve">, our emphasis </w:t>
      </w:r>
      <w:r w:rsidR="0018509E" w:rsidRPr="00AF4B04">
        <w:t xml:space="preserve">on </w:t>
      </w:r>
      <w:r w:rsidR="0018509E" w:rsidRPr="00AF4B04">
        <w:rPr>
          <w:rStyle w:val="Strong"/>
          <w:b w:val="0"/>
          <w:bCs w:val="0"/>
        </w:rPr>
        <w:t xml:space="preserve">modeling shifts </w:t>
      </w:r>
      <w:r w:rsidR="0018509E" w:rsidRPr="00AF4B04">
        <w:t xml:space="preserve">in the effects of telemedicine adoption factors </w:t>
      </w:r>
      <w:r w:rsidR="0018509E" w:rsidRPr="00AF4B04">
        <w:rPr>
          <w:lang w:eastAsia="ko-KR"/>
        </w:rPr>
        <w:t>between the Before- and After-COVID periods</w:t>
      </w:r>
      <w:r w:rsidR="0018509E" w:rsidRPr="00AF4B04">
        <w:t xml:space="preserve"> </w:t>
      </w:r>
      <w:r w:rsidRPr="00AF4B04">
        <w:t xml:space="preserve">provides insights on </w:t>
      </w:r>
      <w:r w:rsidR="0018509E" w:rsidRPr="00AF4B04">
        <w:rPr>
          <w:lang w:eastAsia="ko-KR"/>
        </w:rPr>
        <w:t xml:space="preserve">how the </w:t>
      </w:r>
      <w:r w:rsidR="00A14D87" w:rsidRPr="00AF4B04">
        <w:rPr>
          <w:lang w:eastAsia="ko-KR"/>
        </w:rPr>
        <w:t xml:space="preserve">uptake of telemedicine among </w:t>
      </w:r>
      <w:r w:rsidR="0018509E" w:rsidRPr="00AF4B04">
        <w:rPr>
          <w:lang w:eastAsia="ko-KR"/>
        </w:rPr>
        <w:t>different segments of society has shifte</w:t>
      </w:r>
      <w:r w:rsidR="00A14D87" w:rsidRPr="00AF4B04">
        <w:rPr>
          <w:lang w:eastAsia="ko-KR"/>
        </w:rPr>
        <w:t>d through the pandemic</w:t>
      </w:r>
      <w:r w:rsidR="0018509E" w:rsidRPr="00AF4B04">
        <w:rPr>
          <w:lang w:eastAsia="ko-KR"/>
        </w:rPr>
        <w:t xml:space="preserve"> (see the “Telemedicine Adoption” Block in the middle of</w:t>
      </w:r>
      <w:r w:rsidR="0069340B" w:rsidRPr="00AF4B04">
        <w:rPr>
          <w:lang w:eastAsia="ko-KR"/>
        </w:rPr>
        <w:t xml:space="preserve"> </w:t>
      </w:r>
      <w:r w:rsidR="0069340B" w:rsidRPr="00A9586D">
        <w:fldChar w:fldCharType="begin"/>
      </w:r>
      <w:r w:rsidR="0069340B" w:rsidRPr="00AF4B04">
        <w:instrText xml:space="preserve"> REF _Ref178944826 \h </w:instrText>
      </w:r>
      <w:r w:rsidR="00AF4B04">
        <w:instrText xml:space="preserve"> \* MERGEFORMAT </w:instrText>
      </w:r>
      <w:r w:rsidR="0069340B" w:rsidRPr="00A9586D">
        <w:fldChar w:fldCharType="separate"/>
      </w:r>
      <w:r w:rsidR="008A3DCE" w:rsidRPr="00A9586D">
        <w:t xml:space="preserve">Figure </w:t>
      </w:r>
      <w:r w:rsidR="008A3DCE" w:rsidRPr="00EF4BCE">
        <w:rPr>
          <w:noProof/>
        </w:rPr>
        <w:t>1</w:t>
      </w:r>
      <w:r w:rsidR="0069340B" w:rsidRPr="00A9586D">
        <w:fldChar w:fldCharType="end"/>
      </w:r>
      <w:r w:rsidR="0018509E" w:rsidRPr="00A9586D">
        <w:rPr>
          <w:lang w:eastAsia="ko-KR"/>
        </w:rPr>
        <w:t xml:space="preserve">). </w:t>
      </w:r>
      <w:r w:rsidR="00A14D87" w:rsidRPr="00A9586D">
        <w:rPr>
          <w:lang w:eastAsia="ko-KR"/>
        </w:rPr>
        <w:t xml:space="preserve">In doing so, we control </w:t>
      </w:r>
      <w:r w:rsidR="00A14D87" w:rsidRPr="00AF4B04">
        <w:rPr>
          <w:lang w:eastAsia="ko-KR"/>
        </w:rPr>
        <w:t xml:space="preserve">for </w:t>
      </w:r>
      <w:r w:rsidR="0018509E" w:rsidRPr="00AF4B04">
        <w:rPr>
          <w:lang w:eastAsia="ko-KR"/>
        </w:rPr>
        <w:t xml:space="preserve">unobserved individual factors (such as technology savviness) that can engender an intrinsic association among </w:t>
      </w:r>
      <w:r w:rsidR="0018509E" w:rsidRPr="00AF4B04">
        <w:rPr>
          <w:lang w:eastAsia="ko-KR"/>
        </w:rPr>
        <w:lastRenderedPageBreak/>
        <w:t>adoption decisions across the Before-COVID, During-COVID, and After-COVID periods (the period-specific adoption choices are modeled using binary probit models, marked by the label “BP” within the middle block of</w:t>
      </w:r>
      <w:r w:rsidR="0069340B" w:rsidRPr="00AF4B04">
        <w:rPr>
          <w:lang w:eastAsia="ko-KR"/>
        </w:rPr>
        <w:t xml:space="preserve"> </w:t>
      </w:r>
      <w:r w:rsidR="0069340B" w:rsidRPr="00A9586D">
        <w:fldChar w:fldCharType="begin"/>
      </w:r>
      <w:r w:rsidR="0069340B" w:rsidRPr="00AF4B04">
        <w:instrText xml:space="preserve"> REF _Ref178944826 \h </w:instrText>
      </w:r>
      <w:r w:rsidR="00AF4B04">
        <w:instrText xml:space="preserve"> \* MERGEFORMAT </w:instrText>
      </w:r>
      <w:r w:rsidR="0069340B" w:rsidRPr="00A9586D">
        <w:fldChar w:fldCharType="separate"/>
      </w:r>
      <w:r w:rsidR="008A3DCE" w:rsidRPr="00A9586D">
        <w:t xml:space="preserve">Figure </w:t>
      </w:r>
      <w:r w:rsidR="008A3DCE" w:rsidRPr="00EF4BCE">
        <w:rPr>
          <w:noProof/>
        </w:rPr>
        <w:t>1</w:t>
      </w:r>
      <w:r w:rsidR="0069340B" w:rsidRPr="00A9586D">
        <w:fldChar w:fldCharType="end"/>
      </w:r>
      <w:r w:rsidR="0018509E" w:rsidRPr="00A9586D">
        <w:rPr>
          <w:lang w:eastAsia="ko-KR"/>
        </w:rPr>
        <w:t xml:space="preserve">; across the three periods, this then results in a multiperiod multivariate </w:t>
      </w:r>
      <w:r w:rsidR="0018509E" w:rsidRPr="00AF4B04">
        <w:rPr>
          <w:lang w:eastAsia="ko-KR"/>
        </w:rPr>
        <w:t xml:space="preserve">binary probit or MBP system for telemedicine adoption). The effects of such unobserved individual factors are represented by doubled-sided dashed-line arrows within the middle block. </w:t>
      </w:r>
      <w:r w:rsidR="00514E1E" w:rsidRPr="00AF4B04">
        <w:rPr>
          <w:lang w:eastAsia="ko-KR"/>
        </w:rPr>
        <w:t xml:space="preserve">Not accounting for such unobserved individual factors can get manifested in the form of biased telemedicine adoption shift estimates. </w:t>
      </w:r>
      <w:r w:rsidR="00A14D87" w:rsidRPr="00AF4B04">
        <w:rPr>
          <w:lang w:eastAsia="ko-KR"/>
        </w:rPr>
        <w:t xml:space="preserve">We are not aware of any earlier study that </w:t>
      </w:r>
      <w:r w:rsidR="0018509E" w:rsidRPr="00AF4B04">
        <w:t>accoun</w:t>
      </w:r>
      <w:r w:rsidR="00A14D87" w:rsidRPr="00AF4B04">
        <w:t>ts</w:t>
      </w:r>
      <w:r w:rsidR="0018509E" w:rsidRPr="00AF4B04">
        <w:t xml:space="preserve"> for </w:t>
      </w:r>
      <w:r w:rsidR="00514E1E" w:rsidRPr="00AF4B04">
        <w:t xml:space="preserve">such </w:t>
      </w:r>
      <w:r w:rsidR="0018509E" w:rsidRPr="00AF4B04">
        <w:t xml:space="preserve">intra-individual </w:t>
      </w:r>
      <w:r w:rsidR="00514E1E" w:rsidRPr="00AF4B04">
        <w:t>unobserved effects</w:t>
      </w:r>
      <w:r w:rsidR="00AF4B04">
        <w:t xml:space="preserve"> in the context of telemedicine adoption</w:t>
      </w:r>
      <w:r w:rsidR="00A14D87" w:rsidRPr="00AF4B04">
        <w:t>.</w:t>
      </w:r>
      <w:r w:rsidR="0018509E" w:rsidRPr="00AF4B04">
        <w:t xml:space="preserve"> </w:t>
      </w:r>
    </w:p>
    <w:p w14:paraId="0C76041C" w14:textId="148C6F99" w:rsidR="0018509E" w:rsidRDefault="00A14D87" w:rsidP="00AA480E">
      <w:pPr>
        <w:spacing w:after="0" w:line="240" w:lineRule="auto"/>
        <w:ind w:firstLine="720"/>
        <w:jc w:val="both"/>
      </w:pPr>
      <w:r w:rsidRPr="00AA480E">
        <w:rPr>
          <w:u w:val="single"/>
        </w:rPr>
        <w:t>Third</w:t>
      </w:r>
      <w:r w:rsidRPr="00A9586D">
        <w:t xml:space="preserve">, </w:t>
      </w:r>
      <w:r w:rsidRPr="00AF4B04">
        <w:t>w</w:t>
      </w:r>
      <w:r w:rsidR="0018509E" w:rsidRPr="00AF4B04">
        <w:t xml:space="preserve">hile the existing literature has explored telemedicine adoption facilitators </w:t>
      </w:r>
      <w:r w:rsidR="0018509E" w:rsidRPr="00AA480E">
        <w:t>and</w:t>
      </w:r>
      <w:r w:rsidR="0018509E" w:rsidRPr="00A9586D">
        <w:t xml:space="preserve"> deterrents </w:t>
      </w:r>
      <w:r w:rsidR="0018509E" w:rsidRPr="00EF4BCE">
        <w:t>using descriptive statistics, only two studies, to our knowledge (as discussed in Section</w:t>
      </w:r>
      <w:r w:rsidR="0069340B" w:rsidRPr="00EF4BCE">
        <w:t xml:space="preserve"> </w:t>
      </w:r>
      <w:r w:rsidR="0069340B" w:rsidRPr="00A9586D">
        <w:fldChar w:fldCharType="begin"/>
      </w:r>
      <w:r w:rsidR="0069340B" w:rsidRPr="00AF4B04">
        <w:instrText xml:space="preserve"> REF _Ref178940611 \r \h </w:instrText>
      </w:r>
      <w:r w:rsidR="00AF4B04">
        <w:instrText xml:space="preserve"> \* MERGEFORMAT </w:instrText>
      </w:r>
      <w:r w:rsidR="0069340B" w:rsidRPr="00A9586D">
        <w:fldChar w:fldCharType="separate"/>
      </w:r>
      <w:r w:rsidR="008A3DCE" w:rsidRPr="00A9586D">
        <w:t>2.2</w:t>
      </w:r>
      <w:r w:rsidR="0069340B" w:rsidRPr="00A9586D">
        <w:fldChar w:fldCharType="end"/>
      </w:r>
      <w:r w:rsidR="0018509E" w:rsidRPr="00A9586D">
        <w:t>),</w:t>
      </w:r>
      <w:r w:rsidR="0018509E" w:rsidRPr="00EF4BCE">
        <w:t xml:space="preserve"> </w:t>
      </w:r>
      <w:r w:rsidRPr="00EF4BCE">
        <w:t xml:space="preserve">have </w:t>
      </w:r>
      <w:r w:rsidR="0018509E" w:rsidRPr="00EF4BCE">
        <w:t xml:space="preserve">investigated variations across population segments, and even then, only on the </w:t>
      </w:r>
      <w:r w:rsidR="0018509E" w:rsidRPr="00AF4B04">
        <w:t xml:space="preserve">deterrents for non-telemedicine adopters. </w:t>
      </w:r>
      <w:r w:rsidRPr="00AF4B04">
        <w:t xml:space="preserve">Our study goes further by </w:t>
      </w:r>
      <w:r w:rsidR="0018509E" w:rsidRPr="00AF4B04">
        <w:t>examin</w:t>
      </w:r>
      <w:r w:rsidRPr="00AF4B04">
        <w:t>ing</w:t>
      </w:r>
      <w:r w:rsidR="0018509E" w:rsidRPr="00AF4B04">
        <w:t xml:space="preserve"> adoption facilitators as reported (only) by telemedicine </w:t>
      </w:r>
      <w:r w:rsidR="000706EF">
        <w:t>adopters</w:t>
      </w:r>
      <w:r w:rsidR="0018509E" w:rsidRPr="00AF4B04">
        <w:t xml:space="preserve"> </w:t>
      </w:r>
      <w:r w:rsidR="0018509E" w:rsidRPr="00AF4B04">
        <w:rPr>
          <w:u w:val="single"/>
        </w:rPr>
        <w:t>and</w:t>
      </w:r>
      <w:r w:rsidR="0018509E" w:rsidRPr="00AF4B04">
        <w:t xml:space="preserve"> adoption deterrents as reported (only) by non-telemedicine </w:t>
      </w:r>
      <w:r w:rsidR="000706EF">
        <w:t>adopters</w:t>
      </w:r>
      <w:r w:rsidR="0018509E" w:rsidRPr="00AF4B04">
        <w:t xml:space="preserve">. </w:t>
      </w:r>
      <w:r w:rsidR="00514E1E" w:rsidRPr="00AF4B04">
        <w:t xml:space="preserve">This is accomplished </w:t>
      </w:r>
      <w:r w:rsidR="0018509E" w:rsidRPr="00AF4B04">
        <w:t xml:space="preserve">through a series of </w:t>
      </w:r>
      <w:r w:rsidR="00514E1E" w:rsidRPr="00AF4B04">
        <w:t>bivariate probit (</w:t>
      </w:r>
      <w:r w:rsidR="0018509E" w:rsidRPr="00AF4B04">
        <w:t>BP</w:t>
      </w:r>
      <w:r w:rsidR="00514E1E" w:rsidRPr="00AF4B04">
        <w:t>)</w:t>
      </w:r>
      <w:r w:rsidR="0018509E" w:rsidRPr="00AF4B04">
        <w:t xml:space="preserve"> models </w:t>
      </w:r>
      <w:r w:rsidR="00514E1E" w:rsidRPr="00AF4B04">
        <w:t xml:space="preserve">(for each reason of adoption or non-adoption), labeled </w:t>
      </w:r>
      <w:r w:rsidR="0018509E" w:rsidRPr="00AF4B04">
        <w:t>as the cross-sectional MBP model system</w:t>
      </w:r>
      <w:r w:rsidR="00D60765">
        <w:t xml:space="preserve"> on the right side of</w:t>
      </w:r>
      <w:r w:rsidR="0018509E" w:rsidRPr="00A9586D">
        <w:t xml:space="preserve"> </w:t>
      </w:r>
      <w:r w:rsidR="0069340B" w:rsidRPr="00A9586D">
        <w:fldChar w:fldCharType="begin"/>
      </w:r>
      <w:r w:rsidR="0069340B" w:rsidRPr="00AF4B04">
        <w:instrText xml:space="preserve"> REF _Ref178944826 \h </w:instrText>
      </w:r>
      <w:r w:rsidR="00AF4B04">
        <w:instrText xml:space="preserve"> \* MERGEFORMAT </w:instrText>
      </w:r>
      <w:r w:rsidR="0069340B" w:rsidRPr="00A9586D">
        <w:fldChar w:fldCharType="separate"/>
      </w:r>
      <w:r w:rsidR="008A3DCE" w:rsidRPr="00A9586D">
        <w:t xml:space="preserve">Figure </w:t>
      </w:r>
      <w:r w:rsidR="008A3DCE" w:rsidRPr="00EF4BCE">
        <w:rPr>
          <w:noProof/>
        </w:rPr>
        <w:t>1</w:t>
      </w:r>
      <w:r w:rsidR="0069340B" w:rsidRPr="00A9586D">
        <w:fldChar w:fldCharType="end"/>
      </w:r>
      <w:r w:rsidR="00514E1E" w:rsidRPr="00A9586D">
        <w:t>, to</w:t>
      </w:r>
      <w:r w:rsidR="0018509E" w:rsidRPr="00AF4B04">
        <w:t xml:space="preserve"> accommodate unobserved</w:t>
      </w:r>
      <w:r w:rsidR="0018509E">
        <w:t xml:space="preserve"> individual factors that can affect multiple reasons</w:t>
      </w:r>
      <w:r w:rsidR="00514E1E">
        <w:t xml:space="preserve"> simultaneously</w:t>
      </w:r>
      <w:r w:rsidR="0018509E">
        <w:t>.</w:t>
      </w:r>
    </w:p>
    <w:p w14:paraId="11265A23" w14:textId="609BC4D6" w:rsidR="0018509E" w:rsidRDefault="00514E1E" w:rsidP="00AA480E">
      <w:pPr>
        <w:spacing w:after="0" w:line="240" w:lineRule="auto"/>
        <w:jc w:val="both"/>
      </w:pPr>
      <w:r>
        <w:tab/>
      </w:r>
      <w:r w:rsidRPr="00AA480E">
        <w:rPr>
          <w:u w:val="single"/>
        </w:rPr>
        <w:t>F</w:t>
      </w:r>
      <w:r w:rsidR="0018509E" w:rsidRPr="00AA480E">
        <w:rPr>
          <w:u w:val="single"/>
        </w:rPr>
        <w:t>ourth</w:t>
      </w:r>
      <w:r>
        <w:t>,</w:t>
      </w:r>
      <w:r w:rsidR="0018509E" w:rsidRPr="00584687">
        <w:t xml:space="preserve"> </w:t>
      </w:r>
      <w:r>
        <w:t xml:space="preserve">our </w:t>
      </w:r>
      <w:r w:rsidR="0018509E" w:rsidRPr="00584687">
        <w:t xml:space="preserve">overall model takes the form of a joint multiperiod MBP system for telemedicine adoption combined with the cross-sectional MBP system for facilitator/deterrent reasons specific to the After-COVID period (the facilitator/deterrent reasons were only asked for the After-COVID period). To our knowledge, such a joint model system is a first in the econometric literature. This approach is capable of accommodating self-selection effects that may tie adoption decisions with facilitators/deterrents. For example, a person with intrinsically introverted tendencies or a generic time-sensitive personality may be more likely to be a telemedicine </w:t>
      </w:r>
      <w:r w:rsidR="000706EF">
        <w:t>adopter</w:t>
      </w:r>
      <w:r w:rsidR="0018509E" w:rsidRPr="00584687">
        <w:t xml:space="preserve"> and also choose such reasons for </w:t>
      </w:r>
      <w:r w:rsidR="000706EF">
        <w:t>adopting</w:t>
      </w:r>
      <w:r w:rsidR="0018509E" w:rsidRPr="00584687">
        <w:t xml:space="preserve"> telemedicine as “I like the privacy offered by telemedicine” or “I do not have to wait for long</w:t>
      </w:r>
      <w:r w:rsidR="0018509E">
        <w:t>.</w:t>
      </w:r>
      <w:r w:rsidR="0018509E" w:rsidRPr="00584687">
        <w:t>” And a person who likes in-person interactions or is cybersecurity-concerned may be more likely to not adopt telemedicine and also provide such reasons for non-adoption as “the quality of telemedicine care is worse” or “I am concerned about security with telemedicine</w:t>
      </w:r>
      <w:r w:rsidR="0018509E">
        <w:t>.</w:t>
      </w:r>
      <w:r w:rsidR="0018509E" w:rsidRPr="00584687">
        <w:t xml:space="preserve">” That is, the adoption decision may be endogenous to the facilitator/deterrent reasons. By jointly modeling adoption in the After-COVID period with the facilitator/deterrent reasons, we </w:t>
      </w:r>
      <w:r w:rsidR="0018509E">
        <w:t>can</w:t>
      </w:r>
      <w:r w:rsidR="0018509E" w:rsidRPr="00584687">
        <w:t xml:space="preserve"> accommodate such self-selection (see the double-sided dashed-line blue and red arrows between the middle and right side blocks of </w:t>
      </w:r>
      <w:r w:rsidR="0069340B">
        <w:fldChar w:fldCharType="begin"/>
      </w:r>
      <w:r w:rsidR="0069340B">
        <w:instrText xml:space="preserve"> REF _Ref178944826 \h </w:instrText>
      </w:r>
      <w:r w:rsidR="00AF4B04">
        <w:instrText xml:space="preserve"> \* MERGEFORMAT </w:instrText>
      </w:r>
      <w:r w:rsidR="0069340B">
        <w:fldChar w:fldCharType="separate"/>
      </w:r>
      <w:r w:rsidR="008A3DCE">
        <w:t xml:space="preserve">Figure </w:t>
      </w:r>
      <w:r w:rsidR="008A3DCE">
        <w:rPr>
          <w:noProof/>
        </w:rPr>
        <w:t>1</w:t>
      </w:r>
      <w:r w:rsidR="0069340B">
        <w:fldChar w:fldCharType="end"/>
      </w:r>
      <w:r w:rsidR="0018509E" w:rsidRPr="00584687">
        <w:t>, representing correlation effects) and extend the results to obtain insights on the facilitators and deterrents amongst the population at-large (regardless of current telemedicine adoption or not). This</w:t>
      </w:r>
      <w:r w:rsidR="0018509E">
        <w:t xml:space="preserve"> comprehensive approach is necessary for </w:t>
      </w:r>
      <w:r w:rsidR="0018509E" w:rsidRPr="00584687">
        <w:t>inform</w:t>
      </w:r>
      <w:r w:rsidR="0018509E">
        <w:t>ing</w:t>
      </w:r>
      <w:r w:rsidR="0018509E" w:rsidRPr="00584687">
        <w:t xml:space="preserve"> healthcare providers, policymakers, and other stakeholders seeking to promote telemedicine adoption After-COVID in the entire population. </w:t>
      </w:r>
    </w:p>
    <w:p w14:paraId="00112802" w14:textId="00B687E4" w:rsidR="0018509E" w:rsidRDefault="00D60765" w:rsidP="00AA480E">
      <w:pPr>
        <w:spacing w:line="240" w:lineRule="auto"/>
        <w:jc w:val="both"/>
      </w:pPr>
      <w:r w:rsidRPr="00A9211C">
        <w:rPr>
          <w:rStyle w:val="Strong"/>
          <w:b w:val="0"/>
          <w:bCs w:val="0"/>
        </w:rPr>
        <w:tab/>
      </w:r>
      <w:r w:rsidRPr="00AA480E">
        <w:rPr>
          <w:u w:val="single"/>
        </w:rPr>
        <w:t>Fi</w:t>
      </w:r>
      <w:r w:rsidR="00514E1E" w:rsidRPr="00AA480E">
        <w:rPr>
          <w:u w:val="single"/>
        </w:rPr>
        <w:t>nally</w:t>
      </w:r>
      <w:r w:rsidR="00514E1E">
        <w:t>, o</w:t>
      </w:r>
      <w:r w:rsidR="0018509E" w:rsidRPr="00B630C2">
        <w:t>ur study is the first that we are aware of in the travel behavior literature that focuses on telemedicine adoption. Earlier studies related to virtual participation have investigated tele-adoption in the context of work, shopping, and eating out, but have not considered telemedicine adoption.</w:t>
      </w:r>
      <w:r>
        <w:t xml:space="preserve"> </w:t>
      </w:r>
      <w:r w:rsidR="00514E1E">
        <w:t xml:space="preserve">But, just like these other tele-activities, </w:t>
      </w:r>
      <w:r w:rsidR="0018509E" w:rsidRPr="00B630C2">
        <w:t>telemedicine adoption can also have transportation ramifications</w:t>
      </w:r>
      <w:r w:rsidR="00514E1E">
        <w:t xml:space="preserve"> </w:t>
      </w:r>
      <w:r w:rsidR="0018509E" w:rsidRPr="00B630C2">
        <w:t xml:space="preserve">(including individuals potentially appropriating the freed-up time for pursuing other activities). In this regard, we hope that our study will open up additional research in studying the travel implications of tele-participation in medical-related activities. This should be of particular interest in the context of medical accessibility for the increasingly aging population of many countries, </w:t>
      </w:r>
      <w:r w:rsidR="0018509E" w:rsidRPr="005E4F79">
        <w:t>including the U.S.</w:t>
      </w:r>
    </w:p>
    <w:p w14:paraId="384FC0AB" w14:textId="2AD5E2E8" w:rsidR="0069340B" w:rsidRDefault="00651AAB" w:rsidP="0069340B">
      <w:pPr>
        <w:keepNext/>
        <w:jc w:val="both"/>
      </w:pPr>
      <w:r>
        <w:rPr>
          <w:noProof/>
        </w:rPr>
        <w:lastRenderedPageBreak/>
        <w:drawing>
          <wp:inline distT="0" distB="0" distL="0" distR="0" wp14:anchorId="37BF6A95" wp14:editId="39C8670F">
            <wp:extent cx="5972574" cy="2547412"/>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997" cy="2559535"/>
                    </a:xfrm>
                    <a:prstGeom prst="rect">
                      <a:avLst/>
                    </a:prstGeom>
                    <a:noFill/>
                  </pic:spPr>
                </pic:pic>
              </a:graphicData>
            </a:graphic>
          </wp:inline>
        </w:drawing>
      </w:r>
    </w:p>
    <w:p w14:paraId="197D5CEB" w14:textId="17482E83" w:rsidR="00F6357B" w:rsidRDefault="0069340B" w:rsidP="0069340B">
      <w:pPr>
        <w:pStyle w:val="Caption"/>
      </w:pPr>
      <w:bookmarkStart w:id="26" w:name="_Ref178944826"/>
      <w:r>
        <w:t xml:space="preserve">Figure </w:t>
      </w:r>
      <w:r w:rsidR="00C425C0">
        <w:fldChar w:fldCharType="begin"/>
      </w:r>
      <w:r w:rsidR="00C425C0">
        <w:instrText xml:space="preserve"> SEQ Figure \* ARABIC </w:instrText>
      </w:r>
      <w:r w:rsidR="00C425C0">
        <w:fldChar w:fldCharType="separate"/>
      </w:r>
      <w:r w:rsidR="008A3DCE">
        <w:rPr>
          <w:noProof/>
        </w:rPr>
        <w:t>1</w:t>
      </w:r>
      <w:r w:rsidR="00C425C0">
        <w:rPr>
          <w:noProof/>
        </w:rPr>
        <w:fldChar w:fldCharType="end"/>
      </w:r>
      <w:bookmarkEnd w:id="26"/>
      <w:r>
        <w:t xml:space="preserve">. </w:t>
      </w:r>
      <w:r w:rsidRPr="002A353D">
        <w:t>Analysis Framework</w:t>
      </w:r>
    </w:p>
    <w:p w14:paraId="4727B914" w14:textId="77777777" w:rsidR="0071015E" w:rsidRPr="0071015E" w:rsidRDefault="0071015E" w:rsidP="009D0CA2">
      <w:pPr>
        <w:spacing w:after="0" w:line="240" w:lineRule="auto"/>
      </w:pPr>
    </w:p>
    <w:p w14:paraId="0B0FC313" w14:textId="5CDA2797" w:rsidR="002D3EE2" w:rsidRPr="009D0CA2" w:rsidRDefault="00534A83" w:rsidP="009D0CA2">
      <w:pPr>
        <w:pStyle w:val="Heading1"/>
        <w:spacing w:after="0" w:line="240" w:lineRule="auto"/>
        <w:contextualSpacing w:val="0"/>
        <w:rPr>
          <w:caps/>
        </w:rPr>
      </w:pPr>
      <w:r w:rsidRPr="009D0CA2">
        <w:rPr>
          <w:caps/>
        </w:rPr>
        <w:t>Data and Variable Description</w:t>
      </w:r>
    </w:p>
    <w:p w14:paraId="26E19DFD" w14:textId="2D7BBF05" w:rsidR="002D3EE2" w:rsidRDefault="00534A83" w:rsidP="009D0CA2">
      <w:pPr>
        <w:pStyle w:val="Heading2"/>
        <w:spacing w:after="0" w:line="240" w:lineRule="auto"/>
        <w:contextualSpacing w:val="0"/>
      </w:pPr>
      <w:r>
        <w:t>S</w:t>
      </w:r>
      <w:r w:rsidR="002D3EE2">
        <w:t>urvey</w:t>
      </w:r>
    </w:p>
    <w:p w14:paraId="7B7C7D9F" w14:textId="4BE8DA36" w:rsidR="002A353D" w:rsidRPr="00F6357B" w:rsidRDefault="00534A83" w:rsidP="009D0CA2">
      <w:pPr>
        <w:autoSpaceDE w:val="0"/>
        <w:autoSpaceDN w:val="0"/>
        <w:adjustRightInd w:val="0"/>
        <w:spacing w:after="0" w:line="240" w:lineRule="auto"/>
        <w:jc w:val="both"/>
        <w:rPr>
          <w:rFonts w:asciiTheme="majorBidi" w:hAnsiTheme="majorBidi" w:cstheme="majorBidi"/>
          <w:bCs/>
        </w:rPr>
      </w:pPr>
      <w:r w:rsidRPr="00AE0984">
        <w:rPr>
          <w:rFonts w:asciiTheme="majorBidi" w:hAnsiTheme="majorBidi" w:cstheme="majorBidi"/>
          <w:bCs/>
          <w:lang w:val="la-Latn"/>
        </w:rPr>
        <w:t xml:space="preserve">The primary </w:t>
      </w:r>
      <w:r>
        <w:rPr>
          <w:rFonts w:asciiTheme="majorBidi" w:hAnsiTheme="majorBidi" w:cstheme="majorBidi"/>
          <w:bCs/>
        </w:rPr>
        <w:t xml:space="preserve">data </w:t>
      </w:r>
      <w:r w:rsidRPr="00AE0984">
        <w:rPr>
          <w:rFonts w:asciiTheme="majorBidi" w:hAnsiTheme="majorBidi" w:cstheme="majorBidi"/>
          <w:bCs/>
          <w:lang w:val="la-Latn"/>
        </w:rPr>
        <w:t xml:space="preserve">used </w:t>
      </w:r>
      <w:r>
        <w:rPr>
          <w:rFonts w:asciiTheme="majorBidi" w:hAnsiTheme="majorBidi" w:cstheme="majorBidi"/>
          <w:bCs/>
        </w:rPr>
        <w:t>in</w:t>
      </w:r>
      <w:r w:rsidRPr="00AE0984">
        <w:rPr>
          <w:rFonts w:asciiTheme="majorBidi" w:hAnsiTheme="majorBidi" w:cstheme="majorBidi"/>
          <w:bCs/>
          <w:lang w:val="la-Latn"/>
        </w:rPr>
        <w:t xml:space="preserve"> this study is </w:t>
      </w:r>
      <w:r>
        <w:rPr>
          <w:rFonts w:asciiTheme="majorBidi" w:hAnsiTheme="majorBidi" w:cstheme="majorBidi"/>
          <w:bCs/>
        </w:rPr>
        <w:t xml:space="preserve">obtained from the </w:t>
      </w:r>
      <w:r w:rsidRPr="00AE0984">
        <w:rPr>
          <w:rFonts w:asciiTheme="majorBidi" w:hAnsiTheme="majorBidi" w:cstheme="majorBidi"/>
          <w:bCs/>
          <w:lang w:val="la-Latn"/>
        </w:rPr>
        <w:t xml:space="preserve">COVID Future Survey </w:t>
      </w:r>
      <w:r>
        <w:rPr>
          <w:rFonts w:asciiTheme="majorBidi" w:hAnsiTheme="majorBidi" w:cstheme="majorBidi"/>
          <w:bCs/>
          <w:lang w:val="la-Latn"/>
        </w:rPr>
        <w:fldChar w:fldCharType="begin"/>
      </w:r>
      <w:r>
        <w:rPr>
          <w:rFonts w:asciiTheme="majorBidi" w:hAnsiTheme="majorBidi" w:cstheme="majorBidi"/>
          <w:bCs/>
          <w:lang w:val="la-Latn"/>
        </w:rPr>
        <w:instrText xml:space="preserve"> ADDIN ZOTERO_ITEM CSL_CITATION {"citationID":"qjQKZ32I","properties":{"formattedCitation":"(Salon et al., 2022)","plainCitation":"(Salon et al., 2022)","noteIndex":0},"citationItems":[{"id":2113,"uris":["http://zotero.org/users/9292995/items/GD5UXX8W"],"itemData":{"id":2113,"type":"dataset","DOI":"10.48349/ASU/9O5TIA","note":"section: 2022-05-13 14:37:00.301","publisher":"ASU Library Research Data Repository","title":"COVID Future Wave 3 Survey Data v1.1.0","URL":"https://doi.org/10.48349/ASU/9O5TIA","version":"V1","author":[{"family":"Salon","given":"Deborah"},{"family":"Bhagat-Conway","given":"Matthew Wigginton"},{"family":"Chauhan","given":"Rishabh"},{"family":"Magassy","given":"Tassio"},{"family":"Mirtich","given":"Laura"},{"family":"Rahimi","given":"Ehsan"},{"family":"Costello","given":"Adam"},{"family":"Derrible","given":"Sybil"},{"family":"Mohammadian","given":"Kouros"},{"family":"Pendyala","given":"Ram"}],"issued":{"date-parts":[["2022"]]}}}],"schema":"https://github.com/citation-style-language/schema/raw/master/csl-citation.json"} </w:instrText>
      </w:r>
      <w:r>
        <w:rPr>
          <w:rFonts w:asciiTheme="majorBidi" w:hAnsiTheme="majorBidi" w:cstheme="majorBidi"/>
          <w:bCs/>
          <w:lang w:val="la-Latn"/>
        </w:rPr>
        <w:fldChar w:fldCharType="separate"/>
      </w:r>
      <w:r w:rsidRPr="00BE4E40">
        <w:t>(</w:t>
      </w:r>
      <w:bookmarkStart w:id="27" w:name="_Hlk167909803"/>
      <w:r w:rsidRPr="00BE4E40">
        <w:t>Salon</w:t>
      </w:r>
      <w:bookmarkEnd w:id="27"/>
      <w:r w:rsidRPr="00BE4E40">
        <w:t xml:space="preserve"> et al., 2022)</w:t>
      </w:r>
      <w:r>
        <w:rPr>
          <w:rFonts w:asciiTheme="majorBidi" w:hAnsiTheme="majorBidi" w:cstheme="majorBidi"/>
          <w:bCs/>
          <w:lang w:val="la-Latn"/>
        </w:rPr>
        <w:fldChar w:fldCharType="end"/>
      </w:r>
      <w:r>
        <w:rPr>
          <w:rFonts w:asciiTheme="majorBidi" w:hAnsiTheme="majorBidi" w:cstheme="majorBidi"/>
          <w:bCs/>
        </w:rPr>
        <w:t xml:space="preserve">. </w:t>
      </w:r>
      <w:r w:rsidR="001521DC" w:rsidRPr="001521DC">
        <w:rPr>
          <w:rFonts w:asciiTheme="majorBidi" w:hAnsiTheme="majorBidi" w:cstheme="majorBidi"/>
          <w:bCs/>
        </w:rPr>
        <w:t xml:space="preserve">The </w:t>
      </w:r>
      <w:r w:rsidR="001521DC">
        <w:rPr>
          <w:rFonts w:asciiTheme="majorBidi" w:hAnsiTheme="majorBidi" w:cstheme="majorBidi"/>
          <w:bCs/>
        </w:rPr>
        <w:t xml:space="preserve">survey was undertaken using an online response link, which was disseminated </w:t>
      </w:r>
      <w:r w:rsidR="001521DC" w:rsidRPr="00015E61">
        <w:rPr>
          <w:rFonts w:asciiTheme="majorBidi" w:hAnsiTheme="majorBidi" w:cstheme="majorBidi"/>
          <w:bCs/>
        </w:rPr>
        <w:t xml:space="preserve">through a </w:t>
      </w:r>
      <w:r w:rsidR="001521DC" w:rsidRPr="00F6357B">
        <w:rPr>
          <w:rFonts w:asciiTheme="majorBidi" w:hAnsiTheme="majorBidi" w:cstheme="majorBidi"/>
          <w:bCs/>
        </w:rPr>
        <w:t>combination of a U</w:t>
      </w:r>
      <w:r w:rsidR="00746842" w:rsidRPr="00F6357B">
        <w:rPr>
          <w:rFonts w:asciiTheme="majorBidi" w:hAnsiTheme="majorBidi" w:cstheme="majorBidi"/>
          <w:bCs/>
        </w:rPr>
        <w:t>.</w:t>
      </w:r>
      <w:r w:rsidR="001521DC" w:rsidRPr="00F6357B">
        <w:rPr>
          <w:rFonts w:asciiTheme="majorBidi" w:hAnsiTheme="majorBidi" w:cstheme="majorBidi"/>
          <w:bCs/>
        </w:rPr>
        <w:t>S</w:t>
      </w:r>
      <w:r w:rsidR="00746842" w:rsidRPr="00F6357B">
        <w:rPr>
          <w:rFonts w:asciiTheme="majorBidi" w:hAnsiTheme="majorBidi" w:cstheme="majorBidi"/>
          <w:bCs/>
        </w:rPr>
        <w:t>.</w:t>
      </w:r>
      <w:r w:rsidR="001521DC" w:rsidRPr="00F6357B">
        <w:rPr>
          <w:rFonts w:asciiTheme="majorBidi" w:hAnsiTheme="majorBidi" w:cstheme="majorBidi"/>
          <w:bCs/>
        </w:rPr>
        <w:t xml:space="preserve"> national purchased list of 450,000 e-mail addresses, another list of 39,000 e-mail addresses from the Phoenix area, social media platform advertising, and invitations to family, friends, and colleagues. </w:t>
      </w:r>
      <w:r w:rsidR="004E11A3" w:rsidRPr="00F6357B">
        <w:rPr>
          <w:rFonts w:asciiTheme="majorBidi" w:hAnsiTheme="majorBidi" w:cstheme="majorBidi"/>
          <w:bCs/>
        </w:rPr>
        <w:t xml:space="preserve">The </w:t>
      </w:r>
      <w:r w:rsidR="00B76DBF" w:rsidRPr="00F6357B">
        <w:rPr>
          <w:rFonts w:asciiTheme="majorBidi" w:hAnsiTheme="majorBidi" w:cstheme="majorBidi"/>
          <w:bCs/>
        </w:rPr>
        <w:t xml:space="preserve">intent of the </w:t>
      </w:r>
      <w:r w:rsidR="004E11A3" w:rsidRPr="00F6357B">
        <w:rPr>
          <w:rFonts w:asciiTheme="majorBidi" w:hAnsiTheme="majorBidi" w:cstheme="majorBidi"/>
          <w:bCs/>
        </w:rPr>
        <w:t xml:space="preserve">survey </w:t>
      </w:r>
      <w:r w:rsidR="00B76DBF" w:rsidRPr="00F6357B">
        <w:rPr>
          <w:rFonts w:asciiTheme="majorBidi" w:hAnsiTheme="majorBidi" w:cstheme="majorBidi"/>
          <w:bCs/>
        </w:rPr>
        <w:t xml:space="preserve">effort was to </w:t>
      </w:r>
      <w:r w:rsidR="004E11A3" w:rsidRPr="00F6357B">
        <w:rPr>
          <w:rFonts w:asciiTheme="majorBidi" w:hAnsiTheme="majorBidi" w:cstheme="majorBidi"/>
          <w:bCs/>
        </w:rPr>
        <w:t xml:space="preserve">collect data from the same set of participants </w:t>
      </w:r>
      <w:r w:rsidR="00B76DBF" w:rsidRPr="00F6357B">
        <w:rPr>
          <w:rFonts w:asciiTheme="majorBidi" w:hAnsiTheme="majorBidi" w:cstheme="majorBidi"/>
          <w:bCs/>
        </w:rPr>
        <w:t>over time</w:t>
      </w:r>
      <w:r w:rsidRPr="00F6357B">
        <w:rPr>
          <w:rFonts w:asciiTheme="majorBidi" w:hAnsiTheme="majorBidi" w:cstheme="majorBidi"/>
          <w:bCs/>
        </w:rPr>
        <w:t xml:space="preserve">. </w:t>
      </w:r>
      <w:r w:rsidRPr="00F6357B">
        <w:t>The first wave collected data from 8,723 respondents during the early stages of the pandemic from April to October 2020, the second wave collected 2,877 responses from November 2020 to May 2021, and the third wave collected 2,728 responses from October to November 2021</w:t>
      </w:r>
      <w:r w:rsidR="0069340B">
        <w:t>,</w:t>
      </w:r>
      <w:r w:rsidRPr="00F6357B">
        <w:t xml:space="preserve"> representing the period when </w:t>
      </w:r>
      <w:r w:rsidRPr="00F6357B">
        <w:rPr>
          <w:rFonts w:asciiTheme="majorBidi" w:hAnsiTheme="majorBidi" w:cstheme="majorBidi"/>
          <w:bCs/>
          <w:lang w:val="la-Latn"/>
        </w:rPr>
        <w:t>the most significant pandemic-related disruptions were receding.</w:t>
      </w:r>
      <w:r w:rsidR="0069340B">
        <w:rPr>
          <w:rFonts w:asciiTheme="majorBidi" w:hAnsiTheme="majorBidi" w:cstheme="majorBidi"/>
          <w:bCs/>
        </w:rPr>
        <w:t xml:space="preserve"> </w:t>
      </w:r>
      <w:r w:rsidR="00C10C1F" w:rsidRPr="00F6357B">
        <w:rPr>
          <w:rFonts w:asciiTheme="majorBidi" w:hAnsiTheme="majorBidi" w:cstheme="majorBidi"/>
          <w:bCs/>
          <w:lang w:val="la-Latn"/>
        </w:rPr>
        <w:t>The dataset includes sociodemographic information about individuals and their households, details of their travel behaviors, preferences for a variety of mobility and housing options, and responses to the COVID-19 pandemic.</w:t>
      </w:r>
      <w:r w:rsidR="004E11A3" w:rsidRPr="00F6357B">
        <w:rPr>
          <w:rFonts w:asciiTheme="majorBidi" w:hAnsiTheme="majorBidi" w:cstheme="majorBidi"/>
          <w:bCs/>
        </w:rPr>
        <w:t xml:space="preserve"> Also, the survey elicits information related to telemedicine adoption before, during, and after the pandemic. First, telemedicine adoption before the COVID-19 pandemic (this period is designated as the </w:t>
      </w:r>
      <w:r w:rsidR="00680195">
        <w:rPr>
          <w:rFonts w:asciiTheme="majorBidi" w:hAnsiTheme="majorBidi" w:cstheme="majorBidi"/>
          <w:bCs/>
        </w:rPr>
        <w:t>“</w:t>
      </w:r>
      <w:r w:rsidR="00C817CF">
        <w:rPr>
          <w:rFonts w:asciiTheme="majorBidi" w:hAnsiTheme="majorBidi" w:cstheme="majorBidi"/>
          <w:bCs/>
        </w:rPr>
        <w:t>Before-</w:t>
      </w:r>
      <w:r w:rsidR="006312A4">
        <w:rPr>
          <w:rFonts w:asciiTheme="majorBidi" w:hAnsiTheme="majorBidi" w:cstheme="majorBidi"/>
          <w:bCs/>
        </w:rPr>
        <w:t>COVID</w:t>
      </w:r>
      <w:r w:rsidR="00680195">
        <w:rPr>
          <w:rFonts w:asciiTheme="majorBidi" w:hAnsiTheme="majorBidi" w:cstheme="majorBidi"/>
          <w:bCs/>
        </w:rPr>
        <w:t>”</w:t>
      </w:r>
      <w:r w:rsidR="004E11A3" w:rsidRPr="00F6357B">
        <w:rPr>
          <w:rFonts w:asciiTheme="majorBidi" w:hAnsiTheme="majorBidi" w:cstheme="majorBidi"/>
          <w:bCs/>
        </w:rPr>
        <w:t xml:space="preserve"> period in the study) was based on individuals</w:t>
      </w:r>
      <w:r w:rsidR="0069340B">
        <w:rPr>
          <w:rFonts w:asciiTheme="majorBidi" w:hAnsiTheme="majorBidi" w:cstheme="majorBidi"/>
          <w:bCs/>
        </w:rPr>
        <w:t>’</w:t>
      </w:r>
      <w:r w:rsidR="004E11A3" w:rsidRPr="00F6357B">
        <w:rPr>
          <w:rFonts w:asciiTheme="majorBidi" w:hAnsiTheme="majorBidi" w:cstheme="majorBidi"/>
          <w:bCs/>
        </w:rPr>
        <w:t xml:space="preserve"> stated responses of whether they had ever used telemedicine before the onset of the pandemic in March 2020.</w:t>
      </w:r>
      <w:r w:rsidR="004E11A3" w:rsidRPr="00F6357B">
        <w:t xml:space="preserve"> While the </w:t>
      </w:r>
      <w:r w:rsidR="00C817CF">
        <w:t>Before-</w:t>
      </w:r>
      <w:r w:rsidR="006312A4">
        <w:t>COVID</w:t>
      </w:r>
      <w:r w:rsidR="004E11A3" w:rsidRPr="00F6357B">
        <w:t xml:space="preserve"> adoption designation is based on recall</w:t>
      </w:r>
      <w:r w:rsidR="00B76DBF" w:rsidRPr="00F6357B">
        <w:t xml:space="preserve"> over a few years in the past</w:t>
      </w:r>
      <w:r w:rsidR="004E11A3" w:rsidRPr="00F6357B">
        <w:t xml:space="preserve">, we do not expect major recall bias in the data. This is because the survey question simply required a </w:t>
      </w:r>
      <w:r w:rsidR="00BD2DF4" w:rsidRPr="00F6357B">
        <w:t>“</w:t>
      </w:r>
      <w:r w:rsidR="004E11A3" w:rsidRPr="00F6357B">
        <w:t>yes</w:t>
      </w:r>
      <w:r w:rsidR="00BD2DF4" w:rsidRPr="00F6357B">
        <w:t>”</w:t>
      </w:r>
      <w:r w:rsidR="004E11A3" w:rsidRPr="00F6357B">
        <w:t xml:space="preserve"> or </w:t>
      </w:r>
      <w:r w:rsidR="00BD2DF4" w:rsidRPr="00F6357B">
        <w:t>“</w:t>
      </w:r>
      <w:r w:rsidR="004E11A3" w:rsidRPr="00F6357B">
        <w:t>no</w:t>
      </w:r>
      <w:r w:rsidR="00BD2DF4" w:rsidRPr="00F6357B">
        <w:t>”</w:t>
      </w:r>
      <w:r w:rsidR="004E11A3" w:rsidRPr="00F6357B">
        <w:t xml:space="preserve"> response about telemedicine usage</w:t>
      </w:r>
      <w:r w:rsidR="00B76DBF" w:rsidRPr="00F6357B">
        <w:t xml:space="preserve"> </w:t>
      </w:r>
      <w:r w:rsidR="00F8247A">
        <w:t>B</w:t>
      </w:r>
      <w:r w:rsidR="00B76DBF" w:rsidRPr="00F6357B">
        <w:t>efore</w:t>
      </w:r>
      <w:r w:rsidR="00F8247A">
        <w:t>-</w:t>
      </w:r>
      <w:r w:rsidR="00B76DBF" w:rsidRPr="00F6357B">
        <w:t>COVID</w:t>
      </w:r>
      <w:r w:rsidR="004E11A3" w:rsidRPr="00F6357B">
        <w:t xml:space="preserve">, rather than asking for </w:t>
      </w:r>
      <w:r w:rsidR="00746842" w:rsidRPr="00F6357B">
        <w:t xml:space="preserve">a </w:t>
      </w:r>
      <w:r w:rsidR="004E11A3" w:rsidRPr="00F6357B">
        <w:t xml:space="preserve">detailed recall of frequencies, dates, or other specifics that are more prone to recall </w:t>
      </w:r>
      <w:r w:rsidR="00B76DBF" w:rsidRPr="00F6357B">
        <w:t>problems</w:t>
      </w:r>
      <w:r w:rsidR="004E11A3" w:rsidRPr="00F6357B">
        <w:t xml:space="preserve">. Moreover, for most participants, telemedicine adoption pre-pandemic was likely a recent experience (within the last couple of years coinciding with the rise of information and communication technologies), reducing the length of recall required. </w:t>
      </w:r>
      <w:r w:rsidR="004E11A3" w:rsidRPr="00F6357B">
        <w:rPr>
          <w:rFonts w:asciiTheme="majorBidi" w:hAnsiTheme="majorBidi" w:cstheme="majorBidi"/>
          <w:bCs/>
        </w:rPr>
        <w:t xml:space="preserve">Telemedicine adoption </w:t>
      </w:r>
      <w:r w:rsidR="008D206D" w:rsidRPr="00F6357B">
        <w:rPr>
          <w:rFonts w:asciiTheme="majorBidi" w:hAnsiTheme="majorBidi" w:cstheme="majorBidi"/>
          <w:bCs/>
        </w:rPr>
        <w:t xml:space="preserve">during the pandemic was obtained based on self-reported adoption during the period from April 2020 to November 2021, and telemedicine adoption </w:t>
      </w:r>
      <w:r w:rsidR="004E11A3" w:rsidRPr="00F6357B">
        <w:rPr>
          <w:rFonts w:asciiTheme="majorBidi" w:hAnsiTheme="majorBidi" w:cstheme="majorBidi"/>
          <w:bCs/>
        </w:rPr>
        <w:t xml:space="preserve">in the period after the pandemic (designated as the </w:t>
      </w:r>
      <w:r w:rsidR="00C22D3C">
        <w:rPr>
          <w:rFonts w:asciiTheme="majorBidi" w:hAnsiTheme="majorBidi" w:cstheme="majorBidi"/>
          <w:bCs/>
        </w:rPr>
        <w:t>“</w:t>
      </w:r>
      <w:r w:rsidR="006312A4">
        <w:rPr>
          <w:rFonts w:asciiTheme="majorBidi" w:hAnsiTheme="majorBidi" w:cstheme="majorBidi"/>
          <w:bCs/>
        </w:rPr>
        <w:t>After-COVID</w:t>
      </w:r>
      <w:r w:rsidR="00C22D3C">
        <w:rPr>
          <w:rFonts w:asciiTheme="majorBidi" w:hAnsiTheme="majorBidi" w:cstheme="majorBidi"/>
          <w:bCs/>
        </w:rPr>
        <w:t>”</w:t>
      </w:r>
      <w:r w:rsidR="004E11A3" w:rsidRPr="00F6357B">
        <w:rPr>
          <w:rFonts w:asciiTheme="majorBidi" w:hAnsiTheme="majorBidi" w:cstheme="majorBidi"/>
          <w:bCs/>
        </w:rPr>
        <w:t xml:space="preserve"> period in the study) was based on individuals’ expectations of </w:t>
      </w:r>
      <w:r w:rsidR="00F37396" w:rsidRPr="00F6357B">
        <w:rPr>
          <w:rFonts w:asciiTheme="majorBidi" w:hAnsiTheme="majorBidi" w:cstheme="majorBidi"/>
          <w:bCs/>
        </w:rPr>
        <w:t xml:space="preserve">potential </w:t>
      </w:r>
      <w:r w:rsidR="004E11A3" w:rsidRPr="00F6357B">
        <w:rPr>
          <w:rFonts w:asciiTheme="majorBidi" w:hAnsiTheme="majorBidi" w:cstheme="majorBidi"/>
          <w:bCs/>
        </w:rPr>
        <w:t xml:space="preserve">use </w:t>
      </w:r>
      <w:r w:rsidR="008D206D" w:rsidRPr="00F6357B">
        <w:rPr>
          <w:rFonts w:asciiTheme="majorBidi" w:hAnsiTheme="majorBidi" w:cstheme="majorBidi"/>
          <w:bCs/>
        </w:rPr>
        <w:t xml:space="preserve">after a post-COVID new normal is reached </w:t>
      </w:r>
      <w:r w:rsidR="004E11A3" w:rsidRPr="00F6357B">
        <w:rPr>
          <w:rFonts w:asciiTheme="majorBidi" w:hAnsiTheme="majorBidi" w:cstheme="majorBidi"/>
          <w:bCs/>
        </w:rPr>
        <w:t xml:space="preserve">(for ease </w:t>
      </w:r>
      <w:r w:rsidR="008D206D" w:rsidRPr="00F6357B">
        <w:rPr>
          <w:rFonts w:asciiTheme="majorBidi" w:hAnsiTheme="majorBidi" w:cstheme="majorBidi"/>
          <w:bCs/>
        </w:rPr>
        <w:t>in</w:t>
      </w:r>
      <w:r w:rsidR="004E11A3" w:rsidRPr="00F6357B">
        <w:rPr>
          <w:rFonts w:asciiTheme="majorBidi" w:hAnsiTheme="majorBidi" w:cstheme="majorBidi"/>
          <w:bCs/>
        </w:rPr>
        <w:t xml:space="preserve"> presentation</w:t>
      </w:r>
      <w:r w:rsidR="008D206D" w:rsidRPr="00F6357B">
        <w:rPr>
          <w:rFonts w:asciiTheme="majorBidi" w:hAnsiTheme="majorBidi" w:cstheme="majorBidi"/>
          <w:bCs/>
        </w:rPr>
        <w:t>,</w:t>
      </w:r>
      <w:r w:rsidR="004E11A3" w:rsidRPr="00F6357B">
        <w:rPr>
          <w:rFonts w:asciiTheme="majorBidi" w:hAnsiTheme="majorBidi" w:cstheme="majorBidi"/>
          <w:bCs/>
        </w:rPr>
        <w:t xml:space="preserve"> </w:t>
      </w:r>
      <w:r w:rsidR="00746842" w:rsidRPr="00F6357B">
        <w:rPr>
          <w:rFonts w:asciiTheme="majorBidi" w:hAnsiTheme="majorBidi" w:cstheme="majorBidi"/>
          <w:bCs/>
        </w:rPr>
        <w:lastRenderedPageBreak/>
        <w:t xml:space="preserve">we </w:t>
      </w:r>
      <w:r w:rsidR="008D206D" w:rsidRPr="00F6357B">
        <w:rPr>
          <w:rFonts w:asciiTheme="majorBidi" w:hAnsiTheme="majorBidi" w:cstheme="majorBidi"/>
          <w:bCs/>
        </w:rPr>
        <w:t>will refer to</w:t>
      </w:r>
      <w:r w:rsidR="00746842" w:rsidRPr="00F6357B">
        <w:rPr>
          <w:rFonts w:asciiTheme="majorBidi" w:hAnsiTheme="majorBidi" w:cstheme="majorBidi"/>
          <w:bCs/>
        </w:rPr>
        <w:t xml:space="preserve"> th</w:t>
      </w:r>
      <w:r w:rsidR="008D206D" w:rsidRPr="00F6357B">
        <w:rPr>
          <w:rFonts w:asciiTheme="majorBidi" w:hAnsiTheme="majorBidi" w:cstheme="majorBidi"/>
          <w:bCs/>
        </w:rPr>
        <w:t>is</w:t>
      </w:r>
      <w:r w:rsidR="00746842" w:rsidRPr="00F6357B">
        <w:rPr>
          <w:rFonts w:asciiTheme="majorBidi" w:hAnsiTheme="majorBidi" w:cstheme="majorBidi"/>
          <w:bCs/>
        </w:rPr>
        <w:t xml:space="preserve"> </w:t>
      </w:r>
      <w:r w:rsidR="004E11A3" w:rsidRPr="00F6357B">
        <w:rPr>
          <w:rFonts w:asciiTheme="majorBidi" w:hAnsiTheme="majorBidi" w:cstheme="majorBidi"/>
          <w:bCs/>
        </w:rPr>
        <w:t>expectation of us</w:t>
      </w:r>
      <w:r w:rsidR="008D206D" w:rsidRPr="00F6357B">
        <w:rPr>
          <w:rFonts w:asciiTheme="majorBidi" w:hAnsiTheme="majorBidi" w:cstheme="majorBidi"/>
          <w:bCs/>
        </w:rPr>
        <w:t xml:space="preserve">e </w:t>
      </w:r>
      <w:r w:rsidR="004E11A3" w:rsidRPr="00F6357B">
        <w:rPr>
          <w:rFonts w:asciiTheme="majorBidi" w:hAnsiTheme="majorBidi" w:cstheme="majorBidi"/>
          <w:bCs/>
        </w:rPr>
        <w:t xml:space="preserve">as “telemedicine adoption” in the </w:t>
      </w:r>
      <w:r w:rsidR="006312A4">
        <w:rPr>
          <w:rFonts w:asciiTheme="majorBidi" w:hAnsiTheme="majorBidi" w:cstheme="majorBidi"/>
          <w:bCs/>
        </w:rPr>
        <w:t>After-COVID</w:t>
      </w:r>
      <w:r w:rsidR="004E11A3" w:rsidRPr="00F6357B">
        <w:rPr>
          <w:rFonts w:asciiTheme="majorBidi" w:hAnsiTheme="majorBidi" w:cstheme="majorBidi"/>
          <w:bCs/>
        </w:rPr>
        <w:t xml:space="preserve"> period).</w:t>
      </w:r>
      <w:r w:rsidR="00D60765">
        <w:rPr>
          <w:rStyle w:val="FootnoteReference"/>
          <w:rFonts w:asciiTheme="majorBidi" w:hAnsiTheme="majorBidi" w:cstheme="majorBidi"/>
          <w:bCs/>
        </w:rPr>
        <w:footnoteReference w:id="2"/>
      </w:r>
      <w:r w:rsidR="004E11A3" w:rsidRPr="00F6357B">
        <w:rPr>
          <w:rFonts w:asciiTheme="majorBidi" w:hAnsiTheme="majorBidi" w:cstheme="majorBidi"/>
          <w:bCs/>
        </w:rPr>
        <w:t xml:space="preserve"> Utilizing these expected future levels</w:t>
      </w:r>
      <w:r w:rsidR="008D206D" w:rsidRPr="00F6357B">
        <w:rPr>
          <w:rFonts w:asciiTheme="majorBidi" w:hAnsiTheme="majorBidi" w:cstheme="majorBidi"/>
          <w:bCs/>
        </w:rPr>
        <w:t xml:space="preserve"> </w:t>
      </w:r>
      <w:r w:rsidR="004E11A3" w:rsidRPr="00F6357B">
        <w:rPr>
          <w:rFonts w:asciiTheme="majorBidi" w:hAnsiTheme="majorBidi" w:cstheme="majorBidi"/>
          <w:bCs/>
        </w:rPr>
        <w:t>provid</w:t>
      </w:r>
      <w:r w:rsidR="008D206D" w:rsidRPr="00F6357B">
        <w:rPr>
          <w:rFonts w:asciiTheme="majorBidi" w:hAnsiTheme="majorBidi" w:cstheme="majorBidi"/>
          <w:bCs/>
        </w:rPr>
        <w:t>es</w:t>
      </w:r>
      <w:r w:rsidR="004E11A3" w:rsidRPr="00F6357B">
        <w:rPr>
          <w:rFonts w:asciiTheme="majorBidi" w:hAnsiTheme="majorBidi" w:cstheme="majorBidi"/>
          <w:bCs/>
        </w:rPr>
        <w:t xml:space="preserve"> a </w:t>
      </w:r>
      <w:r w:rsidR="008D206D" w:rsidRPr="00F6357B">
        <w:rPr>
          <w:rFonts w:asciiTheme="majorBidi" w:hAnsiTheme="majorBidi" w:cstheme="majorBidi"/>
          <w:bCs/>
        </w:rPr>
        <w:t>more stable</w:t>
      </w:r>
      <w:r w:rsidR="004E11A3" w:rsidRPr="00F6357B">
        <w:rPr>
          <w:rFonts w:asciiTheme="majorBidi" w:hAnsiTheme="majorBidi" w:cstheme="majorBidi"/>
          <w:bCs/>
        </w:rPr>
        <w:t xml:space="preserve"> representation of long-term post-pandemic steady-state adoption.</w:t>
      </w:r>
      <w:r w:rsidR="008D206D" w:rsidRPr="00F6357B">
        <w:rPr>
          <w:rFonts w:asciiTheme="majorBidi" w:hAnsiTheme="majorBidi" w:cstheme="majorBidi"/>
          <w:bCs/>
        </w:rPr>
        <w:t xml:space="preserve"> Finally</w:t>
      </w:r>
      <w:r w:rsidR="00933C02" w:rsidRPr="00F6357B">
        <w:rPr>
          <w:rFonts w:asciiTheme="majorBidi" w:hAnsiTheme="majorBidi" w:cstheme="majorBidi"/>
          <w:bCs/>
        </w:rPr>
        <w:t>, b</w:t>
      </w:r>
      <w:r w:rsidRPr="00F6357B">
        <w:rPr>
          <w:rFonts w:asciiTheme="majorBidi" w:hAnsiTheme="majorBidi" w:cstheme="majorBidi"/>
          <w:bCs/>
        </w:rPr>
        <w:t xml:space="preserve">ased on the responses to the survey question </w:t>
      </w:r>
      <w:r w:rsidR="00BD2DF4" w:rsidRPr="00F6357B">
        <w:rPr>
          <w:rFonts w:asciiTheme="majorBidi" w:hAnsiTheme="majorBidi" w:cstheme="majorBidi"/>
          <w:bCs/>
        </w:rPr>
        <w:t xml:space="preserve">regarding </w:t>
      </w:r>
      <w:r w:rsidR="008D206D" w:rsidRPr="00F6357B">
        <w:rPr>
          <w:rFonts w:asciiTheme="majorBidi" w:hAnsiTheme="majorBidi" w:cstheme="majorBidi"/>
          <w:bCs/>
        </w:rPr>
        <w:t xml:space="preserve">telemedicine adoption in the </w:t>
      </w:r>
      <w:r w:rsidR="006312A4">
        <w:rPr>
          <w:rFonts w:asciiTheme="majorBidi" w:hAnsiTheme="majorBidi" w:cstheme="majorBidi"/>
          <w:bCs/>
        </w:rPr>
        <w:t>After-COVID</w:t>
      </w:r>
      <w:r w:rsidR="008D206D" w:rsidRPr="00F6357B">
        <w:rPr>
          <w:rFonts w:asciiTheme="majorBidi" w:hAnsiTheme="majorBidi" w:cstheme="majorBidi"/>
          <w:bCs/>
        </w:rPr>
        <w:t xml:space="preserve"> period, </w:t>
      </w:r>
      <w:r w:rsidRPr="00F6357B">
        <w:rPr>
          <w:rFonts w:asciiTheme="majorBidi" w:hAnsiTheme="majorBidi" w:cstheme="majorBidi"/>
          <w:bCs/>
        </w:rPr>
        <w:t xml:space="preserve">respondents were presented with a series of </w:t>
      </w:r>
      <w:r w:rsidR="001521DC" w:rsidRPr="00F6357B">
        <w:rPr>
          <w:rFonts w:asciiTheme="majorBidi" w:hAnsiTheme="majorBidi" w:cstheme="majorBidi"/>
          <w:bCs/>
        </w:rPr>
        <w:t xml:space="preserve">queries </w:t>
      </w:r>
      <w:r w:rsidRPr="00F6357B">
        <w:rPr>
          <w:rFonts w:asciiTheme="majorBidi" w:hAnsiTheme="majorBidi" w:cstheme="majorBidi"/>
          <w:bCs/>
        </w:rPr>
        <w:t xml:space="preserve">aimed at understanding the underlying </w:t>
      </w:r>
      <w:r w:rsidR="00032207" w:rsidRPr="00F6357B">
        <w:rPr>
          <w:rFonts w:asciiTheme="majorBidi" w:hAnsiTheme="majorBidi" w:cstheme="majorBidi"/>
          <w:bCs/>
        </w:rPr>
        <w:t>reasons</w:t>
      </w:r>
      <w:r w:rsidRPr="00F6357B">
        <w:rPr>
          <w:rFonts w:asciiTheme="majorBidi" w:hAnsiTheme="majorBidi" w:cstheme="majorBidi"/>
          <w:bCs/>
        </w:rPr>
        <w:t xml:space="preserve"> behind adopti</w:t>
      </w:r>
      <w:r w:rsidR="00680195">
        <w:rPr>
          <w:rFonts w:asciiTheme="majorBidi" w:hAnsiTheme="majorBidi" w:cstheme="majorBidi"/>
          <w:bCs/>
        </w:rPr>
        <w:t xml:space="preserve">on </w:t>
      </w:r>
      <w:r w:rsidRPr="00F6357B">
        <w:rPr>
          <w:rFonts w:asciiTheme="majorBidi" w:hAnsiTheme="majorBidi" w:cstheme="majorBidi"/>
          <w:bCs/>
        </w:rPr>
        <w:t>or n</w:t>
      </w:r>
      <w:r w:rsidR="00665102">
        <w:rPr>
          <w:rFonts w:asciiTheme="majorBidi" w:hAnsiTheme="majorBidi" w:cstheme="majorBidi"/>
          <w:bCs/>
        </w:rPr>
        <w:t>on-</w:t>
      </w:r>
      <w:r w:rsidRPr="00F6357B">
        <w:rPr>
          <w:rFonts w:asciiTheme="majorBidi" w:hAnsiTheme="majorBidi" w:cstheme="majorBidi"/>
          <w:bCs/>
        </w:rPr>
        <w:t>adopti</w:t>
      </w:r>
      <w:r w:rsidR="00665102">
        <w:rPr>
          <w:rFonts w:asciiTheme="majorBidi" w:hAnsiTheme="majorBidi" w:cstheme="majorBidi"/>
          <w:bCs/>
        </w:rPr>
        <w:t>on.</w:t>
      </w:r>
    </w:p>
    <w:p w14:paraId="6B64251C" w14:textId="6DC774D7" w:rsidR="00152F67" w:rsidRDefault="006E5F86" w:rsidP="009D0CA2">
      <w:pPr>
        <w:autoSpaceDE w:val="0"/>
        <w:autoSpaceDN w:val="0"/>
        <w:adjustRightInd w:val="0"/>
        <w:spacing w:after="0" w:line="240" w:lineRule="auto"/>
        <w:ind w:firstLine="720"/>
        <w:jc w:val="both"/>
        <w:rPr>
          <w:rFonts w:asciiTheme="majorBidi" w:hAnsiTheme="majorBidi" w:cstheme="majorBidi"/>
          <w:bCs/>
        </w:rPr>
      </w:pPr>
      <w:r w:rsidRPr="00F6357B">
        <w:rPr>
          <w:rFonts w:asciiTheme="majorBidi" w:hAnsiTheme="majorBidi" w:cstheme="majorBidi"/>
          <w:bCs/>
        </w:rPr>
        <w:t xml:space="preserve">Following data quality assurance procedures, we </w:t>
      </w:r>
      <w:r w:rsidR="00E037F4" w:rsidRPr="00F6357B">
        <w:rPr>
          <w:rFonts w:asciiTheme="majorBidi" w:hAnsiTheme="majorBidi" w:cstheme="majorBidi"/>
          <w:bCs/>
        </w:rPr>
        <w:t xml:space="preserve">excluded participants with </w:t>
      </w:r>
      <w:r w:rsidRPr="00F6357B">
        <w:rPr>
          <w:rFonts w:asciiTheme="majorBidi" w:hAnsiTheme="majorBidi" w:cstheme="majorBidi"/>
          <w:bCs/>
        </w:rPr>
        <w:t xml:space="preserve">erroneous </w:t>
      </w:r>
      <w:r w:rsidR="00E037F4" w:rsidRPr="00F6357B">
        <w:rPr>
          <w:rFonts w:asciiTheme="majorBidi" w:hAnsiTheme="majorBidi" w:cstheme="majorBidi"/>
          <w:bCs/>
        </w:rPr>
        <w:t xml:space="preserve">or missing </w:t>
      </w:r>
      <w:r w:rsidRPr="00F6357B">
        <w:rPr>
          <w:rFonts w:asciiTheme="majorBidi" w:hAnsiTheme="majorBidi" w:cstheme="majorBidi"/>
          <w:bCs/>
        </w:rPr>
        <w:t xml:space="preserve">data </w:t>
      </w:r>
      <w:r w:rsidR="001521DC" w:rsidRPr="00F6357B">
        <w:rPr>
          <w:rFonts w:asciiTheme="majorBidi" w:hAnsiTheme="majorBidi" w:cstheme="majorBidi"/>
          <w:bCs/>
        </w:rPr>
        <w:t>across</w:t>
      </w:r>
      <w:r w:rsidR="00E037F4" w:rsidRPr="00F6357B">
        <w:rPr>
          <w:rFonts w:asciiTheme="majorBidi" w:hAnsiTheme="majorBidi" w:cstheme="majorBidi"/>
          <w:bCs/>
        </w:rPr>
        <w:t xml:space="preserve"> any of the</w:t>
      </w:r>
      <w:r w:rsidR="004E11A3" w:rsidRPr="00F6357B">
        <w:rPr>
          <w:rFonts w:asciiTheme="majorBidi" w:hAnsiTheme="majorBidi" w:cstheme="majorBidi"/>
          <w:bCs/>
        </w:rPr>
        <w:t xml:space="preserve"> </w:t>
      </w:r>
      <w:r w:rsidR="00C817CF">
        <w:rPr>
          <w:rFonts w:asciiTheme="majorBidi" w:hAnsiTheme="majorBidi" w:cstheme="majorBidi"/>
          <w:bCs/>
        </w:rPr>
        <w:t>Before-</w:t>
      </w:r>
      <w:r w:rsidR="004E11A3" w:rsidRPr="00F6357B">
        <w:rPr>
          <w:rFonts w:asciiTheme="majorBidi" w:hAnsiTheme="majorBidi" w:cstheme="majorBidi"/>
          <w:bCs/>
        </w:rPr>
        <w:t xml:space="preserve">, </w:t>
      </w:r>
      <w:r w:rsidR="00F8247A">
        <w:rPr>
          <w:rFonts w:asciiTheme="majorBidi" w:hAnsiTheme="majorBidi" w:cstheme="majorBidi"/>
          <w:bCs/>
        </w:rPr>
        <w:t>During-</w:t>
      </w:r>
      <w:r w:rsidR="004E11A3" w:rsidRPr="00F6357B">
        <w:rPr>
          <w:rFonts w:asciiTheme="majorBidi" w:hAnsiTheme="majorBidi" w:cstheme="majorBidi"/>
          <w:bCs/>
        </w:rPr>
        <w:t xml:space="preserve">, and </w:t>
      </w:r>
      <w:r w:rsidR="006312A4">
        <w:rPr>
          <w:rFonts w:asciiTheme="majorBidi" w:hAnsiTheme="majorBidi" w:cstheme="majorBidi"/>
          <w:bCs/>
        </w:rPr>
        <w:t>After-COVID</w:t>
      </w:r>
      <w:r w:rsidR="004E11A3" w:rsidRPr="00F6357B">
        <w:rPr>
          <w:rFonts w:asciiTheme="majorBidi" w:hAnsiTheme="majorBidi" w:cstheme="majorBidi"/>
          <w:bCs/>
        </w:rPr>
        <w:t xml:space="preserve"> periods.</w:t>
      </w:r>
      <w:r w:rsidR="001521DC" w:rsidRPr="00F6357B">
        <w:rPr>
          <w:rFonts w:asciiTheme="majorBidi" w:hAnsiTheme="majorBidi" w:cstheme="majorBidi"/>
          <w:bCs/>
        </w:rPr>
        <w:t xml:space="preserve"> </w:t>
      </w:r>
      <w:r w:rsidR="003F4E56">
        <w:rPr>
          <w:rFonts w:asciiTheme="majorBidi" w:hAnsiTheme="majorBidi" w:cstheme="majorBidi"/>
          <w:bCs/>
        </w:rPr>
        <w:t xml:space="preserve">A total of </w:t>
      </w:r>
      <w:r w:rsidR="001521DC" w:rsidRPr="00F6357B">
        <w:rPr>
          <w:rFonts w:asciiTheme="majorBidi" w:hAnsiTheme="majorBidi" w:cstheme="majorBidi"/>
          <w:bCs/>
        </w:rPr>
        <w:t xml:space="preserve">2041 individuals with adoption/non-adoption information across all three </w:t>
      </w:r>
      <w:r w:rsidR="004E11A3" w:rsidRPr="00F6357B">
        <w:rPr>
          <w:rFonts w:asciiTheme="majorBidi" w:hAnsiTheme="majorBidi" w:cstheme="majorBidi"/>
          <w:bCs/>
        </w:rPr>
        <w:t xml:space="preserve">periods </w:t>
      </w:r>
      <w:r w:rsidR="001521DC" w:rsidRPr="00F6357B">
        <w:rPr>
          <w:rFonts w:asciiTheme="majorBidi" w:hAnsiTheme="majorBidi" w:cstheme="majorBidi"/>
          <w:bCs/>
        </w:rPr>
        <w:t xml:space="preserve">were retained for the </w:t>
      </w:r>
      <w:r w:rsidR="009663F4">
        <w:rPr>
          <w:rFonts w:asciiTheme="majorBidi" w:hAnsiTheme="majorBidi" w:cstheme="majorBidi"/>
          <w:bCs/>
        </w:rPr>
        <w:t>multiperiod</w:t>
      </w:r>
      <w:r w:rsidR="001521DC">
        <w:rPr>
          <w:rFonts w:asciiTheme="majorBidi" w:hAnsiTheme="majorBidi" w:cstheme="majorBidi"/>
          <w:bCs/>
        </w:rPr>
        <w:t xml:space="preserve"> MBP analysis of </w:t>
      </w:r>
      <w:r w:rsidR="0069340B">
        <w:fldChar w:fldCharType="begin"/>
      </w:r>
      <w:r w:rsidR="0069340B">
        <w:instrText xml:space="preserve"> REF _Ref178944826 \h </w:instrText>
      </w:r>
      <w:r w:rsidR="0069340B">
        <w:fldChar w:fldCharType="separate"/>
      </w:r>
      <w:r w:rsidR="008A3DCE">
        <w:t xml:space="preserve">Figure </w:t>
      </w:r>
      <w:r w:rsidR="008A3DCE">
        <w:rPr>
          <w:noProof/>
        </w:rPr>
        <w:t>1</w:t>
      </w:r>
      <w:r w:rsidR="0069340B">
        <w:fldChar w:fldCharType="end"/>
      </w:r>
      <w:r w:rsidR="001521DC">
        <w:rPr>
          <w:rFonts w:asciiTheme="majorBidi" w:hAnsiTheme="majorBidi" w:cstheme="majorBidi"/>
          <w:bCs/>
        </w:rPr>
        <w:t>. But, f</w:t>
      </w:r>
      <w:r w:rsidR="00152F67" w:rsidRPr="00152F67">
        <w:rPr>
          <w:rFonts w:asciiTheme="majorBidi" w:hAnsiTheme="majorBidi" w:cstheme="majorBidi"/>
          <w:bCs/>
        </w:rPr>
        <w:t xml:space="preserve">or the analysis </w:t>
      </w:r>
      <w:r w:rsidR="002A353D">
        <w:rPr>
          <w:rFonts w:asciiTheme="majorBidi" w:hAnsiTheme="majorBidi" w:cstheme="majorBidi"/>
          <w:bCs/>
        </w:rPr>
        <w:t>focusing on the</w:t>
      </w:r>
      <w:r w:rsidR="00152F67" w:rsidRPr="00152F67">
        <w:rPr>
          <w:rFonts w:asciiTheme="majorBidi" w:hAnsiTheme="majorBidi" w:cstheme="majorBidi"/>
          <w:bCs/>
        </w:rPr>
        <w:t xml:space="preserve"> reasons </w:t>
      </w:r>
      <w:r w:rsidR="002A353D">
        <w:rPr>
          <w:rFonts w:asciiTheme="majorBidi" w:hAnsiTheme="majorBidi" w:cstheme="majorBidi"/>
          <w:bCs/>
        </w:rPr>
        <w:t>behind</w:t>
      </w:r>
      <w:r w:rsidR="00152F67" w:rsidRPr="00152F67">
        <w:rPr>
          <w:rFonts w:asciiTheme="majorBidi" w:hAnsiTheme="majorBidi" w:cstheme="majorBidi"/>
          <w:bCs/>
        </w:rPr>
        <w:t xml:space="preserve"> adopting or </w:t>
      </w:r>
      <w:r w:rsidR="002A353D">
        <w:rPr>
          <w:rFonts w:asciiTheme="majorBidi" w:hAnsiTheme="majorBidi" w:cstheme="majorBidi"/>
          <w:bCs/>
        </w:rPr>
        <w:t>not adopting</w:t>
      </w:r>
      <w:r w:rsidR="00152F67" w:rsidRPr="00152F67">
        <w:rPr>
          <w:rFonts w:asciiTheme="majorBidi" w:hAnsiTheme="majorBidi" w:cstheme="majorBidi"/>
          <w:bCs/>
        </w:rPr>
        <w:t xml:space="preserve"> telemedicine </w:t>
      </w:r>
      <w:r w:rsidR="006312A4">
        <w:rPr>
          <w:rFonts w:asciiTheme="majorBidi" w:hAnsiTheme="majorBidi" w:cstheme="majorBidi"/>
          <w:bCs/>
        </w:rPr>
        <w:t>After-COVID</w:t>
      </w:r>
      <w:r w:rsidR="00152F67" w:rsidRPr="00152F67">
        <w:rPr>
          <w:rFonts w:asciiTheme="majorBidi" w:hAnsiTheme="majorBidi" w:cstheme="majorBidi"/>
          <w:bCs/>
        </w:rPr>
        <w:t>,</w:t>
      </w:r>
      <w:r w:rsidR="00152F67">
        <w:rPr>
          <w:rFonts w:asciiTheme="majorBidi" w:hAnsiTheme="majorBidi" w:cstheme="majorBidi"/>
          <w:bCs/>
        </w:rPr>
        <w:t xml:space="preserve"> </w:t>
      </w:r>
      <w:r w:rsidR="00152F67" w:rsidRPr="00152F67">
        <w:rPr>
          <w:rFonts w:asciiTheme="majorBidi" w:hAnsiTheme="majorBidi" w:cstheme="majorBidi"/>
          <w:bCs/>
        </w:rPr>
        <w:t>the sample size was slightly larger at 2</w:t>
      </w:r>
      <w:r w:rsidR="002A353D">
        <w:rPr>
          <w:rFonts w:asciiTheme="majorBidi" w:hAnsiTheme="majorBidi" w:cstheme="majorBidi"/>
          <w:bCs/>
        </w:rPr>
        <w:t>,</w:t>
      </w:r>
      <w:r w:rsidR="00152F67" w:rsidRPr="00152F67">
        <w:rPr>
          <w:rFonts w:asciiTheme="majorBidi" w:hAnsiTheme="majorBidi" w:cstheme="majorBidi"/>
          <w:bCs/>
        </w:rPr>
        <w:t>3</w:t>
      </w:r>
      <w:r>
        <w:rPr>
          <w:rFonts w:asciiTheme="majorBidi" w:hAnsiTheme="majorBidi" w:cstheme="majorBidi"/>
          <w:bCs/>
        </w:rPr>
        <w:t>35</w:t>
      </w:r>
      <w:r w:rsidR="00152F67" w:rsidRPr="00152F67">
        <w:rPr>
          <w:rFonts w:asciiTheme="majorBidi" w:hAnsiTheme="majorBidi" w:cstheme="majorBidi"/>
          <w:bCs/>
        </w:rPr>
        <w:t xml:space="preserve"> observations</w:t>
      </w:r>
      <w:r w:rsidR="002A353D">
        <w:rPr>
          <w:rFonts w:asciiTheme="majorBidi" w:hAnsiTheme="majorBidi" w:cstheme="majorBidi"/>
          <w:bCs/>
        </w:rPr>
        <w:t xml:space="preserve"> because this</w:t>
      </w:r>
      <w:r w:rsidR="002A353D" w:rsidRPr="002A353D">
        <w:t xml:space="preserve"> </w:t>
      </w:r>
      <w:r w:rsidR="002A353D" w:rsidRPr="002A353D">
        <w:rPr>
          <w:rFonts w:asciiTheme="majorBidi" w:hAnsiTheme="majorBidi" w:cstheme="majorBidi"/>
          <w:bCs/>
        </w:rPr>
        <w:t>analysis solely rel</w:t>
      </w:r>
      <w:r w:rsidR="002A353D">
        <w:rPr>
          <w:rFonts w:asciiTheme="majorBidi" w:hAnsiTheme="majorBidi" w:cstheme="majorBidi"/>
          <w:bCs/>
        </w:rPr>
        <w:t>ied</w:t>
      </w:r>
      <w:r w:rsidR="002A353D" w:rsidRPr="002A353D">
        <w:rPr>
          <w:rFonts w:asciiTheme="majorBidi" w:hAnsiTheme="majorBidi" w:cstheme="majorBidi"/>
          <w:bCs/>
        </w:rPr>
        <w:t xml:space="preserve"> on responses </w:t>
      </w:r>
      <w:r w:rsidR="004E11A3">
        <w:rPr>
          <w:rFonts w:asciiTheme="majorBidi" w:hAnsiTheme="majorBidi" w:cstheme="majorBidi"/>
          <w:bCs/>
        </w:rPr>
        <w:t>related to post-COVID adoption</w:t>
      </w:r>
      <w:r w:rsidR="00202FD1">
        <w:rPr>
          <w:rFonts w:asciiTheme="majorBidi" w:hAnsiTheme="majorBidi" w:cstheme="majorBidi"/>
          <w:bCs/>
        </w:rPr>
        <w:t xml:space="preserve">. This part of the analysis corresponds to the cross-sectional MBP. However, as we discuss in Section </w:t>
      </w:r>
      <w:r w:rsidR="0069340B">
        <w:rPr>
          <w:rFonts w:asciiTheme="majorBidi" w:hAnsiTheme="majorBidi" w:cstheme="majorBidi"/>
          <w:bCs/>
        </w:rPr>
        <w:fldChar w:fldCharType="begin"/>
      </w:r>
      <w:r w:rsidR="0069340B">
        <w:rPr>
          <w:rFonts w:asciiTheme="majorBidi" w:hAnsiTheme="majorBidi" w:cstheme="majorBidi"/>
          <w:bCs/>
        </w:rPr>
        <w:instrText xml:space="preserve"> REF _Ref178944190 \n \h </w:instrText>
      </w:r>
      <w:r w:rsidR="0069340B">
        <w:rPr>
          <w:rFonts w:asciiTheme="majorBidi" w:hAnsiTheme="majorBidi" w:cstheme="majorBidi"/>
          <w:bCs/>
        </w:rPr>
      </w:r>
      <w:r w:rsidR="0069340B">
        <w:rPr>
          <w:rFonts w:asciiTheme="majorBidi" w:hAnsiTheme="majorBidi" w:cstheme="majorBidi"/>
          <w:bCs/>
        </w:rPr>
        <w:fldChar w:fldCharType="separate"/>
      </w:r>
      <w:r w:rsidR="008A3DCE">
        <w:rPr>
          <w:rFonts w:asciiTheme="majorBidi" w:hAnsiTheme="majorBidi" w:cstheme="majorBidi"/>
          <w:bCs/>
        </w:rPr>
        <w:t>4</w:t>
      </w:r>
      <w:r w:rsidR="0069340B">
        <w:rPr>
          <w:rFonts w:asciiTheme="majorBidi" w:hAnsiTheme="majorBidi" w:cstheme="majorBidi"/>
          <w:bCs/>
        </w:rPr>
        <w:fldChar w:fldCharType="end"/>
      </w:r>
      <w:r w:rsidR="00202FD1">
        <w:rPr>
          <w:rFonts w:asciiTheme="majorBidi" w:hAnsiTheme="majorBidi" w:cstheme="majorBidi"/>
          <w:bCs/>
        </w:rPr>
        <w:t xml:space="preserve">, the entire structure of the </w:t>
      </w:r>
      <w:r w:rsidR="009663F4">
        <w:rPr>
          <w:rFonts w:asciiTheme="majorBidi" w:hAnsiTheme="majorBidi" w:cstheme="majorBidi"/>
          <w:bCs/>
        </w:rPr>
        <w:t>multiperiod</w:t>
      </w:r>
      <w:r w:rsidR="00202FD1">
        <w:rPr>
          <w:rFonts w:asciiTheme="majorBidi" w:hAnsiTheme="majorBidi" w:cstheme="majorBidi"/>
          <w:bCs/>
        </w:rPr>
        <w:t xml:space="preserve"> MBP and cross-sectional MBP</w:t>
      </w:r>
      <w:r w:rsidR="00665102">
        <w:rPr>
          <w:rFonts w:asciiTheme="majorBidi" w:hAnsiTheme="majorBidi" w:cstheme="majorBidi"/>
          <w:bCs/>
        </w:rPr>
        <w:t xml:space="preserve"> is</w:t>
      </w:r>
      <w:r w:rsidR="00202FD1">
        <w:rPr>
          <w:rFonts w:asciiTheme="majorBidi" w:hAnsiTheme="majorBidi" w:cstheme="majorBidi"/>
          <w:bCs/>
        </w:rPr>
        <w:t xml:space="preserve"> undertaken jointly</w:t>
      </w:r>
      <w:r w:rsidR="0069340B">
        <w:rPr>
          <w:rFonts w:asciiTheme="majorBidi" w:hAnsiTheme="majorBidi" w:cstheme="majorBidi"/>
          <w:bCs/>
        </w:rPr>
        <w:t>.</w:t>
      </w:r>
    </w:p>
    <w:p w14:paraId="27872D3A" w14:textId="4F23FCC0" w:rsidR="00A37834" w:rsidRDefault="00534A83" w:rsidP="009D0CA2">
      <w:pPr>
        <w:autoSpaceDE w:val="0"/>
        <w:autoSpaceDN w:val="0"/>
        <w:adjustRightInd w:val="0"/>
        <w:spacing w:after="0" w:line="240" w:lineRule="auto"/>
        <w:ind w:firstLine="720"/>
        <w:jc w:val="both"/>
        <w:rPr>
          <w:rFonts w:asciiTheme="majorBidi" w:hAnsiTheme="majorBidi" w:cstheme="majorBidi"/>
          <w:bCs/>
        </w:rPr>
      </w:pPr>
      <w:bookmarkStart w:id="28" w:name="_Hlk178772555"/>
      <w:r w:rsidRPr="0071015E">
        <w:rPr>
          <w:rFonts w:asciiTheme="majorBidi" w:hAnsiTheme="majorBidi" w:cstheme="majorBidi"/>
          <w:bCs/>
          <w:lang w:val="la-Latn"/>
        </w:rPr>
        <w:t xml:space="preserve">Supplementary data </w:t>
      </w:r>
      <w:r w:rsidRPr="0071015E">
        <w:rPr>
          <w:rFonts w:asciiTheme="majorBidi" w:hAnsiTheme="majorBidi" w:cstheme="majorBidi"/>
          <w:bCs/>
        </w:rPr>
        <w:t xml:space="preserve">regarding the </w:t>
      </w:r>
      <w:r w:rsidRPr="0071015E">
        <w:rPr>
          <w:rFonts w:asciiTheme="majorBidi" w:hAnsiTheme="majorBidi" w:cstheme="majorBidi"/>
          <w:bCs/>
          <w:lang w:val="la-Latn"/>
        </w:rPr>
        <w:t xml:space="preserve">zip code tabulation area </w:t>
      </w:r>
      <w:r w:rsidR="00FD6918" w:rsidRPr="0071015E">
        <w:rPr>
          <w:rFonts w:asciiTheme="majorBidi" w:hAnsiTheme="majorBidi" w:cstheme="majorBidi"/>
          <w:bCs/>
        </w:rPr>
        <w:t xml:space="preserve">population density were </w:t>
      </w:r>
      <w:r w:rsidRPr="0071015E">
        <w:rPr>
          <w:rFonts w:asciiTheme="majorBidi" w:hAnsiTheme="majorBidi" w:cstheme="majorBidi"/>
          <w:bCs/>
        </w:rPr>
        <w:t>appended to the survey data</w:t>
      </w:r>
      <w:r w:rsidRPr="0071015E">
        <w:rPr>
          <w:rFonts w:asciiTheme="majorBidi" w:hAnsiTheme="majorBidi" w:cstheme="majorBidi"/>
          <w:bCs/>
          <w:lang w:val="la-Latn"/>
        </w:rPr>
        <w:t xml:space="preserve"> from the 2021 American Community Survey</w:t>
      </w:r>
      <w:r w:rsidR="008850E4">
        <w:rPr>
          <w:rFonts w:asciiTheme="majorBidi" w:hAnsiTheme="majorBidi" w:cstheme="majorBidi"/>
          <w:bCs/>
        </w:rPr>
        <w:t xml:space="preserve"> (ACS)</w:t>
      </w:r>
      <w:r w:rsidRPr="0071015E">
        <w:rPr>
          <w:rFonts w:asciiTheme="majorBidi" w:hAnsiTheme="majorBidi" w:cstheme="majorBidi"/>
          <w:bCs/>
        </w:rPr>
        <w:t>.</w:t>
      </w:r>
      <w:bookmarkEnd w:id="28"/>
      <w:r w:rsidRPr="0071015E">
        <w:rPr>
          <w:rFonts w:asciiTheme="majorBidi" w:hAnsiTheme="majorBidi" w:cstheme="majorBidi"/>
          <w:bCs/>
        </w:rPr>
        <w:t xml:space="preserve"> Additionally, the </w:t>
      </w:r>
      <w:r w:rsidR="00032207" w:rsidRPr="0071015E">
        <w:rPr>
          <w:rFonts w:asciiTheme="majorBidi" w:hAnsiTheme="majorBidi" w:cstheme="majorBidi"/>
          <w:bCs/>
        </w:rPr>
        <w:t>number of healthcare</w:t>
      </w:r>
      <w:r w:rsidR="002A353D" w:rsidRPr="0071015E">
        <w:rPr>
          <w:rFonts w:asciiTheme="majorBidi" w:hAnsiTheme="majorBidi" w:cstheme="majorBidi"/>
          <w:bCs/>
        </w:rPr>
        <w:t>-</w:t>
      </w:r>
      <w:r w:rsidR="00032207" w:rsidRPr="0071015E">
        <w:rPr>
          <w:rFonts w:asciiTheme="majorBidi" w:hAnsiTheme="majorBidi" w:cstheme="majorBidi"/>
          <w:bCs/>
        </w:rPr>
        <w:t xml:space="preserve">related establishments (including outpatient care centers, general medical and surgical hospitals, and offices of physicians) </w:t>
      </w:r>
      <w:r w:rsidRPr="0071015E">
        <w:rPr>
          <w:rFonts w:asciiTheme="majorBidi" w:hAnsiTheme="majorBidi" w:cstheme="majorBidi"/>
          <w:bCs/>
        </w:rPr>
        <w:t xml:space="preserve">in the zip code, obtained from </w:t>
      </w:r>
      <w:bookmarkStart w:id="29" w:name="_Hlk178772577"/>
      <w:r w:rsidRPr="0071015E">
        <w:rPr>
          <w:rFonts w:asciiTheme="majorBidi" w:hAnsiTheme="majorBidi" w:cstheme="majorBidi"/>
          <w:bCs/>
        </w:rPr>
        <w:t xml:space="preserve">the </w:t>
      </w:r>
      <w:r w:rsidR="00032207" w:rsidRPr="0071015E">
        <w:rPr>
          <w:rFonts w:asciiTheme="majorBidi" w:hAnsiTheme="majorBidi" w:cstheme="majorBidi"/>
          <w:bCs/>
        </w:rPr>
        <w:t xml:space="preserve">U.S. Census </w:t>
      </w:r>
      <w:r w:rsidR="008626C8" w:rsidRPr="0071015E">
        <w:rPr>
          <w:rFonts w:asciiTheme="majorBidi" w:hAnsiTheme="majorBidi" w:cstheme="majorBidi"/>
          <w:bCs/>
        </w:rPr>
        <w:t xml:space="preserve">Bureau </w:t>
      </w:r>
      <w:r w:rsidR="00032207" w:rsidRPr="0071015E">
        <w:rPr>
          <w:rFonts w:asciiTheme="majorBidi" w:hAnsiTheme="majorBidi" w:cstheme="majorBidi"/>
          <w:bCs/>
        </w:rPr>
        <w:t xml:space="preserve">2021 County Business Patterns (CBP) </w:t>
      </w:r>
      <w:r w:rsidR="00032207" w:rsidRPr="001B1E27">
        <w:rPr>
          <w:rFonts w:asciiTheme="majorBidi" w:hAnsiTheme="majorBidi" w:cstheme="majorBidi"/>
          <w:bCs/>
        </w:rPr>
        <w:t xml:space="preserve">dataset </w:t>
      </w:r>
      <w:bookmarkEnd w:id="29"/>
      <w:r w:rsidR="00032207" w:rsidRPr="001B1E27">
        <w:rPr>
          <w:rFonts w:asciiTheme="majorBidi" w:hAnsiTheme="majorBidi" w:cstheme="majorBidi"/>
          <w:bCs/>
        </w:rPr>
        <w:fldChar w:fldCharType="begin"/>
      </w:r>
      <w:r w:rsidR="00032207" w:rsidRPr="001B1E27">
        <w:rPr>
          <w:rFonts w:asciiTheme="majorBidi" w:hAnsiTheme="majorBidi" w:cstheme="majorBidi"/>
          <w:bCs/>
        </w:rPr>
        <w:instrText xml:space="preserve"> ADDIN ZOTERO_ITEM CSL_CITATION {"citationID":"FfMKdHLa","properties":{"formattedCitation":"(U.S. Census Bureau, 2021)","plainCitation":"(U.S. Census Bureau, 2021)","noteIndex":0},"citationItems":[{"id":2305,"uris":["http://zotero.org/users/9292995/items/IDXNTNC2"],"itemData":{"id":2305,"type":"dataset","title":"County Business Patterns","URL":"https://www.census.gov/programs-surveys/cbp.html","author":[{"literal":"U.S. Census Bureau"}],"issued":{"date-parts":[["2021"]]}}}],"schema":"https://github.com/citation-style-language/schema/raw/master/csl-citation.json"} </w:instrText>
      </w:r>
      <w:r w:rsidR="00032207" w:rsidRPr="001B1E27">
        <w:rPr>
          <w:rFonts w:asciiTheme="majorBidi" w:hAnsiTheme="majorBidi" w:cstheme="majorBidi"/>
          <w:bCs/>
        </w:rPr>
        <w:fldChar w:fldCharType="separate"/>
      </w:r>
      <w:r w:rsidR="00032207" w:rsidRPr="001B1E27">
        <w:t>(U.S. Census Bureau, 2021)</w:t>
      </w:r>
      <w:r w:rsidR="00032207" w:rsidRPr="001B1E27">
        <w:rPr>
          <w:rFonts w:asciiTheme="majorBidi" w:hAnsiTheme="majorBidi" w:cstheme="majorBidi"/>
          <w:bCs/>
        </w:rPr>
        <w:fldChar w:fldCharType="end"/>
      </w:r>
      <w:r w:rsidRPr="001B1E27">
        <w:rPr>
          <w:rFonts w:asciiTheme="majorBidi" w:hAnsiTheme="majorBidi" w:cstheme="majorBidi"/>
          <w:bCs/>
        </w:rPr>
        <w:t xml:space="preserve">, </w:t>
      </w:r>
      <w:r w:rsidR="002A353D" w:rsidRPr="001B1E27">
        <w:rPr>
          <w:rFonts w:asciiTheme="majorBidi" w:hAnsiTheme="majorBidi" w:cstheme="majorBidi"/>
          <w:bCs/>
        </w:rPr>
        <w:t xml:space="preserve">was </w:t>
      </w:r>
      <w:r w:rsidRPr="001B1E27">
        <w:rPr>
          <w:rFonts w:asciiTheme="majorBidi" w:hAnsiTheme="majorBidi" w:cstheme="majorBidi"/>
          <w:bCs/>
        </w:rPr>
        <w:t xml:space="preserve">used as a proxy for evaluating individuals’ </w:t>
      </w:r>
      <w:r w:rsidR="00202FD1" w:rsidRPr="001B1E27">
        <w:rPr>
          <w:rFonts w:asciiTheme="majorBidi" w:hAnsiTheme="majorBidi" w:cstheme="majorBidi"/>
          <w:bCs/>
        </w:rPr>
        <w:t xml:space="preserve">in-person (physical) </w:t>
      </w:r>
      <w:r w:rsidRPr="001B1E27">
        <w:rPr>
          <w:rFonts w:asciiTheme="majorBidi" w:hAnsiTheme="majorBidi" w:cstheme="majorBidi"/>
          <w:bCs/>
        </w:rPr>
        <w:t>accessibility to healthcare.</w:t>
      </w:r>
      <w:r w:rsidR="00FD6918" w:rsidRPr="001B1E27">
        <w:rPr>
          <w:rFonts w:asciiTheme="majorBidi" w:hAnsiTheme="majorBidi" w:cstheme="majorBidi"/>
          <w:bCs/>
        </w:rPr>
        <w:t xml:space="preserve"> </w:t>
      </w:r>
    </w:p>
    <w:p w14:paraId="5A9B519F" w14:textId="77777777" w:rsidR="003F4E56" w:rsidRDefault="003F4E56" w:rsidP="009D0CA2">
      <w:pPr>
        <w:autoSpaceDE w:val="0"/>
        <w:autoSpaceDN w:val="0"/>
        <w:adjustRightInd w:val="0"/>
        <w:spacing w:after="0" w:line="240" w:lineRule="auto"/>
        <w:ind w:firstLine="720"/>
        <w:jc w:val="both"/>
        <w:rPr>
          <w:rFonts w:asciiTheme="majorBidi" w:hAnsiTheme="majorBidi" w:cstheme="majorBidi"/>
          <w:bCs/>
        </w:rPr>
      </w:pPr>
    </w:p>
    <w:p w14:paraId="2AAB23E8" w14:textId="443D94B5" w:rsidR="002D3EE2" w:rsidRDefault="002D3EE2" w:rsidP="009D0CA2">
      <w:pPr>
        <w:pStyle w:val="Heading2"/>
        <w:spacing w:after="0" w:line="240" w:lineRule="auto"/>
        <w:contextualSpacing w:val="0"/>
      </w:pPr>
      <w:r>
        <w:t xml:space="preserve">Outcome </w:t>
      </w:r>
      <w:r w:rsidRPr="00A37834">
        <w:t>Variables</w:t>
      </w:r>
    </w:p>
    <w:p w14:paraId="7F033EB3" w14:textId="2F54EE44" w:rsidR="00BF51EC" w:rsidRDefault="0069340B" w:rsidP="009D0CA2">
      <w:pPr>
        <w:spacing w:after="0" w:line="240" w:lineRule="auto"/>
        <w:jc w:val="both"/>
      </w:pPr>
      <w:r>
        <w:fldChar w:fldCharType="begin"/>
      </w:r>
      <w:r>
        <w:instrText xml:space="preserve"> REF _Ref178944934 \h </w:instrText>
      </w:r>
      <w:r>
        <w:fldChar w:fldCharType="separate"/>
      </w:r>
      <w:r w:rsidR="008A3DCE">
        <w:t xml:space="preserve">Table </w:t>
      </w:r>
      <w:r w:rsidR="008A3DCE">
        <w:rPr>
          <w:noProof/>
        </w:rPr>
        <w:t>1</w:t>
      </w:r>
      <w:r>
        <w:fldChar w:fldCharType="end"/>
      </w:r>
      <w:r w:rsidR="008626C8">
        <w:t xml:space="preserve"> below provides descriptive statistics</w:t>
      </w:r>
      <w:r w:rsidR="00877631" w:rsidRPr="00877631">
        <w:t xml:space="preserve"> </w:t>
      </w:r>
      <w:r w:rsidR="00877631">
        <w:t>r</w:t>
      </w:r>
      <w:r w:rsidR="00877631" w:rsidRPr="00877631">
        <w:t xml:space="preserve">elated to telemedicine usage among respondents at different stages </w:t>
      </w:r>
      <w:r w:rsidR="00576532">
        <w:t>of</w:t>
      </w:r>
      <w:r w:rsidR="00877631" w:rsidRPr="00877631">
        <w:t xml:space="preserve"> the COVID-19 pandemic</w:t>
      </w:r>
      <w:r w:rsidR="00576532">
        <w:t xml:space="preserve">. </w:t>
      </w:r>
      <w:bookmarkStart w:id="30" w:name="_Hlk178800773"/>
      <w:r w:rsidR="00F94247">
        <w:t xml:space="preserve">The variables presented in </w:t>
      </w:r>
      <w:r>
        <w:fldChar w:fldCharType="begin"/>
      </w:r>
      <w:r>
        <w:instrText xml:space="preserve"> REF _Ref178944934 \h </w:instrText>
      </w:r>
      <w:r>
        <w:fldChar w:fldCharType="separate"/>
      </w:r>
      <w:r w:rsidR="008A3DCE">
        <w:t xml:space="preserve">Table </w:t>
      </w:r>
      <w:r w:rsidR="008A3DCE">
        <w:rPr>
          <w:noProof/>
        </w:rPr>
        <w:t>1</w:t>
      </w:r>
      <w:r>
        <w:fldChar w:fldCharType="end"/>
      </w:r>
      <w:r>
        <w:t xml:space="preserve"> </w:t>
      </w:r>
      <w:r w:rsidR="00F94247">
        <w:t>correspond to the “Telemedicine Adoption” component of the framework presented in</w:t>
      </w:r>
      <w:r>
        <w:t xml:space="preserve"> </w:t>
      </w:r>
      <w:r>
        <w:fldChar w:fldCharType="begin"/>
      </w:r>
      <w:r>
        <w:instrText xml:space="preserve"> REF _Ref178944826 \h </w:instrText>
      </w:r>
      <w:r>
        <w:fldChar w:fldCharType="separate"/>
      </w:r>
      <w:r w:rsidR="008A3DCE">
        <w:t xml:space="preserve">Figure </w:t>
      </w:r>
      <w:r w:rsidR="008A3DCE">
        <w:rPr>
          <w:noProof/>
        </w:rPr>
        <w:t>1</w:t>
      </w:r>
      <w:r>
        <w:fldChar w:fldCharType="end"/>
      </w:r>
      <w:r w:rsidR="00F94247">
        <w:t xml:space="preserve">. </w:t>
      </w:r>
      <w:bookmarkEnd w:id="30"/>
      <w:r w:rsidR="00BF51EC">
        <w:t>In each cell of the table, we use “Yes” to refer to cases where telemedicine was adopted, and “No” to indicate non-adoption.</w:t>
      </w:r>
      <w:r w:rsidR="00BD2DF4">
        <w:t xml:space="preserve"> In </w:t>
      </w:r>
      <w:r w:rsidR="00BF51EC">
        <w:t>parentheses, we present the number of observations and the relative frequency of observations corresponding to each cell</w:t>
      </w:r>
      <w:r w:rsidR="00651AAB">
        <w:t>.</w:t>
      </w:r>
    </w:p>
    <w:p w14:paraId="0128C8C9" w14:textId="2EC82B1F" w:rsidR="00576532" w:rsidRDefault="008626C8" w:rsidP="009D0CA2">
      <w:pPr>
        <w:spacing w:after="0" w:line="240" w:lineRule="auto"/>
        <w:ind w:firstLine="720"/>
        <w:jc w:val="both"/>
      </w:pPr>
      <w:r>
        <w:t>Before the pandemic</w:t>
      </w:r>
      <w:r w:rsidR="00BF51EC">
        <w:t xml:space="preserve"> (</w:t>
      </w:r>
      <w:r w:rsidR="00752128">
        <w:t>first</w:t>
      </w:r>
      <w:r w:rsidR="00BF51EC">
        <w:t xml:space="preserve"> column in the table)</w:t>
      </w:r>
      <w:r>
        <w:t xml:space="preserve">, </w:t>
      </w:r>
      <w:r w:rsidR="007A4158">
        <w:t xml:space="preserve">only </w:t>
      </w:r>
      <w:r w:rsidR="00576532">
        <w:t>a small fraction (</w:t>
      </w:r>
      <w:r w:rsidR="007A4158">
        <w:t>11.47</w:t>
      </w:r>
      <w:r>
        <w:t>%</w:t>
      </w:r>
      <w:r w:rsidR="00576532">
        <w:t>)</w:t>
      </w:r>
      <w:r>
        <w:t xml:space="preserve"> of the sample had prior experience with telemedicine.</w:t>
      </w:r>
      <w:r w:rsidR="00BF51EC">
        <w:t xml:space="preserve"> </w:t>
      </w:r>
      <w:r>
        <w:t xml:space="preserve">During the pandemic, </w:t>
      </w:r>
      <w:r w:rsidR="00576532">
        <w:t>the percentage of adoption increase</w:t>
      </w:r>
      <w:r w:rsidR="0033516D">
        <w:t>d</w:t>
      </w:r>
      <w:r w:rsidR="00576532">
        <w:t xml:space="preserve"> to</w:t>
      </w:r>
      <w:r>
        <w:t xml:space="preserve"> 4</w:t>
      </w:r>
      <w:r w:rsidR="007A4158">
        <w:t>2</w:t>
      </w:r>
      <w:r>
        <w:t>.6</w:t>
      </w:r>
      <w:r w:rsidR="007A4158">
        <w:t>2</w:t>
      </w:r>
      <w:r>
        <w:t>% [(14</w:t>
      </w:r>
      <w:r w:rsidR="007A4158">
        <w:t>6</w:t>
      </w:r>
      <w:r>
        <w:t>+</w:t>
      </w:r>
      <w:r w:rsidR="007A4158">
        <w:t>724</w:t>
      </w:r>
      <w:r>
        <w:t>)*100/</w:t>
      </w:r>
      <w:r w:rsidR="007A4158">
        <w:t>2041</w:t>
      </w:r>
      <w:r>
        <w:t>]</w:t>
      </w:r>
      <w:r w:rsidR="00A9211C">
        <w:t>,</w:t>
      </w:r>
      <w:r>
        <w:t xml:space="preserve"> with </w:t>
      </w:r>
      <w:r w:rsidR="00576532">
        <w:t xml:space="preserve">the majority of </w:t>
      </w:r>
      <w:r w:rsidR="00BF51EC">
        <w:t>adopters</w:t>
      </w:r>
      <w:r>
        <w:t xml:space="preserve"> [</w:t>
      </w:r>
      <w:r w:rsidR="00877631">
        <w:t>724</w:t>
      </w:r>
      <w:r>
        <w:t>*100/(14</w:t>
      </w:r>
      <w:r w:rsidR="00877631">
        <w:t>6</w:t>
      </w:r>
      <w:r>
        <w:t>+</w:t>
      </w:r>
      <w:r w:rsidR="00877631">
        <w:t>724</w:t>
      </w:r>
      <w:r>
        <w:t>)</w:t>
      </w:r>
      <w:r w:rsidR="00576532">
        <w:t>=</w:t>
      </w:r>
      <w:r w:rsidR="00576532" w:rsidRPr="00576532">
        <w:t xml:space="preserve"> </w:t>
      </w:r>
      <w:r w:rsidR="00576532">
        <w:t>83.22%</w:t>
      </w:r>
      <w:r>
        <w:t xml:space="preserve">] </w:t>
      </w:r>
      <w:r w:rsidR="00576532">
        <w:t xml:space="preserve">being </w:t>
      </w:r>
      <w:r>
        <w:t xml:space="preserve">first-time users. Not surprisingly, as can be observed from the second column of the table, </w:t>
      </w:r>
      <w:r w:rsidR="00576532">
        <w:t xml:space="preserve">individuals </w:t>
      </w:r>
      <w:r>
        <w:t xml:space="preserve">who had used telemedicine before the pandemic continued to use telemedicine at a higher rate </w:t>
      </w:r>
      <w:r w:rsidR="00BF51EC">
        <w:t>[</w:t>
      </w:r>
      <w:r w:rsidR="00BF51EC" w:rsidRPr="00BF51EC">
        <w:t>146</w:t>
      </w:r>
      <w:r w:rsidR="00BF51EC">
        <w:t>*100</w:t>
      </w:r>
      <w:r w:rsidR="00BF51EC" w:rsidRPr="00BF51EC">
        <w:t>/234</w:t>
      </w:r>
      <w:r w:rsidR="00BF51EC">
        <w:t xml:space="preserve"> = </w:t>
      </w:r>
      <w:r>
        <w:t>6</w:t>
      </w:r>
      <w:r w:rsidR="00877631">
        <w:t>2</w:t>
      </w:r>
      <w:r>
        <w:t>.</w:t>
      </w:r>
      <w:r w:rsidR="00877631">
        <w:t>39</w:t>
      </w:r>
      <w:r>
        <w:t>%</w:t>
      </w:r>
      <w:r w:rsidR="00BF51EC">
        <w:t>]</w:t>
      </w:r>
      <w:r>
        <w:t xml:space="preserve"> during the pandemic </w:t>
      </w:r>
      <w:r w:rsidR="00576532">
        <w:t>compared to those</w:t>
      </w:r>
      <w:r>
        <w:t xml:space="preserve"> who had not used telemedicine before the pandemic (at 4</w:t>
      </w:r>
      <w:r w:rsidR="00877631">
        <w:t>0</w:t>
      </w:r>
      <w:r>
        <w:t>.</w:t>
      </w:r>
      <w:r w:rsidR="00877631">
        <w:t>0</w:t>
      </w:r>
      <w:r>
        <w:t xml:space="preserve">7%). The entries in the first sub-column of the </w:t>
      </w:r>
      <w:bookmarkStart w:id="31" w:name="_Hlk178772718"/>
      <w:r>
        <w:t>“</w:t>
      </w:r>
      <w:r w:rsidR="006312A4">
        <w:t>After-COVID</w:t>
      </w:r>
      <w:r>
        <w:t xml:space="preserve"> Adoption” </w:t>
      </w:r>
      <w:bookmarkEnd w:id="31"/>
      <w:r w:rsidR="00BF51EC">
        <w:t>section</w:t>
      </w:r>
      <w:r>
        <w:t xml:space="preserve"> of </w:t>
      </w:r>
      <w:r w:rsidR="0069340B">
        <w:fldChar w:fldCharType="begin"/>
      </w:r>
      <w:r w:rsidR="0069340B">
        <w:instrText xml:space="preserve"> REF _Ref178944934 \h </w:instrText>
      </w:r>
      <w:r w:rsidR="0069340B">
        <w:fldChar w:fldCharType="separate"/>
      </w:r>
      <w:r w:rsidR="008A3DCE">
        <w:t xml:space="preserve">Table </w:t>
      </w:r>
      <w:r w:rsidR="008A3DCE">
        <w:rPr>
          <w:noProof/>
        </w:rPr>
        <w:t>1</w:t>
      </w:r>
      <w:r w:rsidR="0069340B">
        <w:fldChar w:fldCharType="end"/>
      </w:r>
      <w:r>
        <w:t xml:space="preserve"> indicate that </w:t>
      </w:r>
      <w:r w:rsidR="00576532" w:rsidRPr="00576532">
        <w:t>78.77% of respondents who consistently used telemedicine before and during the pandemic (</w:t>
      </w:r>
      <w:r w:rsidR="00C22D3C">
        <w:t>“</w:t>
      </w:r>
      <w:r w:rsidR="00576532" w:rsidRPr="00576532">
        <w:t>Yes-Yes</w:t>
      </w:r>
      <w:r w:rsidR="00C22D3C">
        <w:t>”</w:t>
      </w:r>
      <w:r w:rsidR="00576532" w:rsidRPr="00576532">
        <w:t xml:space="preserve"> group) plan to maintain this behavior post-pandemic.</w:t>
      </w:r>
      <w:r w:rsidR="00576532">
        <w:t xml:space="preserve"> In contrast</w:t>
      </w:r>
      <w:r w:rsidR="0033516D">
        <w:t>,</w:t>
      </w:r>
      <w:r w:rsidR="00576532">
        <w:t xml:space="preserve"> </w:t>
      </w:r>
      <w:r w:rsidR="00576532" w:rsidRPr="00576532">
        <w:t xml:space="preserve">significantly lower intentions </w:t>
      </w:r>
      <w:r w:rsidR="00576532">
        <w:t xml:space="preserve">to use telemedicine were observed </w:t>
      </w:r>
      <w:r w:rsidR="00576532" w:rsidRPr="00576532">
        <w:t xml:space="preserve">among other groups, notably for the </w:t>
      </w:r>
      <w:r w:rsidR="00C22D3C">
        <w:t>“</w:t>
      </w:r>
      <w:r w:rsidR="00576532" w:rsidRPr="00576532">
        <w:t>Yes-No</w:t>
      </w:r>
      <w:r w:rsidR="00C22D3C">
        <w:t>”</w:t>
      </w:r>
      <w:r w:rsidR="00576532" w:rsidRPr="00576532">
        <w:t xml:space="preserve"> group</w:t>
      </w:r>
      <w:r w:rsidR="00576532">
        <w:t xml:space="preserve"> (</w:t>
      </w:r>
      <w:r w:rsidR="00576532" w:rsidRPr="00576532">
        <w:t>38.64%</w:t>
      </w:r>
      <w:r w:rsidR="00576532">
        <w:t>)</w:t>
      </w:r>
      <w:r w:rsidR="00576532" w:rsidRPr="00576532">
        <w:t xml:space="preserve">, </w:t>
      </w:r>
      <w:r w:rsidR="00576532">
        <w:t xml:space="preserve">the </w:t>
      </w:r>
      <w:r w:rsidR="00C22D3C">
        <w:t>“</w:t>
      </w:r>
      <w:r w:rsidR="00576532" w:rsidRPr="00576532">
        <w:t>No-Yes</w:t>
      </w:r>
      <w:r w:rsidR="00C22D3C">
        <w:t>”</w:t>
      </w:r>
      <w:r w:rsidR="00576532" w:rsidRPr="00576532">
        <w:t xml:space="preserve"> group</w:t>
      </w:r>
      <w:r w:rsidR="00576532">
        <w:t xml:space="preserve"> (</w:t>
      </w:r>
      <w:r w:rsidR="00576532" w:rsidRPr="00576532">
        <w:t>58.98%</w:t>
      </w:r>
      <w:r w:rsidR="00576532">
        <w:t>)</w:t>
      </w:r>
      <w:r w:rsidR="00576532" w:rsidRPr="00576532">
        <w:t xml:space="preserve">, and </w:t>
      </w:r>
      <w:r w:rsidR="00576532">
        <w:t>the</w:t>
      </w:r>
      <w:r w:rsidR="00576532" w:rsidRPr="00576532">
        <w:t xml:space="preserve"> </w:t>
      </w:r>
      <w:r w:rsidR="00C22D3C">
        <w:t>“</w:t>
      </w:r>
      <w:r w:rsidR="00576532" w:rsidRPr="00576532">
        <w:t>No-No</w:t>
      </w:r>
      <w:r w:rsidR="00C22D3C">
        <w:t>”</w:t>
      </w:r>
      <w:r w:rsidR="00576532" w:rsidRPr="00576532">
        <w:t xml:space="preserve"> group</w:t>
      </w:r>
      <w:r w:rsidR="00576532">
        <w:t xml:space="preserve"> </w:t>
      </w:r>
      <w:r w:rsidR="00BF51EC">
        <w:t>(</w:t>
      </w:r>
      <w:r w:rsidR="00576532" w:rsidRPr="00576532">
        <w:t>14.22%</w:t>
      </w:r>
      <w:r w:rsidR="00BF51EC">
        <w:t>)</w:t>
      </w:r>
      <w:r w:rsidR="00576532" w:rsidRPr="00576532">
        <w:t>.</w:t>
      </w:r>
      <w:r w:rsidR="002C5D5B">
        <w:t xml:space="preserve"> </w:t>
      </w:r>
      <w:r w:rsidR="00576532" w:rsidRPr="00576532">
        <w:t xml:space="preserve">Interestingly, despite the high adoption rate during the pandemic, the overall anticipation for post-pandemic telemedicine </w:t>
      </w:r>
      <w:r w:rsidR="000706EF">
        <w:lastRenderedPageBreak/>
        <w:t>adoption</w:t>
      </w:r>
      <w:r w:rsidR="00576532">
        <w:t xml:space="preserve"> slightly</w:t>
      </w:r>
      <w:r w:rsidR="00576532" w:rsidRPr="00576532">
        <w:t xml:space="preserve"> </w:t>
      </w:r>
      <w:r w:rsidR="00576532">
        <w:t>decrease</w:t>
      </w:r>
      <w:r w:rsidR="00202FD1">
        <w:t>d</w:t>
      </w:r>
      <w:r w:rsidR="00576532">
        <w:t xml:space="preserve"> </w:t>
      </w:r>
      <w:r w:rsidR="00576532" w:rsidRPr="00576532">
        <w:t>to 35.77%</w:t>
      </w:r>
      <w:r w:rsidR="00576532">
        <w:t xml:space="preserve"> (see the last row of the table under the “</w:t>
      </w:r>
      <w:r w:rsidR="006312A4">
        <w:t>After-COVID</w:t>
      </w:r>
      <w:r w:rsidR="00576532">
        <w:t xml:space="preserve"> Adoption” column)</w:t>
      </w:r>
      <w:r w:rsidR="00576532" w:rsidRPr="00576532">
        <w:t>, with a considerable 64.</w:t>
      </w:r>
      <w:r w:rsidR="00202FD1">
        <w:t>2</w:t>
      </w:r>
      <w:r w:rsidR="00576532">
        <w:t>3</w:t>
      </w:r>
      <w:r w:rsidR="00576532" w:rsidRPr="00576532">
        <w:t>% indicating no future usage intent.</w:t>
      </w:r>
      <w:r w:rsidR="00576532">
        <w:t xml:space="preserve"> However, the intention to use telemedicine in the future is still significantly higher </w:t>
      </w:r>
      <w:r w:rsidR="00202FD1">
        <w:t xml:space="preserve">than </w:t>
      </w:r>
      <w:r w:rsidR="00576532">
        <w:t xml:space="preserve">the </w:t>
      </w:r>
      <w:r w:rsidR="00C817CF">
        <w:t>Before-</w:t>
      </w:r>
      <w:r w:rsidR="006312A4">
        <w:t>COVID</w:t>
      </w:r>
      <w:r w:rsidR="002C5D5B">
        <w:t xml:space="preserve"> adoption. </w:t>
      </w:r>
    </w:p>
    <w:p w14:paraId="45510326" w14:textId="510847CB" w:rsidR="004576B8" w:rsidRDefault="008626C8" w:rsidP="009D0CA2">
      <w:pPr>
        <w:spacing w:after="0" w:line="240" w:lineRule="auto"/>
        <w:ind w:firstLine="720"/>
        <w:jc w:val="both"/>
      </w:pPr>
      <w:r>
        <w:t>Overall, the sample statistics suggest that those who had prior exposure to telemedicine</w:t>
      </w:r>
      <w:r w:rsidR="002C5D5B">
        <w:t xml:space="preserve">, either </w:t>
      </w:r>
      <w:r w:rsidR="00F8247A">
        <w:t>B</w:t>
      </w:r>
      <w:r w:rsidR="002C5D5B">
        <w:t>efore</w:t>
      </w:r>
      <w:r w:rsidR="00F8247A">
        <w:t>-</w:t>
      </w:r>
      <w:r w:rsidR="002C5D5B">
        <w:t xml:space="preserve"> or </w:t>
      </w:r>
      <w:r w:rsidR="00F8247A">
        <w:t>D</w:t>
      </w:r>
      <w:r w:rsidR="002C5D5B">
        <w:t>uring</w:t>
      </w:r>
      <w:r w:rsidR="00F8247A">
        <w:t>-</w:t>
      </w:r>
      <w:r w:rsidR="002C5D5B">
        <w:t>COVID,</w:t>
      </w:r>
      <w:r>
        <w:t xml:space="preserve"> are inclined to continue using it. However, it is worth noting that among those who had utilized telemedicine at least once in their lifetime </w:t>
      </w:r>
      <w:r w:rsidR="00202FD1">
        <w:t xml:space="preserve">before or during the pandemic </w:t>
      </w:r>
      <w:r>
        <w:t xml:space="preserve">(summing up to </w:t>
      </w:r>
      <w:r w:rsidR="00877631">
        <w:t>234</w:t>
      </w:r>
      <w:r>
        <w:t>+</w:t>
      </w:r>
      <w:r w:rsidR="00877631">
        <w:t>724</w:t>
      </w:r>
      <w:r>
        <w:t>=</w:t>
      </w:r>
      <w:r w:rsidR="00877631">
        <w:t>958</w:t>
      </w:r>
      <w:r>
        <w:t xml:space="preserve">), approximately </w:t>
      </w:r>
      <w:r w:rsidR="00877631">
        <w:t>3</w:t>
      </w:r>
      <w:r>
        <w:t>9.</w:t>
      </w:r>
      <w:r w:rsidR="00877631">
        <w:t>87</w:t>
      </w:r>
      <w:r>
        <w:t>% [(</w:t>
      </w:r>
      <w:r w:rsidR="00877631">
        <w:t>31</w:t>
      </w:r>
      <w:r>
        <w:t>+</w:t>
      </w:r>
      <w:r w:rsidR="00877631">
        <w:t>54</w:t>
      </w:r>
      <w:r>
        <w:t>+</w:t>
      </w:r>
      <w:r w:rsidR="00877631">
        <w:t>297</w:t>
      </w:r>
      <w:r>
        <w:t>)*100/</w:t>
      </w:r>
      <w:r w:rsidR="00877631">
        <w:t>958</w:t>
      </w:r>
      <w:r>
        <w:t>] are reluctant to embrace telemedicine in the post-pandemic era.</w:t>
      </w:r>
      <w:r w:rsidR="003479A5">
        <w:t xml:space="preserve"> These aggregate statistics suggest that telemedicine </w:t>
      </w:r>
      <w:r w:rsidR="00A9211C">
        <w:t>adoption</w:t>
      </w:r>
      <w:r w:rsidR="003479A5">
        <w:t xml:space="preserve"> preferences across time are likely to be a function of not only observed individual elements but also unobserved individual factors, both of whose effects may also vary over the three </w:t>
      </w:r>
      <w:r w:rsidR="00015E61">
        <w:t>periods</w:t>
      </w:r>
      <w:r w:rsidR="003479A5">
        <w:t xml:space="preserve"> as the environmental circumstances changed. This is the reason that we model the adoption/non-adoption decision</w:t>
      </w:r>
      <w:r w:rsidR="00BD2DF4">
        <w:t>s jointly</w:t>
      </w:r>
      <w:r w:rsidR="003479A5">
        <w:t xml:space="preserve"> across the three </w:t>
      </w:r>
      <w:r w:rsidR="00015E61">
        <w:t>periods</w:t>
      </w:r>
      <w:r w:rsidR="003479A5">
        <w:t xml:space="preserve">, allowing for time-variant effects of exogenous variables as well as time-variant unobserved correlations. </w:t>
      </w:r>
    </w:p>
    <w:p w14:paraId="01065C88" w14:textId="03CF0A76" w:rsidR="008F5ED8" w:rsidRDefault="008626C8" w:rsidP="004E34A7">
      <w:pPr>
        <w:spacing w:after="0" w:line="240" w:lineRule="auto"/>
        <w:ind w:firstLine="720"/>
        <w:jc w:val="both"/>
      </w:pPr>
      <w:r>
        <w:t>Additionally</w:t>
      </w:r>
      <w:r w:rsidR="004576B8">
        <w:t>,</w:t>
      </w:r>
      <w:r>
        <w:t xml:space="preserve"> </w:t>
      </w:r>
      <w:r w:rsidR="0069340B">
        <w:fldChar w:fldCharType="begin"/>
      </w:r>
      <w:r w:rsidR="0069340B">
        <w:instrText xml:space="preserve"> REF _Ref178944975 \h </w:instrText>
      </w:r>
      <w:r w:rsidR="0069340B">
        <w:fldChar w:fldCharType="separate"/>
      </w:r>
      <w:r w:rsidR="008A3DCE">
        <w:t xml:space="preserve">Table </w:t>
      </w:r>
      <w:r w:rsidR="008A3DCE">
        <w:rPr>
          <w:noProof/>
        </w:rPr>
        <w:t>2</w:t>
      </w:r>
      <w:r w:rsidR="0069340B">
        <w:fldChar w:fldCharType="end"/>
      </w:r>
      <w:r>
        <w:t xml:space="preserve"> presents the frequency and percentage of respondents who have selected various reasons for either adopting or not adopting telemedicine. </w:t>
      </w:r>
      <w:bookmarkStart w:id="32" w:name="_Hlk178800907"/>
      <w:r w:rsidR="00F94247">
        <w:t xml:space="preserve">The variables presented in </w:t>
      </w:r>
      <w:r w:rsidR="0069340B">
        <w:fldChar w:fldCharType="begin"/>
      </w:r>
      <w:r w:rsidR="0069340B">
        <w:instrText xml:space="preserve"> REF _Ref178944975 \h </w:instrText>
      </w:r>
      <w:r w:rsidR="0069340B">
        <w:fldChar w:fldCharType="separate"/>
      </w:r>
      <w:r w:rsidR="008A3DCE">
        <w:t xml:space="preserve">Table </w:t>
      </w:r>
      <w:r w:rsidR="008A3DCE">
        <w:rPr>
          <w:noProof/>
        </w:rPr>
        <w:t>2</w:t>
      </w:r>
      <w:r w:rsidR="0069340B">
        <w:fldChar w:fldCharType="end"/>
      </w:r>
      <w:r w:rsidR="0069340B">
        <w:t xml:space="preserve"> </w:t>
      </w:r>
      <w:r w:rsidR="00F94247">
        <w:t>correspond to the “Adoption/Non-adoption Reasons” component of the framework presented in</w:t>
      </w:r>
      <w:r w:rsidR="0069340B">
        <w:t xml:space="preserve"> </w:t>
      </w:r>
      <w:r w:rsidR="0069340B">
        <w:fldChar w:fldCharType="begin"/>
      </w:r>
      <w:r w:rsidR="0069340B">
        <w:instrText xml:space="preserve"> REF _Ref178944826 \h </w:instrText>
      </w:r>
      <w:r w:rsidR="0069340B">
        <w:fldChar w:fldCharType="separate"/>
      </w:r>
      <w:r w:rsidR="008A3DCE">
        <w:t xml:space="preserve">Figure </w:t>
      </w:r>
      <w:r w:rsidR="008A3DCE">
        <w:rPr>
          <w:noProof/>
        </w:rPr>
        <w:t>1</w:t>
      </w:r>
      <w:r w:rsidR="0069340B">
        <w:fldChar w:fldCharType="end"/>
      </w:r>
      <w:r w:rsidR="00F94247">
        <w:t>.</w:t>
      </w:r>
      <w:bookmarkEnd w:id="32"/>
      <w:r w:rsidR="001146E0">
        <w:t xml:space="preserve"> </w:t>
      </w:r>
      <w:r w:rsidR="002C5D5B">
        <w:t xml:space="preserve">Specifically, </w:t>
      </w:r>
      <w:r w:rsidR="00651AAB">
        <w:fldChar w:fldCharType="begin"/>
      </w:r>
      <w:r w:rsidR="00651AAB">
        <w:instrText xml:space="preserve"> REF _Ref178944975 \h </w:instrText>
      </w:r>
      <w:r w:rsidR="00651AAB">
        <w:fldChar w:fldCharType="separate"/>
      </w:r>
      <w:r w:rsidR="008A3DCE">
        <w:t xml:space="preserve">Table </w:t>
      </w:r>
      <w:r w:rsidR="008A3DCE">
        <w:rPr>
          <w:noProof/>
        </w:rPr>
        <w:t>2</w:t>
      </w:r>
      <w:r w:rsidR="00651AAB">
        <w:fldChar w:fldCharType="end"/>
      </w:r>
      <w:r w:rsidR="002C5D5B" w:rsidRPr="002C5D5B">
        <w:t xml:space="preserve"> </w:t>
      </w:r>
      <w:r w:rsidR="002C5D5B">
        <w:t>summarizes</w:t>
      </w:r>
      <w:r w:rsidR="002C5D5B" w:rsidRPr="002C5D5B">
        <w:t xml:space="preserve"> the </w:t>
      </w:r>
      <w:r w:rsidR="002C5D5B">
        <w:t xml:space="preserve">reasons for </w:t>
      </w:r>
      <w:r w:rsidR="00ED7316">
        <w:t>adopting</w:t>
      </w:r>
      <w:r w:rsidR="002C5D5B" w:rsidRPr="002C5D5B">
        <w:t xml:space="preserve"> telemedicine among</w:t>
      </w:r>
      <w:r w:rsidR="002C5D5B">
        <w:t xml:space="preserve"> </w:t>
      </w:r>
      <w:r w:rsidR="00152F67">
        <w:t>80</w:t>
      </w:r>
      <w:r w:rsidR="00E27ED8">
        <w:t>2</w:t>
      </w:r>
      <w:r w:rsidR="002C5D5B" w:rsidRPr="002C5D5B">
        <w:t xml:space="preserve"> individuals planning to continue its use </w:t>
      </w:r>
      <w:r w:rsidR="0060250B">
        <w:t>post-</w:t>
      </w:r>
      <w:r w:rsidR="002C5D5B" w:rsidRPr="002C5D5B">
        <w:t>COVID</w:t>
      </w:r>
      <w:r w:rsidR="002C5D5B">
        <w:t xml:space="preserve">, as well as the reasons for not </w:t>
      </w:r>
      <w:r w:rsidR="00ED7316">
        <w:t>adopting</w:t>
      </w:r>
      <w:r w:rsidR="002C5D5B">
        <w:t xml:space="preserve"> telemedicine among </w:t>
      </w:r>
      <w:r w:rsidR="002C5D5B" w:rsidRPr="002C5D5B">
        <w:t>1</w:t>
      </w:r>
      <w:r w:rsidR="00152F67">
        <w:t xml:space="preserve">533 </w:t>
      </w:r>
      <w:r w:rsidR="002C5D5B" w:rsidRPr="002C5D5B">
        <w:t xml:space="preserve">respondents </w:t>
      </w:r>
      <w:r w:rsidR="002C5D5B">
        <w:t xml:space="preserve">who do not intend to use telemedicine in the future. </w:t>
      </w:r>
      <w:r>
        <w:t>The data highlights that the majority of telemedicine adopters value its convenience, time-saving</w:t>
      </w:r>
      <w:r w:rsidR="003D70FB">
        <w:t>s</w:t>
      </w:r>
      <w:r>
        <w:t>, comfort</w:t>
      </w:r>
      <w:r w:rsidR="003D70FB">
        <w:t>-of-home</w:t>
      </w:r>
      <w:r>
        <w:t xml:space="preserve">, and </w:t>
      </w:r>
      <w:r w:rsidR="003D70FB">
        <w:t xml:space="preserve">lower </w:t>
      </w:r>
      <w:r w:rsidR="004E06CD">
        <w:t xml:space="preserve">(disease) </w:t>
      </w:r>
      <w:r w:rsidR="003D70FB">
        <w:t>contagion risk</w:t>
      </w:r>
      <w:r w:rsidR="00BD2DF4">
        <w:t xml:space="preserve"> (consistent with earlier studies, as discussed in Section </w:t>
      </w:r>
      <w:r w:rsidR="0069340B">
        <w:fldChar w:fldCharType="begin"/>
      </w:r>
      <w:r w:rsidR="0069340B">
        <w:instrText xml:space="preserve"> REF _Ref178940611 \r \h </w:instrText>
      </w:r>
      <w:r w:rsidR="0069340B">
        <w:fldChar w:fldCharType="separate"/>
      </w:r>
      <w:r w:rsidR="008A3DCE">
        <w:t>2.2</w:t>
      </w:r>
      <w:r w:rsidR="0069340B">
        <w:fldChar w:fldCharType="end"/>
      </w:r>
      <w:r w:rsidR="00BD2DF4">
        <w:t>)</w:t>
      </w:r>
      <w:r>
        <w:t xml:space="preserve">. Conversely, </w:t>
      </w:r>
      <w:r w:rsidR="00ED7316">
        <w:t>non-adopters</w:t>
      </w:r>
      <w:r>
        <w:t xml:space="preserve"> cite </w:t>
      </w:r>
      <w:r w:rsidR="00ED7316">
        <w:t>deterrents</w:t>
      </w:r>
      <w:r>
        <w:t xml:space="preserve"> such as </w:t>
      </w:r>
      <w:r w:rsidR="004E06CD">
        <w:t xml:space="preserve">the need for in-person </w:t>
      </w:r>
      <w:r>
        <w:t>medical</w:t>
      </w:r>
      <w:r w:rsidR="004E06CD">
        <w:t xml:space="preserve"> </w:t>
      </w:r>
      <w:r>
        <w:t>test</w:t>
      </w:r>
      <w:r w:rsidR="004E06CD">
        <w:t xml:space="preserve">ing </w:t>
      </w:r>
      <w:r>
        <w:t xml:space="preserve">and procedures, the perception </w:t>
      </w:r>
      <w:r w:rsidR="004E06CD">
        <w:t xml:space="preserve">that a </w:t>
      </w:r>
      <w:r>
        <w:t>traditional healthcare provider's office</w:t>
      </w:r>
      <w:r w:rsidR="004E06CD">
        <w:t xml:space="preserve"> provides more privacy</w:t>
      </w:r>
      <w:r w:rsidR="00BF51EC">
        <w:t xml:space="preserve">, and </w:t>
      </w:r>
      <w:r w:rsidR="004E06CD">
        <w:t xml:space="preserve">the </w:t>
      </w:r>
      <w:r w:rsidR="00BF51EC">
        <w:t>convenience</w:t>
      </w:r>
      <w:r w:rsidR="004E06CD">
        <w:t xml:space="preserve"> of in-person medical visits</w:t>
      </w:r>
      <w:r>
        <w:t>.</w:t>
      </w:r>
      <w:r w:rsidR="00152F67">
        <w:t xml:space="preserve"> </w:t>
      </w:r>
      <w:r w:rsidR="00616B6E" w:rsidRPr="00616B6E">
        <w:t>Interestingly, unlike previous findings</w:t>
      </w:r>
      <w:r w:rsidR="003A200F">
        <w:t xml:space="preserve"> </w:t>
      </w:r>
      <w:r w:rsidR="00616B6E" w:rsidRPr="00616B6E">
        <w:t xml:space="preserve">summarized in Section </w:t>
      </w:r>
      <w:r w:rsidR="0069340B">
        <w:fldChar w:fldCharType="begin"/>
      </w:r>
      <w:r w:rsidR="0069340B">
        <w:instrText xml:space="preserve"> REF _Ref178940611 \r \h </w:instrText>
      </w:r>
      <w:r w:rsidR="0069340B">
        <w:fldChar w:fldCharType="separate"/>
      </w:r>
      <w:r w:rsidR="008A3DCE">
        <w:t>2.2</w:t>
      </w:r>
      <w:r w:rsidR="0069340B">
        <w:fldChar w:fldCharType="end"/>
      </w:r>
      <w:r w:rsidR="00BF51EC">
        <w:t>,</w:t>
      </w:r>
      <w:r w:rsidR="00616B6E" w:rsidRPr="00616B6E">
        <w:t xml:space="preserve"> respon</w:t>
      </w:r>
      <w:r w:rsidR="003A200F">
        <w:t>dents</w:t>
      </w:r>
      <w:r w:rsidR="00616B6E" w:rsidRPr="00616B6E">
        <w:t xml:space="preserve"> </w:t>
      </w:r>
      <w:r w:rsidR="003A200F">
        <w:t xml:space="preserve">in our sample </w:t>
      </w:r>
      <w:r w:rsidR="00616B6E" w:rsidRPr="00616B6E">
        <w:t xml:space="preserve">did not indicate limited healthcare choices, insurance coverage, technical issues, or privacy concerns as major </w:t>
      </w:r>
      <w:r w:rsidR="00F61E18">
        <w:rPr>
          <w:color w:val="000000" w:themeColor="text1"/>
        </w:rPr>
        <w:t>deterrents</w:t>
      </w:r>
      <w:r w:rsidR="00616B6E">
        <w:t xml:space="preserve"> </w:t>
      </w:r>
      <w:r w:rsidR="0033516D">
        <w:t>to</w:t>
      </w:r>
      <w:r w:rsidR="00616B6E">
        <w:t xml:space="preserve"> using telemedicine</w:t>
      </w:r>
      <w:r w:rsidR="00616B6E" w:rsidRPr="00616B6E">
        <w:t>.</w:t>
      </w:r>
      <w:r w:rsidR="00616B6E">
        <w:t xml:space="preserve"> </w:t>
      </w:r>
      <w:r w:rsidR="004E06CD">
        <w:t>In fact</w:t>
      </w:r>
      <w:r w:rsidR="00616B6E">
        <w:t>,</w:t>
      </w:r>
      <w:r w:rsidR="00616B6E" w:rsidRPr="00616B6E">
        <w:t xml:space="preserve"> </w:t>
      </w:r>
      <w:r w:rsidR="00616B6E">
        <w:t>d</w:t>
      </w:r>
      <w:r w:rsidR="00616B6E" w:rsidRPr="00616B6E">
        <w:t>ue to the substantially low number</w:t>
      </w:r>
      <w:r w:rsidR="00616B6E">
        <w:t xml:space="preserve"> of individuals</w:t>
      </w:r>
      <w:r w:rsidR="00616B6E" w:rsidRPr="00616B6E">
        <w:t xml:space="preserve"> selecting “I have a wider choice of healthcare providers</w:t>
      </w:r>
      <w:r w:rsidR="0069340B">
        <w:t>,</w:t>
      </w:r>
      <w:r w:rsidR="00616B6E" w:rsidRPr="00616B6E">
        <w:t>”</w:t>
      </w:r>
      <w:r w:rsidR="00E94714">
        <w:t xml:space="preserve"> “</w:t>
      </w:r>
      <w:r w:rsidR="00E94714" w:rsidRPr="00AE7033">
        <w:rPr>
          <w:color w:val="000000"/>
        </w:rPr>
        <w:t>I have a wider choice of</w:t>
      </w:r>
      <w:r w:rsidR="00E94714">
        <w:rPr>
          <w:color w:val="000000"/>
        </w:rPr>
        <w:t xml:space="preserve"> in-person</w:t>
      </w:r>
      <w:r w:rsidR="00E94714" w:rsidRPr="00AE7033">
        <w:rPr>
          <w:color w:val="000000"/>
        </w:rPr>
        <w:t xml:space="preserve"> healthcare providers</w:t>
      </w:r>
      <w:r w:rsidR="0069340B">
        <w:rPr>
          <w:color w:val="000000"/>
        </w:rPr>
        <w:t>,</w:t>
      </w:r>
      <w:r w:rsidR="00E94714">
        <w:t>”</w:t>
      </w:r>
      <w:r w:rsidR="00616B6E" w:rsidRPr="00616B6E">
        <w:t xml:space="preserve"> and “My insurance does not cover telemedicine</w:t>
      </w:r>
      <w:r w:rsidR="0069340B">
        <w:t>,”</w:t>
      </w:r>
      <w:r w:rsidR="00616B6E" w:rsidRPr="00616B6E">
        <w:t xml:space="preserve"> these reasons </w:t>
      </w:r>
      <w:r w:rsidR="00BF51EC">
        <w:t>were</w:t>
      </w:r>
      <w:r w:rsidR="00616B6E" w:rsidRPr="00616B6E">
        <w:t xml:space="preserve"> excluded from </w:t>
      </w:r>
      <w:r w:rsidR="0033516D">
        <w:t xml:space="preserve">the </w:t>
      </w:r>
      <w:r w:rsidR="00616B6E" w:rsidRPr="00616B6E">
        <w:t>analysis</w:t>
      </w:r>
      <w:r w:rsidR="004E06CD">
        <w:t xml:space="preserve"> (especially so because the number in </w:t>
      </w:r>
      <w:r w:rsidR="0069340B">
        <w:fldChar w:fldCharType="begin"/>
      </w:r>
      <w:r w:rsidR="0069340B">
        <w:instrText xml:space="preserve"> REF _Ref178944975 \h </w:instrText>
      </w:r>
      <w:r w:rsidR="0069340B">
        <w:fldChar w:fldCharType="separate"/>
      </w:r>
      <w:r w:rsidR="008A3DCE">
        <w:t xml:space="preserve">Table </w:t>
      </w:r>
      <w:r w:rsidR="008A3DCE">
        <w:rPr>
          <w:noProof/>
        </w:rPr>
        <w:t>2</w:t>
      </w:r>
      <w:r w:rsidR="0069340B">
        <w:fldChar w:fldCharType="end"/>
      </w:r>
      <w:r w:rsidR="0069340B">
        <w:t xml:space="preserve"> </w:t>
      </w:r>
      <w:r w:rsidR="00F25FD3">
        <w:t xml:space="preserve">for each reason category </w:t>
      </w:r>
      <w:r w:rsidR="004E06CD">
        <w:t>get</w:t>
      </w:r>
      <w:r w:rsidR="00F25FD3">
        <w:t>s</w:t>
      </w:r>
      <w:r w:rsidR="004E06CD">
        <w:t xml:space="preserve"> further disaggregated when considering specific population segments as defined by the exogenous variables in </w:t>
      </w:r>
      <w:r w:rsidR="00F25FD3">
        <w:t>the analysis)</w:t>
      </w:r>
      <w:r w:rsidR="00616B6E" w:rsidRPr="00616B6E">
        <w:t xml:space="preserve">. </w:t>
      </w:r>
      <w:r w:rsidR="0033516D">
        <w:t xml:space="preserve">Note that the second column </w:t>
      </w:r>
      <w:r w:rsidR="00F25FD3">
        <w:t xml:space="preserve">in </w:t>
      </w:r>
      <w:r w:rsidR="0069340B">
        <w:fldChar w:fldCharType="begin"/>
      </w:r>
      <w:r w:rsidR="0069340B">
        <w:instrText xml:space="preserve"> REF _Ref178944975 \h </w:instrText>
      </w:r>
      <w:r w:rsidR="0069340B">
        <w:fldChar w:fldCharType="separate"/>
      </w:r>
      <w:r w:rsidR="008A3DCE">
        <w:t xml:space="preserve">Table </w:t>
      </w:r>
      <w:r w:rsidR="008A3DCE">
        <w:rPr>
          <w:noProof/>
        </w:rPr>
        <w:t>2</w:t>
      </w:r>
      <w:r w:rsidR="0069340B">
        <w:fldChar w:fldCharType="end"/>
      </w:r>
      <w:r w:rsidR="00651AAB">
        <w:t>,</w:t>
      </w:r>
      <w:r w:rsidR="0069340B">
        <w:t xml:space="preserve"> </w:t>
      </w:r>
      <w:r w:rsidR="00F25FD3">
        <w:t>en</w:t>
      </w:r>
      <w:r w:rsidR="0033516D">
        <w:t>titled “</w:t>
      </w:r>
      <w:r w:rsidR="00F25FD3">
        <w:t>short labels</w:t>
      </w:r>
      <w:r w:rsidR="00651AAB">
        <w:t>,</w:t>
      </w:r>
      <w:r w:rsidR="0033516D">
        <w:t xml:space="preserve">” refers to </w:t>
      </w:r>
      <w:r w:rsidR="00F25FD3">
        <w:t>compact characterizations</w:t>
      </w:r>
      <w:r w:rsidR="0033516D" w:rsidRPr="0033516D">
        <w:t xml:space="preserve"> </w:t>
      </w:r>
      <w:r w:rsidR="00F25FD3">
        <w:t xml:space="preserve">of the </w:t>
      </w:r>
      <w:r w:rsidR="0033516D" w:rsidRPr="0033516D">
        <w:t>original statement</w:t>
      </w:r>
      <w:r w:rsidR="00F25FD3">
        <w:t>s</w:t>
      </w:r>
      <w:r w:rsidR="0033516D" w:rsidRPr="0033516D">
        <w:t xml:space="preserve"> without repeating </w:t>
      </w:r>
      <w:r w:rsidR="00F25FD3">
        <w:t>the entire statements</w:t>
      </w:r>
      <w:r w:rsidR="0033516D" w:rsidRPr="0033516D">
        <w:t xml:space="preserve"> verbatim</w:t>
      </w:r>
      <w:r w:rsidR="0033516D">
        <w:t xml:space="preserve">. </w:t>
      </w:r>
      <w:r w:rsidR="00F25FD3">
        <w:t>These short labels (and sometimes just even their acronyms) will be used in the presentation of results later.</w:t>
      </w:r>
    </w:p>
    <w:p w14:paraId="4BBF6A96" w14:textId="77777777" w:rsidR="00E27ED8" w:rsidRDefault="00E27ED8" w:rsidP="00A9586D">
      <w:pPr>
        <w:spacing w:after="0" w:line="240" w:lineRule="auto"/>
        <w:ind w:firstLine="720"/>
        <w:jc w:val="both"/>
      </w:pPr>
    </w:p>
    <w:p w14:paraId="0BD13188" w14:textId="4E4E3564" w:rsidR="002D3EE2" w:rsidRDefault="002D3EE2">
      <w:pPr>
        <w:pStyle w:val="Heading2"/>
        <w:spacing w:after="0" w:line="240" w:lineRule="auto"/>
        <w:contextualSpacing w:val="0"/>
      </w:pPr>
      <w:r w:rsidRPr="00A37834">
        <w:t>Exogenous</w:t>
      </w:r>
      <w:r>
        <w:t xml:space="preserve"> Variables</w:t>
      </w:r>
    </w:p>
    <w:bookmarkStart w:id="33" w:name="_Hlk178801944"/>
    <w:bookmarkStart w:id="34" w:name="_Hlk178800333"/>
    <w:p w14:paraId="03784DDA" w14:textId="5AA23726" w:rsidR="00E120E9" w:rsidRDefault="0069340B" w:rsidP="00AA480E">
      <w:pPr>
        <w:spacing w:after="0" w:line="240" w:lineRule="auto"/>
        <w:jc w:val="both"/>
      </w:pPr>
      <w:r>
        <w:fldChar w:fldCharType="begin"/>
      </w:r>
      <w:r>
        <w:instrText xml:space="preserve"> REF _Ref178945033 \h </w:instrText>
      </w:r>
      <w:r w:rsidR="00A9586D">
        <w:instrText xml:space="preserve"> \* MERGEFORMAT </w:instrText>
      </w:r>
      <w:r>
        <w:fldChar w:fldCharType="separate"/>
      </w:r>
      <w:r w:rsidR="008A3DCE">
        <w:t xml:space="preserve">Table </w:t>
      </w:r>
      <w:r w:rsidR="008A3DCE">
        <w:rPr>
          <w:noProof/>
        </w:rPr>
        <w:t>3</w:t>
      </w:r>
      <w:r>
        <w:fldChar w:fldCharType="end"/>
      </w:r>
      <w:r w:rsidR="00E120E9" w:rsidRPr="00E120E9">
        <w:t xml:space="preserve"> provides a detailed overview of the variables used in the study. It includes the relative frequency of each variable in the dataset and, when applicable, compares the figures with the 2021 American Community Survey </w:t>
      </w:r>
      <w:r w:rsidR="00C04884">
        <w:t>(ACS) five</w:t>
      </w:r>
      <w:r w:rsidR="00E120E9" w:rsidRPr="00E120E9">
        <w:t>-year estimates for the U.S. adult population. For some continuous variables, the table shows the mean and standard deviations</w:t>
      </w:r>
      <w:r w:rsidR="00651AAB">
        <w:t xml:space="preserve"> (std. dv.)</w:t>
      </w:r>
      <w:r w:rsidR="00E120E9" w:rsidRPr="00E120E9">
        <w:t xml:space="preserve">. </w:t>
      </w:r>
      <w:r w:rsidR="001146E0" w:rsidRPr="00976C24">
        <w:rPr>
          <w:color w:val="000000" w:themeColor="text1"/>
        </w:rPr>
        <w:t xml:space="preserve">Also, </w:t>
      </w:r>
      <w:r w:rsidR="00452F7B">
        <w:t xml:space="preserve">a dash </w:t>
      </w:r>
      <w:r w:rsidR="005A1BA8">
        <w:t xml:space="preserve">   </w:t>
      </w:r>
      <w:r w:rsidR="00452F7B">
        <w:t>(“--</w:t>
      </w:r>
      <w:r w:rsidR="005A1BA8">
        <w:t>”</w:t>
      </w:r>
      <w:r w:rsidR="00452F7B">
        <w:t xml:space="preserve">) in the “% in ACS” column indicates that the corresponding variable does not have an equivalent estimate in the ACS for the population. </w:t>
      </w:r>
      <w:r w:rsidR="00E120E9" w:rsidRPr="00E120E9">
        <w:t>The table encompasses several categories of data</w:t>
      </w:r>
      <w:r w:rsidR="00C04884">
        <w:t xml:space="preserve">, including </w:t>
      </w:r>
      <w:r w:rsidR="00D174DC">
        <w:t xml:space="preserve">individual/household </w:t>
      </w:r>
      <w:r w:rsidR="00E120E9" w:rsidRPr="00E120E9">
        <w:t>sociodemographic</w:t>
      </w:r>
      <w:r w:rsidR="00D174DC">
        <w:t xml:space="preserve">s, employment characteristics, </w:t>
      </w:r>
      <w:r w:rsidR="00E120E9" w:rsidRPr="00E120E9">
        <w:t xml:space="preserve">personal </w:t>
      </w:r>
      <w:r w:rsidR="00E120E9" w:rsidRPr="00E120E9">
        <w:lastRenderedPageBreak/>
        <w:t xml:space="preserve">traits and COVID-19 perspectives, </w:t>
      </w:r>
      <w:r w:rsidR="00D174DC">
        <w:t>and residential location attributes.</w:t>
      </w:r>
      <w:r w:rsidR="00A9586D" w:rsidRPr="005A1F2A">
        <w:rPr>
          <w:rStyle w:val="FootnoteReference"/>
        </w:rPr>
        <w:footnoteReference w:id="3"/>
      </w:r>
      <w:r w:rsidR="00D174DC">
        <w:t xml:space="preserve"> For time-invariant exogenous variables (such as </w:t>
      </w:r>
      <w:r w:rsidR="00E120E9" w:rsidRPr="00E120E9">
        <w:t>race</w:t>
      </w:r>
      <w:r w:rsidR="00D174DC">
        <w:t>),</w:t>
      </w:r>
      <w:r w:rsidR="00E120E9" w:rsidRPr="00E120E9">
        <w:t xml:space="preserve"> and for </w:t>
      </w:r>
      <w:r w:rsidR="00D174DC">
        <w:t xml:space="preserve">exogenous variables that </w:t>
      </w:r>
      <w:r w:rsidR="00E120E9" w:rsidRPr="00E120E9">
        <w:t xml:space="preserve">change uniformly </w:t>
      </w:r>
      <w:r w:rsidR="00706B8F">
        <w:t>over time</w:t>
      </w:r>
      <w:r w:rsidR="00D174DC">
        <w:t xml:space="preserve"> (</w:t>
      </w:r>
      <w:r w:rsidR="00E120E9" w:rsidRPr="00E120E9">
        <w:t>such as age</w:t>
      </w:r>
      <w:r w:rsidR="00D174DC">
        <w:t>), we used the variable values corresponding to the After-COVID period</w:t>
      </w:r>
      <w:r w:rsidR="00E120E9" w:rsidRPr="00E120E9">
        <w:t xml:space="preserve">. For </w:t>
      </w:r>
      <w:r w:rsidR="00D174DC">
        <w:t xml:space="preserve">exogenous </w:t>
      </w:r>
      <w:r w:rsidR="00E120E9" w:rsidRPr="00E120E9">
        <w:t xml:space="preserve">variables </w:t>
      </w:r>
      <w:r w:rsidR="00D174DC">
        <w:t xml:space="preserve">that can potentially </w:t>
      </w:r>
      <w:r w:rsidR="00E120E9" w:rsidRPr="00E120E9">
        <w:t>change</w:t>
      </w:r>
      <w:r w:rsidR="00706B8F">
        <w:t xml:space="preserve"> significantly</w:t>
      </w:r>
      <w:r w:rsidR="00E120E9" w:rsidRPr="00E120E9">
        <w:t xml:space="preserve"> over time</w:t>
      </w:r>
      <w:r w:rsidR="00D174DC">
        <w:t xml:space="preserve"> (such as number of motorized vehicles and employment status)</w:t>
      </w:r>
      <w:r w:rsidR="00E120E9" w:rsidRPr="00E120E9">
        <w:t xml:space="preserve">, we </w:t>
      </w:r>
      <w:r w:rsidR="00D174DC">
        <w:t xml:space="preserve">employed the variable values corresponding to the specific period under consideration. </w:t>
      </w:r>
      <w:bookmarkEnd w:id="33"/>
      <w:r w:rsidR="00E120E9">
        <w:tab/>
      </w:r>
    </w:p>
    <w:bookmarkEnd w:id="34"/>
    <w:p w14:paraId="30F9BAD1" w14:textId="290F442D" w:rsidR="005F7FB7" w:rsidRDefault="00E120E9" w:rsidP="00AA480E">
      <w:pPr>
        <w:spacing w:after="0" w:line="240" w:lineRule="auto"/>
        <w:ind w:firstLine="720"/>
        <w:jc w:val="both"/>
      </w:pPr>
      <w:r>
        <w:t xml:space="preserve">Overall, </w:t>
      </w:r>
      <w:r w:rsidR="00D174DC">
        <w:t xml:space="preserve">as can be observed from Table 3, </w:t>
      </w:r>
      <w:r>
        <w:t>t</w:t>
      </w:r>
      <w:r w:rsidR="008062E4">
        <w:t xml:space="preserve">he sample </w:t>
      </w:r>
      <w:r w:rsidR="00EA426C">
        <w:t>deviates</w:t>
      </w:r>
      <w:r w:rsidR="008062E4">
        <w:t xml:space="preserve"> from</w:t>
      </w:r>
      <w:r w:rsidR="00EA426C">
        <w:t xml:space="preserve"> the national</w:t>
      </w:r>
      <w:r w:rsidR="008062E4">
        <w:t xml:space="preserve"> census distribution</w:t>
      </w:r>
      <w:r w:rsidR="00EA426C">
        <w:t xml:space="preserve"> in several ways</w:t>
      </w:r>
      <w:r w:rsidR="008062E4">
        <w:t xml:space="preserve">. </w:t>
      </w:r>
      <w:r w:rsidR="00C813B1">
        <w:t>In terms of individual</w:t>
      </w:r>
      <w:r w:rsidR="004B0C88">
        <w:t xml:space="preserve"> and household</w:t>
      </w:r>
      <w:r w:rsidR="00C813B1">
        <w:t xml:space="preserve"> sociodemographics, t</w:t>
      </w:r>
      <w:r w:rsidR="00C813B1" w:rsidRPr="00C813B1">
        <w:t xml:space="preserve">he sample </w:t>
      </w:r>
      <w:r w:rsidR="00EA426C">
        <w:t>overrepresents</w:t>
      </w:r>
      <w:r w:rsidR="00C813B1">
        <w:t xml:space="preserve"> </w:t>
      </w:r>
      <w:r w:rsidR="004B0C88">
        <w:t xml:space="preserve">women, </w:t>
      </w:r>
      <w:r w:rsidR="004B0C88" w:rsidRPr="00EA426C">
        <w:t>couples without children</w:t>
      </w:r>
      <w:r w:rsidR="004B0C88">
        <w:t xml:space="preserve">, </w:t>
      </w:r>
      <w:r w:rsidR="004B0C88" w:rsidRPr="00C813B1">
        <w:t>white individuals</w:t>
      </w:r>
      <w:r w:rsidR="004B0C88">
        <w:t xml:space="preserve">, </w:t>
      </w:r>
      <w:r w:rsidR="00C813B1" w:rsidRPr="00C813B1">
        <w:t>older age groups</w:t>
      </w:r>
      <w:r w:rsidR="00C813B1">
        <w:t xml:space="preserve">, </w:t>
      </w:r>
      <w:r w:rsidR="008C23E9">
        <w:t>individuals who hold high formal degrees</w:t>
      </w:r>
      <w:r w:rsidR="004B0C88">
        <w:t xml:space="preserve">, </w:t>
      </w:r>
      <w:r w:rsidR="004B0C88" w:rsidRPr="00EA426C">
        <w:t>middle-income households</w:t>
      </w:r>
      <w:r w:rsidR="004B0C88">
        <w:t xml:space="preserve">, and </w:t>
      </w:r>
      <w:r w:rsidR="004B0C88" w:rsidRPr="00EA426C">
        <w:t>single</w:t>
      </w:r>
      <w:r w:rsidR="004B0C88">
        <w:t>-</w:t>
      </w:r>
      <w:r w:rsidR="004B0C88" w:rsidRPr="00EA426C">
        <w:t>vehicle owners</w:t>
      </w:r>
      <w:r w:rsidR="004B0C88">
        <w:t xml:space="preserve">. </w:t>
      </w:r>
      <w:r w:rsidR="008C23E9">
        <w:t xml:space="preserve">The overrepresentation of women and white individuals </w:t>
      </w:r>
      <w:r w:rsidR="004B0C88">
        <w:t xml:space="preserve">has also </w:t>
      </w:r>
      <w:r w:rsidR="008C23E9">
        <w:t xml:space="preserve">been observed in other online </w:t>
      </w:r>
      <w:bookmarkStart w:id="35" w:name="_Hlk166036379"/>
      <w:r w:rsidR="008C23E9">
        <w:t>surveys</w:t>
      </w:r>
      <w:r w:rsidR="004B0C88" w:rsidRPr="00EA426C">
        <w:t xml:space="preserve"> </w:t>
      </w:r>
      <w:bookmarkStart w:id="36" w:name="_Hlk166036158"/>
      <w:r w:rsidR="004B0C88">
        <w:t>(see</w:t>
      </w:r>
      <w:r w:rsidR="008F5ED8">
        <w:t xml:space="preserve"> </w:t>
      </w:r>
      <w:r w:rsidR="008F5ED8">
        <w:fldChar w:fldCharType="begin"/>
      </w:r>
      <w:r w:rsidR="009A6E84">
        <w:instrText xml:space="preserve"> ADDIN ZOTERO_ITEM CSL_CITATION {"citationID":"54axarOh","properties":{"formattedCitation":"(Smith, 2008)","plainCitation":"(Smith, 2008)","dontUpdate":true,"noteIndex":0},"citationItems":[{"id":2308,"uris":["http://zotero.org/users/9292995/items/ZFVRJPLI"],"itemData":{"id":2308,"type":"article-journal","container-title":"Online submission","journalAbbreviation":"Online submission","note":"publisher: ERIC","title":"Does gender influence online survey participation? A record-linkage analysis of university faculty online survey response behavior.","author":[{"family":"Smith","given":"William G"}],"issued":{"date-parts":[["2008"]]}}}],"schema":"https://github.com/citation-style-language/schema/raw/master/csl-citation.json"} </w:instrText>
      </w:r>
      <w:r w:rsidR="008F5ED8">
        <w:fldChar w:fldCharType="separate"/>
      </w:r>
      <w:r w:rsidR="008F5ED8" w:rsidRPr="008F5ED8">
        <w:t>Smith, 2008</w:t>
      </w:r>
      <w:r w:rsidR="008F5ED8">
        <w:fldChar w:fldCharType="end"/>
      </w:r>
      <w:r w:rsidR="008F5ED8">
        <w:t>,</w:t>
      </w:r>
      <w:r w:rsidR="004B0C88">
        <w:t xml:space="preserve"> </w:t>
      </w:r>
      <w:r w:rsidR="004B0C88">
        <w:fldChar w:fldCharType="begin"/>
      </w:r>
      <w:r w:rsidR="009A6E84">
        <w:instrText xml:space="preserve"> ADDIN ZOTERO_ITEM CSL_CITATION {"citationID":"2EUlHzF5","properties":{"formattedCitation":"(Jang &amp; Vorderstrasse, 2019; Wu et al., 2022)","plainCitation":"(Jang &amp; Vorderstrasse, 2019; Wu et al., 2022)","dontUpdate":true,"noteIndex":0},"citationItems":[{"id":2309,"uris":["http://zotero.org/users/9292995/items/5KKVTJFX"],"itemData":{"id":2309,"type":"article-journal","abstract":"Background\nWeb-based survey data collection has been widely used because of its advantages, although attaining and retaining participants can be challenging. There are several factors associated with successful Web-based survey participation; yet little is known regarding racial or ethnic and socioeconomic differences in the progress of a Web-based survey.\n\nObjective\nThis study aimed to examine racial or ethnic and socioeconomic status (SES) differences in participation in a Web-based survey.\n\nMethods\nWe conducted a secondary data analysis of a study dataset containing information on parents of preschool children. We used 2 phases of Web-based surveys: (1) screening questions including race or ethnicity information and (2) full survey with a consent form. Once potential participants submitted the screening questions, including their racial or ethnic information, the team sent the full survey link to potential participants who met study eligibility criteria. We calculated the proportion of racial or ethnic groups in each of the following areas: consent, partial survey completion, and total survey completion.\n\nResults\nA total of 487 participants (236 non-Hispanic white, 44 Hispanic, 137 black, and 70 Asian) completed initial screening questions, and a total of 458 participants met study eligibility criteria. Compared with black participants, non-Hispanic white and Asian participants were more likely to consent to participate in the study (odds ratio [OR] 1.73, 95% CI 1.08-2.78, P=.02; OR 2.07, 95% CI 1.04-4.13, P=.04, respectively). There was no racial or ethnic difference with respect to the completion of demographic questions or completion of a partial survey. Finally, compared with black participants, non-Hispanic white participants were more likely to complete the entire survey (OR 3.36, 95% CI 1.51-7.06, P&lt;.001). With respect to SES, less educated non-Hispanic white participants were less likely to complete the survey compared with their counterparts with more education (OR 0.15, 95% CI 0.50-1.48, P&lt;.001).\n\nConclusions\nWe found a significant difference among racial or ethnic groups as well as different education levels in Web-based survey participation. Survey researchers need to consider the SES and racial or ethnic differences in Web-based survey participation and develop strategies to address this bias in participation and completion in their research.","container-title":"JMIR Research Protocols","DOI":"10.2196/11865","ISSN":"1929-0748","issue":"4","journalAbbreviation":"JMIR Res Protoc","note":"PMID: 30969173\nPMCID: PMC6479282","page":"e11865","source":"PubMed Central","title":"Socioeconomic Status and Racial or Ethnic Differences in Participation: Web-Based Survey","title-short":"Socioeconomic Status and Racial or Ethnic Differences in Participation","volume":"8","author":[{"family":"Jang","given":"Myoungock"},{"family":"Vorderstrasse","given":"Allison"}],"issued":{"date-parts":[["2019",4,10]]}}},{"id":2306,"uris":["http://zotero.org/users/9292995/items/CCZBXSSY"],"itemData":{"id":2306,"type":"article-journal","abstract":"The response rates of online surveys were often examined in the literature by comparing to other modes of surveys. Questions regarding what constitutes a respectable response rate for online surveys in research remained unanswered. To fill in the knowledge gap, we conducted a comprehensive search, screened 8672 studies, and examined 1071 online survey response rates reported in education-related research. Our analyses showed the number of online surveys in published research grew steadily across the years. The average online survey response rate is 44.1%. Our results indicate that sending an online survey to more participants did not generate a higher response rate. Instead, sending surveys to a clearly defined and refined population positively impacts the online survey response rate. In addition, pre-contacting potential participants, using other types of surveys in conjunction with online surveys, and using phone calls to remind participants about the online survey could also yield a higher response rate. The use of incentives did not show a significant impact on the response rate of online surveys. Other factors that impacted the rates included the funding status of a project, and the age and occupation of the participants. Concrete suggestions for reviewing and improving the online survey response rates are provided.","container-title":"Computers in Human Behavior Reports","DOI":"10.1016/j.chbr.2022.100206","ISSN":"2451-9588","journalAbbreviation":"Computers in Human Behavior Reports","page":"100206","source":"ScienceDirect","title":"Response rates of online surveys in published research: A meta-analysis","title-short":"Response rates of online surveys in published research","volume":"7","author":[{"family":"Wu","given":"Meng-Jia"},{"family":"Zhao","given":"Kelly"},{"family":"Fils-Aime","given":"Francisca"}],"issued":{"date-parts":[["2022",8,1]]}}}],"schema":"https://github.com/citation-style-language/schema/raw/master/csl-citation.json"} </w:instrText>
      </w:r>
      <w:r w:rsidR="004B0C88">
        <w:fldChar w:fldCharType="separate"/>
      </w:r>
      <w:r w:rsidR="008F5ED8" w:rsidRPr="008F5ED8">
        <w:t xml:space="preserve">Jang </w:t>
      </w:r>
      <w:r w:rsidR="008F5ED8">
        <w:t>and</w:t>
      </w:r>
      <w:r w:rsidR="008F5ED8" w:rsidRPr="008F5ED8">
        <w:t xml:space="preserve"> Vorderstrasse, 2019</w:t>
      </w:r>
      <w:r w:rsidR="008F5ED8">
        <w:t>, and</w:t>
      </w:r>
      <w:r w:rsidR="008F5ED8" w:rsidRPr="008F5ED8">
        <w:t xml:space="preserve"> Wu et al., 2022)</w:t>
      </w:r>
      <w:r w:rsidR="004B0C88">
        <w:fldChar w:fldCharType="end"/>
      </w:r>
      <w:r w:rsidR="004B0C88">
        <w:t>.</w:t>
      </w:r>
      <w:bookmarkEnd w:id="35"/>
      <w:r w:rsidR="004B0C88">
        <w:t xml:space="preserve"> </w:t>
      </w:r>
      <w:bookmarkEnd w:id="36"/>
      <w:r w:rsidR="004B0C88" w:rsidRPr="00EA426C">
        <w:t xml:space="preserve">The underrepresentation of younger adults is </w:t>
      </w:r>
      <w:r w:rsidR="004B0C88">
        <w:t>surprising</w:t>
      </w:r>
      <w:r w:rsidR="004B0C88" w:rsidRPr="00EA426C">
        <w:t xml:space="preserve">, </w:t>
      </w:r>
      <w:r w:rsidR="004B0C88">
        <w:t xml:space="preserve">given that the </w:t>
      </w:r>
      <w:r w:rsidR="004B0C88" w:rsidRPr="00EA426C">
        <w:t xml:space="preserve">survey </w:t>
      </w:r>
      <w:r w:rsidR="004B0C88">
        <w:t xml:space="preserve">was administered </w:t>
      </w:r>
      <w:r w:rsidR="004B0C88" w:rsidRPr="00EA426C">
        <w:t xml:space="preserve">online </w:t>
      </w:r>
      <w:r w:rsidR="004B0C88">
        <w:t>and promoted</w:t>
      </w:r>
      <w:r w:rsidR="004B0C88" w:rsidRPr="00EA426C">
        <w:t xml:space="preserve"> via social media. A plausible explanation </w:t>
      </w:r>
      <w:r w:rsidR="008C23E9">
        <w:t xml:space="preserve">is that older individuals are </w:t>
      </w:r>
      <w:r w:rsidR="00C13570">
        <w:t xml:space="preserve">typically </w:t>
      </w:r>
      <w:r w:rsidR="008C23E9">
        <w:t>more tuned in to health-related matters, such as pandemic effects</w:t>
      </w:r>
      <w:r w:rsidR="004B0C88" w:rsidRPr="00EA426C">
        <w:t>.</w:t>
      </w:r>
      <w:r w:rsidR="004B0C88">
        <w:t xml:space="preserve"> </w:t>
      </w:r>
      <w:r w:rsidR="004B0C88" w:rsidRPr="00EA426C">
        <w:t xml:space="preserve">The high </w:t>
      </w:r>
      <w:r w:rsidR="004B0C88">
        <w:t>proportion</w:t>
      </w:r>
      <w:r w:rsidR="004B0C88" w:rsidRPr="00EA426C">
        <w:t xml:space="preserve"> of</w:t>
      </w:r>
      <w:r w:rsidR="004B0C88">
        <w:t xml:space="preserve"> respondents with undergraduate and graduate degrees</w:t>
      </w:r>
      <w:r w:rsidR="004B0C88" w:rsidRPr="00EA426C">
        <w:t xml:space="preserve"> might be attributed to the survey's digital format. </w:t>
      </w:r>
      <w:r w:rsidR="00795766">
        <w:t>U</w:t>
      </w:r>
      <w:r w:rsidR="004B0C88">
        <w:t xml:space="preserve">nemployed individuals </w:t>
      </w:r>
      <w:r w:rsidR="00C30439">
        <w:t xml:space="preserve">and students </w:t>
      </w:r>
      <w:r w:rsidR="004B0C88">
        <w:t xml:space="preserve">are also overrepresented. </w:t>
      </w:r>
      <w:r w:rsidR="004B0C88" w:rsidRPr="004B0C88">
        <w:t>One possible explanation is that they may have more flexible schedules, making them more available to complete surveys.</w:t>
      </w:r>
      <w:r w:rsidR="004B0C88">
        <w:t xml:space="preserve"> Lastly</w:t>
      </w:r>
      <w:r w:rsidR="004B0C88" w:rsidRPr="005F7FB7">
        <w:t xml:space="preserve">, the oversampling of </w:t>
      </w:r>
      <w:r w:rsidR="004B0C88">
        <w:t xml:space="preserve">the </w:t>
      </w:r>
      <w:r w:rsidR="004B0C88" w:rsidRPr="00EA426C">
        <w:t xml:space="preserve">western </w:t>
      </w:r>
      <w:r w:rsidR="004B0C88" w:rsidRPr="00C813B1">
        <w:t>U.S. Census region</w:t>
      </w:r>
      <w:r w:rsidR="004B0C88" w:rsidRPr="005A1F2A">
        <w:rPr>
          <w:rStyle w:val="FootnoteReference"/>
        </w:rPr>
        <w:footnoteReference w:id="4"/>
      </w:r>
      <w:r w:rsidR="004B0C88">
        <w:t xml:space="preserve"> </w:t>
      </w:r>
      <w:r w:rsidR="004B0C88" w:rsidRPr="005F7FB7">
        <w:t xml:space="preserve">directly results from targeted recruitment strategies </w:t>
      </w:r>
      <w:r w:rsidR="004B0C88">
        <w:t xml:space="preserve">in those regions </w:t>
      </w:r>
      <w:bookmarkStart w:id="37" w:name="_Hlk166036489"/>
      <w:r w:rsidR="004B0C88">
        <w:fldChar w:fldCharType="begin"/>
      </w:r>
      <w:r w:rsidR="004B0C88">
        <w:instrText xml:space="preserve"> ADDIN ZOTERO_ITEM CSL_CITATION {"citationID":"sA97D52Z","properties":{"formattedCitation":"(Chauhan et al., 2021)","plainCitation":"(Chauhan et al., 2021)","noteIndex":0},"citationItems":[{"id":1723,"uris":["http://zotero.org/users/9292995/items/DVXDCFQS"],"itemData":{"id":1723,"type":"article-journal","abstract":"Abstract\n            The COVID-19 pandemic has impacted billions of people around the world. To capture some of these impacts in the United States, we are conducting a nationwide longitudinal survey collecting information about activity and travel-related behaviors and attitudes before, during, and after the COVID-19 pandemic. The survey questions cover a wide range of topics including commuting, daily travel, air travel, working from home, online learning, shopping, and risk perception, along with attitudinal, socioeconomic, and demographic information. The survey is deployed over multiple waves to the same respondents to monitor how behaviors and attitudes evolve over time. Version 1.0 of the survey contains 8,723 responses that are publicly available. This article details the methodology adopted for the collection, cleaning, and processing of the data. In addition, the data are weighted to be representative of national and regional demographics. This survey dataset can aid researchers, policymakers, businesses, and government agencies in understanding both the extent of behavioral shifts and the likelihood that changes in behaviors will persist after COVID-19.","container-title":"Scientific Data","DOI":"10.1038/s41597-021-01020-8","ISSN":"2052-4463","issue":"1","journalAbbreviation":"Sci Data","language":"en","note":"number: 1","page":"245","source":"DOI.org (Crossref)","title":"A database of travel-related behaviors and attitudes before, during, and after COVID-19 in the United States","volume":"8","author":[{"family":"Chauhan","given":"Rishabh Singh"},{"family":"Bhagat-Conway","given":"Matthew Wigginton"},{"family":"Capasso Da Silva","given":"Denise"},{"family":"Salon","given":"Deborah"},{"family":"Shamshiripour","given":"Ali"},{"family":"Rahimi","given":"Ehsan"},{"family":"Khoeini","given":"Sara"},{"family":"Mohammadian","given":"Abolfazl"},{"family":"Derrible","given":"Sybil"},{"family":"Pendyala","given":"Ram"}],"issued":{"date-parts":[["2021",9,23]]}}}],"schema":"https://github.com/citation-style-language/schema/raw/master/csl-citation.json"} </w:instrText>
      </w:r>
      <w:r w:rsidR="004B0C88">
        <w:fldChar w:fldCharType="separate"/>
      </w:r>
      <w:r w:rsidR="004B0C88" w:rsidRPr="005F7FB7">
        <w:t>(Chauhan et al., 2021)</w:t>
      </w:r>
      <w:r w:rsidR="004B0C88">
        <w:fldChar w:fldCharType="end"/>
      </w:r>
      <w:r w:rsidR="004B0C88">
        <w:t>.</w:t>
      </w:r>
      <w:bookmarkEnd w:id="37"/>
    </w:p>
    <w:p w14:paraId="42C09DFB" w14:textId="38D107CA" w:rsidR="00853BD8" w:rsidRDefault="005F7FB7" w:rsidP="009D0CA2">
      <w:pPr>
        <w:spacing w:after="0" w:line="240" w:lineRule="auto"/>
        <w:ind w:firstLine="720"/>
        <w:jc w:val="both"/>
      </w:pPr>
      <w:r w:rsidRPr="005F7FB7">
        <w:t xml:space="preserve">Despite deviations from census distributions on certain variables, the sample remains </w:t>
      </w:r>
      <w:r>
        <w:t>suitable</w:t>
      </w:r>
      <w:r w:rsidRPr="005F7FB7">
        <w:t xml:space="preserve"> for </w:t>
      </w:r>
      <w:r>
        <w:t xml:space="preserve">estimating </w:t>
      </w:r>
      <w:r w:rsidR="00A677B6">
        <w:t xml:space="preserve">individual-level </w:t>
      </w:r>
      <w:r w:rsidRPr="005F7FB7">
        <w:t xml:space="preserve">relationships </w:t>
      </w:r>
      <w:r w:rsidR="009B63F3">
        <w:t xml:space="preserve">between exogenous variables and the outcomes of interest that may be generalized </w:t>
      </w:r>
      <w:r w:rsidRPr="005F7FB7">
        <w:t>to the broader U.S. population.</w:t>
      </w:r>
      <w:r w:rsidR="00853BD8">
        <w:t xml:space="preserve"> </w:t>
      </w:r>
      <w:r w:rsidR="009B63F3">
        <w:t xml:space="preserve">This is because of having a reasonable number of sample observations within each exogenous variable-outcome combination to tease out relationships. </w:t>
      </w:r>
      <w:r w:rsidRPr="00853BD8">
        <w:t>Furthermore,</w:t>
      </w:r>
      <w:r w:rsidR="00853BD8" w:rsidRPr="00853BD8">
        <w:t xml:space="preserve"> </w:t>
      </w:r>
      <w:r w:rsidR="00BF51EC">
        <w:t xml:space="preserve">because </w:t>
      </w:r>
      <w:r w:rsidR="00853BD8">
        <w:t xml:space="preserve">the sample is not based on endogenous sampling (i.e., our sampling of respondents was based on a convenience sample, not one targeted toward individuals with specific </w:t>
      </w:r>
      <w:r w:rsidR="00BF51EC">
        <w:t>telemedicine adoption</w:t>
      </w:r>
      <w:r w:rsidR="00853BD8">
        <w:t xml:space="preserve"> outcomes</w:t>
      </w:r>
      <w:r w:rsidR="009B63F3">
        <w:t xml:space="preserve"> or reasons for adoption/non-adoption</w:t>
      </w:r>
      <w:r w:rsidR="00853BD8">
        <w:t xml:space="preserve">), </w:t>
      </w:r>
      <w:r w:rsidR="00853BD8" w:rsidRPr="00853BD8">
        <w:t>employing an unweighted analytical approach is</w:t>
      </w:r>
      <w:r w:rsidR="009B63F3">
        <w:t xml:space="preserve"> </w:t>
      </w:r>
      <w:r w:rsidR="00853BD8" w:rsidRPr="00853BD8">
        <w:t>more efficient</w:t>
      </w:r>
      <w:r w:rsidR="009B63F3">
        <w:t xml:space="preserve"> from an inference standpoint</w:t>
      </w:r>
      <w:r w:rsidR="00853BD8" w:rsidRPr="00853BD8">
        <w:t xml:space="preserve">, </w:t>
      </w:r>
      <w:r w:rsidR="00853BD8">
        <w:t>a</w:t>
      </w:r>
      <w:r w:rsidR="009B63F3">
        <w:t>s observed</w:t>
      </w:r>
      <w:r w:rsidR="00853BD8">
        <w:t xml:space="preserve"> </w:t>
      </w:r>
      <w:r w:rsidR="00853BD8" w:rsidRPr="00853BD8">
        <w:t xml:space="preserve">by </w:t>
      </w:r>
      <w:bookmarkStart w:id="38" w:name="_Hlk166036505"/>
      <w:r w:rsidR="00F252AB">
        <w:fldChar w:fldCharType="begin"/>
      </w:r>
      <w:r w:rsidR="009A6E84">
        <w:instrText xml:space="preserve"> ADDIN ZOTERO_ITEM CSL_CITATION {"citationID":"K9xj5bGZ","properties":{"formattedCitation":"(Wooldridge, 1995)","plainCitation":"(Wooldridge, 1995)","dontUpdate":true,"noteIndex":0},"citationItems":[{"id":1061,"uris":["http://zotero.org/users/9292995/items/WMWJ5B5A"],"itemData":{"id":1061,"type":"article-journal","container-title":"Journal of econometrics","ISSN":"0304-4076","issue":"1","journalAbbreviation":"Journal of econometrics","note":"publisher: Elsevier","page":"115-132","title":"Selection corrections for panel data models under conditional mean independence assumptions","volume":"68","author":[{"family":"Wooldridge","given":"Jeffrey M"}],"issued":{"date-parts":[["1995"]]}}}],"schema":"https://github.com/citation-style-language/schema/raw/master/csl-citation.json"} </w:instrText>
      </w:r>
      <w:r w:rsidR="00F252AB">
        <w:fldChar w:fldCharType="separate"/>
      </w:r>
      <w:r w:rsidR="00F252AB" w:rsidRPr="00F252AB">
        <w:t xml:space="preserve">Wooldridge </w:t>
      </w:r>
      <w:r w:rsidR="008F5ED8">
        <w:t>(</w:t>
      </w:r>
      <w:r w:rsidR="00F252AB" w:rsidRPr="00F252AB">
        <w:t>1995)</w:t>
      </w:r>
      <w:r w:rsidR="00F252AB">
        <w:fldChar w:fldCharType="end"/>
      </w:r>
      <w:r w:rsidR="00853BD8" w:rsidRPr="00853BD8">
        <w:t xml:space="preserve"> and </w:t>
      </w:r>
      <w:r w:rsidR="00F252AB">
        <w:fldChar w:fldCharType="begin"/>
      </w:r>
      <w:r w:rsidR="009A6E84">
        <w:instrText xml:space="preserve"> ADDIN ZOTERO_ITEM CSL_CITATION {"citationID":"7KkOblVO","properties":{"formattedCitation":"(Solon et al., 2015)","plainCitation":"(Solon et al., 2015)","dontUpdate":true,"noteIndex":0},"citationItems":[{"id":500,"uris":["http://zotero.org/users/9292995/items/K4D372HG"],"itemData":{"id":500,"type":"article-journal","container-title":"Journal of Human resources","ISSN":"0022-166X","issue":"2","journalAbbreviation":"Journal of Human resources","note":"publisher: University of Wisconsin Press","page":"301-316","title":"What are we weighting for?","volume":"50","author":[{"family":"Solon","given":"Gary"},{"family":"Haider","given":"Steven J"},{"family":"Wooldridge","given":"Jeffrey M"}],"issued":{"date-parts":[["2015"]]}}}],"schema":"https://github.com/citation-style-language/schema/raw/master/csl-citation.json"} </w:instrText>
      </w:r>
      <w:r w:rsidR="00F252AB">
        <w:fldChar w:fldCharType="separate"/>
      </w:r>
      <w:r w:rsidR="00F252AB" w:rsidRPr="00F252AB">
        <w:t xml:space="preserve">Solon et al. </w:t>
      </w:r>
      <w:r w:rsidR="008F5ED8">
        <w:t>(</w:t>
      </w:r>
      <w:r w:rsidR="00F252AB" w:rsidRPr="00F252AB">
        <w:t>2015)</w:t>
      </w:r>
      <w:r w:rsidR="00F252AB">
        <w:fldChar w:fldCharType="end"/>
      </w:r>
      <w:r w:rsidR="00853BD8" w:rsidRPr="00853BD8">
        <w:t>.</w:t>
      </w:r>
      <w:bookmarkEnd w:id="38"/>
    </w:p>
    <w:p w14:paraId="53BA4890" w14:textId="77777777" w:rsidR="00E27ED8" w:rsidRDefault="00E27ED8" w:rsidP="005A1BA8">
      <w:pPr>
        <w:spacing w:after="0" w:line="240" w:lineRule="auto"/>
        <w:jc w:val="both"/>
      </w:pPr>
    </w:p>
    <w:p w14:paraId="1535EC62" w14:textId="72D576BC" w:rsidR="002D3EE2" w:rsidRPr="009D0CA2" w:rsidRDefault="002D3EE2" w:rsidP="009D0CA2">
      <w:pPr>
        <w:pStyle w:val="Heading1"/>
        <w:spacing w:after="0" w:line="240" w:lineRule="auto"/>
        <w:contextualSpacing w:val="0"/>
        <w:rPr>
          <w:caps/>
        </w:rPr>
      </w:pPr>
      <w:bookmarkStart w:id="39" w:name="_Ref178944190"/>
      <w:r w:rsidRPr="009D0CA2">
        <w:rPr>
          <w:caps/>
        </w:rPr>
        <w:t>Methodology</w:t>
      </w:r>
      <w:bookmarkEnd w:id="39"/>
    </w:p>
    <w:p w14:paraId="0BF01BFD" w14:textId="6D2D369B" w:rsidR="009C5EA6" w:rsidRDefault="00167FB1" w:rsidP="009D0CA2">
      <w:pPr>
        <w:spacing w:after="0" w:line="240" w:lineRule="auto"/>
        <w:jc w:val="both"/>
      </w:pPr>
      <w:r w:rsidRPr="00167FB1">
        <w:t xml:space="preserve">This study employs a </w:t>
      </w:r>
      <w:r w:rsidR="009B63F3">
        <w:t xml:space="preserve">joint model that simultaneously estimates a </w:t>
      </w:r>
      <w:r w:rsidR="009663F4">
        <w:t>multiperiod</w:t>
      </w:r>
      <w:r w:rsidR="009B63F3">
        <w:t xml:space="preserve"> </w:t>
      </w:r>
      <w:r w:rsidRPr="00167FB1">
        <w:t xml:space="preserve">multivariate binary probit (MBP) system </w:t>
      </w:r>
      <w:r w:rsidR="009B63F3">
        <w:t xml:space="preserve">for telemedicine adoption (across the three </w:t>
      </w:r>
      <w:r w:rsidR="00015E61">
        <w:t>periods</w:t>
      </w:r>
      <w:r w:rsidR="00D659B7">
        <w:t xml:space="preserve">; that is, across the </w:t>
      </w:r>
      <w:r w:rsidR="00C817CF">
        <w:t>Before-</w:t>
      </w:r>
      <w:r w:rsidR="006312A4">
        <w:lastRenderedPageBreak/>
        <w:t>COVID</w:t>
      </w:r>
      <w:r w:rsidR="00D659B7">
        <w:t xml:space="preserve">, </w:t>
      </w:r>
      <w:r w:rsidR="00F8247A">
        <w:t>During-</w:t>
      </w:r>
      <w:r w:rsidR="006312A4">
        <w:t>COVID</w:t>
      </w:r>
      <w:r w:rsidR="00D659B7">
        <w:t xml:space="preserve">, and </w:t>
      </w:r>
      <w:r w:rsidR="006312A4">
        <w:t>After-COVID</w:t>
      </w:r>
      <w:r w:rsidR="00D659B7">
        <w:t xml:space="preserve"> periods</w:t>
      </w:r>
      <w:r w:rsidR="009B63F3">
        <w:t>) a</w:t>
      </w:r>
      <w:r w:rsidR="00F4606D">
        <w:t xml:space="preserve">s well an endogenous switching </w:t>
      </w:r>
      <w:r w:rsidR="00D659B7">
        <w:t xml:space="preserve">multivariate binary </w:t>
      </w:r>
      <w:r w:rsidR="00F4606D">
        <w:t xml:space="preserve">equation system in the form of a cross-sectional MBP system. The “treatment” in the latter cross-sectional component of the joint model system is telemedicine adoption (or not) in the third </w:t>
      </w:r>
      <w:r w:rsidR="00015E61">
        <w:t>period</w:t>
      </w:r>
      <w:r w:rsidR="00F4606D">
        <w:t xml:space="preserve">, with the outcomes being the multivariate binary list of reasons for adopting (in the positive telemedicine adoption regime) and not adopting (in the negative telemedicine adoption regime). Note that the </w:t>
      </w:r>
      <w:r w:rsidR="006312A4">
        <w:t>After-COVID</w:t>
      </w:r>
      <w:r w:rsidR="003A200F">
        <w:t xml:space="preserve"> </w:t>
      </w:r>
      <w:r w:rsidR="00F4606D">
        <w:t>adoption decision is</w:t>
      </w:r>
      <w:r w:rsidR="00651AAB">
        <w:t xml:space="preserve"> also</w:t>
      </w:r>
      <w:r w:rsidR="00F4606D">
        <w:t xml:space="preserve"> tied to the </w:t>
      </w:r>
      <w:r w:rsidR="009663F4">
        <w:t>multiperiod</w:t>
      </w:r>
      <w:r w:rsidR="00F4606D">
        <w:t xml:space="preserve"> MBP to accommodate time-varying unobserved individual factors that impact the adoption decisions across all </w:t>
      </w:r>
      <w:r w:rsidR="00015E61">
        <w:t>pe</w:t>
      </w:r>
      <w:r w:rsidR="006515BE">
        <w:t>r</w:t>
      </w:r>
      <w:r w:rsidR="00015E61">
        <w:t>iods</w:t>
      </w:r>
      <w:r w:rsidR="00F4606D">
        <w:t xml:space="preserve">. Further, unobserved individual factors that can affect multiple </w:t>
      </w:r>
      <w:r w:rsidR="003A200F">
        <w:t xml:space="preserve">facilitator/deterrent </w:t>
      </w:r>
      <w:r w:rsidR="00F4606D">
        <w:t xml:space="preserve">reasons are captured through the correlations in the cross-sectional MBP within each regime. </w:t>
      </w:r>
      <w:r w:rsidR="00D659B7">
        <w:t xml:space="preserve">The formulation </w:t>
      </w:r>
      <w:r w:rsidR="009C5EA6">
        <w:t xml:space="preserve">enables the accurate capture of exogenous variable effects on the adoption decision through the control of unobserved factors, as well as enables the estimation of the factors acting as facilitators and </w:t>
      </w:r>
      <w:r w:rsidR="006515BE">
        <w:t>deterrents</w:t>
      </w:r>
      <w:r w:rsidR="009C5EA6">
        <w:t xml:space="preserve"> for adoption in the population at large (regardless of adoption or not determinations, which is where the endogenous switching MBP system comes into play). That is, for any random individual picked from the population, we are able to determine the facilitators/</w:t>
      </w:r>
      <w:r w:rsidR="00F61E18">
        <w:rPr>
          <w:color w:val="000000" w:themeColor="text1"/>
        </w:rPr>
        <w:t>deterrents</w:t>
      </w:r>
      <w:r w:rsidR="009C5EA6">
        <w:t xml:space="preserve"> for telemedicine adoption, thanks to the endogenous switching MBP. </w:t>
      </w:r>
    </w:p>
    <w:p w14:paraId="46A2F642" w14:textId="735A60D8" w:rsidR="009C5EA6" w:rsidRDefault="009C5EA6" w:rsidP="009D0CA2">
      <w:pPr>
        <w:spacing w:after="0" w:line="240" w:lineRule="auto"/>
        <w:ind w:firstLine="720"/>
        <w:jc w:val="both"/>
      </w:pPr>
      <w:r w:rsidRPr="00015E61">
        <w:t xml:space="preserve">Methodologically speaking, for any given individual, </w:t>
      </w:r>
      <w:r w:rsidRPr="00015E61">
        <w:rPr>
          <w:u w:val="single"/>
        </w:rPr>
        <w:t>if the individual adopts telemedicine</w:t>
      </w:r>
      <w:r w:rsidR="00015E61" w:rsidRPr="00015E61">
        <w:rPr>
          <w:u w:val="single"/>
        </w:rPr>
        <w:t xml:space="preserve"> in the</w:t>
      </w:r>
      <w:r w:rsidRPr="00015E61">
        <w:rPr>
          <w:u w:val="single"/>
        </w:rPr>
        <w:t xml:space="preserve"> </w:t>
      </w:r>
      <w:r w:rsidR="006312A4">
        <w:rPr>
          <w:u w:val="single"/>
        </w:rPr>
        <w:t>After-COVID</w:t>
      </w:r>
      <w:r w:rsidR="00015E61" w:rsidRPr="00015E61">
        <w:rPr>
          <w:u w:val="single"/>
        </w:rPr>
        <w:t xml:space="preserve"> period</w:t>
      </w:r>
      <w:r w:rsidRPr="00015E61">
        <w:t xml:space="preserve">, we observe the adoption choices across the three </w:t>
      </w:r>
      <w:r w:rsidR="00015E61" w:rsidRPr="00015E61">
        <w:t>periods</w:t>
      </w:r>
      <w:r w:rsidRPr="00015E61">
        <w:t xml:space="preserve"> and the reasons for adoption (as asked only in </w:t>
      </w:r>
      <w:r w:rsidR="00015E61" w:rsidRPr="00015E61">
        <w:t xml:space="preserve">the </w:t>
      </w:r>
      <w:r w:rsidR="006312A4">
        <w:t>After-COVID</w:t>
      </w:r>
      <w:r w:rsidR="00015E61" w:rsidRPr="00015E61">
        <w:t xml:space="preserve"> period</w:t>
      </w:r>
      <w:r w:rsidRPr="00015E61">
        <w:t xml:space="preserve">). Thus, the joint probability of interest corresponds to (a) the choice of adoption </w:t>
      </w:r>
      <w:r w:rsidR="00C817CF">
        <w:t>Before-</w:t>
      </w:r>
      <w:r w:rsidR="006312A4">
        <w:t>COVID</w:t>
      </w:r>
      <w:r w:rsidRPr="00015E61">
        <w:t xml:space="preserve"> (yes</w:t>
      </w:r>
      <w:r w:rsidR="00A9211C">
        <w:t>/</w:t>
      </w:r>
      <w:r w:rsidRPr="00015E61">
        <w:t>no</w:t>
      </w:r>
      <w:r w:rsidR="00A865C2" w:rsidRPr="00015E61">
        <w:t xml:space="preserve">, based on </w:t>
      </w:r>
      <w:r w:rsidR="004E11A3" w:rsidRPr="00015E61">
        <w:t>reported adoption</w:t>
      </w:r>
      <w:r w:rsidRPr="00015E61">
        <w:t xml:space="preserve">), (b) the choice of adoption </w:t>
      </w:r>
      <w:r w:rsidR="00F8247A">
        <w:t>During-</w:t>
      </w:r>
      <w:r w:rsidR="006312A4">
        <w:t>COVID</w:t>
      </w:r>
      <w:r w:rsidRPr="00015E61">
        <w:t xml:space="preserve"> (yes</w:t>
      </w:r>
      <w:r w:rsidR="00A9211C">
        <w:t>/</w:t>
      </w:r>
      <w:r w:rsidRPr="00015E61">
        <w:t>no</w:t>
      </w:r>
      <w:r w:rsidR="00A865C2" w:rsidRPr="00015E61">
        <w:t xml:space="preserve">, based on </w:t>
      </w:r>
      <w:r w:rsidR="004E11A3" w:rsidRPr="00015E61">
        <w:t>reported adoption</w:t>
      </w:r>
      <w:r w:rsidRPr="00015E61">
        <w:t>), (c) the choice of adoption</w:t>
      </w:r>
      <w:r w:rsidR="00015E61">
        <w:t xml:space="preserve"> </w:t>
      </w:r>
      <w:r w:rsidR="006312A4">
        <w:t>After-COVID</w:t>
      </w:r>
      <w:r w:rsidRPr="00015E61">
        <w:t xml:space="preserve"> (ye</w:t>
      </w:r>
      <w:r w:rsidR="00A9211C">
        <w:t>s</w:t>
      </w:r>
      <w:r w:rsidR="008F5ED8" w:rsidRPr="00015E61">
        <w:t xml:space="preserve">, based on stated </w:t>
      </w:r>
      <w:r w:rsidR="004E11A3" w:rsidRPr="00015E61">
        <w:t>intention</w:t>
      </w:r>
      <w:r w:rsidR="005834D2">
        <w:t xml:space="preserve"> of </w:t>
      </w:r>
      <w:r w:rsidR="003A200F">
        <w:t xml:space="preserve">future </w:t>
      </w:r>
      <w:r w:rsidR="005834D2">
        <w:t>telemedicine</w:t>
      </w:r>
      <w:r w:rsidR="003A200F">
        <w:t xml:space="preserve"> </w:t>
      </w:r>
      <w:r w:rsidR="000706EF">
        <w:t>adoption</w:t>
      </w:r>
      <w:r w:rsidRPr="00015E61">
        <w:t xml:space="preserve">), and (d) </w:t>
      </w:r>
      <w:r w:rsidR="00A865C2" w:rsidRPr="00015E61">
        <w:t>the choice of the reason for adopting telemedicine (yes/no, based on observation on each of the eight adoption reasons (after removing the “</w:t>
      </w:r>
      <w:r w:rsidR="00A865C2" w:rsidRPr="00015E61">
        <w:rPr>
          <w:color w:val="000000"/>
        </w:rPr>
        <w:t xml:space="preserve">I have a wider choice of healthcare providers” reason in </w:t>
      </w:r>
      <w:r w:rsidR="0069340B">
        <w:fldChar w:fldCharType="begin"/>
      </w:r>
      <w:r w:rsidR="0069340B">
        <w:instrText xml:space="preserve"> REF _Ref178944975 \h </w:instrText>
      </w:r>
      <w:r w:rsidR="0069340B">
        <w:fldChar w:fldCharType="separate"/>
      </w:r>
      <w:r w:rsidR="008A3DCE">
        <w:t xml:space="preserve">Table </w:t>
      </w:r>
      <w:r w:rsidR="008A3DCE">
        <w:rPr>
          <w:noProof/>
        </w:rPr>
        <w:t>2</w:t>
      </w:r>
      <w:r w:rsidR="0069340B">
        <w:fldChar w:fldCharType="end"/>
      </w:r>
      <w:r w:rsidR="008F5ED8" w:rsidRPr="00015E61">
        <w:rPr>
          <w:color w:val="000000"/>
        </w:rPr>
        <w:t xml:space="preserve"> due to an insufficient number of respondents selecting this reason). </w:t>
      </w:r>
      <w:r w:rsidR="00A865C2" w:rsidRPr="00015E61">
        <w:rPr>
          <w:color w:val="000000"/>
        </w:rPr>
        <w:t xml:space="preserve">This </w:t>
      </w:r>
      <w:r w:rsidR="00A9211C">
        <w:rPr>
          <w:color w:val="000000"/>
        </w:rPr>
        <w:t xml:space="preserve">effectively </w:t>
      </w:r>
      <w:r w:rsidR="00A865C2" w:rsidRPr="00015E61">
        <w:rPr>
          <w:color w:val="000000"/>
        </w:rPr>
        <w:t>results in a</w:t>
      </w:r>
      <w:r w:rsidR="00A82346" w:rsidRPr="00015E61">
        <w:rPr>
          <w:color w:val="000000"/>
        </w:rPr>
        <w:t>n</w:t>
      </w:r>
      <w:r w:rsidR="00A865C2" w:rsidRPr="00015E61">
        <w:rPr>
          <w:color w:val="000000"/>
        </w:rPr>
        <w:t xml:space="preserve"> 11-dimensional MBP system (the non-adoption reasons are </w:t>
      </w:r>
      <w:r w:rsidR="00A9211C">
        <w:rPr>
          <w:color w:val="000000"/>
        </w:rPr>
        <w:t>un</w:t>
      </w:r>
      <w:r w:rsidR="00A865C2" w:rsidRPr="00015E61">
        <w:rPr>
          <w:color w:val="000000"/>
        </w:rPr>
        <w:t>available for th</w:t>
      </w:r>
      <w:r w:rsidR="008F5ED8" w:rsidRPr="00015E61">
        <w:rPr>
          <w:color w:val="000000"/>
        </w:rPr>
        <w:t>ese</w:t>
      </w:r>
      <w:r w:rsidR="00A865C2" w:rsidRPr="00015E61">
        <w:rPr>
          <w:color w:val="000000"/>
        </w:rPr>
        <w:t xml:space="preserve"> individual</w:t>
      </w:r>
      <w:r w:rsidR="008F5ED8" w:rsidRPr="00015E61">
        <w:rPr>
          <w:color w:val="000000"/>
        </w:rPr>
        <w:t>s</w:t>
      </w:r>
      <w:r w:rsidR="00A865C2" w:rsidRPr="00015E61">
        <w:rPr>
          <w:color w:val="000000"/>
        </w:rPr>
        <w:t xml:space="preserve"> and do not feature in the estimation). Next, for </w:t>
      </w:r>
      <w:r w:rsidR="00A865C2" w:rsidRPr="00015E61">
        <w:rPr>
          <w:color w:val="000000"/>
          <w:u w:val="single"/>
        </w:rPr>
        <w:t xml:space="preserve">any individual who does not adopt telemedicine </w:t>
      </w:r>
      <w:r w:rsidR="00015E61" w:rsidRPr="00015E61">
        <w:rPr>
          <w:u w:val="single"/>
        </w:rPr>
        <w:t xml:space="preserve">in the </w:t>
      </w:r>
      <w:r w:rsidR="006312A4">
        <w:rPr>
          <w:u w:val="single"/>
        </w:rPr>
        <w:t>After-COVID</w:t>
      </w:r>
      <w:r w:rsidR="00015E61" w:rsidRPr="00015E61">
        <w:rPr>
          <w:u w:val="single"/>
        </w:rPr>
        <w:t xml:space="preserve"> period</w:t>
      </w:r>
      <w:r w:rsidR="00A865C2" w:rsidRPr="00015E61">
        <w:rPr>
          <w:color w:val="000000"/>
        </w:rPr>
        <w:t xml:space="preserve">, the joint probability of interest corresponds to </w:t>
      </w:r>
      <w:r w:rsidR="00A865C2" w:rsidRPr="00015E61">
        <w:t xml:space="preserve">(a) the choice of adoption </w:t>
      </w:r>
      <w:r w:rsidR="00C817CF">
        <w:t>Before-</w:t>
      </w:r>
      <w:r w:rsidR="006312A4">
        <w:t>COVID</w:t>
      </w:r>
      <w:r w:rsidR="00A865C2" w:rsidRPr="00015E61">
        <w:t xml:space="preserve"> (yes</w:t>
      </w:r>
      <w:r w:rsidR="00A9211C">
        <w:t>/</w:t>
      </w:r>
      <w:r w:rsidR="00A865C2" w:rsidRPr="00015E61">
        <w:t xml:space="preserve">no, based on </w:t>
      </w:r>
      <w:r w:rsidR="004E11A3" w:rsidRPr="00015E61">
        <w:t>reported adoption</w:t>
      </w:r>
      <w:r w:rsidR="00A865C2" w:rsidRPr="00015E61">
        <w:t xml:space="preserve">), (b) the choice of adoption </w:t>
      </w:r>
      <w:r w:rsidR="00F8247A">
        <w:t>During-</w:t>
      </w:r>
      <w:r w:rsidR="006312A4">
        <w:t>COVID</w:t>
      </w:r>
      <w:r w:rsidR="00A865C2" w:rsidRPr="00015E61">
        <w:t xml:space="preserve"> (yes</w:t>
      </w:r>
      <w:r w:rsidR="00A9211C">
        <w:t>/</w:t>
      </w:r>
      <w:r w:rsidR="00A865C2" w:rsidRPr="00015E61">
        <w:t xml:space="preserve">no, based on </w:t>
      </w:r>
      <w:r w:rsidR="004E11A3" w:rsidRPr="00015E61">
        <w:t>reported adoption</w:t>
      </w:r>
      <w:r w:rsidR="00A865C2" w:rsidRPr="00015E61">
        <w:t xml:space="preserve">), (c) the choice of adoption </w:t>
      </w:r>
      <w:r w:rsidR="006312A4">
        <w:t>After-COVID</w:t>
      </w:r>
      <w:r w:rsidR="00A865C2" w:rsidRPr="00015E61">
        <w:t xml:space="preserve"> (no</w:t>
      </w:r>
      <w:r w:rsidR="008F5ED8" w:rsidRPr="00015E61">
        <w:t xml:space="preserve">, based on stated </w:t>
      </w:r>
      <w:r w:rsidR="004E11A3" w:rsidRPr="00015E61">
        <w:t>intentions</w:t>
      </w:r>
      <w:r w:rsidR="00A865C2" w:rsidRPr="00015E61">
        <w:t>), and (d) the choice of the reason for non-adoption of telemedicine (yes/no, based on observation</w:t>
      </w:r>
      <w:r w:rsidR="00A865C2">
        <w:t xml:space="preserve"> on each of the </w:t>
      </w:r>
      <w:r w:rsidR="0008422F">
        <w:t>seven</w:t>
      </w:r>
      <w:r w:rsidR="00A865C2">
        <w:t xml:space="preserve"> </w:t>
      </w:r>
      <w:r w:rsidR="0008422F">
        <w:t>non-</w:t>
      </w:r>
      <w:r w:rsidR="00A865C2">
        <w:t>adoption reasons (after removing the “</w:t>
      </w:r>
      <w:r w:rsidR="0008422F">
        <w:t>insurance” and “</w:t>
      </w:r>
      <w:r w:rsidR="00A865C2" w:rsidRPr="00046E2E">
        <w:rPr>
          <w:color w:val="000000"/>
        </w:rPr>
        <w:t xml:space="preserve">I have a wider choice of </w:t>
      </w:r>
      <w:r w:rsidR="0008422F">
        <w:rPr>
          <w:color w:val="000000"/>
        </w:rPr>
        <w:t xml:space="preserve">in-person </w:t>
      </w:r>
      <w:r w:rsidR="00A865C2" w:rsidRPr="00046E2E">
        <w:rPr>
          <w:color w:val="000000"/>
        </w:rPr>
        <w:t>healthcare providers</w:t>
      </w:r>
      <w:r w:rsidR="00A865C2">
        <w:rPr>
          <w:color w:val="000000"/>
        </w:rPr>
        <w:t>” reason</w:t>
      </w:r>
      <w:r w:rsidR="0008422F">
        <w:rPr>
          <w:color w:val="000000"/>
        </w:rPr>
        <w:t>s</w:t>
      </w:r>
      <w:r w:rsidR="00A865C2">
        <w:rPr>
          <w:color w:val="000000"/>
        </w:rPr>
        <w:t xml:space="preserve"> in </w:t>
      </w:r>
      <w:r w:rsidR="0069340B">
        <w:fldChar w:fldCharType="begin"/>
      </w:r>
      <w:r w:rsidR="0069340B">
        <w:instrText xml:space="preserve"> REF _Ref178944975 \h </w:instrText>
      </w:r>
      <w:r w:rsidR="0069340B">
        <w:fldChar w:fldCharType="separate"/>
      </w:r>
      <w:r w:rsidR="008A3DCE">
        <w:t xml:space="preserve">Table </w:t>
      </w:r>
      <w:r w:rsidR="008A3DCE">
        <w:rPr>
          <w:noProof/>
        </w:rPr>
        <w:t>2</w:t>
      </w:r>
      <w:r w:rsidR="0069340B">
        <w:fldChar w:fldCharType="end"/>
      </w:r>
      <w:r w:rsidR="00A865C2">
        <w:rPr>
          <w:color w:val="000000"/>
        </w:rPr>
        <w:t xml:space="preserve"> </w:t>
      </w:r>
      <w:r w:rsidR="008F5ED8" w:rsidRPr="008F5ED8">
        <w:rPr>
          <w:color w:val="000000"/>
        </w:rPr>
        <w:t xml:space="preserve">due to an insufficient number of respondents selecting </w:t>
      </w:r>
      <w:r w:rsidR="00A865C2">
        <w:rPr>
          <w:color w:val="000000"/>
        </w:rPr>
        <w:t>th</w:t>
      </w:r>
      <w:r w:rsidR="0008422F">
        <w:rPr>
          <w:color w:val="000000"/>
        </w:rPr>
        <w:t>ese</w:t>
      </w:r>
      <w:r w:rsidR="00A865C2">
        <w:rPr>
          <w:color w:val="000000"/>
        </w:rPr>
        <w:t xml:space="preserve"> reason</w:t>
      </w:r>
      <w:r w:rsidR="0008422F">
        <w:rPr>
          <w:color w:val="000000"/>
        </w:rPr>
        <w:t>s</w:t>
      </w:r>
      <w:r w:rsidR="00A865C2">
        <w:rPr>
          <w:color w:val="000000"/>
        </w:rPr>
        <w:t>).</w:t>
      </w:r>
      <w:r w:rsidR="0008422F">
        <w:rPr>
          <w:color w:val="000000"/>
        </w:rPr>
        <w:t xml:space="preserve"> The result is a 10-dimensional MBP system (the adoption reasons are </w:t>
      </w:r>
      <w:r w:rsidR="00A9211C">
        <w:rPr>
          <w:color w:val="000000"/>
        </w:rPr>
        <w:t>un</w:t>
      </w:r>
      <w:r w:rsidR="0008422F">
        <w:rPr>
          <w:color w:val="000000"/>
        </w:rPr>
        <w:t>available for th</w:t>
      </w:r>
      <w:r w:rsidR="008F5ED8">
        <w:rPr>
          <w:color w:val="000000"/>
        </w:rPr>
        <w:t>ese</w:t>
      </w:r>
      <w:r w:rsidR="0008422F">
        <w:rPr>
          <w:color w:val="000000"/>
        </w:rPr>
        <w:t xml:space="preserve"> individual</w:t>
      </w:r>
      <w:r w:rsidR="008F5ED8">
        <w:rPr>
          <w:color w:val="000000"/>
        </w:rPr>
        <w:t>s</w:t>
      </w:r>
      <w:r w:rsidR="0008422F">
        <w:rPr>
          <w:color w:val="000000"/>
        </w:rPr>
        <w:t xml:space="preserve"> and do not feature in the estimation). For each of the two regimes above (the adoption and non-adoption regimes in </w:t>
      </w:r>
      <w:r w:rsidR="00015E61">
        <w:rPr>
          <w:color w:val="000000"/>
        </w:rPr>
        <w:t xml:space="preserve">the </w:t>
      </w:r>
      <w:r w:rsidR="006312A4">
        <w:rPr>
          <w:color w:val="000000"/>
        </w:rPr>
        <w:t>After-COVID</w:t>
      </w:r>
      <w:r w:rsidR="00015E61">
        <w:rPr>
          <w:color w:val="000000"/>
        </w:rPr>
        <w:t xml:space="preserve"> period</w:t>
      </w:r>
      <w:r w:rsidR="0008422F">
        <w:rPr>
          <w:color w:val="000000"/>
        </w:rPr>
        <w:t>), three dimensions are common (the three adoption/non-adoption decisions in the three</w:t>
      </w:r>
      <w:r w:rsidR="00015E61">
        <w:rPr>
          <w:color w:val="000000"/>
        </w:rPr>
        <w:t xml:space="preserve"> periods</w:t>
      </w:r>
      <w:r w:rsidR="0008422F">
        <w:rPr>
          <w:color w:val="000000"/>
        </w:rPr>
        <w:t xml:space="preserve">), which ties the </w:t>
      </w:r>
      <w:r w:rsidR="009663F4">
        <w:rPr>
          <w:color w:val="000000"/>
        </w:rPr>
        <w:t>multiperiod</w:t>
      </w:r>
      <w:r w:rsidR="0008422F">
        <w:rPr>
          <w:color w:val="000000"/>
        </w:rPr>
        <w:t xml:space="preserve"> and the cross-sectional MBPs. From a presentation ease standpoint, the entire model system can be viewed as a</w:t>
      </w:r>
      <w:r w:rsidR="00A97370">
        <w:rPr>
          <w:color w:val="000000"/>
        </w:rPr>
        <w:t>n</w:t>
      </w:r>
      <w:r w:rsidR="0008422F">
        <w:rPr>
          <w:color w:val="000000"/>
        </w:rPr>
        <w:t xml:space="preserve"> 18-dimensional MBP system, with zero correlations between the </w:t>
      </w:r>
      <w:r w:rsidR="00F8247A">
        <w:rPr>
          <w:color w:val="000000"/>
        </w:rPr>
        <w:t>B</w:t>
      </w:r>
      <w:r w:rsidR="00015E61">
        <w:rPr>
          <w:color w:val="000000"/>
        </w:rPr>
        <w:t>efore/</w:t>
      </w:r>
      <w:r w:rsidR="00F8247A">
        <w:rPr>
          <w:color w:val="000000"/>
        </w:rPr>
        <w:t>During-</w:t>
      </w:r>
      <w:r w:rsidR="006312A4">
        <w:rPr>
          <w:color w:val="000000"/>
        </w:rPr>
        <w:t>COVID</w:t>
      </w:r>
      <w:r w:rsidR="0008422F">
        <w:rPr>
          <w:color w:val="000000"/>
        </w:rPr>
        <w:t xml:space="preserve"> adoption equations and the reasons for adoption/non-adoption (because the reason questions were asked only </w:t>
      </w:r>
      <w:r w:rsidR="00015E61">
        <w:rPr>
          <w:color w:val="000000"/>
        </w:rPr>
        <w:t xml:space="preserve">for the </w:t>
      </w:r>
      <w:r w:rsidR="006312A4">
        <w:rPr>
          <w:color w:val="000000"/>
        </w:rPr>
        <w:t>After-COVID</w:t>
      </w:r>
      <w:r w:rsidR="00015E61">
        <w:rPr>
          <w:color w:val="000000"/>
        </w:rPr>
        <w:t xml:space="preserve"> period</w:t>
      </w:r>
      <w:r w:rsidR="0008422F">
        <w:rPr>
          <w:color w:val="000000"/>
        </w:rPr>
        <w:t xml:space="preserve">). Further, because </w:t>
      </w:r>
      <w:r w:rsidR="001F20E4">
        <w:rPr>
          <w:color w:val="000000"/>
        </w:rPr>
        <w:t xml:space="preserve">adoption (non-adoption) reasons were sought only from those who adopted (did not adopt) in </w:t>
      </w:r>
      <w:r w:rsidR="00015E61">
        <w:rPr>
          <w:color w:val="000000"/>
        </w:rPr>
        <w:t xml:space="preserve">the </w:t>
      </w:r>
      <w:r w:rsidR="006312A4">
        <w:rPr>
          <w:color w:val="000000"/>
        </w:rPr>
        <w:t>After-COVID</w:t>
      </w:r>
      <w:r w:rsidR="00015E61">
        <w:rPr>
          <w:color w:val="000000"/>
        </w:rPr>
        <w:t xml:space="preserve"> period</w:t>
      </w:r>
      <w:r w:rsidR="001F20E4">
        <w:rPr>
          <w:color w:val="000000"/>
        </w:rPr>
        <w:t xml:space="preserve">, no correlations can be estimated </w:t>
      </w:r>
      <w:r w:rsidR="003305B8">
        <w:rPr>
          <w:color w:val="000000"/>
        </w:rPr>
        <w:t xml:space="preserve">across the two sets of reasons for adoption and non-adoption (but correlations can be estimated within the set of adoption reasons and within the set of non-adoption reasons). However, correlations are estimable between the error term in the adoption/non-adoption choice component for </w:t>
      </w:r>
      <w:r w:rsidR="00015E61">
        <w:rPr>
          <w:color w:val="000000"/>
        </w:rPr>
        <w:t xml:space="preserve">the </w:t>
      </w:r>
      <w:r w:rsidR="006312A4">
        <w:rPr>
          <w:color w:val="000000"/>
        </w:rPr>
        <w:t>After-COVID</w:t>
      </w:r>
      <w:r w:rsidR="00015E61">
        <w:rPr>
          <w:color w:val="000000"/>
        </w:rPr>
        <w:t xml:space="preserve"> period </w:t>
      </w:r>
      <w:r w:rsidR="003305B8">
        <w:rPr>
          <w:color w:val="000000"/>
        </w:rPr>
        <w:t xml:space="preserve">and the entire set of reasons for adoption and </w:t>
      </w:r>
      <w:r w:rsidR="00794194">
        <w:rPr>
          <w:color w:val="000000"/>
        </w:rPr>
        <w:t xml:space="preserve">the entire set of </w:t>
      </w:r>
      <w:r w:rsidR="003305B8">
        <w:rPr>
          <w:color w:val="000000"/>
        </w:rPr>
        <w:t xml:space="preserve">non-adoption </w:t>
      </w:r>
      <w:r w:rsidR="003305B8">
        <w:rPr>
          <w:color w:val="000000"/>
        </w:rPr>
        <w:lastRenderedPageBreak/>
        <w:t xml:space="preserve">(constituting the main switching element of the model). </w:t>
      </w:r>
      <w:r w:rsidR="00794194">
        <w:rPr>
          <w:color w:val="000000"/>
        </w:rPr>
        <w:t>We use such a</w:t>
      </w:r>
      <w:r w:rsidR="00A97370">
        <w:rPr>
          <w:color w:val="000000"/>
        </w:rPr>
        <w:t>n</w:t>
      </w:r>
      <w:r w:rsidR="00794194">
        <w:rPr>
          <w:color w:val="000000"/>
        </w:rPr>
        <w:t xml:space="preserve"> 18-dimensional MBP set-up to present the model structure (because of presentation ease), though, as indicated earlier, for any individual, during estimation, the dimensionality collapses to either 11 or 10, depending upon adoption or not </w:t>
      </w:r>
      <w:r w:rsidR="006312A4">
        <w:rPr>
          <w:color w:val="000000"/>
        </w:rPr>
        <w:t>After-COVID</w:t>
      </w:r>
      <w:r w:rsidR="00794194">
        <w:rPr>
          <w:color w:val="000000"/>
        </w:rPr>
        <w:t xml:space="preserve"> (that is, only the appropriate marginal covariance matrix of 11 or 10 from the original covariance matrix of 18 will feature). </w:t>
      </w:r>
    </w:p>
    <w:p w14:paraId="5F165B98" w14:textId="18A205F9" w:rsidR="002B1FB1" w:rsidRDefault="00794194" w:rsidP="009D0CA2">
      <w:pPr>
        <w:spacing w:after="0" w:line="240" w:lineRule="auto"/>
        <w:ind w:firstLine="720"/>
        <w:jc w:val="both"/>
      </w:pPr>
      <w:r>
        <w:t>With the above notes, the model structure is essentially that of a</w:t>
      </w:r>
      <w:r w:rsidR="00A82346">
        <w:t>n</w:t>
      </w:r>
      <w:r>
        <w:t xml:space="preserve"> MBP system assuming 18 outcome dimensions</w:t>
      </w:r>
      <w:r w:rsidR="00A9211C">
        <w:t>, as we discuss below</w:t>
      </w:r>
      <w:r>
        <w:t>.</w:t>
      </w:r>
    </w:p>
    <w:p w14:paraId="5FD08DBA" w14:textId="77777777" w:rsidR="009663F4" w:rsidRDefault="009663F4" w:rsidP="009D0CA2">
      <w:pPr>
        <w:spacing w:after="0" w:line="240" w:lineRule="auto"/>
        <w:ind w:firstLine="720"/>
        <w:jc w:val="both"/>
      </w:pPr>
    </w:p>
    <w:p w14:paraId="2CC9D30D" w14:textId="59B9D3C2" w:rsidR="00F97397" w:rsidRDefault="00F97397" w:rsidP="009D0CA2">
      <w:pPr>
        <w:pStyle w:val="Heading2"/>
        <w:spacing w:after="0" w:line="240" w:lineRule="auto"/>
        <w:contextualSpacing w:val="0"/>
      </w:pPr>
      <w:r>
        <w:t>Model Structure</w:t>
      </w:r>
    </w:p>
    <w:p w14:paraId="2E5F82BF" w14:textId="05E39716" w:rsidR="008F5ED8" w:rsidRDefault="000E1C2F" w:rsidP="009D0CA2">
      <w:pPr>
        <w:spacing w:after="0" w:line="240" w:lineRule="auto"/>
        <w:jc w:val="both"/>
      </w:pPr>
      <w:bookmarkStart w:id="40" w:name="_Hlk178803489"/>
      <w:r>
        <w:t xml:space="preserve">The formulation </w:t>
      </w:r>
      <w:r w:rsidR="005210EB">
        <w:t>presented in this section is based on the methodological frameworks developed by</w:t>
      </w:r>
      <w:r>
        <w:t xml:space="preserve"> </w:t>
      </w:r>
      <w:bookmarkStart w:id="41" w:name="_Hlk179626866"/>
      <w:r w:rsidRPr="00A9211C">
        <w:fldChar w:fldCharType="begin"/>
      </w:r>
      <w:r w:rsidRPr="00A9211C">
        <w:instrText xml:space="preserve"> ADDIN ZOTERO_ITEM CSL_CITATION {"citationID":"dTchTt76","properties":{"formattedCitation":"(Bhat, 2014)","plainCitation":"(Bhat, 2014)","noteIndex":0},"citationItems":[{"id":2684,"uris":["http://zotero.org/users/9292995/items/R7VWUL8Q"],"itemData":{"id":2684,"type":"article-journal","abstract":"The Composite Marginal Likelihood (CML) Inference Approach with Applications to Discrete and Mixed Dependent Variable Models","container-title":"Foundations and Trends® in Econometrics","DOI":"10.1561/0800000022","ISSN":"1551-3076, 1551-3084","issue":"1","journalAbbreviation":"ECO","language":"English","note":"publisher: Now Publishers, Inc.","page":"1-117","source":"www.nowpublishers.com","title":"The Composite Marginal Likelihood (CML) Inference Approach with Applications to Discrete and Mixed Dependent Variable Models","volume":"7","author":[{"family":"Bhat","given":"Chandra R."}],"issued":{"date-parts":[["2014",7,16]]}}}],"schema":"https://github.com/citation-style-language/schema/raw/master/csl-citation.json"} </w:instrText>
      </w:r>
      <w:r w:rsidRPr="00A9211C">
        <w:fldChar w:fldCharType="separate"/>
      </w:r>
      <w:r w:rsidRPr="00A9211C">
        <w:t xml:space="preserve">Bhat </w:t>
      </w:r>
      <w:r w:rsidR="005210EB" w:rsidRPr="00A9211C">
        <w:t>(</w:t>
      </w:r>
      <w:r w:rsidRPr="00A9211C">
        <w:t>2014)</w:t>
      </w:r>
      <w:r w:rsidRPr="00A9211C">
        <w:fldChar w:fldCharType="end"/>
      </w:r>
      <w:r w:rsidR="005210EB" w:rsidRPr="00A9211C">
        <w:t xml:space="preserve"> and Bhat (2018).</w:t>
      </w:r>
      <w:r w:rsidR="005210EB">
        <w:t xml:space="preserve"> </w:t>
      </w:r>
      <w:bookmarkEnd w:id="40"/>
      <w:bookmarkEnd w:id="41"/>
      <w:r w:rsidR="00F97397" w:rsidRPr="004B0C88">
        <w:t xml:space="preserve">Let </w:t>
      </w:r>
      <w:r w:rsidR="00F97397" w:rsidRPr="004B0C88">
        <w:rPr>
          <w:i/>
          <w:iCs/>
        </w:rPr>
        <w:t>c</w:t>
      </w:r>
      <w:r w:rsidR="00F97397" w:rsidRPr="004B0C88">
        <w:t xml:space="preserve"> be the index for telemedicine adoption choices across the three periods, the eight reasons for telemedicine adoption, and the seven reasons associated with non-adoption (</w:t>
      </w:r>
      <w:r w:rsidR="00F97397" w:rsidRPr="004B0C88">
        <w:rPr>
          <w:i/>
        </w:rPr>
        <w:t>c</w:t>
      </w:r>
      <w:r w:rsidR="00F97397" w:rsidRPr="004B0C88">
        <w:t xml:space="preserve"> = 1, 2,…, </w:t>
      </w:r>
      <w:r w:rsidR="00F97397" w:rsidRPr="004B0C88">
        <w:rPr>
          <w:i/>
        </w:rPr>
        <w:t>C</w:t>
      </w:r>
      <w:r w:rsidR="00F97397" w:rsidRPr="004B0C88">
        <w:t xml:space="preserve">; </w:t>
      </w:r>
      <w:r w:rsidR="00F97397" w:rsidRPr="004B0C88">
        <w:rPr>
          <w:i/>
        </w:rPr>
        <w:t>C</w:t>
      </w:r>
      <w:r w:rsidR="00F97397" w:rsidRPr="004B0C88">
        <w:t xml:space="preserve">=18 in our case). Define a latent propensity </w:t>
      </w:r>
      <w:r w:rsidR="00466681" w:rsidRPr="004B0C88">
        <w:rPr>
          <w:noProof/>
          <w:position w:val="-12"/>
        </w:rPr>
        <w:object w:dxaOrig="279" w:dyaOrig="380" w14:anchorId="54A35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5pt;height:19.3pt;mso-width-percent:0;mso-height-percent:0;mso-width-percent:0;mso-height-percent:0" o:ole="" o:preferrelative="f">
            <v:imagedata r:id="rId12" o:title=""/>
            <o:lock v:ext="edit" aspectratio="f"/>
          </v:shape>
          <o:OLEObject Type="Embed" ProgID="Equation.DSMT4" ShapeID="_x0000_i1025" DrawAspect="Content" ObjectID="_1790752333" r:id="rId13"/>
        </w:object>
      </w:r>
      <w:r w:rsidR="00F97397" w:rsidRPr="004B0C88">
        <w:t xml:space="preserve"> underlying the </w:t>
      </w:r>
      <w:r w:rsidR="003A200F">
        <w:t>binary</w:t>
      </w:r>
      <w:r w:rsidR="00A43B39" w:rsidRPr="004B0C88">
        <w:t xml:space="preserve"> </w:t>
      </w:r>
      <w:r w:rsidR="00F97397" w:rsidRPr="004B0C88">
        <w:t xml:space="preserve">variable </w:t>
      </w:r>
      <w:r w:rsidR="00466681" w:rsidRPr="004B0C88">
        <w:rPr>
          <w:noProof/>
          <w:position w:val="-12"/>
        </w:rPr>
        <w:object w:dxaOrig="279" w:dyaOrig="380" w14:anchorId="1CCD581F">
          <v:shape id="_x0000_i1026" type="#_x0000_t75" alt="" style="width:14.15pt;height:19.3pt;mso-width-percent:0;mso-height-percent:0;mso-width-percent:0;mso-height-percent:0" o:ole="" o:preferrelative="f">
            <v:imagedata r:id="rId14" o:title=""/>
            <o:lock v:ext="edit" aspectratio="f"/>
          </v:shape>
          <o:OLEObject Type="Embed" ProgID="Equation.DSMT4" ShapeID="_x0000_i1026" DrawAspect="Content" ObjectID="_1790752334" r:id="rId15"/>
        </w:object>
      </w:r>
      <w:r w:rsidR="00F97397" w:rsidRPr="004B0C88">
        <w:t xml:space="preserve"> and consider the following structure:</w:t>
      </w:r>
    </w:p>
    <w:p w14:paraId="3146F39A" w14:textId="7AB38A85" w:rsidR="00F97397" w:rsidRPr="004B0C88" w:rsidRDefault="00466681" w:rsidP="009D0CA2">
      <w:pPr>
        <w:spacing w:after="0" w:line="240" w:lineRule="auto"/>
        <w:jc w:val="both"/>
      </w:pPr>
      <w:r w:rsidRPr="009101D8">
        <w:rPr>
          <w:position w:val="-12"/>
        </w:rPr>
        <w:object w:dxaOrig="1260" w:dyaOrig="380" w14:anchorId="68B37935">
          <v:shape id="_x0000_i1027" type="#_x0000_t75" style="width:63.85pt;height:18pt" o:ole="" o:preferrelative="f">
            <v:imagedata r:id="rId16" o:title=""/>
            <o:lock v:ext="edit" aspectratio="f"/>
          </v:shape>
          <o:OLEObject Type="Embed" ProgID="Equation.DSMT4" ShapeID="_x0000_i1027" DrawAspect="Content" ObjectID="_1790752335" r:id="rId17"/>
        </w:object>
      </w:r>
      <w:r w:rsidR="00F97397" w:rsidRPr="004B0C88">
        <w:t xml:space="preserve">, </w:t>
      </w:r>
      <w:r w:rsidRPr="009101D8">
        <w:rPr>
          <w:position w:val="-12"/>
        </w:rPr>
        <w:object w:dxaOrig="720" w:dyaOrig="360" w14:anchorId="20A66641">
          <v:shape id="_x0000_i1028" type="#_x0000_t75" style="width:36.85pt;height:18pt" o:ole="" o:preferrelative="f">
            <v:imagedata r:id="rId18" o:title=""/>
            <o:lock v:ext="edit" aspectratio="f"/>
          </v:shape>
          <o:OLEObject Type="Embed" ProgID="Equation.DSMT4" ShapeID="_x0000_i1028" DrawAspect="Content" ObjectID="_1790752336" r:id="rId19"/>
        </w:object>
      </w:r>
      <w:r w:rsidR="00F97397" w:rsidRPr="004B0C88">
        <w:t xml:space="preserve"> if </w:t>
      </w:r>
      <w:r w:rsidRPr="009101D8">
        <w:rPr>
          <w:position w:val="-18"/>
        </w:rPr>
        <w:object w:dxaOrig="1719" w:dyaOrig="440" w14:anchorId="339C9666">
          <v:shape id="_x0000_i1029" type="#_x0000_t75" style="width:86.15pt;height:21.85pt" o:ole="" o:preferrelative="f">
            <v:imagedata r:id="rId20" o:title=""/>
            <o:lock v:ext="edit" aspectratio="f"/>
          </v:shape>
          <o:OLEObject Type="Embed" ProgID="Equation.DSMT4" ShapeID="_x0000_i1029" DrawAspect="Content" ObjectID="_1790752337" r:id="rId21"/>
        </w:object>
      </w:r>
      <w:r w:rsidR="00F97397" w:rsidRPr="004B0C88">
        <w:t xml:space="preserve">,  </w:t>
      </w:r>
      <w:r w:rsidR="00F97397" w:rsidRPr="004B0C88">
        <w:tab/>
      </w:r>
      <w:r w:rsidR="00372023">
        <w:tab/>
      </w:r>
      <w:r w:rsidR="00372023">
        <w:tab/>
      </w:r>
      <w:r w:rsidR="00372023">
        <w:tab/>
      </w:r>
      <w:r w:rsidR="00372023">
        <w:tab/>
      </w:r>
      <w:r w:rsidR="00372023">
        <w:tab/>
      </w:r>
      <w:r w:rsidR="00372023">
        <w:tab/>
        <w:t xml:space="preserve">       </w:t>
      </w:r>
      <w:r w:rsidR="00F97397" w:rsidRPr="004B0C88">
        <w:t>(</w:t>
      </w:r>
      <w:r w:rsidR="00A43B39" w:rsidRPr="004B0C88">
        <w:t>1</w:t>
      </w:r>
      <w:r w:rsidR="00F97397" w:rsidRPr="004B0C88">
        <w:t>)</w:t>
      </w:r>
    </w:p>
    <w:p w14:paraId="2A8C33A7" w14:textId="49BA158C" w:rsidR="007A7E9F" w:rsidRPr="004B0C88" w:rsidRDefault="00A43B39" w:rsidP="009D0CA2">
      <w:pPr>
        <w:spacing w:after="0" w:line="240" w:lineRule="auto"/>
        <w:jc w:val="both"/>
        <w:rPr>
          <w:noProof/>
        </w:rPr>
      </w:pPr>
      <w:r w:rsidRPr="004B0C88">
        <w:t xml:space="preserve">where </w:t>
      </w:r>
      <w:r w:rsidR="00466681" w:rsidRPr="007F18E6">
        <w:rPr>
          <w:position w:val="-4"/>
        </w:rPr>
        <w:object w:dxaOrig="200" w:dyaOrig="200" w14:anchorId="11DA866A">
          <v:shape id="_x0000_i1030" type="#_x0000_t75" style="width:9.85pt;height:9.85pt" o:ole="">
            <v:imagedata r:id="rId22" o:title=""/>
          </v:shape>
          <o:OLEObject Type="Embed" ProgID="Equation.DSMT4" ShapeID="_x0000_i1030" DrawAspect="Content" ObjectID="_1790752338" r:id="rId23"/>
        </w:object>
      </w:r>
      <w:r w:rsidR="006312A4" w:rsidRPr="004B0C88">
        <w:t xml:space="preserve"> </w:t>
      </w:r>
      <w:r w:rsidRPr="004B0C88">
        <w:t>is a</w:t>
      </w:r>
      <w:r w:rsidR="008F5ED8">
        <w:t>n</w:t>
      </w:r>
      <w:r w:rsidRPr="004B0C88">
        <w:t xml:space="preserve"> (</w:t>
      </w:r>
      <w:r w:rsidRPr="004B0C88">
        <w:rPr>
          <w:i/>
        </w:rPr>
        <w:t>L×</w:t>
      </w:r>
      <w:r w:rsidRPr="004B0C88">
        <w:t>1) vector of exogenous variables</w:t>
      </w:r>
      <w:r w:rsidR="00794194">
        <w:t xml:space="preserve"> (excluding a constant)</w:t>
      </w:r>
      <w:r w:rsidRPr="004B0C88">
        <w:t xml:space="preserve">, </w:t>
      </w:r>
      <w:r w:rsidR="00466681" w:rsidRPr="007F18E6">
        <w:rPr>
          <w:position w:val="-12"/>
        </w:rPr>
        <w:object w:dxaOrig="279" w:dyaOrig="380" w14:anchorId="1E9579F7">
          <v:shape id="_x0000_i1031" type="#_x0000_t75" style="width:14.15pt;height:18pt" o:ole="" o:preferrelative="f">
            <v:imagedata r:id="rId24" o:title=""/>
            <o:lock v:ext="edit" aspectratio="f"/>
          </v:shape>
          <o:OLEObject Type="Embed" ProgID="Equation.DSMT4" ShapeID="_x0000_i1031" DrawAspect="Content" ObjectID="_1790752339" r:id="rId25"/>
        </w:object>
      </w:r>
      <w:r w:rsidR="001E2C62">
        <w:t xml:space="preserve"> </w:t>
      </w:r>
      <w:r w:rsidRPr="004B0C88">
        <w:t>is a corresponding (</w:t>
      </w:r>
      <w:r w:rsidRPr="004B0C88">
        <w:rPr>
          <w:i/>
        </w:rPr>
        <w:t>L×</w:t>
      </w:r>
      <w:r w:rsidRPr="004B0C88">
        <w:t xml:space="preserve">1) vector of coefficients to be estimated, and </w:t>
      </w:r>
      <w:r w:rsidR="00C37174" w:rsidRPr="00D22A5B">
        <w:rPr>
          <w:position w:val="-12"/>
        </w:rPr>
        <w:object w:dxaOrig="260" w:dyaOrig="360" w14:anchorId="59654203">
          <v:shape id="_x0000_i1032" type="#_x0000_t75" style="width:12.85pt;height:18pt" o:ole="" o:preferrelative="f">
            <v:imagedata r:id="rId26" o:title=""/>
            <o:lock v:ext="edit" aspectratio="f"/>
          </v:shape>
          <o:OLEObject Type="Embed" ProgID="Equation.DSMT4" ShapeID="_x0000_i1032" DrawAspect="Content" ObjectID="_1790752340" r:id="rId27"/>
        </w:object>
      </w:r>
      <w:r w:rsidRPr="004B0C88">
        <w:t xml:space="preserve"> is a random error term assumed to be standard normally distributed (the scale of </w:t>
      </w:r>
      <w:r w:rsidR="00C37174" w:rsidRPr="00D22A5B">
        <w:rPr>
          <w:position w:val="-12"/>
        </w:rPr>
        <w:object w:dxaOrig="260" w:dyaOrig="360" w14:anchorId="097519F4">
          <v:shape id="_x0000_i1033" type="#_x0000_t75" style="width:12.85pt;height:18pt" o:ole="" o:preferrelative="f">
            <v:imagedata r:id="rId26" o:title=""/>
            <o:lock v:ext="edit" aspectratio="f"/>
          </v:shape>
          <o:OLEObject Type="Embed" ProgID="Equation.DSMT4" ShapeID="_x0000_i1033" DrawAspect="Content" ObjectID="_1790752341" r:id="rId28"/>
        </w:object>
      </w:r>
      <w:r w:rsidRPr="004B0C88">
        <w:t xml:space="preserve"> is not identified and so is arbitrarily set to one). Let</w:t>
      </w:r>
      <w:r w:rsidR="001E2C62">
        <w:t xml:space="preserve"> </w:t>
      </w:r>
      <w:r w:rsidR="00466681" w:rsidRPr="00D22A5B">
        <w:rPr>
          <w:position w:val="-12"/>
        </w:rPr>
        <w:object w:dxaOrig="260" w:dyaOrig="360" w14:anchorId="4D7309BC">
          <v:shape id="_x0000_i1034" type="#_x0000_t75" style="width:12pt;height:18pt" o:ole="">
            <v:imagedata r:id="rId29" o:title=""/>
          </v:shape>
          <o:OLEObject Type="Embed" ProgID="Equation.DSMT4" ShapeID="_x0000_i1034" DrawAspect="Content" ObjectID="_1790752342" r:id="rId30"/>
        </w:object>
      </w:r>
      <w:r w:rsidRPr="004B0C88">
        <w:t xml:space="preserve"> represent a specific value of the binary dependent variables, which can be either 0 or 1. Therefore, we can write </w:t>
      </w:r>
      <w:r w:rsidR="00466681" w:rsidRPr="009101D8">
        <w:rPr>
          <w:position w:val="-12"/>
        </w:rPr>
        <w:object w:dxaOrig="960" w:dyaOrig="360" w14:anchorId="352FB7C8">
          <v:shape id="_x0000_i1035" type="#_x0000_t75" style="width:47.15pt;height:18pt" o:ole="" o:preferrelative="f">
            <v:imagedata r:id="rId31" o:title=""/>
            <o:lock v:ext="edit" aspectratio="f"/>
          </v:shape>
          <o:OLEObject Type="Embed" ProgID="Equation.DSMT4" ShapeID="_x0000_i1035" DrawAspect="Content" ObjectID="_1790752343" r:id="rId32"/>
        </w:object>
      </w:r>
      <w:r w:rsidRPr="004B0C88">
        <w:t xml:space="preserve">. </w:t>
      </w:r>
      <w:r w:rsidR="000D15EC" w:rsidRPr="004B0C88">
        <w:t>For each ou</w:t>
      </w:r>
      <w:r w:rsidR="00233F42" w:rsidRPr="004B0C88">
        <w:t>t</w:t>
      </w:r>
      <w:r w:rsidR="000D15EC" w:rsidRPr="004B0C88">
        <w:t>come, t</w:t>
      </w:r>
      <w:r w:rsidRPr="004B0C88">
        <w:t>he continuous latent propensity</w:t>
      </w:r>
      <w:r w:rsidR="006312A4">
        <w:t xml:space="preserve"> </w:t>
      </w:r>
      <w:r w:rsidR="00C37174" w:rsidRPr="007F18E6">
        <w:rPr>
          <w:position w:val="-12"/>
        </w:rPr>
        <w:object w:dxaOrig="279" w:dyaOrig="380" w14:anchorId="0E021F5C">
          <v:shape id="_x0000_i1036" type="#_x0000_t75" style="width:13.7pt;height:18.85pt" o:ole="" o:preferrelative="f">
            <v:imagedata r:id="rId33" o:title=""/>
            <o:lock v:ext="edit" aspectratio="f"/>
          </v:shape>
          <o:OLEObject Type="Embed" ProgID="Equation.DSMT4" ShapeID="_x0000_i1036" DrawAspect="Content" ObjectID="_1790752344" r:id="rId34"/>
        </w:object>
      </w:r>
      <w:r w:rsidRPr="004B0C88">
        <w:t xml:space="preserve"> is mapped to the observed outcome variable </w:t>
      </w:r>
      <w:r w:rsidR="00466681" w:rsidRPr="007F18E6">
        <w:rPr>
          <w:position w:val="-12"/>
        </w:rPr>
        <w:object w:dxaOrig="279" w:dyaOrig="380" w14:anchorId="2114E691">
          <v:shape id="_x0000_i1037" type="#_x0000_t75" style="width:14.15pt;height:18pt" o:ole="" o:preferrelative="f">
            <v:imagedata r:id="rId35" o:title=""/>
            <o:lock v:ext="edit" aspectratio="f"/>
          </v:shape>
          <o:OLEObject Type="Embed" ProgID="Equation.DSMT4" ShapeID="_x0000_i1037" DrawAspect="Content" ObjectID="_1790752345" r:id="rId36"/>
        </w:object>
      </w:r>
      <w:r w:rsidRPr="004B0C88">
        <w:t xml:space="preserve"> </w:t>
      </w:r>
      <w:r w:rsidR="00A24389" w:rsidRPr="004B0C88">
        <w:t>through a threshold, denoted by</w:t>
      </w:r>
      <w:r w:rsidR="00372023">
        <w:t xml:space="preserve"> </w:t>
      </w:r>
      <w:r w:rsidR="00466681" w:rsidRPr="009101D8">
        <w:rPr>
          <w:position w:val="-14"/>
        </w:rPr>
        <w:object w:dxaOrig="420" w:dyaOrig="380" w14:anchorId="4F568F59">
          <v:shape id="_x0000_i1038" type="#_x0000_t75" style="width:21.85pt;height:18pt" o:ole="" o:preferrelative="f">
            <v:imagedata r:id="rId37" o:title=""/>
            <o:lock v:ext="edit" aspectratio="f"/>
          </v:shape>
          <o:OLEObject Type="Embed" ProgID="Equation.DSMT4" ShapeID="_x0000_i1038" DrawAspect="Content" ObjectID="_1790752346" r:id="rId38"/>
        </w:object>
      </w:r>
      <w:r w:rsidR="00A24389" w:rsidRPr="004B0C88">
        <w:t>. Th</w:t>
      </w:r>
      <w:r w:rsidR="000D15EC" w:rsidRPr="004B0C88">
        <w:t xml:space="preserve">is </w:t>
      </w:r>
      <w:r w:rsidR="00A24389" w:rsidRPr="004B0C88">
        <w:t xml:space="preserve">threshold </w:t>
      </w:r>
      <w:r w:rsidRPr="004B0C88">
        <w:t xml:space="preserve">should satisfy the ordering conditions </w:t>
      </w:r>
      <w:r w:rsidR="00466681" w:rsidRPr="009101D8">
        <w:rPr>
          <w:position w:val="-14"/>
        </w:rPr>
        <w:object w:dxaOrig="3900" w:dyaOrig="380" w14:anchorId="42A4E128">
          <v:shape id="_x0000_i1039" type="#_x0000_t75" style="width:194.15pt;height:18pt" o:ole="" o:preferrelative="f">
            <v:imagedata r:id="rId39" o:title=""/>
            <o:lock v:ext="edit" aspectratio="f"/>
          </v:shape>
          <o:OLEObject Type="Embed" ProgID="Equation.DSMT4" ShapeID="_x0000_i1039" DrawAspect="Content" ObjectID="_1790752347" r:id="rId40"/>
        </w:object>
      </w:r>
      <w:r w:rsidR="00A24389" w:rsidRPr="004B0C88">
        <w:t>.</w:t>
      </w:r>
      <w:r w:rsidRPr="004B0C88">
        <w:t xml:space="preserve"> </w:t>
      </w:r>
      <w:r w:rsidR="007F66CC" w:rsidRPr="004B0C88">
        <w:t>Next,</w:t>
      </w:r>
      <w:r w:rsidR="000D15EC" w:rsidRPr="004B0C88">
        <w:t xml:space="preserve"> vertically </w:t>
      </w:r>
      <w:r w:rsidR="000D15EC" w:rsidRPr="004B0C88">
        <w:rPr>
          <w:noProof/>
        </w:rPr>
        <w:t xml:space="preserve">stack the </w:t>
      </w:r>
      <w:r w:rsidR="000D15EC" w:rsidRPr="004B0C88">
        <w:rPr>
          <w:i/>
          <w:noProof/>
        </w:rPr>
        <w:t xml:space="preserve">C </w:t>
      </w:r>
      <w:r w:rsidR="000D15EC" w:rsidRPr="004B0C88">
        <w:rPr>
          <w:noProof/>
        </w:rPr>
        <w:t xml:space="preserve">latent variables </w:t>
      </w:r>
      <w:r w:rsidR="00466681" w:rsidRPr="007F18E6">
        <w:rPr>
          <w:position w:val="-12"/>
        </w:rPr>
        <w:object w:dxaOrig="279" w:dyaOrig="380" w14:anchorId="6B3F7AD5">
          <v:shape id="_x0000_i1040" type="#_x0000_t75" style="width:14.15pt;height:18pt" o:ole="" o:preferrelative="f">
            <v:imagedata r:id="rId33" o:title=""/>
            <o:lock v:ext="edit" aspectratio="f"/>
          </v:shape>
          <o:OLEObject Type="Embed" ProgID="Equation.DSMT4" ShapeID="_x0000_i1040" DrawAspect="Content" ObjectID="_1790752348" r:id="rId41"/>
        </w:object>
      </w:r>
      <w:r w:rsidR="000D15EC" w:rsidRPr="004B0C88">
        <w:rPr>
          <w:noProof/>
        </w:rPr>
        <w:t xml:space="preserve"> into a </w:t>
      </w:r>
      <w:r w:rsidR="006312A4">
        <w:rPr>
          <w:noProof/>
        </w:rPr>
        <w:t>(</w:t>
      </w:r>
      <w:r w:rsidR="006312A4">
        <w:rPr>
          <w:i/>
        </w:rPr>
        <w:t>C</w:t>
      </w:r>
      <w:r w:rsidR="006312A4" w:rsidRPr="004B0C88">
        <w:rPr>
          <w:i/>
        </w:rPr>
        <w:t>×</w:t>
      </w:r>
      <w:r w:rsidR="006312A4" w:rsidRPr="004B0C88">
        <w:t>1</w:t>
      </w:r>
      <w:r w:rsidR="006312A4">
        <w:rPr>
          <w:noProof/>
        </w:rPr>
        <w:t xml:space="preserve">) </w:t>
      </w:r>
      <w:r w:rsidR="000D15EC" w:rsidRPr="004B0C88">
        <w:rPr>
          <w:noProof/>
        </w:rPr>
        <w:t>vector</w:t>
      </w:r>
      <w:r w:rsidR="000D15EC" w:rsidRPr="004B0C88">
        <w:rPr>
          <w:noProof/>
          <w:position w:val="-14"/>
        </w:rPr>
        <w:t xml:space="preserve"> </w:t>
      </w:r>
      <w:r w:rsidR="00466681" w:rsidRPr="009101D8">
        <w:rPr>
          <w:position w:val="-12"/>
        </w:rPr>
        <w:object w:dxaOrig="279" w:dyaOrig="380" w14:anchorId="09FAF25A">
          <v:shape id="_x0000_i1041" type="#_x0000_t75" style="width:14.15pt;height:18pt" o:ole="" o:preferrelative="f">
            <v:imagedata r:id="rId42" o:title=""/>
            <o:lock v:ext="edit" aspectratio="f"/>
          </v:shape>
          <o:OLEObject Type="Embed" ProgID="Equation.DSMT4" ShapeID="_x0000_i1041" DrawAspect="Content" ObjectID="_1790752349" r:id="rId43"/>
        </w:object>
      </w:r>
      <w:r w:rsidR="000D15EC" w:rsidRPr="004B0C88">
        <w:rPr>
          <w:noProof/>
        </w:rPr>
        <w:t xml:space="preserve">, and the </w:t>
      </w:r>
      <w:r w:rsidR="000D15EC" w:rsidRPr="004B0C88">
        <w:rPr>
          <w:i/>
          <w:noProof/>
        </w:rPr>
        <w:t>C</w:t>
      </w:r>
      <w:r w:rsidR="000D15EC" w:rsidRPr="004B0C88">
        <w:rPr>
          <w:noProof/>
        </w:rPr>
        <w:t xml:space="preserve"> error terms </w:t>
      </w:r>
      <w:r w:rsidR="00466681" w:rsidRPr="007F18E6">
        <w:rPr>
          <w:position w:val="-12"/>
        </w:rPr>
        <w:object w:dxaOrig="260" w:dyaOrig="360" w14:anchorId="12D7CF2E">
          <v:shape id="_x0000_i1042" type="#_x0000_t75" style="width:12pt;height:18pt" o:ole="" o:preferrelative="f">
            <v:imagedata r:id="rId44" o:title=""/>
            <o:lock v:ext="edit" aspectratio="f"/>
          </v:shape>
          <o:OLEObject Type="Embed" ProgID="Equation.DSMT4" ShapeID="_x0000_i1042" DrawAspect="Content" ObjectID="_1790752350" r:id="rId45"/>
        </w:object>
      </w:r>
      <w:r w:rsidR="000D15EC" w:rsidRPr="004B0C88">
        <w:rPr>
          <w:noProof/>
        </w:rPr>
        <w:t xml:space="preserve"> into another</w:t>
      </w:r>
      <w:r w:rsidR="006312A4">
        <w:rPr>
          <w:noProof/>
        </w:rPr>
        <w:t xml:space="preserve"> (</w:t>
      </w:r>
      <w:r w:rsidR="006312A4">
        <w:rPr>
          <w:i/>
        </w:rPr>
        <w:t>C</w:t>
      </w:r>
      <w:r w:rsidR="006312A4" w:rsidRPr="004B0C88">
        <w:rPr>
          <w:i/>
        </w:rPr>
        <w:t>×</w:t>
      </w:r>
      <w:r w:rsidR="006312A4" w:rsidRPr="004B0C88">
        <w:t>1</w:t>
      </w:r>
      <w:r w:rsidR="006312A4">
        <w:rPr>
          <w:noProof/>
        </w:rPr>
        <w:t>)</w:t>
      </w:r>
      <w:r w:rsidR="006312A4">
        <w:t xml:space="preserve"> </w:t>
      </w:r>
      <w:r w:rsidR="000D15EC" w:rsidRPr="004B0C88">
        <w:rPr>
          <w:noProof/>
        </w:rPr>
        <w:t>vector</w:t>
      </w:r>
      <w:r w:rsidR="00372023">
        <w:rPr>
          <w:noProof/>
        </w:rPr>
        <w:t xml:space="preserve"> </w:t>
      </w:r>
      <w:r w:rsidR="00466681" w:rsidRPr="007F18E6">
        <w:rPr>
          <w:position w:val="-10"/>
        </w:rPr>
        <w:object w:dxaOrig="240" w:dyaOrig="260" w14:anchorId="4ED8C8E2">
          <v:shape id="_x0000_i1043" type="#_x0000_t75" style="width:10.7pt;height:12pt" o:ole="" o:preferrelative="f">
            <v:imagedata r:id="rId46" o:title=""/>
            <o:lock v:ext="edit" aspectratio="f"/>
          </v:shape>
          <o:OLEObject Type="Embed" ProgID="Equation.DSMT4" ShapeID="_x0000_i1043" DrawAspect="Content" ObjectID="_1790752351" r:id="rId47"/>
        </w:object>
      </w:r>
      <w:r w:rsidR="00372023">
        <w:t xml:space="preserve"> </w:t>
      </w:r>
      <w:r w:rsidR="000D15EC" w:rsidRPr="004B0C88">
        <w:rPr>
          <w:noProof/>
        </w:rPr>
        <w:t xml:space="preserve">Let </w:t>
      </w:r>
      <w:r w:rsidR="00466681" w:rsidRPr="007F18E6">
        <w:rPr>
          <w:position w:val="-12"/>
        </w:rPr>
        <w:object w:dxaOrig="1700" w:dyaOrig="360" w14:anchorId="1F18BADB">
          <v:shape id="_x0000_i1044" type="#_x0000_t75" style="width:86.15pt;height:18pt" o:ole="" o:preferrelative="f">
            <v:imagedata r:id="rId48" o:title=""/>
            <o:lock v:ext="edit" aspectratio="f"/>
          </v:shape>
          <o:OLEObject Type="Embed" ProgID="Equation.DSMT4" ShapeID="_x0000_i1044" DrawAspect="Content" ObjectID="_1790752352" r:id="rId49"/>
        </w:object>
      </w:r>
      <w:r w:rsidR="000D15EC" w:rsidRPr="004B0C88">
        <w:rPr>
          <w:noProof/>
        </w:rPr>
        <w:t xml:space="preserve"> where </w:t>
      </w:r>
      <w:r w:rsidR="00466681" w:rsidRPr="00D22A5B">
        <w:rPr>
          <w:position w:val="-12"/>
        </w:rPr>
        <w:object w:dxaOrig="1359" w:dyaOrig="360" w14:anchorId="059D9B34">
          <v:shape id="_x0000_i1045" type="#_x0000_t75" style="width:67.3pt;height:18pt" o:ole="" o:preferrelative="f">
            <v:imagedata r:id="rId50" o:title=""/>
            <o:lock v:ext="edit" aspectratio="f"/>
          </v:shape>
          <o:OLEObject Type="Embed" ProgID="Equation.DSMT4" ShapeID="_x0000_i1045" DrawAspect="Content" ObjectID="_1790752353" r:id="rId51"/>
        </w:object>
      </w:r>
      <w:r w:rsidR="000D15EC" w:rsidRPr="004B0C88">
        <w:t xml:space="preserve"> represents the </w:t>
      </w:r>
      <w:r w:rsidR="001E2C62" w:rsidRPr="001E2C62">
        <w:rPr>
          <w:i/>
          <w:iCs/>
        </w:rPr>
        <w:t>C</w:t>
      </w:r>
      <w:r w:rsidR="000D15EC" w:rsidRPr="004B0C88">
        <w:t xml:space="preserve"> dimensional multivariate normal distribution with mean vector</w:t>
      </w:r>
      <w:r w:rsidR="00372023">
        <w:t xml:space="preserve"> </w:t>
      </w:r>
      <w:r w:rsidR="00466681" w:rsidRPr="00D22A5B">
        <w:rPr>
          <w:position w:val="-12"/>
        </w:rPr>
        <w:object w:dxaOrig="300" w:dyaOrig="360" w14:anchorId="2CC4BC18">
          <v:shape id="_x0000_i1046" type="#_x0000_t75" style="width:15pt;height:18pt" o:ole="" o:preferrelative="f">
            <v:imagedata r:id="rId52" o:title=""/>
            <o:lock v:ext="edit" aspectratio="f"/>
          </v:shape>
          <o:OLEObject Type="Embed" ProgID="Equation.DSMT4" ShapeID="_x0000_i1046" DrawAspect="Content" ObjectID="_1790752354" r:id="rId53"/>
        </w:object>
      </w:r>
      <w:r w:rsidR="000D15EC" w:rsidRPr="004B0C88">
        <w:t xml:space="preserve"> (a </w:t>
      </w:r>
      <w:r w:rsidR="006312A4">
        <w:rPr>
          <w:noProof/>
        </w:rPr>
        <w:t>(</w:t>
      </w:r>
      <w:r w:rsidR="006312A4">
        <w:rPr>
          <w:i/>
        </w:rPr>
        <w:t>C</w:t>
      </w:r>
      <w:r w:rsidR="006312A4" w:rsidRPr="004B0C88">
        <w:rPr>
          <w:i/>
        </w:rPr>
        <w:t>×</w:t>
      </w:r>
      <w:r w:rsidR="006312A4" w:rsidRPr="004B0C88">
        <w:t>1</w:t>
      </w:r>
      <w:r w:rsidR="006312A4">
        <w:rPr>
          <w:noProof/>
        </w:rPr>
        <w:t>)</w:t>
      </w:r>
      <w:r w:rsidR="00372023">
        <w:t xml:space="preserve"> </w:t>
      </w:r>
      <w:r w:rsidR="000D15EC" w:rsidRPr="004B0C88">
        <w:t>vector of zeros) and a correlation matrix of</w:t>
      </w:r>
      <w:r w:rsidR="006312A4">
        <w:t xml:space="preserve"> </w:t>
      </w:r>
      <w:r w:rsidR="00466681" w:rsidRPr="007F18E6">
        <w:rPr>
          <w:position w:val="-4"/>
        </w:rPr>
        <w:object w:dxaOrig="220" w:dyaOrig="260" w14:anchorId="3AE80A14">
          <v:shape id="_x0000_i1047" type="#_x0000_t75" style="width:10.7pt;height:12pt" o:ole="" o:preferrelative="f">
            <v:imagedata r:id="rId54" o:title=""/>
            <o:lock v:ext="edit" aspectratio="f"/>
          </v:shape>
          <o:OLEObject Type="Embed" ProgID="Equation.DSMT4" ShapeID="_x0000_i1047" DrawAspect="Content" ObjectID="_1790752355" r:id="rId55"/>
        </w:object>
      </w:r>
      <w:r w:rsidR="000D15EC" w:rsidRPr="004B0C88">
        <w:t>. The off-diagonal terms of</w:t>
      </w:r>
      <w:r w:rsidR="001E2C62">
        <w:t xml:space="preserve"> </w:t>
      </w:r>
      <w:r w:rsidR="00466681" w:rsidRPr="007F18E6">
        <w:rPr>
          <w:position w:val="-4"/>
        </w:rPr>
        <w:object w:dxaOrig="220" w:dyaOrig="260" w14:anchorId="0D75582C">
          <v:shape id="_x0000_i1048" type="#_x0000_t75" style="width:10.7pt;height:12pt" o:ole="" o:preferrelative="f">
            <v:imagedata r:id="rId54" o:title=""/>
            <o:lock v:ext="edit" aspectratio="f"/>
          </v:shape>
          <o:OLEObject Type="Embed" ProgID="Equation.DSMT4" ShapeID="_x0000_i1048" DrawAspect="Content" ObjectID="_1790752356" r:id="rId56"/>
        </w:object>
      </w:r>
      <w:r w:rsidR="001E2C62">
        <w:t xml:space="preserve"> </w:t>
      </w:r>
      <w:r w:rsidR="000D15EC" w:rsidRPr="004B0C88">
        <w:t>capture the error covariance across the underlying latent continuous propensities of the 18 outcomes.</w:t>
      </w:r>
      <w:r w:rsidR="007F66CC" w:rsidRPr="004B0C88">
        <w:rPr>
          <w:noProof/>
        </w:rPr>
        <w:t xml:space="preserve"> </w:t>
      </w:r>
      <w:r w:rsidR="00B14722">
        <w:rPr>
          <w:noProof/>
        </w:rPr>
        <w:t xml:space="preserve">Many of the elements of </w:t>
      </w:r>
      <w:r w:rsidR="00466681" w:rsidRPr="007F18E6">
        <w:rPr>
          <w:position w:val="-4"/>
        </w:rPr>
        <w:object w:dxaOrig="220" w:dyaOrig="260" w14:anchorId="7B182669">
          <v:shape id="_x0000_i1049" type="#_x0000_t75" style="width:10.7pt;height:12pt" o:ole="" o:preferrelative="f">
            <v:imagedata r:id="rId54" o:title=""/>
            <o:lock v:ext="edit" aspectratio="f"/>
          </v:shape>
          <o:OLEObject Type="Embed" ProgID="Equation.DSMT4" ShapeID="_x0000_i1049" DrawAspect="Content" ObjectID="_1790752357" r:id="rId57"/>
        </w:object>
      </w:r>
      <w:r w:rsidR="00372023" w:rsidRPr="004B0C88">
        <w:t xml:space="preserve"> </w:t>
      </w:r>
      <w:r w:rsidR="00B14722">
        <w:t>are zero because of the considerations discussed in the previous section.</w:t>
      </w:r>
    </w:p>
    <w:p w14:paraId="662019FD" w14:textId="4FA41BA6" w:rsidR="00EF1912" w:rsidRPr="004B0C88" w:rsidRDefault="007F66CC" w:rsidP="009D0CA2">
      <w:pPr>
        <w:spacing w:after="0" w:line="240" w:lineRule="auto"/>
        <w:ind w:firstLine="720"/>
        <w:jc w:val="both"/>
      </w:pPr>
      <w:r w:rsidRPr="004B0C88">
        <w:rPr>
          <w:noProof/>
        </w:rPr>
        <w:t>Also, let</w:t>
      </w:r>
      <w:r w:rsidR="00372023">
        <w:rPr>
          <w:noProof/>
        </w:rPr>
        <w:t xml:space="preserve"> </w:t>
      </w:r>
      <w:r w:rsidR="005A1BA8" w:rsidRPr="007F18E6">
        <w:rPr>
          <w:position w:val="-14"/>
        </w:rPr>
        <w:object w:dxaOrig="2220" w:dyaOrig="380" w14:anchorId="25D8DED5">
          <v:shape id="_x0000_i1050" type="#_x0000_t75" style="width:111pt;height:18.85pt" o:ole="" o:preferrelative="f">
            <v:imagedata r:id="rId58" o:title=""/>
            <o:lock v:ext="edit" aspectratio="f"/>
          </v:shape>
          <o:OLEObject Type="Embed" ProgID="Equation.DSMT4" ShapeID="_x0000_i1050" DrawAspect="Content" ObjectID="_1790752358" r:id="rId59"/>
        </w:object>
      </w:r>
      <w:r w:rsidRPr="004B0C88">
        <w:t xml:space="preserve"> be </w:t>
      </w:r>
      <w:r w:rsidR="00372023" w:rsidRPr="004B0C88">
        <w:t xml:space="preserve">a </w:t>
      </w:r>
      <w:r w:rsidR="006312A4">
        <w:rPr>
          <w:noProof/>
        </w:rPr>
        <w:t>(</w:t>
      </w:r>
      <w:r w:rsidR="006312A4">
        <w:rPr>
          <w:i/>
        </w:rPr>
        <w:t>C</w:t>
      </w:r>
      <w:r w:rsidR="006312A4" w:rsidRPr="004B0C88">
        <w:rPr>
          <w:i/>
        </w:rPr>
        <w:t>×</w:t>
      </w:r>
      <w:r w:rsidR="006312A4" w:rsidRPr="004B0C88">
        <w:t>1</w:t>
      </w:r>
      <w:r w:rsidR="006312A4">
        <w:rPr>
          <w:noProof/>
        </w:rPr>
        <w:t>)</w:t>
      </w:r>
      <w:r w:rsidR="006312A4">
        <w:t xml:space="preserve"> </w:t>
      </w:r>
      <w:r w:rsidRPr="004B0C88">
        <w:t xml:space="preserve">vector of thresholds </w:t>
      </w:r>
      <w:r w:rsidR="00B14722">
        <w:t xml:space="preserve">across </w:t>
      </w:r>
      <w:r w:rsidRPr="004B0C88">
        <w:t xml:space="preserve">all </w:t>
      </w:r>
      <w:r w:rsidR="00B14722">
        <w:t xml:space="preserve">the 18 </w:t>
      </w:r>
      <w:r w:rsidRPr="004B0C88">
        <w:t xml:space="preserve">model components. </w:t>
      </w:r>
      <w:r w:rsidRPr="004B0C88">
        <w:rPr>
          <w:noProof/>
        </w:rPr>
        <w:t xml:space="preserve">Let an individual under consideration be observed to have a value of </w:t>
      </w:r>
      <w:r w:rsidR="005A1BA8" w:rsidRPr="009101D8">
        <w:rPr>
          <w:position w:val="-12"/>
        </w:rPr>
        <w:object w:dxaOrig="260" w:dyaOrig="360" w14:anchorId="0255C6B2">
          <v:shape id="_x0000_i1051" type="#_x0000_t75" style="width:12.85pt;height:18pt" o:ole="" o:preferrelative="f">
            <v:imagedata r:id="rId60" o:title=""/>
            <o:lock v:ext="edit" aspectratio="f"/>
          </v:shape>
          <o:OLEObject Type="Embed" ProgID="Equation.DSMT4" ShapeID="_x0000_i1051" DrawAspect="Content" ObjectID="_1790752359" r:id="rId61"/>
        </w:object>
      </w:r>
      <w:r w:rsidRPr="004B0C88">
        <w:t xml:space="preserve"> </w:t>
      </w:r>
      <w:r w:rsidR="005A1BA8" w:rsidRPr="00D22A5B">
        <w:rPr>
          <w:position w:val="-10"/>
        </w:rPr>
        <w:object w:dxaOrig="1359" w:dyaOrig="320" w14:anchorId="3C8F8E64">
          <v:shape id="_x0000_i1052" type="#_x0000_t75" style="width:68.15pt;height:15.85pt" o:ole="" o:preferrelative="f">
            <v:imagedata r:id="rId62" o:title=""/>
            <o:lock v:ext="edit" aspectratio="f"/>
          </v:shape>
          <o:OLEObject Type="Embed" ProgID="Equation.DSMT4" ShapeID="_x0000_i1052" DrawAspect="Content" ObjectID="_1790752360" r:id="rId63"/>
        </w:object>
      </w:r>
      <w:r w:rsidRPr="004B0C88">
        <w:t xml:space="preserve">. Accordingly, </w:t>
      </w:r>
      <w:r w:rsidRPr="004B0C88">
        <w:rPr>
          <w:noProof/>
        </w:rPr>
        <w:t xml:space="preserve">stack the lower thresholds </w:t>
      </w:r>
      <w:r w:rsidR="00466681" w:rsidRPr="007F18E6">
        <w:rPr>
          <w:position w:val="-18"/>
        </w:rPr>
        <w:object w:dxaOrig="600" w:dyaOrig="420" w14:anchorId="4DE8FD48">
          <v:shape id="_x0000_i1053" type="#_x0000_t75" style="width:30pt;height:21.85pt" o:ole="">
            <v:imagedata r:id="rId64" o:title=""/>
          </v:shape>
          <o:OLEObject Type="Embed" ProgID="Equation.DSMT4" ShapeID="_x0000_i1053" DrawAspect="Content" ObjectID="_1790752361" r:id="rId65"/>
        </w:object>
      </w:r>
      <w:r w:rsidRPr="004B0C88">
        <w:t xml:space="preserve"> </w:t>
      </w:r>
      <w:r w:rsidRPr="004B0C88">
        <w:rPr>
          <w:noProof/>
        </w:rPr>
        <w:t>corresponding to the observed</w:t>
      </w:r>
      <w:r w:rsidR="00B14722">
        <w:rPr>
          <w:noProof/>
        </w:rPr>
        <w:t xml:space="preserve"> </w:t>
      </w:r>
      <w:r w:rsidRPr="004B0C88">
        <w:rPr>
          <w:noProof/>
        </w:rPr>
        <w:t>values of the individual into a</w:t>
      </w:r>
      <w:r w:rsidR="006312A4">
        <w:rPr>
          <w:noProof/>
        </w:rPr>
        <w:t xml:space="preserve"> (</w:t>
      </w:r>
      <w:r w:rsidR="006312A4">
        <w:rPr>
          <w:i/>
        </w:rPr>
        <w:t>C</w:t>
      </w:r>
      <w:r w:rsidR="006312A4" w:rsidRPr="004B0C88">
        <w:rPr>
          <w:i/>
        </w:rPr>
        <w:t>×</w:t>
      </w:r>
      <w:r w:rsidR="006312A4" w:rsidRPr="004B0C88">
        <w:t>1</w:t>
      </w:r>
      <w:r w:rsidR="006312A4">
        <w:rPr>
          <w:noProof/>
        </w:rPr>
        <w:t>)</w:t>
      </w:r>
      <w:r w:rsidR="006312A4">
        <w:t xml:space="preserve"> </w:t>
      </w:r>
      <w:r w:rsidRPr="004B0C88">
        <w:rPr>
          <w:noProof/>
        </w:rPr>
        <w:t>vector</w:t>
      </w:r>
      <w:r w:rsidR="001E2C62">
        <w:rPr>
          <w:noProof/>
        </w:rPr>
        <w:t xml:space="preserve"> </w:t>
      </w:r>
      <w:r w:rsidR="00466681" w:rsidRPr="00D22A5B">
        <w:rPr>
          <w:position w:val="-12"/>
        </w:rPr>
        <w:object w:dxaOrig="460" w:dyaOrig="360" w14:anchorId="7FB2A3C7">
          <v:shape id="_x0000_i1054" type="#_x0000_t75" style="width:22.3pt;height:18pt" o:ole="">
            <v:imagedata r:id="rId66" o:title=""/>
          </v:shape>
          <o:OLEObject Type="Embed" ProgID="Equation.DSMT4" ShapeID="_x0000_i1054" DrawAspect="Content" ObjectID="_1790752362" r:id="rId67"/>
        </w:object>
      </w:r>
      <w:r w:rsidRPr="004B0C88">
        <w:rPr>
          <w:noProof/>
        </w:rPr>
        <w:t>,</w:t>
      </w:r>
      <w:r w:rsidRPr="004B0C88">
        <w:rPr>
          <w:noProof/>
          <w:position w:val="-12"/>
        </w:rPr>
        <w:t xml:space="preserve"> </w:t>
      </w:r>
      <w:r w:rsidRPr="004B0C88">
        <w:rPr>
          <w:noProof/>
        </w:rPr>
        <w:t>and the upper thresholds</w:t>
      </w:r>
      <w:r w:rsidR="00E357C4">
        <w:rPr>
          <w:noProof/>
        </w:rPr>
        <w:t xml:space="preserve"> </w:t>
      </w:r>
      <w:r w:rsidR="00466681" w:rsidRPr="00D22A5B">
        <w:rPr>
          <w:position w:val="-18"/>
        </w:rPr>
        <w:object w:dxaOrig="480" w:dyaOrig="420" w14:anchorId="7736EC48">
          <v:shape id="_x0000_i1055" type="#_x0000_t75" style="width:24.85pt;height:21.85pt" o:ole="" o:preferrelative="f">
            <v:imagedata r:id="rId68" o:title=""/>
            <o:lock v:ext="edit" aspectratio="f"/>
          </v:shape>
          <o:OLEObject Type="Embed" ProgID="Equation.DSMT4" ShapeID="_x0000_i1055" DrawAspect="Content" ObjectID="_1790752363" r:id="rId69"/>
        </w:object>
      </w:r>
      <w:r w:rsidRPr="004B0C88">
        <w:t xml:space="preserve"> </w:t>
      </w:r>
      <w:r w:rsidRPr="004B0C88">
        <w:rPr>
          <w:noProof/>
        </w:rPr>
        <w:t xml:space="preserve">into another </w:t>
      </w:r>
      <w:r w:rsidR="006312A4">
        <w:rPr>
          <w:noProof/>
        </w:rPr>
        <w:t>(</w:t>
      </w:r>
      <w:r w:rsidR="006312A4">
        <w:rPr>
          <w:i/>
        </w:rPr>
        <w:t>C</w:t>
      </w:r>
      <w:r w:rsidR="006312A4" w:rsidRPr="004B0C88">
        <w:rPr>
          <w:i/>
        </w:rPr>
        <w:t>×</w:t>
      </w:r>
      <w:r w:rsidR="006312A4" w:rsidRPr="004B0C88">
        <w:t>1</w:t>
      </w:r>
      <w:r w:rsidR="006312A4">
        <w:rPr>
          <w:noProof/>
        </w:rPr>
        <w:t>)</w:t>
      </w:r>
      <w:r w:rsidR="006312A4">
        <w:t xml:space="preserve"> </w:t>
      </w:r>
      <w:r w:rsidRPr="004B0C88">
        <w:rPr>
          <w:noProof/>
        </w:rPr>
        <w:t>vector</w:t>
      </w:r>
      <w:r w:rsidR="00E357C4">
        <w:rPr>
          <w:noProof/>
        </w:rPr>
        <w:t xml:space="preserve"> </w:t>
      </w:r>
      <w:r w:rsidR="00466681" w:rsidRPr="00D22A5B">
        <w:rPr>
          <w:position w:val="-14"/>
        </w:rPr>
        <w:object w:dxaOrig="400" w:dyaOrig="380" w14:anchorId="2B076E2C">
          <v:shape id="_x0000_i1056" type="#_x0000_t75" style="width:20.15pt;height:18pt" o:ole="" o:preferrelative="f">
            <v:imagedata r:id="rId70" o:title=""/>
            <o:lock v:ext="edit" aspectratio="f"/>
          </v:shape>
          <o:OLEObject Type="Embed" ProgID="Equation.DSMT4" ShapeID="_x0000_i1056" DrawAspect="Content" ObjectID="_1790752364" r:id="rId71"/>
        </w:object>
      </w:r>
      <w:r w:rsidRPr="004B0C88">
        <w:rPr>
          <w:noProof/>
        </w:rPr>
        <w:t>. Also, define</w:t>
      </w:r>
      <w:r w:rsidR="001E2C62">
        <w:rPr>
          <w:noProof/>
        </w:rPr>
        <w:t xml:space="preserve"> </w:t>
      </w:r>
      <w:r w:rsidR="00466681" w:rsidRPr="007F18E6">
        <w:rPr>
          <w:position w:val="-12"/>
        </w:rPr>
        <w:object w:dxaOrig="1740" w:dyaOrig="360" w14:anchorId="40AA8E66">
          <v:shape id="_x0000_i1057" type="#_x0000_t75" style="width:87pt;height:18pt" o:ole="" o:preferrelative="f">
            <v:imagedata r:id="rId72" o:title=""/>
            <o:lock v:ext="edit" aspectratio="f"/>
          </v:shape>
          <o:OLEObject Type="Embed" ProgID="Equation.DSMT4" ShapeID="_x0000_i1057" DrawAspect="Content" ObjectID="_1790752365" r:id="rId73"/>
        </w:object>
      </w:r>
      <w:r w:rsidR="00372023" w:rsidRPr="00372023">
        <w:t xml:space="preserve"> </w:t>
      </w:r>
      <w:r w:rsidR="006312A4">
        <w:t>[</w:t>
      </w:r>
      <w:r w:rsidR="006312A4">
        <w:rPr>
          <w:noProof/>
        </w:rPr>
        <w:t>(</w:t>
      </w:r>
      <w:r w:rsidR="006312A4">
        <w:rPr>
          <w:i/>
        </w:rPr>
        <w:t>C</w:t>
      </w:r>
      <w:r w:rsidR="006312A4" w:rsidRPr="004B0C88">
        <w:rPr>
          <w:i/>
        </w:rPr>
        <w:t>×</w:t>
      </w:r>
      <w:r w:rsidR="006312A4" w:rsidRPr="006312A4">
        <w:rPr>
          <w:i/>
          <w:iCs/>
        </w:rPr>
        <w:t>L</w:t>
      </w:r>
      <w:r w:rsidR="006312A4">
        <w:rPr>
          <w:noProof/>
        </w:rPr>
        <w:t>)</w:t>
      </w:r>
      <w:r w:rsidR="006312A4">
        <w:t xml:space="preserve"> </w:t>
      </w:r>
      <w:r w:rsidRPr="004B0C88">
        <w:rPr>
          <w:noProof/>
        </w:rPr>
        <w:t>matrix</w:t>
      </w:r>
      <w:r w:rsidR="006312A4">
        <w:rPr>
          <w:noProof/>
        </w:rPr>
        <w:t>]</w:t>
      </w:r>
      <w:r w:rsidRPr="004B0C88">
        <w:rPr>
          <w:noProof/>
        </w:rPr>
        <w:t xml:space="preserve">. </w:t>
      </w:r>
      <w:r w:rsidR="00EF1912" w:rsidRPr="004B0C88">
        <w:rPr>
          <w:noProof/>
        </w:rPr>
        <w:t>Then, in matrix form, the latent propensities underlying the multivariate outcomes may be written as:</w:t>
      </w:r>
    </w:p>
    <w:p w14:paraId="6CF21FC2" w14:textId="197C0794" w:rsidR="00EF1912" w:rsidRPr="004B0C88" w:rsidRDefault="00466681" w:rsidP="009D0CA2">
      <w:pPr>
        <w:tabs>
          <w:tab w:val="right" w:pos="9360"/>
        </w:tabs>
        <w:spacing w:after="0" w:line="240" w:lineRule="auto"/>
        <w:jc w:val="both"/>
      </w:pPr>
      <w:r w:rsidRPr="007F18E6">
        <w:rPr>
          <w:position w:val="-12"/>
        </w:rPr>
        <w:object w:dxaOrig="1140" w:dyaOrig="380" w14:anchorId="270F3B03">
          <v:shape id="_x0000_i1058" type="#_x0000_t75" style="width:57pt;height:18pt" o:ole="" o:preferrelative="f">
            <v:imagedata r:id="rId74" o:title=""/>
            <o:lock v:ext="edit" aspectratio="f"/>
          </v:shape>
          <o:OLEObject Type="Embed" ProgID="Equation.DSMT4" ShapeID="_x0000_i1058" DrawAspect="Content" ObjectID="_1790752366" r:id="rId75"/>
        </w:object>
      </w:r>
      <w:r w:rsidR="00EF1912" w:rsidRPr="004B0C88">
        <w:t xml:space="preserve">, </w:t>
      </w:r>
      <w:r w:rsidR="005A1BA8" w:rsidRPr="007F18E6">
        <w:rPr>
          <w:position w:val="-14"/>
        </w:rPr>
        <w:object w:dxaOrig="1620" w:dyaOrig="400" w14:anchorId="0C54F727">
          <v:shape id="_x0000_i1059" type="#_x0000_t75" style="width:81pt;height:20.15pt" o:ole="" o:preferrelative="f">
            <v:imagedata r:id="rId76" o:title=""/>
            <o:lock v:ext="edit" aspectratio="f"/>
          </v:shape>
          <o:OLEObject Type="Embed" ProgID="Equation.DSMT4" ShapeID="_x0000_i1059" DrawAspect="Content" ObjectID="_1790752367" r:id="rId77"/>
        </w:object>
      </w:r>
      <w:r w:rsidR="00EF1912" w:rsidRPr="004B0C88">
        <w:t>,  where</w:t>
      </w:r>
      <w:r w:rsidR="006312A4">
        <w:t xml:space="preserve"> </w:t>
      </w:r>
      <w:r w:rsidRPr="007F18E6">
        <w:rPr>
          <w:position w:val="-12"/>
        </w:rPr>
        <w:object w:dxaOrig="1880" w:dyaOrig="380" w14:anchorId="0FD395FC">
          <v:shape id="_x0000_i1060" type="#_x0000_t75" style="width:94.3pt;height:18pt" o:ole="" o:preferrelative="f">
            <v:imagedata r:id="rId78" o:title=""/>
            <o:lock v:ext="edit" aspectratio="f"/>
          </v:shape>
          <o:OLEObject Type="Embed" ProgID="Equation.DSMT4" ShapeID="_x0000_i1060" DrawAspect="Content" ObjectID="_1790752368" r:id="rId79"/>
        </w:object>
      </w:r>
      <w:r w:rsidR="00EF1912" w:rsidRPr="004B0C88">
        <w:t>.</w:t>
      </w:r>
      <w:r w:rsidR="00EF1912" w:rsidRPr="004B0C88">
        <w:rPr>
          <w:noProof/>
        </w:rPr>
        <w:t xml:space="preserve">  </w:t>
      </w:r>
      <w:r w:rsidR="00EF1912" w:rsidRPr="004B0C88">
        <w:rPr>
          <w:noProof/>
        </w:rPr>
        <w:tab/>
      </w:r>
      <w:r w:rsidR="00372023">
        <w:rPr>
          <w:noProof/>
        </w:rPr>
        <w:t xml:space="preserve">  </w:t>
      </w:r>
      <w:r w:rsidR="00EF1912" w:rsidRPr="004B0C88">
        <w:rPr>
          <w:noProof/>
        </w:rPr>
        <w:t>(2)</w:t>
      </w:r>
    </w:p>
    <w:p w14:paraId="34979261" w14:textId="456D0A4E" w:rsidR="007F66CC" w:rsidRPr="004B0C88" w:rsidRDefault="007F66CC" w:rsidP="009D0CA2">
      <w:pPr>
        <w:spacing w:after="0" w:line="240" w:lineRule="auto"/>
        <w:ind w:firstLine="720"/>
        <w:jc w:val="both"/>
      </w:pPr>
      <w:r w:rsidRPr="004B0C88">
        <w:t xml:space="preserve">Lastly, define a vector </w:t>
      </w:r>
      <w:r w:rsidR="00721B8D" w:rsidRPr="00721B8D">
        <w:rPr>
          <w:b/>
          <w:bCs/>
        </w:rPr>
        <w:t>δ</w:t>
      </w:r>
      <w:r w:rsidRPr="004B0C88">
        <w:t xml:space="preserve"> </w:t>
      </w:r>
      <w:r w:rsidR="00233F42" w:rsidRPr="004B0C88">
        <w:rPr>
          <w:noProof/>
        </w:rPr>
        <w:t>that</w:t>
      </w:r>
      <w:r w:rsidRPr="004B0C88">
        <w:rPr>
          <w:noProof/>
        </w:rPr>
        <w:t xml:space="preserve"> holds the collection of parameters to be estimated</w:t>
      </w:r>
      <w:r w:rsidR="00372023">
        <w:rPr>
          <w:noProof/>
        </w:rPr>
        <w:t xml:space="preserve">: </w:t>
      </w:r>
      <w:r w:rsidR="005A1BA8" w:rsidRPr="007F18E6">
        <w:rPr>
          <w:position w:val="-26"/>
        </w:rPr>
        <w:object w:dxaOrig="3620" w:dyaOrig="740" w14:anchorId="06E19E92">
          <v:shape id="_x0000_i1061" type="#_x0000_t75" style="width:180.85pt;height:36.85pt" o:ole="" o:preferrelative="f">
            <v:imagedata r:id="rId80" o:title=""/>
            <o:lock v:ext="edit" aspectratio="f"/>
          </v:shape>
          <o:OLEObject Type="Embed" ProgID="Equation.DSMT4" ShapeID="_x0000_i1061" DrawAspect="Content" ObjectID="_1790752369" r:id="rId81"/>
        </w:object>
      </w:r>
      <w:r w:rsidR="006312A4">
        <w:t xml:space="preserve"> </w:t>
      </w:r>
      <w:r w:rsidRPr="004B0C88">
        <w:rPr>
          <w:noProof/>
        </w:rPr>
        <w:t xml:space="preserve">where the operator </w:t>
      </w:r>
      <w:r w:rsidR="006312A4">
        <w:rPr>
          <w:noProof/>
        </w:rPr>
        <w:t>“Vech(.)”</w:t>
      </w:r>
      <w:r w:rsidR="006312A4">
        <w:t xml:space="preserve"> </w:t>
      </w:r>
      <w:r w:rsidRPr="004B0C88">
        <w:t>row-</w:t>
      </w:r>
      <w:r w:rsidRPr="004B0C88">
        <w:rPr>
          <w:noProof/>
        </w:rPr>
        <w:t>vectorizes all the non-zero elements of the matrix/vector on which it operates, and the operator</w:t>
      </w:r>
      <w:r w:rsidR="006312A4" w:rsidRPr="006312A4">
        <w:rPr>
          <w:noProof/>
        </w:rPr>
        <w:t xml:space="preserve"> </w:t>
      </w:r>
      <w:r w:rsidR="006312A4">
        <w:rPr>
          <w:noProof/>
        </w:rPr>
        <w:t xml:space="preserve">Vechup(.) </w:t>
      </w:r>
      <w:r w:rsidRPr="004B0C88">
        <w:t xml:space="preserve">row-vectorizes </w:t>
      </w:r>
      <w:r w:rsidRPr="004B0C88">
        <w:lastRenderedPageBreak/>
        <w:t xml:space="preserve">the </w:t>
      </w:r>
      <w:r w:rsidR="003A200F">
        <w:t xml:space="preserve">(estimable) </w:t>
      </w:r>
      <w:r w:rsidRPr="004B0C88">
        <w:t xml:space="preserve">upper diagonal elements of a matrix. </w:t>
      </w:r>
      <w:r w:rsidRPr="004B0C88">
        <w:rPr>
          <w:noProof/>
        </w:rPr>
        <w:t>Then the likelihood function of a single individual may be written as:</w:t>
      </w:r>
    </w:p>
    <w:p w14:paraId="44B78075" w14:textId="56291BAE" w:rsidR="007F66CC" w:rsidRPr="004B0C88" w:rsidRDefault="00466681" w:rsidP="009D0CA2">
      <w:pPr>
        <w:tabs>
          <w:tab w:val="right" w:pos="9360"/>
        </w:tabs>
        <w:spacing w:after="0" w:line="240" w:lineRule="auto"/>
        <w:jc w:val="both"/>
        <w:rPr>
          <w:noProof/>
        </w:rPr>
      </w:pPr>
      <w:r w:rsidRPr="007F18E6">
        <w:rPr>
          <w:position w:val="-16"/>
        </w:rPr>
        <w:object w:dxaOrig="2900" w:dyaOrig="440" w14:anchorId="2FAC948C">
          <v:shape id="_x0000_i1062" type="#_x0000_t75" style="width:144.85pt;height:21.85pt" o:ole="" o:preferrelative="f">
            <v:imagedata r:id="rId82" o:title=""/>
            <o:lock v:ext="edit" aspectratio="f"/>
          </v:shape>
          <o:OLEObject Type="Embed" ProgID="Equation.DSMT4" ShapeID="_x0000_i1062" DrawAspect="Content" ObjectID="_1790752370" r:id="rId83"/>
        </w:object>
      </w:r>
      <w:r w:rsidR="007F66CC" w:rsidRPr="004B0C88">
        <w:rPr>
          <w:noProof/>
        </w:rPr>
        <w:t xml:space="preserve">                                 </w:t>
      </w:r>
      <w:r w:rsidR="007F66CC" w:rsidRPr="004B0C88">
        <w:rPr>
          <w:noProof/>
          <w:lang w:eastAsia="zh-CN"/>
        </w:rPr>
        <w:t xml:space="preserve">                                 </w:t>
      </w:r>
      <w:r w:rsidR="007F66CC" w:rsidRPr="004B0C88">
        <w:rPr>
          <w:b/>
          <w:noProof/>
        </w:rPr>
        <w:tab/>
        <w:t xml:space="preserve">   </w:t>
      </w:r>
    </w:p>
    <w:p w14:paraId="4EC7E9FC" w14:textId="648AF8E6" w:rsidR="007F66CC" w:rsidRPr="004B0C88" w:rsidRDefault="00466681" w:rsidP="009D0CA2">
      <w:pPr>
        <w:tabs>
          <w:tab w:val="right" w:pos="9360"/>
        </w:tabs>
        <w:spacing w:after="0" w:line="240" w:lineRule="auto"/>
        <w:jc w:val="both"/>
        <w:rPr>
          <w:noProof/>
        </w:rPr>
      </w:pPr>
      <w:r w:rsidRPr="007F18E6">
        <w:rPr>
          <w:position w:val="-34"/>
        </w:rPr>
        <w:object w:dxaOrig="2500" w:dyaOrig="620" w14:anchorId="70D5C25E">
          <v:shape id="_x0000_i1063" type="#_x0000_t75" style="width:124.7pt;height:31.3pt" o:ole="" o:preferrelative="f">
            <v:imagedata r:id="rId84" o:title=""/>
            <o:lock v:ext="edit" aspectratio="f"/>
          </v:shape>
          <o:OLEObject Type="Embed" ProgID="Equation.DSMT4" ShapeID="_x0000_i1063" DrawAspect="Content" ObjectID="_1790752371" r:id="rId85"/>
        </w:object>
      </w:r>
      <w:r w:rsidR="007F66CC" w:rsidRPr="004B0C88">
        <w:rPr>
          <w:noProof/>
        </w:rPr>
        <w:tab/>
        <w:t>(</w:t>
      </w:r>
      <w:r w:rsidR="00812030" w:rsidRPr="004B0C88">
        <w:rPr>
          <w:noProof/>
        </w:rPr>
        <w:t>3</w:t>
      </w:r>
      <w:r w:rsidR="007F66CC" w:rsidRPr="004B0C88">
        <w:rPr>
          <w:noProof/>
        </w:rPr>
        <w:t>)</w:t>
      </w:r>
    </w:p>
    <w:p w14:paraId="25B62543" w14:textId="3AA77712" w:rsidR="005A6D3E" w:rsidRDefault="00F176C9" w:rsidP="009D0CA2">
      <w:pPr>
        <w:spacing w:after="0" w:line="240" w:lineRule="auto"/>
        <w:jc w:val="both"/>
        <w:rPr>
          <w:noProof/>
        </w:rPr>
      </w:pPr>
      <w:r w:rsidRPr="004B0C88">
        <w:rPr>
          <w:noProof/>
        </w:rPr>
        <w:t xml:space="preserve">where the integration domain </w:t>
      </w:r>
      <w:r w:rsidR="00C37174" w:rsidRPr="007F18E6">
        <w:rPr>
          <w:position w:val="-14"/>
        </w:rPr>
        <w:object w:dxaOrig="2439" w:dyaOrig="380" w14:anchorId="746A5CE0">
          <v:shape id="_x0000_i1064" type="#_x0000_t75" style="width:121.3pt;height:18.85pt" o:ole="" o:preferrelative="f">
            <v:imagedata r:id="rId86" o:title=""/>
            <o:lock v:ext="edit" aspectratio="f"/>
          </v:shape>
          <o:OLEObject Type="Embed" ProgID="Equation.DSMT4" ShapeID="_x0000_i1064" DrawAspect="Content" ObjectID="_1790752372" r:id="rId87"/>
        </w:object>
      </w:r>
      <w:r w:rsidRPr="004B0C88">
        <w:rPr>
          <w:noProof/>
        </w:rPr>
        <w:t xml:space="preserve"> is simply the multivariate region of the</w:t>
      </w:r>
      <w:r w:rsidR="00E357C4">
        <w:rPr>
          <w:noProof/>
        </w:rPr>
        <w:t xml:space="preserve"> </w:t>
      </w:r>
      <w:r w:rsidR="00C37174" w:rsidRPr="00D22A5B">
        <w:rPr>
          <w:position w:val="-12"/>
        </w:rPr>
        <w:object w:dxaOrig="279" w:dyaOrig="380" w14:anchorId="27AE6B80">
          <v:shape id="_x0000_i1065" type="#_x0000_t75" style="width:13.7pt;height:18.85pt" o:ole="" o:preferrelative="f">
            <v:imagedata r:id="rId88" o:title=""/>
            <o:lock v:ext="edit" aspectratio="f"/>
          </v:shape>
          <o:OLEObject Type="Embed" ProgID="Equation.DSMT4" ShapeID="_x0000_i1065" DrawAspect="Content" ObjectID="_1790752373" r:id="rId89"/>
        </w:object>
      </w:r>
      <w:r w:rsidR="00E357C4">
        <w:t xml:space="preserve"> v</w:t>
      </w:r>
      <w:r w:rsidRPr="004B0C88">
        <w:rPr>
          <w:noProof/>
        </w:rPr>
        <w:t xml:space="preserve">ector determined by the upper and lower thresholds. </w:t>
      </w:r>
      <w:r w:rsidR="00466681" w:rsidRPr="007F18E6">
        <w:rPr>
          <w:position w:val="-12"/>
        </w:rPr>
        <w:object w:dxaOrig="1260" w:dyaOrig="360" w14:anchorId="099185D6">
          <v:shape id="_x0000_i1066" type="#_x0000_t75" style="width:63.85pt;height:18pt" o:ole="" o:preferrelative="f">
            <v:imagedata r:id="rId90" o:title=""/>
            <o:lock v:ext="edit" aspectratio="f"/>
          </v:shape>
          <o:OLEObject Type="Embed" ProgID="Equation.DSMT4" ShapeID="_x0000_i1066" DrawAspect="Content" ObjectID="_1790752374" r:id="rId91"/>
        </w:object>
      </w:r>
      <w:r w:rsidR="00372023">
        <w:t xml:space="preserve"> </w:t>
      </w:r>
      <w:r w:rsidRPr="004B0C88">
        <w:rPr>
          <w:noProof/>
        </w:rPr>
        <w:t xml:space="preserve">is the MVN density function of dimension </w:t>
      </w:r>
      <w:r w:rsidRPr="004B0C88">
        <w:rPr>
          <w:i/>
          <w:noProof/>
        </w:rPr>
        <w:t>C</w:t>
      </w:r>
      <w:r w:rsidRPr="004B0C88">
        <w:rPr>
          <w:noProof/>
        </w:rPr>
        <w:t xml:space="preserve"> with a mean of </w:t>
      </w:r>
      <w:r w:rsidR="00466681" w:rsidRPr="007F18E6">
        <w:rPr>
          <w:position w:val="-10"/>
        </w:rPr>
        <w:object w:dxaOrig="360" w:dyaOrig="320" w14:anchorId="071E2631">
          <v:shape id="_x0000_i1067" type="#_x0000_t75" style="width:18pt;height:15.85pt" o:ole="" o:preferrelative="f">
            <v:imagedata r:id="rId92" o:title=""/>
            <o:lock v:ext="edit" aspectratio="f"/>
          </v:shape>
          <o:OLEObject Type="Embed" ProgID="Equation.DSMT4" ShapeID="_x0000_i1067" DrawAspect="Content" ObjectID="_1790752375" r:id="rId93"/>
        </w:object>
      </w:r>
      <w:r w:rsidRPr="004B0C88">
        <w:t xml:space="preserve"> </w:t>
      </w:r>
      <w:r w:rsidRPr="004B0C88">
        <w:rPr>
          <w:noProof/>
        </w:rPr>
        <w:t>and a correlation matrix</w:t>
      </w:r>
      <w:r w:rsidR="00372023">
        <w:rPr>
          <w:noProof/>
        </w:rPr>
        <w:t xml:space="preserve"> </w:t>
      </w:r>
      <w:r w:rsidR="00466681" w:rsidRPr="007F18E6">
        <w:rPr>
          <w:position w:val="-4"/>
        </w:rPr>
        <w:object w:dxaOrig="220" w:dyaOrig="260" w14:anchorId="1067FA7F">
          <v:shape id="_x0000_i1068" type="#_x0000_t75" style="width:10.7pt;height:12pt" o:ole="" o:preferrelative="f">
            <v:imagedata r:id="rId54" o:title=""/>
            <o:lock v:ext="edit" aspectratio="f"/>
          </v:shape>
          <o:OLEObject Type="Embed" ProgID="Equation.DSMT4" ShapeID="_x0000_i1068" DrawAspect="Content" ObjectID="_1790752376" r:id="rId94"/>
        </w:object>
      </w:r>
      <w:r w:rsidRPr="004B0C88">
        <w:rPr>
          <w:noProof/>
        </w:rPr>
        <w:t xml:space="preserve">. </w:t>
      </w:r>
      <w:r w:rsidR="00B14722">
        <w:rPr>
          <w:noProof/>
        </w:rPr>
        <w:t>In actual estimation, and as discussed in the earlier section, only a subset of dimensions will be relevant in estimation for each individual, with the appropriate marginal correlation matrix extracted from</w:t>
      </w:r>
      <w:r w:rsidR="006312A4" w:rsidRPr="006312A4">
        <w:t xml:space="preserve"> </w:t>
      </w:r>
      <w:r w:rsidR="00466681" w:rsidRPr="007F18E6">
        <w:rPr>
          <w:position w:val="-4"/>
        </w:rPr>
        <w:object w:dxaOrig="220" w:dyaOrig="260" w14:anchorId="51969766">
          <v:shape id="_x0000_i1069" type="#_x0000_t75" style="width:10.7pt;height:12pt" o:ole="" o:preferrelative="f">
            <v:imagedata r:id="rId95" o:title=""/>
            <o:lock v:ext="edit" aspectratio="f"/>
          </v:shape>
          <o:OLEObject Type="Embed" ProgID="Equation.DSMT4" ShapeID="_x0000_i1069" DrawAspect="Content" ObjectID="_1790752377" r:id="rId96"/>
        </w:object>
      </w:r>
      <w:r w:rsidR="00E357C4">
        <w:t>.</w:t>
      </w:r>
      <w:r w:rsidR="00B14722">
        <w:rPr>
          <w:noProof/>
        </w:rPr>
        <w:t xml:space="preserve"> </w:t>
      </w:r>
      <w:r w:rsidR="005A6D3E" w:rsidRPr="004B0C88">
        <w:rPr>
          <w:noProof/>
        </w:rPr>
        <w:t xml:space="preserve">The likelihood function for a sample of </w:t>
      </w:r>
      <w:r w:rsidR="005A6D3E" w:rsidRPr="004B0C88">
        <w:rPr>
          <w:i/>
          <w:noProof/>
        </w:rPr>
        <w:t>Q</w:t>
      </w:r>
      <w:r w:rsidR="005A6D3E" w:rsidRPr="004B0C88">
        <w:rPr>
          <w:noProof/>
        </w:rPr>
        <w:t xml:space="preserve"> decision-makers is obtained as the product of the individual-level likelihood functions defined in Equation (3).</w:t>
      </w:r>
      <w:r w:rsidR="005A6D3E">
        <w:rPr>
          <w:noProof/>
        </w:rPr>
        <w:t xml:space="preserve"> </w:t>
      </w:r>
    </w:p>
    <w:p w14:paraId="11D2BB08" w14:textId="52E12B59" w:rsidR="00E27ED8" w:rsidRDefault="008866E2" w:rsidP="00ED7316">
      <w:pPr>
        <w:spacing w:after="0" w:line="240" w:lineRule="auto"/>
        <w:ind w:firstLine="720"/>
        <w:jc w:val="both"/>
      </w:pPr>
      <w:r w:rsidRPr="004B0C88">
        <w:t xml:space="preserve">The likelihood function in Equation (3) involves the evaluation of </w:t>
      </w:r>
      <w:r w:rsidR="005A6D3E">
        <w:t>either a</w:t>
      </w:r>
      <w:r w:rsidR="00A82346">
        <w:t>n</w:t>
      </w:r>
      <w:r w:rsidR="005A6D3E">
        <w:t xml:space="preserve"> 11-</w:t>
      </w:r>
      <w:r w:rsidRPr="004B0C88">
        <w:t xml:space="preserve">dimensional </w:t>
      </w:r>
      <w:r w:rsidR="005A6D3E">
        <w:t>or 10-dimensional orthant</w:t>
      </w:r>
      <w:r w:rsidRPr="004B0C88">
        <w:t xml:space="preserve"> </w:t>
      </w:r>
      <w:r w:rsidR="00032205">
        <w:t>probability</w:t>
      </w:r>
      <w:r w:rsidRPr="004B0C88">
        <w:t xml:space="preserve"> for each decision-maker</w:t>
      </w:r>
      <w:r w:rsidR="005A6D3E">
        <w:t>. While the symmetry of the multivariate normal distribution collapses the orthant integral to a multivariate normal cumulative distribution (MVNCD) function, evaluating such</w:t>
      </w:r>
      <w:r w:rsidR="00A82346">
        <w:t xml:space="preserve"> a</w:t>
      </w:r>
      <w:r w:rsidR="005A6D3E">
        <w:t xml:space="preserve"> high-</w:t>
      </w:r>
      <w:r w:rsidR="00D104C2">
        <w:t>dimensional MVNCD</w:t>
      </w:r>
      <w:r w:rsidR="005A6D3E">
        <w:t xml:space="preserve"> function can be</w:t>
      </w:r>
      <w:r w:rsidRPr="004B0C88">
        <w:t xml:space="preserve"> computationally expensive. However, </w:t>
      </w:r>
      <w:r w:rsidR="004B0C88">
        <w:fldChar w:fldCharType="begin"/>
      </w:r>
      <w:r w:rsidR="00666676">
        <w:instrText xml:space="preserve"> ADDIN ZOTERO_ITEM CSL_CITATION {"citationID":"lr4f9Lqv","properties":{"formattedCitation":"(Bhat, 2018)","plainCitation":"(Bhat, 2018)","dontUpdate":true,"noteIndex":0},"citationItems":[{"id":708,"uris":["http://zotero.org/users/9292995/items/KKF55I5A"],"itemData":{"id":708,"type":"article-journal","container-title":"Transportation Research Part B: Methodological","ISSN":"0191-2615","journalAbbreviation":"Transportation Research Part B: Methodological","note":"publisher: Elsevier","page":"238-256","title":"New matrix-based methods for the analytic evaluation of the multivariate cumulative normal distribution function","volume":"109","author":[{"family":"Bhat","given":"Chandra R"}],"issued":{"date-parts":[["2018"]]}}}],"schema":"https://github.com/citation-style-language/schema/raw/master/csl-citation.json"} </w:instrText>
      </w:r>
      <w:r w:rsidR="004B0C88">
        <w:fldChar w:fldCharType="separate"/>
      </w:r>
      <w:r w:rsidR="004B0C88" w:rsidRPr="004B0C88">
        <w:t>Bhat</w:t>
      </w:r>
      <w:r w:rsidR="00C37174">
        <w:t>’</w:t>
      </w:r>
      <w:r w:rsidR="00B2069C">
        <w:t>s</w:t>
      </w:r>
      <w:r w:rsidR="004B0C88" w:rsidRPr="004B0C88">
        <w:t xml:space="preserve"> </w:t>
      </w:r>
      <w:r w:rsidR="00B2069C">
        <w:t>(</w:t>
      </w:r>
      <w:r w:rsidR="004B0C88" w:rsidRPr="004B0C88">
        <w:t>2018)</w:t>
      </w:r>
      <w:r w:rsidR="004B0C88">
        <w:fldChar w:fldCharType="end"/>
      </w:r>
      <w:r w:rsidRPr="004B0C88">
        <w:t xml:space="preserve"> matrix-based </w:t>
      </w:r>
      <w:r w:rsidR="005A6D3E">
        <w:t xml:space="preserve">efficient and accurate analytic </w:t>
      </w:r>
      <w:r w:rsidRPr="004B0C88">
        <w:t>approximation method for evaluating the multivariate normal cumulative distribution (MVNCD) function was employed to evaluate this integral</w:t>
      </w:r>
      <w:r w:rsidR="005A6D3E">
        <w:t>.</w:t>
      </w:r>
      <w:r w:rsidR="00C37174">
        <w:t>’</w:t>
      </w:r>
    </w:p>
    <w:p w14:paraId="18756958" w14:textId="77777777" w:rsidR="00A9211C" w:rsidRPr="004B0C88" w:rsidRDefault="00A9211C" w:rsidP="009D0CA2">
      <w:pPr>
        <w:spacing w:after="0" w:line="240" w:lineRule="auto"/>
        <w:ind w:firstLine="360"/>
        <w:jc w:val="both"/>
      </w:pPr>
    </w:p>
    <w:p w14:paraId="0D25567F" w14:textId="640E58EF" w:rsidR="002D3EE2" w:rsidRPr="006F3050" w:rsidRDefault="002D3EE2" w:rsidP="009D0CA2">
      <w:pPr>
        <w:pStyle w:val="Heading1"/>
        <w:spacing w:after="0" w:line="240" w:lineRule="auto"/>
        <w:contextualSpacing w:val="0"/>
        <w:rPr>
          <w:caps/>
        </w:rPr>
      </w:pPr>
      <w:bookmarkStart w:id="42" w:name="_Ref178944794"/>
      <w:r w:rsidRPr="006F3050">
        <w:rPr>
          <w:caps/>
        </w:rPr>
        <w:t>Empirical Results</w:t>
      </w:r>
      <w:bookmarkEnd w:id="42"/>
      <w:r w:rsidRPr="006F3050">
        <w:rPr>
          <w:caps/>
        </w:rPr>
        <w:t xml:space="preserve"> </w:t>
      </w:r>
    </w:p>
    <w:p w14:paraId="6E35FC71" w14:textId="23BFB875" w:rsidR="00F35B06" w:rsidRDefault="00601AA5" w:rsidP="006F3050">
      <w:pPr>
        <w:spacing w:after="0" w:line="240" w:lineRule="auto"/>
        <w:jc w:val="both"/>
      </w:pPr>
      <w:r w:rsidRPr="00296F0E">
        <w:t xml:space="preserve">In developing the final specification, we explored various combinations of variables and functional </w:t>
      </w:r>
      <w:r w:rsidRPr="00296F0E">
        <w:rPr>
          <w:color w:val="000000" w:themeColor="text1"/>
        </w:rPr>
        <w:t>forms. All variables, except</w:t>
      </w:r>
      <w:r w:rsidR="006F055A">
        <w:rPr>
          <w:color w:val="000000" w:themeColor="text1"/>
        </w:rPr>
        <w:t xml:space="preserve"> age, </w:t>
      </w:r>
      <w:r w:rsidRPr="00296F0E">
        <w:rPr>
          <w:color w:val="000000" w:themeColor="text1"/>
        </w:rPr>
        <w:t xml:space="preserve">number of telework days, </w:t>
      </w:r>
      <w:r w:rsidR="006F055A">
        <w:rPr>
          <w:color w:val="000000" w:themeColor="text1"/>
        </w:rPr>
        <w:t>population density, and the number of physician</w:t>
      </w:r>
      <w:r w:rsidR="00272ACA">
        <w:rPr>
          <w:color w:val="000000" w:themeColor="text1"/>
        </w:rPr>
        <w:t xml:space="preserve">s’ </w:t>
      </w:r>
      <w:r w:rsidR="006F055A">
        <w:rPr>
          <w:color w:val="000000" w:themeColor="text1"/>
        </w:rPr>
        <w:t xml:space="preserve">offices, </w:t>
      </w:r>
      <w:r w:rsidRPr="00296F0E">
        <w:rPr>
          <w:color w:val="000000" w:themeColor="text1"/>
        </w:rPr>
        <w:t xml:space="preserve">are in either bracketed categories (such as income) or are naturally discrete. The </w:t>
      </w:r>
      <w:r w:rsidR="00D23675">
        <w:rPr>
          <w:color w:val="000000" w:themeColor="text1"/>
        </w:rPr>
        <w:t>effects</w:t>
      </w:r>
      <w:r w:rsidRPr="00296F0E">
        <w:rPr>
          <w:color w:val="000000" w:themeColor="text1"/>
        </w:rPr>
        <w:t xml:space="preserve"> of the</w:t>
      </w:r>
      <w:r w:rsidR="005556FB">
        <w:rPr>
          <w:color w:val="000000" w:themeColor="text1"/>
        </w:rPr>
        <w:t>se</w:t>
      </w:r>
      <w:r w:rsidRPr="00296F0E">
        <w:rPr>
          <w:color w:val="000000" w:themeColor="text1"/>
        </w:rPr>
        <w:t xml:space="preserve"> bracketed and discrete exogenous variables w</w:t>
      </w:r>
      <w:r w:rsidR="00D23675">
        <w:rPr>
          <w:color w:val="000000" w:themeColor="text1"/>
        </w:rPr>
        <w:t>ere</w:t>
      </w:r>
      <w:r w:rsidRPr="00296F0E">
        <w:rPr>
          <w:color w:val="000000" w:themeColor="text1"/>
        </w:rPr>
        <w:t xml:space="preserve"> tested as dummy variables in the most disaggregate form possible and progressively combined for parsimony based on statistical tests. For </w:t>
      </w:r>
      <w:r w:rsidR="00272ACA">
        <w:rPr>
          <w:color w:val="000000" w:themeColor="text1"/>
        </w:rPr>
        <w:t>the other variables</w:t>
      </w:r>
      <w:r w:rsidR="005556FB">
        <w:rPr>
          <w:color w:val="000000" w:themeColor="text1"/>
        </w:rPr>
        <w:t xml:space="preserve">, </w:t>
      </w:r>
      <w:r w:rsidRPr="00296F0E">
        <w:rPr>
          <w:color w:val="000000" w:themeColor="text1"/>
        </w:rPr>
        <w:t>functional forms</w:t>
      </w:r>
      <w:r w:rsidR="00651AAB">
        <w:rPr>
          <w:color w:val="000000" w:themeColor="text1"/>
        </w:rPr>
        <w:t>,</w:t>
      </w:r>
      <w:r w:rsidRPr="00296F0E">
        <w:rPr>
          <w:color w:val="000000" w:themeColor="text1"/>
        </w:rPr>
        <w:t xml:space="preserve"> including a linear form, a logarithm form, a piece-wise linear form, and dummy variables for different ranges were tested</w:t>
      </w:r>
      <w:r w:rsidR="006F055A">
        <w:rPr>
          <w:color w:val="000000" w:themeColor="text1"/>
        </w:rPr>
        <w:t xml:space="preserve">, but the best representation was in the form of </w:t>
      </w:r>
      <w:r w:rsidRPr="00296F0E">
        <w:rPr>
          <w:color w:val="000000" w:themeColor="text1"/>
        </w:rPr>
        <w:t>dummy variable</w:t>
      </w:r>
      <w:r w:rsidR="006F055A">
        <w:rPr>
          <w:color w:val="000000" w:themeColor="text1"/>
        </w:rPr>
        <w:t>s</w:t>
      </w:r>
      <w:r w:rsidR="00272ACA">
        <w:rPr>
          <w:color w:val="000000" w:themeColor="text1"/>
        </w:rPr>
        <w:t xml:space="preserve"> except for the effect of the number of physicians’ offices that appeared in the raw linear count form for the telemedicine facilitator/deterrent analysis component (the effect of population density was best captured using a simple dummy variable of whether the zip code of the individual’s residence was above the average across all zip codes or below, and the effect of the number of physicians’ offices in the telemedicine adoption analysis component was in the form of a </w:t>
      </w:r>
      <w:r w:rsidR="00956E1E">
        <w:rPr>
          <w:color w:val="000000" w:themeColor="text1"/>
        </w:rPr>
        <w:t xml:space="preserve">single </w:t>
      </w:r>
      <w:r w:rsidR="00272ACA">
        <w:rPr>
          <w:color w:val="000000" w:themeColor="text1"/>
        </w:rPr>
        <w:t xml:space="preserve">dummy </w:t>
      </w:r>
      <w:r w:rsidR="00956E1E">
        <w:rPr>
          <w:color w:val="000000" w:themeColor="text1"/>
        </w:rPr>
        <w:t>variable of greater than 3 offices in the zip code or otherwise</w:t>
      </w:r>
      <w:r w:rsidR="00272ACA">
        <w:rPr>
          <w:color w:val="000000" w:themeColor="text1"/>
        </w:rPr>
        <w:t xml:space="preserve">). </w:t>
      </w:r>
      <w:bookmarkStart w:id="43" w:name="_Hlk178771151"/>
      <w:r w:rsidR="00F35B06">
        <w:t xml:space="preserve">Further, we </w:t>
      </w:r>
      <w:r w:rsidR="00A9211C">
        <w:t>extensively analyzed</w:t>
      </w:r>
      <w:r w:rsidR="00F35B06">
        <w:t xml:space="preserve"> potential interaction effects among all major factors, including age, gender, presence of children, income, transportation access, employment status, and residential location characteristics. This analysis involved testing various combinations of these variables to identify any significant interactive effects on telemedicine adoption. </w:t>
      </w:r>
      <w:r w:rsidR="00EF4BCE">
        <w:t xml:space="preserve">However, no statistically significant interaction effects were found, even at the marginal level of a 75% confidence level. Of course, caution needs to be exercised in this regard, because of the relatively small share of telemedicine adopters in the current sample (especially in the pre-COVID sample), as well as small numbers in each category of the reasons for adopting/not adopting telemedicine (which has the effect of further reducing the number of sample points at the intersection of two or more independent variables within each dependent </w:t>
      </w:r>
      <w:r w:rsidR="00EF4BCE">
        <w:lastRenderedPageBreak/>
        <w:t>outcome category). Future research with larger sample sizes should continue to test interactions extensively.</w:t>
      </w:r>
    </w:p>
    <w:bookmarkEnd w:id="43"/>
    <w:p w14:paraId="387E423D" w14:textId="083D68C8" w:rsidR="00B745F3" w:rsidRDefault="00601AA5" w:rsidP="009D0CA2">
      <w:pPr>
        <w:spacing w:after="0" w:line="240" w:lineRule="auto"/>
        <w:ind w:firstLine="720"/>
        <w:jc w:val="both"/>
      </w:pPr>
      <w:r w:rsidRPr="00296F0E">
        <w:t>The final specification is presented in Ta</w:t>
      </w:r>
      <w:r w:rsidRPr="00296F0E">
        <w:rPr>
          <w:color w:val="000000" w:themeColor="text1"/>
        </w:rPr>
        <w:t xml:space="preserve">bles </w:t>
      </w:r>
      <w:r w:rsidR="00735C73" w:rsidRPr="00296F0E">
        <w:rPr>
          <w:color w:val="000000" w:themeColor="text1"/>
        </w:rPr>
        <w:t>4</w:t>
      </w:r>
      <w:r w:rsidR="00D23675">
        <w:rPr>
          <w:color w:val="000000" w:themeColor="text1"/>
        </w:rPr>
        <w:t xml:space="preserve"> </w:t>
      </w:r>
      <w:r w:rsidRPr="00296F0E">
        <w:rPr>
          <w:color w:val="000000" w:themeColor="text1"/>
        </w:rPr>
        <w:t xml:space="preserve">and </w:t>
      </w:r>
      <w:r w:rsidR="00D23675">
        <w:rPr>
          <w:color w:val="000000" w:themeColor="text1"/>
        </w:rPr>
        <w:t>5</w:t>
      </w:r>
      <w:r w:rsidRPr="00296F0E">
        <w:rPr>
          <w:color w:val="000000" w:themeColor="text1"/>
        </w:rPr>
        <w:t>.</w:t>
      </w:r>
      <w:r w:rsidR="00A62648" w:rsidRPr="00296F0E">
        <w:rPr>
          <w:color w:val="000000" w:themeColor="text1"/>
        </w:rPr>
        <w:t xml:space="preserve"> The parameters in these tables represent the elements of the </w:t>
      </w:r>
      <w:r w:rsidR="00466681" w:rsidRPr="007F18E6">
        <w:rPr>
          <w:position w:val="-10"/>
        </w:rPr>
        <w:object w:dxaOrig="200" w:dyaOrig="320" w14:anchorId="02337567">
          <v:shape id="_x0000_i1070" type="#_x0000_t75" style="width:9.85pt;height:15.85pt" o:ole="" o:preferrelative="f">
            <v:imagedata r:id="rId97" o:title=""/>
            <o:lock v:ext="edit" aspectratio="f"/>
          </v:shape>
          <o:OLEObject Type="Embed" ProgID="Equation.DSMT4" ShapeID="_x0000_i1070" DrawAspect="Content" ObjectID="_1790752378" r:id="rId98"/>
        </w:object>
      </w:r>
      <w:r w:rsidR="00B745F3" w:rsidRPr="00296F0E">
        <w:rPr>
          <w:color w:val="000000" w:themeColor="text1"/>
        </w:rPr>
        <w:t xml:space="preserve"> </w:t>
      </w:r>
      <w:r w:rsidR="00D23675">
        <w:rPr>
          <w:color w:val="000000" w:themeColor="text1"/>
        </w:rPr>
        <w:t xml:space="preserve">matrix, </w:t>
      </w:r>
      <w:r w:rsidR="00A62648" w:rsidRPr="00296F0E">
        <w:rPr>
          <w:color w:val="000000" w:themeColor="text1"/>
        </w:rPr>
        <w:t xml:space="preserve">which reflects the effect of exogenous variables on the propensity to adopt or not adopt telemedicine or to choose a </w:t>
      </w:r>
      <w:r w:rsidR="00651AAB">
        <w:rPr>
          <w:color w:val="000000" w:themeColor="text1"/>
        </w:rPr>
        <w:t>specific</w:t>
      </w:r>
      <w:r w:rsidR="00A62648" w:rsidRPr="00296F0E">
        <w:rPr>
          <w:color w:val="000000" w:themeColor="text1"/>
        </w:rPr>
        <w:t xml:space="preserve"> reason. </w:t>
      </w:r>
      <w:r w:rsidR="00956E1E">
        <w:rPr>
          <w:color w:val="000000" w:themeColor="text1"/>
        </w:rPr>
        <w:t>N</w:t>
      </w:r>
      <w:r w:rsidR="009C185D" w:rsidRPr="00296F0E">
        <w:rPr>
          <w:color w:val="000000" w:themeColor="text1"/>
        </w:rPr>
        <w:t>ot all</w:t>
      </w:r>
      <w:r w:rsidR="00976C24" w:rsidRPr="00296F0E">
        <w:rPr>
          <w:color w:val="000000" w:themeColor="text1"/>
        </w:rPr>
        <w:t xml:space="preserve"> of</w:t>
      </w:r>
      <w:r w:rsidR="009C185D" w:rsidRPr="00296F0E">
        <w:rPr>
          <w:color w:val="000000" w:themeColor="text1"/>
        </w:rPr>
        <w:t xml:space="preserve"> the included variables are statistically significant at </w:t>
      </w:r>
      <w:r w:rsidR="00976C24" w:rsidRPr="00296F0E">
        <w:rPr>
          <w:color w:val="000000" w:themeColor="text1"/>
        </w:rPr>
        <w:t xml:space="preserve">the </w:t>
      </w:r>
      <w:r w:rsidR="009C185D" w:rsidRPr="00296F0E">
        <w:rPr>
          <w:color w:val="000000" w:themeColor="text1"/>
        </w:rPr>
        <w:t>95% level.</w:t>
      </w:r>
      <w:r w:rsidR="00976C24" w:rsidRPr="00296F0E">
        <w:rPr>
          <w:color w:val="000000" w:themeColor="text1"/>
        </w:rPr>
        <w:t xml:space="preserve"> </w:t>
      </w:r>
      <w:r w:rsidR="005556FB">
        <w:rPr>
          <w:color w:val="000000" w:themeColor="text1"/>
        </w:rPr>
        <w:t>In our specifications, we used a lower 7</w:t>
      </w:r>
      <w:r w:rsidR="00A82346">
        <w:rPr>
          <w:color w:val="000000" w:themeColor="text1"/>
        </w:rPr>
        <w:t>9</w:t>
      </w:r>
      <w:r w:rsidR="005556FB">
        <w:rPr>
          <w:color w:val="000000" w:themeColor="text1"/>
        </w:rPr>
        <w:t xml:space="preserve">% confidence level (corresponding to a t-statistic of </w:t>
      </w:r>
      <w:r w:rsidR="000C7369">
        <w:rPr>
          <w:color w:val="000000" w:themeColor="text1"/>
        </w:rPr>
        <w:t>1.</w:t>
      </w:r>
      <w:r w:rsidR="00A82346">
        <w:rPr>
          <w:color w:val="000000" w:themeColor="text1"/>
        </w:rPr>
        <w:t>2</w:t>
      </w:r>
      <w:r w:rsidR="000C7369">
        <w:rPr>
          <w:color w:val="000000" w:themeColor="text1"/>
        </w:rPr>
        <w:t xml:space="preserve">5) to </w:t>
      </w:r>
      <w:r w:rsidR="000C7369" w:rsidRPr="00976C24">
        <w:rPr>
          <w:color w:val="000000" w:themeColor="text1"/>
        </w:rPr>
        <w:t>acknowledge the relatively small sample size of our estimation, which may have contributed to the marginal significance of certain variables</w:t>
      </w:r>
      <w:r w:rsidR="000C7369">
        <w:rPr>
          <w:color w:val="000000" w:themeColor="text1"/>
        </w:rPr>
        <w:t xml:space="preserve"> (especially </w:t>
      </w:r>
      <w:r w:rsidR="00976C24" w:rsidRPr="00296F0E">
        <w:rPr>
          <w:color w:val="000000" w:themeColor="text1"/>
        </w:rPr>
        <w:t>with variables corresponding to outcomes with a limited number of observations, such as the reasons for adoption or non-adoption</w:t>
      </w:r>
      <w:r w:rsidR="000C7369">
        <w:rPr>
          <w:color w:val="000000" w:themeColor="text1"/>
        </w:rPr>
        <w:t>)</w:t>
      </w:r>
      <w:r w:rsidR="00976C24" w:rsidRPr="00976C24">
        <w:rPr>
          <w:color w:val="000000" w:themeColor="text1"/>
        </w:rPr>
        <w:t xml:space="preserve">. </w:t>
      </w:r>
      <w:r w:rsidR="000C7369">
        <w:rPr>
          <w:color w:val="000000" w:themeColor="text1"/>
        </w:rPr>
        <w:t>By being more inclusive in retaining exogenous variable</w:t>
      </w:r>
      <w:r w:rsidR="00A82346">
        <w:rPr>
          <w:color w:val="000000" w:themeColor="text1"/>
        </w:rPr>
        <w:t>s</w:t>
      </w:r>
      <w:r w:rsidR="000C7369">
        <w:rPr>
          <w:color w:val="000000" w:themeColor="text1"/>
        </w:rPr>
        <w:t xml:space="preserve">, we hope that our findings will </w:t>
      </w:r>
      <w:r w:rsidR="00976C24" w:rsidRPr="00976C24">
        <w:rPr>
          <w:color w:val="000000" w:themeColor="text1"/>
        </w:rPr>
        <w:t>offer valuable insights for future investigations with larger sample sizes. Also, a</w:t>
      </w:r>
      <w:r w:rsidR="00B745F3" w:rsidRPr="00976C24">
        <w:rPr>
          <w:color w:val="000000" w:themeColor="text1"/>
        </w:rPr>
        <w:t xml:space="preserve"> dash (</w:t>
      </w:r>
      <w:r w:rsidR="00721B8D">
        <w:rPr>
          <w:color w:val="000000" w:themeColor="text1"/>
        </w:rPr>
        <w:t>“</w:t>
      </w:r>
      <w:r w:rsidR="00AA7298">
        <w:rPr>
          <w:color w:val="000000" w:themeColor="text1"/>
        </w:rPr>
        <w:t>--</w:t>
      </w:r>
      <w:r w:rsidR="00AA7298" w:rsidRPr="00976C24">
        <w:rPr>
          <w:color w:val="000000" w:themeColor="text1"/>
        </w:rPr>
        <w:t>”) next</w:t>
      </w:r>
      <w:r w:rsidR="00B745F3" w:rsidRPr="00976C24">
        <w:rPr>
          <w:color w:val="000000" w:themeColor="text1"/>
        </w:rPr>
        <w:t xml:space="preserve"> to an exogenous variable </w:t>
      </w:r>
      <w:r w:rsidR="000C7369">
        <w:rPr>
          <w:color w:val="000000" w:themeColor="text1"/>
        </w:rPr>
        <w:t xml:space="preserve">in the tables </w:t>
      </w:r>
      <w:r w:rsidR="00B745F3" w:rsidRPr="00976C24">
        <w:rPr>
          <w:color w:val="000000" w:themeColor="text1"/>
        </w:rPr>
        <w:t xml:space="preserve">indicates that the corresponding coefficient is not applicable </w:t>
      </w:r>
      <w:r w:rsidR="00233F42">
        <w:rPr>
          <w:color w:val="000000" w:themeColor="text1"/>
        </w:rPr>
        <w:t>to</w:t>
      </w:r>
      <w:r w:rsidR="00B745F3" w:rsidRPr="00976C24">
        <w:rPr>
          <w:color w:val="000000" w:themeColor="text1"/>
        </w:rPr>
        <w:t xml:space="preserve"> that specific outcome variable. A blank cell implies that the exogenous variable did not have a statistically significant association with the outcome, even</w:t>
      </w:r>
      <w:r w:rsidR="000C7369">
        <w:rPr>
          <w:color w:val="000000" w:themeColor="text1"/>
        </w:rPr>
        <w:t xml:space="preserve"> at the 7</w:t>
      </w:r>
      <w:r w:rsidR="00795766">
        <w:rPr>
          <w:color w:val="000000" w:themeColor="text1"/>
        </w:rPr>
        <w:t>9</w:t>
      </w:r>
      <w:r w:rsidR="000C7369">
        <w:rPr>
          <w:color w:val="000000" w:themeColor="text1"/>
        </w:rPr>
        <w:t>% confidence level</w:t>
      </w:r>
      <w:r w:rsidR="00B745F3" w:rsidRPr="00976C24">
        <w:rPr>
          <w:color w:val="000000" w:themeColor="text1"/>
        </w:rPr>
        <w:t>.</w:t>
      </w:r>
      <w:r w:rsidR="00D23675">
        <w:rPr>
          <w:color w:val="000000" w:themeColor="text1"/>
        </w:rPr>
        <w:t xml:space="preserve"> Finally, in some cases, </w:t>
      </w:r>
      <w:r w:rsidR="00D23675">
        <w:t xml:space="preserve">the same coefficient (and t-statistic) may appear across columns or across rows (or both) because earlier tests of coefficient equality could not be rejected. </w:t>
      </w:r>
    </w:p>
    <w:p w14:paraId="1573F4A1" w14:textId="77777777" w:rsidR="009A6E84" w:rsidRDefault="009A6E84" w:rsidP="009D0CA2">
      <w:pPr>
        <w:spacing w:after="0" w:line="240" w:lineRule="auto"/>
        <w:ind w:firstLine="720"/>
        <w:jc w:val="both"/>
      </w:pPr>
    </w:p>
    <w:p w14:paraId="7959FFB2" w14:textId="32ADF970" w:rsidR="00350DD7" w:rsidRDefault="008463D9" w:rsidP="009D0CA2">
      <w:pPr>
        <w:pStyle w:val="Heading2"/>
        <w:spacing w:after="0" w:line="240" w:lineRule="auto"/>
        <w:contextualSpacing w:val="0"/>
      </w:pPr>
      <w:bookmarkStart w:id="44" w:name="_Ref178944777"/>
      <w:r>
        <w:t>Telemedicine Adoption Model Estimation Results</w:t>
      </w:r>
      <w:bookmarkEnd w:id="44"/>
    </w:p>
    <w:p w14:paraId="632FA551" w14:textId="6D8BBA02" w:rsidR="006C22E9" w:rsidRDefault="0069340B" w:rsidP="006F3050">
      <w:pPr>
        <w:spacing w:after="0" w:line="240" w:lineRule="auto"/>
        <w:jc w:val="both"/>
      </w:pPr>
      <w:r>
        <w:fldChar w:fldCharType="begin"/>
      </w:r>
      <w:r>
        <w:instrText xml:space="preserve"> REF _Ref178945050 \h </w:instrText>
      </w:r>
      <w:r>
        <w:fldChar w:fldCharType="separate"/>
      </w:r>
      <w:r w:rsidR="008A3DCE">
        <w:t xml:space="preserve">Table </w:t>
      </w:r>
      <w:r w:rsidR="008A3DCE">
        <w:rPr>
          <w:noProof/>
        </w:rPr>
        <w:t>4</w:t>
      </w:r>
      <w:r>
        <w:fldChar w:fldCharType="end"/>
      </w:r>
      <w:r w:rsidR="00350DD7">
        <w:t xml:space="preserve"> presents the effects of the exogenous variables on telemedicine adoption </w:t>
      </w:r>
      <w:r w:rsidR="00D479EC">
        <w:t xml:space="preserve">propensity </w:t>
      </w:r>
      <w:r w:rsidR="00C817CF">
        <w:t>Before-</w:t>
      </w:r>
      <w:r w:rsidR="006312A4">
        <w:t>COVID</w:t>
      </w:r>
      <w:r w:rsidR="00350DD7">
        <w:t xml:space="preserve"> and </w:t>
      </w:r>
      <w:r w:rsidR="006312A4">
        <w:t>After-COVID</w:t>
      </w:r>
      <w:r w:rsidR="00350DD7">
        <w:t xml:space="preserve">. </w:t>
      </w:r>
      <w:r w:rsidR="00F52B65">
        <w:t>While</w:t>
      </w:r>
      <w:r w:rsidR="00561121" w:rsidRPr="00561121">
        <w:t xml:space="preserve"> we included telemedicine adoption </w:t>
      </w:r>
      <w:r w:rsidR="00F8247A">
        <w:t>D</w:t>
      </w:r>
      <w:r w:rsidR="00561121" w:rsidRPr="00561121">
        <w:t>uring</w:t>
      </w:r>
      <w:r w:rsidR="00F8247A">
        <w:t>-</w:t>
      </w:r>
      <w:r w:rsidR="00561121" w:rsidRPr="00561121">
        <w:t xml:space="preserve">COVID in our model </w:t>
      </w:r>
      <w:r w:rsidR="00F52B65">
        <w:t>t</w:t>
      </w:r>
      <w:r w:rsidR="00F52B65" w:rsidRPr="00F52B65">
        <w:t>o account for unobserved individual factors across all periods, we present results for the pre-pandemic and post-pandemic periods here.</w:t>
      </w:r>
      <w:r w:rsidR="00D0557B">
        <w:t xml:space="preserve"> </w:t>
      </w:r>
      <w:r w:rsidR="00D0557B" w:rsidRPr="00D0557B">
        <w:t>This is because</w:t>
      </w:r>
      <w:r w:rsidR="00233F42">
        <w:t>,</w:t>
      </w:r>
      <w:r w:rsidR="00D0557B" w:rsidRPr="00D0557B">
        <w:t xml:space="preserve"> during the height of the COVID-19 pandemic, limited choices likely drove telemedicine adoption </w:t>
      </w:r>
      <w:r w:rsidR="00D0557B">
        <w:t xml:space="preserve">more </w:t>
      </w:r>
      <w:r w:rsidR="00D0557B" w:rsidRPr="00D0557B">
        <w:t xml:space="preserve">than individual preferences. </w:t>
      </w:r>
      <w:r w:rsidR="00D0557B">
        <w:t>Consequently</w:t>
      </w:r>
      <w:r w:rsidR="00561121" w:rsidRPr="00561121">
        <w:t xml:space="preserve">, the effects of </w:t>
      </w:r>
      <w:r w:rsidR="00561121">
        <w:t>exogenous</w:t>
      </w:r>
      <w:r w:rsidR="00561121" w:rsidRPr="00561121">
        <w:t xml:space="preserve"> factors on adoption during that period are not especially informative for guiding policy decisions.</w:t>
      </w:r>
      <w:r w:rsidR="000A25A1">
        <w:t xml:space="preserve"> </w:t>
      </w:r>
    </w:p>
    <w:p w14:paraId="4FEC0B03" w14:textId="36FD08E6" w:rsidR="006F3050" w:rsidRDefault="006C22E9" w:rsidP="009D0CA2">
      <w:pPr>
        <w:spacing w:after="0" w:line="240" w:lineRule="auto"/>
        <w:ind w:firstLine="720"/>
        <w:jc w:val="both"/>
      </w:pPr>
      <w:r>
        <w:t xml:space="preserve">The thresholds in the </w:t>
      </w:r>
      <w:r w:rsidR="00A82346">
        <w:t xml:space="preserve">last </w:t>
      </w:r>
      <w:r>
        <w:t>numeric row do not have any substantive interpretation, but map the latent adoption propensity to the observed binary adoption outcomes in a way that reflects the overall aggregate shares of adoption and non-adoption. The positive and statistically significant thresholds indicate that, after accommodating for observed and unobserved individual factors, there is a remnant generic predisposition in the sample for telemedicine non-adoption (as can also be observed in the aggregate for each of the three period</w:t>
      </w:r>
      <w:r w:rsidR="00A82346">
        <w:t>s</w:t>
      </w:r>
      <w:r>
        <w:t xml:space="preserve"> from</w:t>
      </w:r>
      <w:r w:rsidR="0069340B">
        <w:t xml:space="preserve"> </w:t>
      </w:r>
      <w:r w:rsidR="0069340B">
        <w:fldChar w:fldCharType="begin"/>
      </w:r>
      <w:r w:rsidR="0069340B">
        <w:instrText xml:space="preserve"> REF _Ref178944934 \h </w:instrText>
      </w:r>
      <w:r w:rsidR="0069340B">
        <w:fldChar w:fldCharType="separate"/>
      </w:r>
      <w:r w:rsidR="008A3DCE">
        <w:t xml:space="preserve">Table </w:t>
      </w:r>
      <w:r w:rsidR="008A3DCE">
        <w:rPr>
          <w:noProof/>
        </w:rPr>
        <w:t>1</w:t>
      </w:r>
      <w:r w:rsidR="0069340B">
        <w:fldChar w:fldCharType="end"/>
      </w:r>
      <w:r>
        <w:t xml:space="preserve">). The results for </w:t>
      </w:r>
      <w:r w:rsidR="00232A94">
        <w:t xml:space="preserve">the </w:t>
      </w:r>
      <w:r>
        <w:t>exogenous variables are discussed below.</w:t>
      </w:r>
    </w:p>
    <w:p w14:paraId="71005F45" w14:textId="0A67EC97" w:rsidR="006611B9" w:rsidRDefault="006C22E9" w:rsidP="009D0CA2">
      <w:pPr>
        <w:spacing w:after="0" w:line="240" w:lineRule="auto"/>
        <w:ind w:firstLine="720"/>
        <w:jc w:val="both"/>
      </w:pPr>
      <w:r>
        <w:t xml:space="preserve"> </w:t>
      </w:r>
    </w:p>
    <w:p w14:paraId="31B008AB" w14:textId="3698210C" w:rsidR="003B43BB" w:rsidRPr="00A97370" w:rsidRDefault="003B43BB" w:rsidP="009D0CA2">
      <w:pPr>
        <w:spacing w:after="0" w:line="240" w:lineRule="auto"/>
        <w:jc w:val="both"/>
        <w:rPr>
          <w:u w:val="single"/>
        </w:rPr>
      </w:pPr>
      <w:r w:rsidRPr="00A97370">
        <w:rPr>
          <w:u w:val="single"/>
        </w:rPr>
        <w:t>Individual/Sociodemographic Effects</w:t>
      </w:r>
    </w:p>
    <w:p w14:paraId="1CA0F27B" w14:textId="731C4914" w:rsidR="00D23675" w:rsidRDefault="005D4AC5" w:rsidP="006F3050">
      <w:pPr>
        <w:spacing w:after="0" w:line="240" w:lineRule="auto"/>
        <w:jc w:val="both"/>
        <w:rPr>
          <w:color w:val="0D0D0D"/>
          <w:shd w:val="clear" w:color="auto" w:fill="FFFFFF"/>
        </w:rPr>
      </w:pPr>
      <w:r w:rsidRPr="005D4AC5">
        <w:t xml:space="preserve">The </w:t>
      </w:r>
      <w:r w:rsidR="00561121">
        <w:t>results d</w:t>
      </w:r>
      <w:r w:rsidR="007B33B0">
        <w:t>o</w:t>
      </w:r>
      <w:r w:rsidR="00561121">
        <w:t xml:space="preserve"> not reveal any statistically significant </w:t>
      </w:r>
      <w:r w:rsidR="00561121" w:rsidRPr="006611B9">
        <w:rPr>
          <w:color w:val="0D0D0D"/>
          <w:shd w:val="clear" w:color="auto" w:fill="FFFFFF"/>
        </w:rPr>
        <w:t>gender differences in telemedicine adoption</w:t>
      </w:r>
      <w:r w:rsidR="00561121">
        <w:t xml:space="preserve"> across all periods</w:t>
      </w:r>
      <w:r w:rsidR="00E458A6">
        <w:t xml:space="preserve">, consistent with the findings </w:t>
      </w:r>
      <w:r w:rsidR="00956E1E">
        <w:rPr>
          <w:color w:val="000000" w:themeColor="text1"/>
          <w:shd w:val="clear" w:color="auto" w:fill="FFFFFF"/>
        </w:rPr>
        <w:t>of</w:t>
      </w:r>
      <w:r w:rsidR="00E458A6" w:rsidRPr="00832A81">
        <w:rPr>
          <w:color w:val="000000" w:themeColor="text1"/>
          <w:shd w:val="clear" w:color="auto" w:fill="FFFFFF"/>
        </w:rPr>
        <w:t xml:space="preserve"> </w:t>
      </w:r>
      <w:bookmarkStart w:id="45" w:name="_Hlk166043555"/>
      <w:r w:rsidR="00E458A6" w:rsidRPr="00832A81">
        <w:rPr>
          <w:color w:val="000000" w:themeColor="text1"/>
          <w:shd w:val="clear" w:color="auto" w:fill="FFFFFF"/>
        </w:rPr>
        <w:fldChar w:fldCharType="begin"/>
      </w:r>
      <w:r w:rsidR="009A6E84">
        <w:rPr>
          <w:color w:val="000000" w:themeColor="text1"/>
          <w:shd w:val="clear" w:color="auto" w:fill="FFFFFF"/>
        </w:rPr>
        <w:instrText xml:space="preserve"> ADDIN ZOTERO_ITEM CSL_CITATION {"citationID":"lUWsEjrT","properties":{"formattedCitation":"(Schifeling et al., 2020; Sharma et al., 2024)","plainCitation":"(Schifeling et al., 2020; Sharma et al., 2024)","dontUpdate":true,"noteIndex":0},"citationItems":[{"id":2226,"uris":["http://zotero.org/users/9292995/items/4XWLVNAH"],"itemData":{"id":2226,"type":"article-journal","abstract":"Background: Telephone and video telemedicine appointments have been a crucial service delivery method during the COVID-19 pandemic for maintaining access to health care without increasing the risk of exposure. Although studies conducted prior to the pandemic have suggested that telemedicine is an acceptable format for older adults, there is a paucity of data on the practical implementation of telemedicine visits. Due to prior lack of reimbursement for telemedicine visits involving nonrural patients, no studies have compared telephone visits to video visits in geriatric primary care.\nObjective: This study aimed to determine (1) whether video visits had longer durations, more visit diagnoses, and more advance care planning discussions than telephone visits during the rapid implementation of telemedicine in the COVID-19 pandemic, and (2) whether disparities in visit type existed based on patient characteristics.\nMethods: We conducted a retrospective, cross-sectional analysis of patients seen at two geriatric clinics from April 23 to May 22, 2020. Approximately 25% of patients who had telephone and video appointments during this time underwent chart review. We analyzed patient characteristics, visit characteristics, duration of visits, number of visit diagnoses, and the presence of advance care planning discussion in clinical documentation.\nResults: Of the 190 appointments reviewed, 47.4% (n=90) were video visits. Compared to telephone appointments, videoconferencing was, on average, 7 minutes longer (mean 37.3 minutes, SD 10 minutes; P&amp;lt;.001) and had, on average, 1.2 more visit diagnoses (mean 5.7, SD 3; P=.001). Video and telephone visits had similar rates of advance care planning. Furthermore, hearing, vision, and cognitive impairment did not result in different rates of video or telephone appointments. Non-White patients, patients who needed interpreter services, and patients who received Medicaid were less likely to have video visits than White patients, patients who did not need an interpreter, and patients who did not receive Medicaid, respectively (P=.003, P=.01, P&amp;lt;.001, respectively).\nConclusions: Although clinicians spent more time on video visits than telephone visits, more than half of this study’s older patients did not use video visits, especially if they were from racial or ethnic minority backgrounds or Medicaid beneficiaries. This potential health care disparity merits greater attention.","container-title":"JMIR Aging","DOI":"10.2196/23176","issue":"2","language":"EN","license":"This is an open-access article distributed under the terms of the Creative Commons Attribution License (https://creativecommons.org/licenses/by/4.0/), which permits unrestricted use, distribution, and reproduction in any medium, provided the original work, first published JMIR Aging, is properly cited. The complete bibliographic information, a link to the original publication on https://aging.jmir.org/, as well as this copyright and license information must be included.","note":"Company: JMIR Aging\nDistributor: JMIR Aging\nInstitution: JMIR Aging\nLabel: JMIR Aging\npublisher: JMIR Publications Inc., Toronto, Canada","page":"e23176","source":"aging.jmir.org","title":"Disparities in Video and Telephone Visits Among Older Adults During the COVID-19 Pandemic: Cross-Sectional Analysis","title-short":"Disparities in Video and Telephone Visits Among Older Adults During the COVID-19 Pandemic","volume":"3","author":[{"family":"Schifeling","given":"Christopher H."},{"family":"Shanbhag","given":"Prajakta"},{"family":"Johnson","given":"Angene"},{"family":"Atwater","given":"Riannon C."},{"family":"Koljack","given":"Claire"},{"family":"Parnes","given":"Bennett L."},{"family":"Vejar","given":"Maria M."},{"family":"Farro","given":"Samantha A."},{"family":"Phimphasone-Brady","given":"Phoutdavone"},{"family":"Lum","given":"Hillary D."}],"issued":{"date-parts":[["2020",11,10]]}}},{"id":2204,"uris":["http://zotero.org/users/9292995/items/B5LDPDSV"],"itemData":{"id":2204,"type":"article-journal","abstract":"BACKGROUND: During the COVID-19 outbreak, video appointments became a popular method for health care delivery, particularly in the early stages of the pandemic. Although Mayo Clinic aimed to reduce face-to-face (F2F) appointments to prevent the spread of the virus, some patients continued seeing their health care providers in person. In the later stages of the pandemic, many patients became comfortable with video appointments, even if they were initially hesitant. However, a subset of patients continued to avoid video appointments. It is not yet clear what sociodemographic factors may be associated with this group of patients.\nOBJECTIVE: This cross-sectional study aimed to examine demographic and social determinant of health (SDoH) factors associated with persistent nonusers of video appointments among a sample of patients within a multistate health care organization. We also explored patient beliefs about the use of video for health care appointments.\nMETHODS: We conducted a 1-time cross-sectional paper survey, mailed between July and December 2022, of patients matching the eligibility criteria: (1) aged ≥18 years as of April 2020, (2) Mayo Clinic Midwest, Florida, or Arizona patient, (3) did not use video appointment services during April-December 2020 but attended F2F appointments in the departments of primary care and psychiatry/psychology. The survey asked patients, \"Have you ever had a video appointment with a healthcare provider?\" \"Yes\" respondents were defined as \"users\" (adapted to video appointments), and \"no\" respondents were defined as \"persistent nonusers\" of video appointments. We analyzed demographics, SDoH, and patient beliefs toward video appointments in 2 groups: persistent nonusers of video appointments and users. We used chi-square and 2-tailed t tests for analysis.\nRESULTS: Our findings indicate that patients who were older, lived in rural areas, sought care at Mayo Clinic Midwest, and did not have access to the patient portal system were likely to be persistent nonusers of video appointments. Only 1 SDoH factor (not having a disability, handicap, or chronic disease) was associated with persistent nonuse of video appointments. Persistent nonusers of video appointments held personal beliefs such as discomfort with video communication, difficulty interpreting nonverbal cues, and personal preference for F2F appointments over video.\nCONCLUSIONS: Our study identified demographic (older age and rural residence), sociodemographic factors (not having a disability, handicap, or chronic disease), and personal beliefs associated with patients' decisions to choose between video versus F2F appointments for health care delivery. Health care institutions should assess patients' negative attitudes toward technology prior to introducing them to digital health care services. Failing to do so may result in its restricted usage, negative patient experience, and wasted resources. For patients who hold negative beliefs about technology but are willing to learn, a \"digital health coordinator\" could be assigned to assist with various digital health solutions.","container-title":"JMIR formative research","DOI":"10.2196/50572","ISSN":"2561-326X","journalAbbreviation":"JMIR Form Res","language":"eng","note":"PMID: 38265855","page":"e50572","source":"PubMed","title":"Demographics and Social Factors Associated With Persistent Nonuse of Video Appointments at a Multisite Health Care Institution: Cross-Sectional Study","title-short":"Demographics and Social Factors Associated With Persistent Nonuse of Video Appointments at a Multisite Health Care Institution","volume":"8","author":[{"family":"Sharma","given":"Pravesh"},{"family":"Kamath","given":"Celia"},{"family":"Brockman","given":"Tabetha A."},{"family":"Roche","given":"Anne"},{"family":"Sinicrope","given":"Pamela"},{"family":"Jiang","given":"Ruoxiang"},{"family":"Decker","given":"Paul A."},{"family":"Pazdernik","given":"Vanessa"},{"family":"Patten","given":"Christi"}],"issued":{"date-parts":[["2024",1,24]]}}}],"schema":"https://github.com/citation-style-language/schema/raw/master/csl-citation.json"} </w:instrText>
      </w:r>
      <w:r w:rsidR="00E458A6" w:rsidRPr="00832A81">
        <w:rPr>
          <w:color w:val="000000" w:themeColor="text1"/>
          <w:shd w:val="clear" w:color="auto" w:fill="FFFFFF"/>
        </w:rPr>
        <w:fldChar w:fldCharType="separate"/>
      </w:r>
      <w:r w:rsidR="00E458A6" w:rsidRPr="00832A81">
        <w:rPr>
          <w:color w:val="000000" w:themeColor="text1"/>
        </w:rPr>
        <w:t xml:space="preserve">Schifeling et al. </w:t>
      </w:r>
      <w:r w:rsidR="009A6E84">
        <w:rPr>
          <w:color w:val="000000" w:themeColor="text1"/>
        </w:rPr>
        <w:t>(</w:t>
      </w:r>
      <w:r w:rsidR="00E458A6" w:rsidRPr="00832A81">
        <w:rPr>
          <w:color w:val="000000" w:themeColor="text1"/>
        </w:rPr>
        <w:t>2020</w:t>
      </w:r>
      <w:r w:rsidR="009A6E84">
        <w:rPr>
          <w:color w:val="000000" w:themeColor="text1"/>
        </w:rPr>
        <w:t>), and</w:t>
      </w:r>
      <w:r w:rsidR="00E458A6" w:rsidRPr="00832A81">
        <w:rPr>
          <w:color w:val="000000" w:themeColor="text1"/>
        </w:rPr>
        <w:t xml:space="preserve"> Sharma et al. </w:t>
      </w:r>
      <w:r w:rsidR="009A6E84">
        <w:rPr>
          <w:color w:val="000000" w:themeColor="text1"/>
        </w:rPr>
        <w:t>(</w:t>
      </w:r>
      <w:r w:rsidR="00E458A6" w:rsidRPr="00832A81">
        <w:rPr>
          <w:color w:val="000000" w:themeColor="text1"/>
        </w:rPr>
        <w:t>2024)</w:t>
      </w:r>
      <w:r w:rsidR="00E458A6" w:rsidRPr="00832A81">
        <w:rPr>
          <w:color w:val="000000" w:themeColor="text1"/>
          <w:shd w:val="clear" w:color="auto" w:fill="FFFFFF"/>
        </w:rPr>
        <w:fldChar w:fldCharType="end"/>
      </w:r>
      <w:r w:rsidR="00561121">
        <w:t>.</w:t>
      </w:r>
      <w:bookmarkEnd w:id="45"/>
      <w:r w:rsidR="00561121">
        <w:t xml:space="preserve"> </w:t>
      </w:r>
      <w:r w:rsidR="00387316">
        <w:t>In terms of lifecycle</w:t>
      </w:r>
      <w:r w:rsidR="00C37A4D">
        <w:t xml:space="preserve"> and living arrangements</w:t>
      </w:r>
      <w:r w:rsidR="00561121">
        <w:t>,</w:t>
      </w:r>
      <w:r w:rsidR="00561121" w:rsidRPr="00561121">
        <w:t xml:space="preserve"> households with children</w:t>
      </w:r>
      <w:r w:rsidR="00A50108">
        <w:t xml:space="preserve"> have a generic higher propensity to </w:t>
      </w:r>
      <w:r w:rsidR="00561121" w:rsidRPr="00561121">
        <w:t>adopt telemedicine services</w:t>
      </w:r>
      <w:r w:rsidR="00A50108">
        <w:t xml:space="preserve"> across </w:t>
      </w:r>
      <w:r w:rsidR="003A200F">
        <w:t>both the “</w:t>
      </w:r>
      <w:r w:rsidR="00C817CF">
        <w:t>Before-</w:t>
      </w:r>
      <w:r w:rsidR="006312A4">
        <w:t>COVID</w:t>
      </w:r>
      <w:r w:rsidR="003A200F">
        <w:t xml:space="preserve">” and </w:t>
      </w:r>
      <w:r w:rsidR="006312A4">
        <w:t>After-COVID</w:t>
      </w:r>
      <w:r w:rsidR="003A200F">
        <w:t xml:space="preserve">” </w:t>
      </w:r>
      <w:r w:rsidR="00A50108">
        <w:t>periods</w:t>
      </w:r>
      <w:r w:rsidR="00387316">
        <w:rPr>
          <w:color w:val="0D0D0D"/>
          <w:shd w:val="clear" w:color="auto" w:fill="FFFFFF"/>
        </w:rPr>
        <w:t xml:space="preserve">, presumably because of the need for </w:t>
      </w:r>
      <w:r w:rsidR="00561121" w:rsidRPr="006611B9">
        <w:rPr>
          <w:color w:val="0D0D0D"/>
          <w:shd w:val="clear" w:color="auto" w:fill="FFFFFF"/>
        </w:rPr>
        <w:t>frequent pediatric consultations to monitor symptom progression in children</w:t>
      </w:r>
      <w:r w:rsidR="00387316">
        <w:rPr>
          <w:color w:val="0D0D0D"/>
          <w:shd w:val="clear" w:color="auto" w:fill="FFFFFF"/>
        </w:rPr>
        <w:t xml:space="preserve"> (see </w:t>
      </w:r>
      <w:bookmarkStart w:id="46" w:name="_Hlk166043593"/>
      <w:r w:rsidR="00387316">
        <w:rPr>
          <w:color w:val="0D0D0D"/>
          <w:shd w:val="clear" w:color="auto" w:fill="FFFFFF"/>
        </w:rPr>
        <w:fldChar w:fldCharType="begin"/>
      </w:r>
      <w:r w:rsidR="009A6E84">
        <w:rPr>
          <w:color w:val="0D0D0D"/>
          <w:shd w:val="clear" w:color="auto" w:fill="FFFFFF"/>
        </w:rPr>
        <w:instrText xml:space="preserve"> ADDIN ZOTERO_ITEM CSL_CITATION {"citationID":"Sr2QJQZf","properties":{"formattedCitation":"(Ashman et al., 2023)","plainCitation":"(Ashman et al., 2023)","dontUpdate":true,"noteIndex":0},"citationItems":[{"id":2359,"uris":["http://zotero.org/users/9292995/items/SUHNY9PY"],"itemData":{"id":2359,"type":"report","event-place":"CDC","genre":"National Health Statistics Report","publisher-place":"CDC","title":"Characteristics of Office-based Physician Visits by Age, 2019","URL":"https://www.cdc.gov/nchs/data/nhsr/nhsr184.pdf","author":[{"family":"Ashman","given":"Jill J."},{"family":"Santo","given":"Loredana"},{"family":"Okeyode","given":"Titilayo"}],"issued":{"date-parts":[["2023"]]}}}],"schema":"https://github.com/citation-style-language/schema/raw/master/csl-citation.json"} </w:instrText>
      </w:r>
      <w:r w:rsidR="00387316">
        <w:rPr>
          <w:color w:val="0D0D0D"/>
          <w:shd w:val="clear" w:color="auto" w:fill="FFFFFF"/>
        </w:rPr>
        <w:fldChar w:fldCharType="separate"/>
      </w:r>
      <w:bookmarkStart w:id="47" w:name="_Hlk178946991"/>
      <w:r w:rsidR="00387316" w:rsidRPr="00BF51EC">
        <w:t>Ashman</w:t>
      </w:r>
      <w:bookmarkEnd w:id="47"/>
      <w:r w:rsidR="00387316" w:rsidRPr="00BF51EC">
        <w:t xml:space="preserve"> et al., 2023</w:t>
      </w:r>
      <w:r w:rsidR="00387316">
        <w:rPr>
          <w:color w:val="0D0D0D"/>
          <w:shd w:val="clear" w:color="auto" w:fill="FFFFFF"/>
        </w:rPr>
        <w:fldChar w:fldCharType="end"/>
      </w:r>
      <w:r w:rsidR="0007075D">
        <w:rPr>
          <w:color w:val="0D0D0D"/>
          <w:shd w:val="clear" w:color="auto" w:fill="FFFFFF"/>
        </w:rPr>
        <w:t xml:space="preserve">; </w:t>
      </w:r>
      <w:bookmarkEnd w:id="46"/>
      <w:r w:rsidR="0007075D">
        <w:rPr>
          <w:color w:val="0D0D0D"/>
          <w:shd w:val="clear" w:color="auto" w:fill="FFFFFF"/>
        </w:rPr>
        <w:t xml:space="preserve">this explanation is supported by the results related to telemedicine adoption reasons in </w:t>
      </w:r>
      <w:r w:rsidR="00651AAB">
        <w:rPr>
          <w:color w:val="0D0D0D"/>
          <w:shd w:val="clear" w:color="auto" w:fill="FFFFFF"/>
        </w:rPr>
        <w:t xml:space="preserve">Section </w:t>
      </w:r>
      <w:r w:rsidR="00651AAB">
        <w:rPr>
          <w:color w:val="0D0D0D"/>
          <w:shd w:val="clear" w:color="auto" w:fill="FFFFFF"/>
        </w:rPr>
        <w:fldChar w:fldCharType="begin"/>
      </w:r>
      <w:r w:rsidR="00651AAB">
        <w:rPr>
          <w:color w:val="0D0D0D"/>
          <w:shd w:val="clear" w:color="auto" w:fill="FFFFFF"/>
        </w:rPr>
        <w:instrText xml:space="preserve"> REF _Ref178947018 \r \h </w:instrText>
      </w:r>
      <w:r w:rsidR="00651AAB">
        <w:rPr>
          <w:color w:val="0D0D0D"/>
          <w:shd w:val="clear" w:color="auto" w:fill="FFFFFF"/>
        </w:rPr>
      </w:r>
      <w:r w:rsidR="00651AAB">
        <w:rPr>
          <w:color w:val="0D0D0D"/>
          <w:shd w:val="clear" w:color="auto" w:fill="FFFFFF"/>
        </w:rPr>
        <w:fldChar w:fldCharType="separate"/>
      </w:r>
      <w:r w:rsidR="008A3DCE">
        <w:rPr>
          <w:color w:val="0D0D0D"/>
          <w:shd w:val="clear" w:color="auto" w:fill="FFFFFF"/>
        </w:rPr>
        <w:t>5.2</w:t>
      </w:r>
      <w:r w:rsidR="00651AAB">
        <w:rPr>
          <w:color w:val="0D0D0D"/>
          <w:shd w:val="clear" w:color="auto" w:fill="FFFFFF"/>
        </w:rPr>
        <w:fldChar w:fldCharType="end"/>
      </w:r>
      <w:r w:rsidR="00387316">
        <w:rPr>
          <w:color w:val="0D0D0D"/>
          <w:shd w:val="clear" w:color="auto" w:fill="FFFFFF"/>
        </w:rPr>
        <w:t>)</w:t>
      </w:r>
      <w:r w:rsidR="00561121">
        <w:rPr>
          <w:color w:val="0D0D0D"/>
          <w:shd w:val="clear" w:color="auto" w:fill="FFFFFF"/>
        </w:rPr>
        <w:t xml:space="preserve">. </w:t>
      </w:r>
      <w:r w:rsidR="00C37A4D">
        <w:rPr>
          <w:color w:val="0D0D0D"/>
          <w:shd w:val="clear" w:color="auto" w:fill="FFFFFF"/>
        </w:rPr>
        <w:t>T</w:t>
      </w:r>
      <w:r w:rsidR="006611B9">
        <w:rPr>
          <w:color w:val="0D0D0D"/>
          <w:shd w:val="clear" w:color="auto" w:fill="FFFFFF"/>
        </w:rPr>
        <w:t xml:space="preserve">he results </w:t>
      </w:r>
      <w:r w:rsidR="00C37A4D">
        <w:rPr>
          <w:color w:val="0D0D0D"/>
          <w:shd w:val="clear" w:color="auto" w:fill="FFFFFF"/>
        </w:rPr>
        <w:t xml:space="preserve">also </w:t>
      </w:r>
      <w:r w:rsidR="006611B9">
        <w:rPr>
          <w:color w:val="0D0D0D"/>
          <w:shd w:val="clear" w:color="auto" w:fill="FFFFFF"/>
        </w:rPr>
        <w:t>indicate a significant</w:t>
      </w:r>
      <w:r w:rsidR="00561121">
        <w:rPr>
          <w:color w:val="0D0D0D"/>
          <w:shd w:val="clear" w:color="auto" w:fill="FFFFFF"/>
        </w:rPr>
        <w:t xml:space="preserve"> </w:t>
      </w:r>
      <w:r w:rsidR="006611B9">
        <w:rPr>
          <w:color w:val="0D0D0D"/>
          <w:shd w:val="clear" w:color="auto" w:fill="FFFFFF"/>
        </w:rPr>
        <w:t xml:space="preserve">increase in the propensity to use telemedicine among individuals living with unrelated adults or roommates </w:t>
      </w:r>
      <w:r w:rsidR="00561121">
        <w:rPr>
          <w:color w:val="0D0D0D"/>
          <w:shd w:val="clear" w:color="auto" w:fill="FFFFFF"/>
        </w:rPr>
        <w:t>after</w:t>
      </w:r>
      <w:r w:rsidR="006611B9">
        <w:rPr>
          <w:color w:val="0D0D0D"/>
          <w:shd w:val="clear" w:color="auto" w:fill="FFFFFF"/>
        </w:rPr>
        <w:t xml:space="preserve"> the pandemic. </w:t>
      </w:r>
      <w:r w:rsidR="006611B9" w:rsidRPr="006611B9">
        <w:rPr>
          <w:color w:val="0D0D0D"/>
          <w:shd w:val="clear" w:color="auto" w:fill="FFFFFF"/>
        </w:rPr>
        <w:t xml:space="preserve">This trend could be </w:t>
      </w:r>
      <w:r w:rsidR="00561121">
        <w:rPr>
          <w:color w:val="0D0D0D"/>
          <w:shd w:val="clear" w:color="auto" w:fill="FFFFFF"/>
        </w:rPr>
        <w:t>linked to the</w:t>
      </w:r>
      <w:r w:rsidR="006611B9" w:rsidRPr="006611B9">
        <w:rPr>
          <w:color w:val="0D0D0D"/>
          <w:shd w:val="clear" w:color="auto" w:fill="FFFFFF"/>
        </w:rPr>
        <w:t xml:space="preserve"> heightened awareness and cautiousness regarding </w:t>
      </w:r>
      <w:r w:rsidR="00C37A4D">
        <w:rPr>
          <w:color w:val="0D0D0D"/>
          <w:shd w:val="clear" w:color="auto" w:fill="FFFFFF"/>
        </w:rPr>
        <w:t xml:space="preserve">the importance of </w:t>
      </w:r>
      <w:r w:rsidR="006611B9" w:rsidRPr="006611B9">
        <w:rPr>
          <w:color w:val="0D0D0D"/>
          <w:shd w:val="clear" w:color="auto" w:fill="FFFFFF"/>
        </w:rPr>
        <w:t xml:space="preserve">social bubbles among those sharing living spaces with non-family members, a concern that </w:t>
      </w:r>
      <w:r w:rsidR="00561121">
        <w:rPr>
          <w:color w:val="0D0D0D"/>
          <w:shd w:val="clear" w:color="auto" w:fill="FFFFFF"/>
        </w:rPr>
        <w:t xml:space="preserve">may have </w:t>
      </w:r>
      <w:r w:rsidR="00C37A4D">
        <w:t xml:space="preserve">extended beyond </w:t>
      </w:r>
      <w:r w:rsidR="00C37A4D">
        <w:rPr>
          <w:color w:val="0D0D0D"/>
          <w:shd w:val="clear" w:color="auto" w:fill="FFFFFF"/>
        </w:rPr>
        <w:t xml:space="preserve">when </w:t>
      </w:r>
      <w:r w:rsidR="00561121" w:rsidRPr="00561121">
        <w:rPr>
          <w:color w:val="0D0D0D"/>
          <w:shd w:val="clear" w:color="auto" w:fill="FFFFFF"/>
        </w:rPr>
        <w:t xml:space="preserve">restrictions </w:t>
      </w:r>
      <w:r w:rsidR="00C37A4D">
        <w:rPr>
          <w:color w:val="0D0D0D"/>
          <w:shd w:val="clear" w:color="auto" w:fill="FFFFFF"/>
        </w:rPr>
        <w:t>were lifted</w:t>
      </w:r>
      <w:r w:rsidR="00BF51EC">
        <w:rPr>
          <w:color w:val="0D0D0D"/>
          <w:shd w:val="clear" w:color="auto" w:fill="FFFFFF"/>
        </w:rPr>
        <w:t xml:space="preserve"> </w:t>
      </w:r>
      <w:bookmarkStart w:id="48" w:name="_Hlk166043636"/>
      <w:r w:rsidR="00BF51EC">
        <w:rPr>
          <w:color w:val="0D0D0D"/>
          <w:shd w:val="clear" w:color="auto" w:fill="FFFFFF"/>
        </w:rPr>
        <w:fldChar w:fldCharType="begin"/>
      </w:r>
      <w:r w:rsidR="00BF51EC">
        <w:rPr>
          <w:color w:val="0D0D0D"/>
          <w:shd w:val="clear" w:color="auto" w:fill="FFFFFF"/>
        </w:rPr>
        <w:instrText xml:space="preserve"> ADDIN ZOTERO_ITEM CSL_CITATION {"citationID":"mUon4ID4","properties":{"formattedCitation":"(Murphy, 2020)","plainCitation":"(Murphy, 2020)","noteIndex":0},"citationItems":[{"id":2364,"uris":["http://zotero.org/users/9292995/items/5Y8VF6C2"],"itemData":{"id":2364,"type":"article-newspaper","abstract":"Isolating with others requires rules and trust. What happens if your roommate keeps seeing other people?","container-title":"The New York Times","ISSN":"0362-4331","language":"en-US","section":"Health","source":"NYTimes.com","title":"We All Live in Bubbles Now. How Safe Is Yours?","URL":"https://www.nytimes.com/2020/04/17/health/cheating-on-an-isolation-bubble-coronavirus.html","author":[{"family":"Murphy","given":"Heather"}],"accessed":{"date-parts":[["2024",3,7]]},"issued":{"date-parts":[["2020",4,17]]}}}],"schema":"https://github.com/citation-style-language/schema/raw/master/csl-citation.json"} </w:instrText>
      </w:r>
      <w:r w:rsidR="00BF51EC">
        <w:rPr>
          <w:color w:val="0D0D0D"/>
          <w:shd w:val="clear" w:color="auto" w:fill="FFFFFF"/>
        </w:rPr>
        <w:fldChar w:fldCharType="separate"/>
      </w:r>
      <w:r w:rsidR="00BF51EC" w:rsidRPr="00BF51EC">
        <w:t>(Murphy, 2020)</w:t>
      </w:r>
      <w:r w:rsidR="00BF51EC">
        <w:rPr>
          <w:color w:val="0D0D0D"/>
          <w:shd w:val="clear" w:color="auto" w:fill="FFFFFF"/>
        </w:rPr>
        <w:fldChar w:fldCharType="end"/>
      </w:r>
      <w:r w:rsidR="006611B9" w:rsidRPr="006611B9">
        <w:rPr>
          <w:color w:val="0D0D0D"/>
          <w:shd w:val="clear" w:color="auto" w:fill="FFFFFF"/>
        </w:rPr>
        <w:t>.</w:t>
      </w:r>
      <w:r w:rsidR="006611B9">
        <w:rPr>
          <w:color w:val="0D0D0D"/>
          <w:shd w:val="clear" w:color="auto" w:fill="FFFFFF"/>
        </w:rPr>
        <w:t xml:space="preserve"> </w:t>
      </w:r>
      <w:bookmarkEnd w:id="48"/>
      <w:r w:rsidR="00D23675">
        <w:rPr>
          <w:color w:val="0D0D0D"/>
          <w:shd w:val="clear" w:color="auto" w:fill="FFFFFF"/>
        </w:rPr>
        <w:t xml:space="preserve"> </w:t>
      </w:r>
    </w:p>
    <w:p w14:paraId="439796B1" w14:textId="44EEDFF7" w:rsidR="008056A4" w:rsidRPr="00817C6E" w:rsidRDefault="00C37A4D" w:rsidP="009D0CA2">
      <w:pPr>
        <w:spacing w:after="0" w:line="240" w:lineRule="auto"/>
        <w:ind w:firstLine="720"/>
        <w:jc w:val="both"/>
        <w:rPr>
          <w:color w:val="0D0D0D"/>
          <w:shd w:val="clear" w:color="auto" w:fill="FFFFFF"/>
        </w:rPr>
      </w:pPr>
      <w:r>
        <w:rPr>
          <w:color w:val="0D0D0D"/>
          <w:shd w:val="clear" w:color="auto" w:fill="FFFFFF"/>
        </w:rPr>
        <w:lastRenderedPageBreak/>
        <w:t xml:space="preserve">The age effects in </w:t>
      </w:r>
      <w:r w:rsidR="0069340B">
        <w:fldChar w:fldCharType="begin"/>
      </w:r>
      <w:r w:rsidR="0069340B">
        <w:instrText xml:space="preserve"> REF _Ref178945050 \h </w:instrText>
      </w:r>
      <w:r w:rsidR="0069340B">
        <w:fldChar w:fldCharType="separate"/>
      </w:r>
      <w:r w:rsidR="008A3DCE">
        <w:t xml:space="preserve">Table </w:t>
      </w:r>
      <w:r w:rsidR="008A3DCE">
        <w:rPr>
          <w:noProof/>
        </w:rPr>
        <w:t>4</w:t>
      </w:r>
      <w:r w:rsidR="0069340B">
        <w:fldChar w:fldCharType="end"/>
      </w:r>
      <w:r w:rsidR="0069340B">
        <w:t xml:space="preserve"> </w:t>
      </w:r>
      <w:r>
        <w:rPr>
          <w:color w:val="0D0D0D"/>
          <w:shd w:val="clear" w:color="auto" w:fill="FFFFFF"/>
        </w:rPr>
        <w:t xml:space="preserve">indicate that, while those in the middle age group (31 to 50 years) were more likely than their younger and older peers to use telemedicine </w:t>
      </w:r>
      <w:r w:rsidR="00F8247A">
        <w:rPr>
          <w:color w:val="0D0D0D"/>
          <w:shd w:val="clear" w:color="auto" w:fill="FFFFFF"/>
        </w:rPr>
        <w:t>B</w:t>
      </w:r>
      <w:r>
        <w:rPr>
          <w:color w:val="0D0D0D"/>
          <w:shd w:val="clear" w:color="auto" w:fill="FFFFFF"/>
        </w:rPr>
        <w:t>efore</w:t>
      </w:r>
      <w:r w:rsidR="00F8247A">
        <w:rPr>
          <w:color w:val="0D0D0D"/>
          <w:shd w:val="clear" w:color="auto" w:fill="FFFFFF"/>
        </w:rPr>
        <w:t>-</w:t>
      </w:r>
      <w:r>
        <w:rPr>
          <w:color w:val="0D0D0D"/>
          <w:shd w:val="clear" w:color="auto" w:fill="FFFFFF"/>
        </w:rPr>
        <w:t xml:space="preserve">COVID, </w:t>
      </w:r>
      <w:r w:rsidR="00356705">
        <w:rPr>
          <w:color w:val="0D0D0D"/>
          <w:shd w:val="clear" w:color="auto" w:fill="FFFFFF"/>
        </w:rPr>
        <w:t xml:space="preserve">the difference in telemedicine </w:t>
      </w:r>
      <w:r w:rsidR="000706EF">
        <w:rPr>
          <w:color w:val="0D0D0D"/>
          <w:shd w:val="clear" w:color="auto" w:fill="FFFFFF"/>
        </w:rPr>
        <w:t>adoption</w:t>
      </w:r>
      <w:r w:rsidR="00356705">
        <w:rPr>
          <w:color w:val="0D0D0D"/>
          <w:shd w:val="clear" w:color="auto" w:fill="FFFFFF"/>
        </w:rPr>
        <w:t xml:space="preserve"> between young and middle-aged individuals all but disappeared in the </w:t>
      </w:r>
      <w:r w:rsidR="006312A4">
        <w:rPr>
          <w:color w:val="0D0D0D"/>
          <w:shd w:val="clear" w:color="auto" w:fill="FFFFFF"/>
        </w:rPr>
        <w:t>After-COVID</w:t>
      </w:r>
      <w:r w:rsidR="00356705">
        <w:rPr>
          <w:color w:val="0D0D0D"/>
          <w:shd w:val="clear" w:color="auto" w:fill="FFFFFF"/>
        </w:rPr>
        <w:t xml:space="preserve"> period. However, telemedicine adoption substantially reduced in the </w:t>
      </w:r>
      <w:r w:rsidR="006312A4">
        <w:rPr>
          <w:color w:val="0D0D0D"/>
          <w:shd w:val="clear" w:color="auto" w:fill="FFFFFF"/>
        </w:rPr>
        <w:t>After-COVID</w:t>
      </w:r>
      <w:r w:rsidR="00356705">
        <w:rPr>
          <w:color w:val="0D0D0D"/>
          <w:shd w:val="clear" w:color="auto" w:fill="FFFFFF"/>
        </w:rPr>
        <w:t xml:space="preserve"> period among older individuals in the age group of 51 years and above relative to their younger peers. The </w:t>
      </w:r>
      <w:r w:rsidR="00C817CF">
        <w:rPr>
          <w:color w:val="0D0D0D"/>
          <w:shd w:val="clear" w:color="auto" w:fill="FFFFFF"/>
        </w:rPr>
        <w:t>Before-</w:t>
      </w:r>
      <w:r w:rsidR="006312A4">
        <w:rPr>
          <w:color w:val="0D0D0D"/>
          <w:shd w:val="clear" w:color="auto" w:fill="FFFFFF"/>
        </w:rPr>
        <w:t>COVID</w:t>
      </w:r>
      <w:r w:rsidR="00356705">
        <w:rPr>
          <w:color w:val="0D0D0D"/>
          <w:shd w:val="clear" w:color="auto" w:fill="FFFFFF"/>
        </w:rPr>
        <w:t xml:space="preserve"> result</w:t>
      </w:r>
      <w:r w:rsidR="006312A4">
        <w:rPr>
          <w:color w:val="0D0D0D"/>
          <w:shd w:val="clear" w:color="auto" w:fill="FFFFFF"/>
        </w:rPr>
        <w:t>s</w:t>
      </w:r>
      <w:r w:rsidR="00356705">
        <w:rPr>
          <w:color w:val="0D0D0D"/>
          <w:shd w:val="clear" w:color="auto" w:fill="FFFFFF"/>
        </w:rPr>
        <w:t xml:space="preserve"> may be tied to the fact that </w:t>
      </w:r>
      <w:r w:rsidR="00B710B9">
        <w:rPr>
          <w:color w:val="0D0D0D"/>
          <w:shd w:val="clear" w:color="auto" w:fill="FFFFFF"/>
        </w:rPr>
        <w:t xml:space="preserve">the youngest group of </w:t>
      </w:r>
      <w:r w:rsidR="00356705">
        <w:rPr>
          <w:color w:val="0D0D0D"/>
          <w:shd w:val="clear" w:color="auto" w:fill="FFFFFF"/>
        </w:rPr>
        <w:t xml:space="preserve">individuals </w:t>
      </w:r>
      <w:r w:rsidR="00B710B9">
        <w:rPr>
          <w:color w:val="0D0D0D"/>
          <w:shd w:val="clear" w:color="auto" w:fill="FFFFFF"/>
        </w:rPr>
        <w:t xml:space="preserve">(≤30 years of age) </w:t>
      </w:r>
      <w:r w:rsidR="004A7F69" w:rsidRPr="004A7F69">
        <w:rPr>
          <w:color w:val="0D0D0D"/>
          <w:shd w:val="clear" w:color="auto" w:fill="FFFFFF"/>
        </w:rPr>
        <w:t xml:space="preserve">require </w:t>
      </w:r>
      <w:r w:rsidR="004A7F69">
        <w:rPr>
          <w:color w:val="0D0D0D"/>
          <w:shd w:val="clear" w:color="auto" w:fill="FFFFFF"/>
        </w:rPr>
        <w:t>fewer medical</w:t>
      </w:r>
      <w:r w:rsidR="004A7F69" w:rsidRPr="004A7F69">
        <w:rPr>
          <w:color w:val="0D0D0D"/>
          <w:shd w:val="clear" w:color="auto" w:fill="FFFFFF"/>
        </w:rPr>
        <w:t xml:space="preserve"> visits given </w:t>
      </w:r>
      <w:r w:rsidR="004A7F69">
        <w:rPr>
          <w:color w:val="0D0D0D"/>
          <w:shd w:val="clear" w:color="auto" w:fill="FFFFFF"/>
        </w:rPr>
        <w:t xml:space="preserve">their better </w:t>
      </w:r>
      <w:r w:rsidR="004A7F69" w:rsidRPr="004A7F69">
        <w:rPr>
          <w:color w:val="0D0D0D"/>
          <w:shd w:val="clear" w:color="auto" w:fill="FFFFFF"/>
        </w:rPr>
        <w:t>health</w:t>
      </w:r>
      <w:r w:rsidR="004A7F69">
        <w:rPr>
          <w:color w:val="0D0D0D"/>
          <w:shd w:val="clear" w:color="auto" w:fill="FFFFFF"/>
        </w:rPr>
        <w:t xml:space="preserve"> condition</w:t>
      </w:r>
      <w:r w:rsidR="00BF51EC">
        <w:rPr>
          <w:color w:val="0D0D0D"/>
          <w:shd w:val="clear" w:color="auto" w:fill="FFFFFF"/>
        </w:rPr>
        <w:t xml:space="preserve"> (see </w:t>
      </w:r>
      <w:r w:rsidR="00BF51EC">
        <w:rPr>
          <w:color w:val="0D0D0D"/>
          <w:shd w:val="clear" w:color="auto" w:fill="FFFFFF"/>
        </w:rPr>
        <w:fldChar w:fldCharType="begin"/>
      </w:r>
      <w:r w:rsidR="009A6E84">
        <w:rPr>
          <w:color w:val="0D0D0D"/>
          <w:shd w:val="clear" w:color="auto" w:fill="FFFFFF"/>
        </w:rPr>
        <w:instrText xml:space="preserve"> ADDIN ZOTERO_ITEM CSL_CITATION {"citationID":"JDKwyN0q","properties":{"formattedCitation":"(Ashman et al., 2023)","plainCitation":"(Ashman et al., 2023)","dontUpdate":true,"noteIndex":0},"citationItems":[{"id":2359,"uris":["http://zotero.org/users/9292995/items/SUHNY9PY"],"itemData":{"id":2359,"type":"report","event-place":"CDC","genre":"National Health Statistics Report","publisher-place":"CDC","title":"Characteristics of Office-based Physician Visits by Age, 2019","URL":"https://www.cdc.gov/nchs/data/nhsr/nhsr184.pdf","author":[{"family":"Ashman","given":"Jill J."},{"family":"Santo","given":"Loredana"},{"family":"Okeyode","given":"Titilayo"}],"issued":{"date-parts":[["2023"]]}}}],"schema":"https://github.com/citation-style-language/schema/raw/master/csl-citation.json"} </w:instrText>
      </w:r>
      <w:r w:rsidR="00BF51EC">
        <w:rPr>
          <w:color w:val="0D0D0D"/>
          <w:shd w:val="clear" w:color="auto" w:fill="FFFFFF"/>
        </w:rPr>
        <w:fldChar w:fldCharType="separate"/>
      </w:r>
      <w:r w:rsidR="00BF51EC" w:rsidRPr="00BF51EC">
        <w:t>Ashman et al., 2023)</w:t>
      </w:r>
      <w:r w:rsidR="00BF51EC">
        <w:rPr>
          <w:color w:val="0D0D0D"/>
          <w:shd w:val="clear" w:color="auto" w:fill="FFFFFF"/>
        </w:rPr>
        <w:fldChar w:fldCharType="end"/>
      </w:r>
      <w:r w:rsidR="00C34A43">
        <w:rPr>
          <w:color w:val="0D0D0D"/>
          <w:shd w:val="clear" w:color="auto" w:fill="FFFFFF"/>
        </w:rPr>
        <w:t>, and so did not mind the time investment for their occasional in-person visits</w:t>
      </w:r>
      <w:r w:rsidR="004A7F69">
        <w:rPr>
          <w:color w:val="0D0D0D"/>
          <w:shd w:val="clear" w:color="auto" w:fill="FFFFFF"/>
        </w:rPr>
        <w:t>. However,</w:t>
      </w:r>
      <w:r w:rsidR="004A7F69" w:rsidRPr="004A7F69">
        <w:rPr>
          <w:color w:val="0D0D0D"/>
          <w:shd w:val="clear" w:color="auto" w:fill="FFFFFF"/>
        </w:rPr>
        <w:t xml:space="preserve"> </w:t>
      </w:r>
      <w:r w:rsidR="00C34A43">
        <w:rPr>
          <w:color w:val="0D0D0D"/>
          <w:shd w:val="clear" w:color="auto" w:fill="FFFFFF"/>
        </w:rPr>
        <w:t xml:space="preserve">the experience </w:t>
      </w:r>
      <w:r w:rsidR="00F8247A">
        <w:rPr>
          <w:color w:val="0D0D0D"/>
          <w:shd w:val="clear" w:color="auto" w:fill="FFFFFF"/>
        </w:rPr>
        <w:t>D</w:t>
      </w:r>
      <w:r w:rsidR="00C34A43">
        <w:rPr>
          <w:color w:val="0D0D0D"/>
          <w:shd w:val="clear" w:color="auto" w:fill="FFFFFF"/>
        </w:rPr>
        <w:t>uring</w:t>
      </w:r>
      <w:r w:rsidR="00F8247A">
        <w:rPr>
          <w:color w:val="0D0D0D"/>
          <w:shd w:val="clear" w:color="auto" w:fill="FFFFFF"/>
        </w:rPr>
        <w:t>-</w:t>
      </w:r>
      <w:r w:rsidR="00C34A43">
        <w:rPr>
          <w:color w:val="0D0D0D"/>
          <w:shd w:val="clear" w:color="auto" w:fill="FFFFFF"/>
        </w:rPr>
        <w:t>COVID appears to have created a renewed awareness</w:t>
      </w:r>
      <w:r w:rsidR="00651AAB">
        <w:rPr>
          <w:color w:val="0D0D0D"/>
          <w:shd w:val="clear" w:color="auto" w:fill="FFFFFF"/>
        </w:rPr>
        <w:t>,</w:t>
      </w:r>
      <w:r w:rsidR="00C34A43">
        <w:rPr>
          <w:color w:val="0D0D0D"/>
          <w:shd w:val="clear" w:color="auto" w:fill="FFFFFF"/>
        </w:rPr>
        <w:t xml:space="preserve"> </w:t>
      </w:r>
      <w:r w:rsidR="00B710B9">
        <w:rPr>
          <w:color w:val="0D0D0D"/>
          <w:shd w:val="clear" w:color="auto" w:fill="FFFFFF"/>
        </w:rPr>
        <w:t xml:space="preserve">even </w:t>
      </w:r>
      <w:r w:rsidR="00C34A43">
        <w:rPr>
          <w:color w:val="0D0D0D"/>
          <w:shd w:val="clear" w:color="auto" w:fill="FFFFFF"/>
        </w:rPr>
        <w:t>among this younge</w:t>
      </w:r>
      <w:r w:rsidR="00B710B9">
        <w:rPr>
          <w:color w:val="0D0D0D"/>
          <w:shd w:val="clear" w:color="auto" w:fill="FFFFFF"/>
        </w:rPr>
        <w:t>st</w:t>
      </w:r>
      <w:r w:rsidR="00C34A43">
        <w:rPr>
          <w:color w:val="0D0D0D"/>
          <w:shd w:val="clear" w:color="auto" w:fill="FFFFFF"/>
        </w:rPr>
        <w:t xml:space="preserve"> age group</w:t>
      </w:r>
      <w:r w:rsidR="00651AAB">
        <w:rPr>
          <w:color w:val="0D0D0D"/>
          <w:shd w:val="clear" w:color="auto" w:fill="FFFFFF"/>
        </w:rPr>
        <w:t>,</w:t>
      </w:r>
      <w:r w:rsidR="00C34A43">
        <w:rPr>
          <w:color w:val="0D0D0D"/>
          <w:shd w:val="clear" w:color="auto" w:fill="FFFFFF"/>
        </w:rPr>
        <w:t xml:space="preserve"> of the time-saving benefits of telemedicine even for those occasional medical visits, as supported by the results discussed later on age effects on telemedicine adoption reasons. The general reluctance of older </w:t>
      </w:r>
      <w:r w:rsidR="004A7F69" w:rsidRPr="004A7F69">
        <w:rPr>
          <w:color w:val="0D0D0D"/>
          <w:shd w:val="clear" w:color="auto" w:fill="FFFFFF"/>
        </w:rPr>
        <w:t xml:space="preserve">adults </w:t>
      </w:r>
      <w:r w:rsidR="00C34A43">
        <w:rPr>
          <w:color w:val="0D0D0D"/>
          <w:shd w:val="clear" w:color="auto" w:fill="FFFFFF"/>
        </w:rPr>
        <w:t xml:space="preserve">to adopt telemedicine </w:t>
      </w:r>
      <w:r w:rsidR="00C817CF">
        <w:rPr>
          <w:color w:val="0D0D0D"/>
          <w:shd w:val="clear" w:color="auto" w:fill="FFFFFF"/>
        </w:rPr>
        <w:t>Before-</w:t>
      </w:r>
      <w:r w:rsidR="006312A4">
        <w:rPr>
          <w:color w:val="0D0D0D"/>
          <w:shd w:val="clear" w:color="auto" w:fill="FFFFFF"/>
        </w:rPr>
        <w:t>COVID</w:t>
      </w:r>
      <w:r w:rsidR="00B710B9">
        <w:rPr>
          <w:color w:val="0D0D0D"/>
          <w:shd w:val="clear" w:color="auto" w:fill="FFFFFF"/>
        </w:rPr>
        <w:t xml:space="preserve"> </w:t>
      </w:r>
      <w:r w:rsidR="00C34A43">
        <w:rPr>
          <w:color w:val="0D0D0D"/>
          <w:shd w:val="clear" w:color="auto" w:fill="FFFFFF"/>
        </w:rPr>
        <w:t xml:space="preserve">may be tied to a relative lack of </w:t>
      </w:r>
      <w:r w:rsidR="004A7F69" w:rsidRPr="004A7F69">
        <w:rPr>
          <w:color w:val="0D0D0D"/>
          <w:shd w:val="clear" w:color="auto" w:fill="FFFFFF"/>
        </w:rPr>
        <w:t>tech</w:t>
      </w:r>
      <w:r w:rsidR="004A7F69">
        <w:rPr>
          <w:color w:val="0D0D0D"/>
          <w:shd w:val="clear" w:color="auto" w:fill="FFFFFF"/>
        </w:rPr>
        <w:t>nological</w:t>
      </w:r>
      <w:r w:rsidR="004A7F69" w:rsidRPr="004A7F69">
        <w:rPr>
          <w:color w:val="0D0D0D"/>
          <w:shd w:val="clear" w:color="auto" w:fill="FFFFFF"/>
        </w:rPr>
        <w:t xml:space="preserve"> </w:t>
      </w:r>
      <w:r w:rsidR="00C34A43">
        <w:rPr>
          <w:color w:val="0D0D0D"/>
          <w:shd w:val="clear" w:color="auto" w:fill="FFFFFF"/>
        </w:rPr>
        <w:t xml:space="preserve">savviness and the need for in-person </w:t>
      </w:r>
      <w:r w:rsidR="004A7F69">
        <w:rPr>
          <w:color w:val="0D0D0D"/>
          <w:shd w:val="clear" w:color="auto" w:fill="FFFFFF"/>
        </w:rPr>
        <w:t>p</w:t>
      </w:r>
      <w:r w:rsidR="004A7F69" w:rsidRPr="004A7F69">
        <w:rPr>
          <w:color w:val="0D0D0D"/>
          <w:shd w:val="clear" w:color="auto" w:fill="FFFFFF"/>
        </w:rPr>
        <w:t>hysical exams and procedures</w:t>
      </w:r>
      <w:r w:rsidR="00C85572">
        <w:rPr>
          <w:color w:val="0D0D0D"/>
          <w:shd w:val="clear" w:color="auto" w:fill="FFFFFF"/>
        </w:rPr>
        <w:t>, once again supported by our results on reasons for not adopting telemedicine discussed later.</w:t>
      </w:r>
      <w:r w:rsidR="004A7F69" w:rsidRPr="004A7F69">
        <w:rPr>
          <w:color w:val="0D0D0D"/>
          <w:shd w:val="clear" w:color="auto" w:fill="FFFFFF"/>
        </w:rPr>
        <w:t xml:space="preserve"> </w:t>
      </w:r>
      <w:r w:rsidR="00956E1E">
        <w:rPr>
          <w:color w:val="0D0D0D"/>
          <w:shd w:val="clear" w:color="auto" w:fill="FFFFFF"/>
        </w:rPr>
        <w:t>Also, t</w:t>
      </w:r>
      <w:r w:rsidR="005E076F" w:rsidRPr="005E076F">
        <w:rPr>
          <w:color w:val="0D0D0D"/>
          <w:shd w:val="clear" w:color="auto" w:fill="FFFFFF"/>
        </w:rPr>
        <w:t>h</w:t>
      </w:r>
      <w:r w:rsidR="00C85572">
        <w:rPr>
          <w:color w:val="0D0D0D"/>
          <w:shd w:val="clear" w:color="auto" w:fill="FFFFFF"/>
        </w:rPr>
        <w:t xml:space="preserve">e increasing </w:t>
      </w:r>
      <w:r w:rsidR="005E076F" w:rsidRPr="005E076F">
        <w:rPr>
          <w:color w:val="0D0D0D"/>
          <w:shd w:val="clear" w:color="auto" w:fill="FFFFFF"/>
        </w:rPr>
        <w:t xml:space="preserve">trend </w:t>
      </w:r>
      <w:r w:rsidR="00C85572">
        <w:rPr>
          <w:color w:val="0D0D0D"/>
          <w:shd w:val="clear" w:color="auto" w:fill="FFFFFF"/>
        </w:rPr>
        <w:t xml:space="preserve">of non-adoption among older individuals </w:t>
      </w:r>
      <w:r w:rsidR="00651AAB">
        <w:rPr>
          <w:color w:val="0D0D0D"/>
          <w:shd w:val="clear" w:color="auto" w:fill="FFFFFF"/>
        </w:rPr>
        <w:t xml:space="preserve">over time </w:t>
      </w:r>
      <w:r w:rsidR="005E076F" w:rsidRPr="005E076F">
        <w:rPr>
          <w:color w:val="0D0D0D"/>
          <w:shd w:val="clear" w:color="auto" w:fill="FFFFFF"/>
        </w:rPr>
        <w:t xml:space="preserve">aligns with findings from </w:t>
      </w:r>
      <w:r w:rsidR="00C85572">
        <w:rPr>
          <w:color w:val="0D0D0D"/>
          <w:shd w:val="clear" w:color="auto" w:fill="FFFFFF"/>
        </w:rPr>
        <w:t xml:space="preserve">some other </w:t>
      </w:r>
      <w:r w:rsidR="005E076F" w:rsidRPr="005E076F">
        <w:rPr>
          <w:color w:val="0D0D0D"/>
          <w:shd w:val="clear" w:color="auto" w:fill="FFFFFF"/>
        </w:rPr>
        <w:t>studies</w:t>
      </w:r>
      <w:r w:rsidR="008056A4">
        <w:rPr>
          <w:color w:val="0D0D0D"/>
          <w:shd w:val="clear" w:color="auto" w:fill="FFFFFF"/>
        </w:rPr>
        <w:t xml:space="preserve"> (see, for example,</w:t>
      </w:r>
      <w:r w:rsidR="009A6E84">
        <w:rPr>
          <w:color w:val="0D0D0D"/>
          <w:shd w:val="clear" w:color="auto" w:fill="FFFFFF"/>
        </w:rPr>
        <w:t xml:space="preserve"> </w:t>
      </w:r>
      <w:r w:rsidR="009A6E84" w:rsidRPr="00BF51EC">
        <w:t>Jaffe et al., 2020</w:t>
      </w:r>
      <w:r w:rsidR="009A6E84">
        <w:rPr>
          <w:color w:val="0D0D0D"/>
          <w:shd w:val="clear" w:color="auto" w:fill="FFFFFF"/>
        </w:rPr>
        <w:t>,</w:t>
      </w:r>
      <w:r w:rsidR="008056A4">
        <w:rPr>
          <w:color w:val="0D0D0D"/>
          <w:shd w:val="clear" w:color="auto" w:fill="FFFFFF"/>
        </w:rPr>
        <w:t xml:space="preserve"> </w:t>
      </w:r>
      <w:r w:rsidR="00BF51EC">
        <w:rPr>
          <w:color w:val="0D0D0D"/>
          <w:shd w:val="clear" w:color="auto" w:fill="FFFFFF"/>
        </w:rPr>
        <w:fldChar w:fldCharType="begin"/>
      </w:r>
      <w:r w:rsidR="009A6E84">
        <w:rPr>
          <w:color w:val="0D0D0D"/>
          <w:shd w:val="clear" w:color="auto" w:fill="FFFFFF"/>
        </w:rPr>
        <w:instrText xml:space="preserve"> ADDIN ZOTERO_ITEM CSL_CITATION {"citationID":"qanJa0ou","properties":{"formattedCitation":"(Drake et al., 2022; Xu et al., 2022)","plainCitation":"(Drake et al., 2022; Xu et al., 2022)","dontUpdate":true,"noteIndex":0},"citationItems":[{"id":2135,"uris":["http://zotero.org/users/9292995/items/9RPZ3SHG"],"itemData":{"id":2135,"type":"article-journal","container-title":"Telemedicine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B"},{"family":"Shah","given":"Kevin"}],"issued":{"date-parts":[["2022"]]}}},{"id":2104,"uris":["http://zotero.org/users/9292995/items/QIAHX3DE"],"itemData":{"id":2104,"type":"article-journal","abstract":"Background\nThe adoption of telehealth services has been a challenge in rural communities. The reasons for the slow adoption of such technology-driven services have been attributed to social norms, health care policies, and a lack of infrastructure to support the delivery of services. However, the COVID-19 pandemic–related shutdown of in-person health care services resulted in the usage of telehealth services as a necessity rather than a choice. The pandemic also fast-tracked some needed legislation to allow medical cost reimbursement for remote examination and health care services. As services return to normalcy, it is important to examine whether the usage of telehealth services during the period of a shutdown has changed any of the trends in the acceptance of telehealth as a reliable alternative to traditional in-person health care services.\n\nObjective\nOur aim was to explore whether the temporary shift to telehealth services has changed the attitudes toward the usage of technology-enabled health services in rural communities.\n\nMethods\nWe examined the Medicaid reimbursement data for the state of Alabama from March 2019 through June 2021. Selecting the telehealth service codes, we explored the adoption rates in 3 phases of the COVID-19 shutdown: prepandemic, pandemic before the rollout of mass vaccination, and pandemic after the rollout of mass vaccination.\n\nResults\nThe trend in telemedicine claims had an opposite pattern to that in nontelemedicine claims across the 3 periods. The distribution of various characteristics of patients who used telemedicine (age group, gender, race, level of rurality, and service provider type) was different across the 3 periods. Claims related to behavior and mental health had the highest rates of telemedicine usage after the onset of the pandemic. The rate of telemedicine usage remained at a high level after the rollout of mass vaccination.\n\nConclusions\nThe current trends indicate that adoption of telehealth services is likely to increase postpandemic and that the consumers (patients), service providers, health care establishments, insurance companies, and state and local policies have changed their attitudes toward telehealth. An increase in the use of telehealth could help local and federal governments address the shortage of health care facilities and service providers in underserved communities, and patients can get the much-needed care in a timely and effective manner.","container-title":"Journal of Medical Internet Research","DOI":"10.2196/38602","ISSN":"1439-4456","issue":"7","journalAbbreviation":"J Med Internet Res","note":"PMID: 35786564\nPMCID: PMC9290332","page":"e38602","source":"PubMed Central","title":"Pandemic-Triggered Adoption of Telehealth in Underserved Communities: Descriptive Study of Pre- and Postshutdown Trends","title-short":"Pandemic-Triggered Adoption of Telehealth in Underserved Communities","volume":"24","author":[{"family":"Xu","given":"Pei"},{"family":"Hudnall","given":"Matthew"},{"family":"Zhao","given":"Sidi"},{"family":"Raja","given":"Uzma"},{"family":"Parton","given":"Jason"},{"family":"Lewis","given":"Dwight"}],"issued":{"date-parts":[["2022",7,15]]}}}],"schema":"https://github.com/citation-style-language/schema/raw/master/csl-citation.json"} </w:instrText>
      </w:r>
      <w:r w:rsidR="00BF51EC">
        <w:rPr>
          <w:color w:val="0D0D0D"/>
          <w:shd w:val="clear" w:color="auto" w:fill="FFFFFF"/>
        </w:rPr>
        <w:fldChar w:fldCharType="separate"/>
      </w:r>
      <w:r w:rsidR="009A6E84" w:rsidRPr="009A6E84">
        <w:t>Drake et al., 2022</w:t>
      </w:r>
      <w:r w:rsidR="009A6E84">
        <w:t>, and</w:t>
      </w:r>
      <w:r w:rsidR="009A6E84" w:rsidRPr="009A6E84">
        <w:t xml:space="preserve"> Xu et al., 2022)</w:t>
      </w:r>
      <w:r w:rsidR="00BF51EC">
        <w:rPr>
          <w:color w:val="0D0D0D"/>
          <w:shd w:val="clear" w:color="auto" w:fill="FFFFFF"/>
        </w:rPr>
        <w:fldChar w:fldCharType="end"/>
      </w:r>
      <w:r w:rsidR="00C85572">
        <w:rPr>
          <w:color w:val="0D0D0D"/>
          <w:shd w:val="clear" w:color="auto" w:fill="FFFFFF"/>
        </w:rPr>
        <w:t>.</w:t>
      </w:r>
      <w:r w:rsidR="008056A4">
        <w:rPr>
          <w:color w:val="0D0D0D"/>
          <w:shd w:val="clear" w:color="auto" w:fill="FFFFFF"/>
        </w:rPr>
        <w:t xml:space="preserve"> </w:t>
      </w:r>
    </w:p>
    <w:p w14:paraId="211FC261" w14:textId="45B8F042" w:rsidR="006F3050" w:rsidRDefault="007B245D" w:rsidP="009D0CA2">
      <w:pPr>
        <w:spacing w:after="0" w:line="240" w:lineRule="auto"/>
        <w:ind w:firstLine="720"/>
        <w:jc w:val="both"/>
        <w:rPr>
          <w:color w:val="0D0D0D"/>
          <w:shd w:val="clear" w:color="auto" w:fill="FFFFFF"/>
        </w:rPr>
      </w:pPr>
      <w:r w:rsidRPr="007B245D">
        <w:rPr>
          <w:color w:val="0D0D0D"/>
          <w:shd w:val="clear" w:color="auto" w:fill="FFFFFF"/>
        </w:rPr>
        <w:t xml:space="preserve">Individuals from households exceeding $100,000 in annual income, as well as those who experienced an income increase during the pandemic, </w:t>
      </w:r>
      <w:r w:rsidR="007B33B0">
        <w:rPr>
          <w:color w:val="0D0D0D"/>
          <w:shd w:val="clear" w:color="auto" w:fill="FFFFFF"/>
        </w:rPr>
        <w:t>are</w:t>
      </w:r>
      <w:r w:rsidRPr="007B245D">
        <w:rPr>
          <w:color w:val="0D0D0D"/>
          <w:shd w:val="clear" w:color="auto" w:fill="FFFFFF"/>
        </w:rPr>
        <w:t xml:space="preserve"> more likely to adopt telemedicine services</w:t>
      </w:r>
      <w:r w:rsidR="00C85572">
        <w:rPr>
          <w:color w:val="0D0D0D"/>
          <w:shd w:val="clear" w:color="auto" w:fill="FFFFFF"/>
        </w:rPr>
        <w:t xml:space="preserve"> in the </w:t>
      </w:r>
      <w:r w:rsidR="006312A4">
        <w:rPr>
          <w:color w:val="0D0D0D"/>
          <w:shd w:val="clear" w:color="auto" w:fill="FFFFFF"/>
        </w:rPr>
        <w:t>After-COVID</w:t>
      </w:r>
      <w:r w:rsidR="00C85572">
        <w:rPr>
          <w:color w:val="0D0D0D"/>
          <w:shd w:val="clear" w:color="auto" w:fill="FFFFFF"/>
        </w:rPr>
        <w:t xml:space="preserve"> period, while individuals in zero-car households have a generic higher intensity for telemedicine </w:t>
      </w:r>
      <w:r w:rsidR="000706EF">
        <w:rPr>
          <w:color w:val="0D0D0D"/>
          <w:shd w:val="clear" w:color="auto" w:fill="FFFFFF"/>
        </w:rPr>
        <w:t>adoption</w:t>
      </w:r>
      <w:r w:rsidR="00C85572">
        <w:rPr>
          <w:color w:val="0D0D0D"/>
          <w:shd w:val="clear" w:color="auto" w:fill="FFFFFF"/>
        </w:rPr>
        <w:t xml:space="preserve"> through time. The income effect </w:t>
      </w:r>
      <w:r w:rsidRPr="007B245D">
        <w:rPr>
          <w:color w:val="0D0D0D"/>
          <w:shd w:val="clear" w:color="auto" w:fill="FFFFFF"/>
        </w:rPr>
        <w:t xml:space="preserve">aligns with </w:t>
      </w:r>
      <w:r w:rsidR="00817C6E">
        <w:rPr>
          <w:color w:val="0D0D0D"/>
          <w:shd w:val="clear" w:color="auto" w:fill="FFFFFF"/>
        </w:rPr>
        <w:t>prior</w:t>
      </w:r>
      <w:r w:rsidRPr="007B245D">
        <w:rPr>
          <w:color w:val="0D0D0D"/>
          <w:shd w:val="clear" w:color="auto" w:fill="FFFFFF"/>
        </w:rPr>
        <w:t xml:space="preserve"> research by</w:t>
      </w:r>
      <w:r w:rsidR="009A6E84">
        <w:rPr>
          <w:color w:val="0D0D0D"/>
          <w:shd w:val="clear" w:color="auto" w:fill="FFFFFF"/>
        </w:rPr>
        <w:t xml:space="preserve"> </w:t>
      </w:r>
      <w:r w:rsidR="009A6E84">
        <w:rPr>
          <w:color w:val="0D0D0D"/>
          <w:shd w:val="clear" w:color="auto" w:fill="FFFFFF"/>
        </w:rPr>
        <w:fldChar w:fldCharType="begin"/>
      </w:r>
      <w:r w:rsidR="009A6E84">
        <w:rPr>
          <w:color w:val="0D0D0D"/>
          <w:shd w:val="clear" w:color="auto" w:fill="FFFFFF"/>
        </w:rPr>
        <w:instrText xml:space="preserve"> ADDIN ZOTERO_ITEM CSL_CITATION {"citationID":"OxpRYrgo","properties":{"formattedCitation":"(Eberly et al., 2020; Luo et al., 2021)","plainCitation":"(Eberly et al., 2020; Luo et al., 2021)","dontUpdate":true,"noteIndex":0},"citationItems":[{"id":2095,"uris":["http://zotero.org/users/9292995/items/66KTZ472"],"itemData":{"id":2095,"type":"article-journal","abstract":"The coronavirus disease 2019 (COVID-19) pandemic has required a shift in health care delivery platforms, necessitating a new reliance on telemedicine.To evaluate whether inequities are present in telemedicine use and video visit use for telemedicine visits during the COVID-19 pandemic.In this cohort study, a retrospective medical record review was conducted from March 16 to May 11, 2020, of all patients scheduled for telemedicine visits in primary care and specialty ambulatory clinics at a large academic health system. Age, race/ethnicity, sex, language, median household income, and insurance type were all identified from the electronic medical record.A successfully completed telemedicine visit and video (vs telephone) visit for a telemedicine encounter. Multivariable models were used to assess the association between sociodemographic factors, including sex, race/ethnicity, socioeconomic status, and language, and the use of telemedicine visits, as well as video use specifically.A total of 148 402 unique patients (86 055 women [58.0%]; mean [SD] age, 56.5 [17.7] years) had scheduled telemedicine visits during the study period; 80 780 patients (54.4%) completed visits. Of 78 539 patients with completed visits in which visit modality was specified, 35 824 (45.6%) were conducted via video, whereas 42 715 (54.4%) had telephone visits. In multivariable models, older age (adjusted odds ratio [aOR], 0.85 [95% CI, 0.83-0.88] for those aged 55-64 years; aOR, 0.75 [95% CI, 0.72-0.78] for those aged 65-74 years; aOR, 0.67 [95% CI, 0.64-0.70] for those aged ≥75 years), Asian race (aOR, 0.69 [95% CI, 0.66-0.73]), non-English language as the patient’s preferred language (aOR, 0.84 [95% CI, 0.78-0.90]), and Medicaid insurance (aOR, 0.93 [95% CI, 0.89-0.97]) were independently associated with fewer completed telemedicine visits. Older age (aOR, 0.79 [95% CI, 0.76-0.82] for those aged 55-64 years; aOR, 0.78 [95% CI, 0.74-0.83] for those aged 65-74 years; aOR, 0.49 [95% CI, 0.46-0.53] for those aged ≥75 years), female sex (aOR, 0.92 [95% CI, 0.90-0.95]), Black race (aOR, 0.65 [95% CI, 0.62-0.68]), Latinx ethnicity (aOR, 0.90 [95% CI, 0.83-0.97]), and lower household income (aOR, 0.57 [95% CI, 0.54-0.60] for income &amp;lt;$50 000; aOR, 0.89 [95% CI, 0.85-0.92], for $50 000-$100 000) were associated with less video use for telemedicine visits. These results were similar across medical specialties.In this cohort study of patients scheduled for primary care and medical specialty ambulatory telemedicine visits at a large academic health system during the early phase of the COVID-19 pandemic, older patients, Asian patients, and non–English-speaking patients had lower rates of telemedicine use, while older patients, female patients, Black, Latinx, and poorer patients had less video use. Inequities in accessing telemedicine care are present, which warrant further attention.","container-title":"JAMA Network Open","DOI":"10.1001/jamanetworkopen.2020.31640","ISSN":"2574-3805","issue":"12","journalAbbreviation":"JAMA Network Open","page":"e2031640","source":"Silverchair","title":"Patient Characteristics Associated With Telemedicine Access for Primary and Specialty Ambulatory Care During the COVID-19 Pandemic","volume":"3","author":[{"family":"Eberly","given":"Lauren A."},{"family":"Kallan","given":"Michael J."},{"family":"Julien","given":"Howard M."},{"family":"Haynes","given":"Norrisa"},{"family":"Khatana","given":"Sameed Ahmed M."},{"family":"Nathan","given":"Ashwin S."},{"family":"Snider","given":"Christopher"},{"family":"Chokshi","given":"Neel P."},{"family":"Eneanya","given":"Nwamaka D."},{"family":"Takvorian","given":"Samuel U."},{"family":"Anastos-Wallen","given":"Rebecca"},{"family":"Chaiyachati","given":"Krisda"},{"family":"Ambrose","given":"Marietta"},{"family":"O’Quinn","given":"Rupal"},{"family":"Seigerman","given":"Matthew"},{"family":"Goldberg","given":"Lee R."},{"family":"Leri","given":"Damien"},{"family":"Choi","given":"Katherine"},{"family":"Gitelman","given":"Yevginiy"},{"family":"Kolansky","given":"Daniel M."},{"family":"Cappola","given":"Thomas P."},{"family":"Ferrari","given":"Victor A."},{"family":"Hanson","given":"C. William"},{"family":"Deleener","given":"Mary Elizabeth"},{"family":"Adusumalli","given":"Srinath"}],"issued":{"date-parts":[["2020",12,29]]}}},{"id":2210,"uris":["http://zotero.org/users/9292995/items/ZDRUZ5CT"],"itemData":{"id":2210,"type":"article-journal","abstract":"Background\n The telemedicine industry has been experiencing fast growth in recent years. The outbreak of coronavirus disease 2019 (COVID-19) further accelerated the deployment and utilization of telemedicine services. An analysis of the socioeconomic characteristics of telemedicine users to understand potential socioeconomic gaps and disparities is critical for improving the adoption of telemedicine services among patients.\n, Objectives\n This study aims to measure the correlation of socioeconomic determinants with the use of telemedicine services in Milwaukee metropolitan area.\n, Methods\n Electronic health record review of patients using telemedicine services compared with those not using telemedicine services within an academic-community health system: patient demographics (e.g., age, gender, race, and ethnicity), insurance status, and socioeconomic determinants obtained through block-level census data in Milwaukee area. The telemedicine users were compared with all other patients using regression analysis. The telemedicine adoption rates were calculated across regional ZIP codes to analyze the geographic patterns of telemedicine adoption.\n, Results\n A total of 104,139 patients used telemedicine services during the study period. Patients who used video visits were younger (median age 48.12), more likely to be White (odds ratio [OR] 1.34; 95% confidence interval [CI], 1.31–1.37), and have private insurance (OR 1.43; CI, 1.41–1.46); patients who used telephone visits were older (median age 57.58), more likely to be Black (OR 1.31; CI 1.28–1.35), and have public insurance (OR 1.30; CI 1.27–1.32). In general, Latino and Asian populations were less likely to use telemedicine; women used more telemedicine services in general than men. In the multiple regression analysis of social determinant factors across 126 ZIP codes, college education (coefficient 1.41,\np\n = 0.01) had a strong correlation to video telemedicine adoption rate.\n, Conclusion\n Adoption of telemedicine services was significantly impacted by the social determinant factors of health, such as income, education level, race, and insurance type. The study reveals the potential inequities and disparities in telemedicine adoption.","container-title":"Applied Clinical Informatics","DOI":"10.1055/s-0041-1733848","ISSN":"1869-0327","issue":"4","journalAbbreviation":"Appl Clin Inform","note":"PMID: 34496419\nPMCID: PMC8426040","page":"836-844","source":"PubMed Central","title":"Telemedicine Adoption during the COVID-19 Pandemic: Gaps and Inequalities","title-short":"Telemedicine Adoption during the COVID-19 Pandemic","volume":"12","author":[{"family":"Luo","given":"Jake"},{"family":"Tong","given":"Ling"},{"family":"Crotty","given":"Bradley H."},{"family":"Somai","given":"Melek"},{"family":"Taylor","given":"Bradley"},{"family":"Osinski","given":"Kristen"},{"family":"George","given":"Ben"}],"issued":{"date-parts":[["2021",8]]}}}],"schema":"https://github.com/citation-style-language/schema/raw/master/csl-citation.json"} </w:instrText>
      </w:r>
      <w:r w:rsidR="009A6E84">
        <w:rPr>
          <w:color w:val="0D0D0D"/>
          <w:shd w:val="clear" w:color="auto" w:fill="FFFFFF"/>
        </w:rPr>
        <w:fldChar w:fldCharType="separate"/>
      </w:r>
      <w:r w:rsidR="009A6E84" w:rsidRPr="009A6E84">
        <w:t>Eberly et al.</w:t>
      </w:r>
      <w:r w:rsidR="009A6E84">
        <w:t xml:space="preserve"> (</w:t>
      </w:r>
      <w:r w:rsidR="009A6E84" w:rsidRPr="009A6E84">
        <w:t>2020</w:t>
      </w:r>
      <w:r w:rsidR="009A6E84">
        <w:t>),</w:t>
      </w:r>
      <w:r w:rsidR="009A6E84" w:rsidRPr="009A6E84">
        <w:t xml:space="preserve"> Luo et al. </w:t>
      </w:r>
      <w:r w:rsidR="009A6E84">
        <w:t>(</w:t>
      </w:r>
      <w:r w:rsidR="009A6E84" w:rsidRPr="009A6E84">
        <w:t>2021)</w:t>
      </w:r>
      <w:r w:rsidR="009A6E84">
        <w:rPr>
          <w:color w:val="0D0D0D"/>
          <w:shd w:val="clear" w:color="auto" w:fill="FFFFFF"/>
        </w:rPr>
        <w:fldChar w:fldCharType="end"/>
      </w:r>
      <w:r w:rsidR="009A6E84">
        <w:rPr>
          <w:color w:val="0D0D0D"/>
          <w:shd w:val="clear" w:color="auto" w:fill="FFFFFF"/>
        </w:rPr>
        <w:t xml:space="preserve">, </w:t>
      </w:r>
      <w:bookmarkStart w:id="49" w:name="_Hlk166043781"/>
      <w:r w:rsidRPr="00832A81">
        <w:rPr>
          <w:shd w:val="clear" w:color="auto" w:fill="FFFFFF"/>
        </w:rPr>
        <w:fldChar w:fldCharType="begin"/>
      </w:r>
      <w:r w:rsidR="009A6E84">
        <w:rPr>
          <w:shd w:val="clear" w:color="auto" w:fill="FFFFFF"/>
        </w:rPr>
        <w:instrText xml:space="preserve"> ADDIN ZOTERO_ITEM CSL_CITATION {"citationID":"o4SAWdAE","properties":{"formattedCitation":"(Choi et al., 2022; Drake et al., 2022; Fischer et al., 2022; Osobase, 2023)","plainCitation":"(Choi et al., 2022; Drake et al., 2022; Fischer et al., 2022; Osobase, 2023)","dontUpdate":true,"noteIndex":0},"citationItems":[{"id":2107,"uris":["http://zotero.org/users/9292995/items/D8Y76BZE"],"itemData":{"id":2107,"type":"article-journal","abstract":"The COVID-19 pandemic ushered in rapid telehealth/telemedicine adoption. In this study, we (1) examined rates and correlates of telehealth (video call) use among those aged 70+, and (2) tested the significance of access to information and communication technology (ICT) device ownership and knowledge of how to use the internet and devices as telehealth-enabling factors. The Behavioral Model of Health Services Use served as the conceptual framework, and data came from the COVID-19 supplemental survey of the National Health and Aging Trend Study. Results show that telehealth use increased to 21.1% from 4.6% pre-pandemic. In logistic regression models without technology-enabling factors, older age and lower income were negatively associated with telehealth use; however, when technology-enabling factors were included, they were significant while age and income were no longer significant. Insuring that older adults have ICT devices and internet access may reduce health disparities and improve telehealth care delivery.","container-title":"Journal of Applied Gerontology","DOI":"10.1177/07334648211047347","ISSN":"0733-4648","issue":"3","journalAbbreviation":"J Appl Gerontol","language":"en","note":"publisher: SAGE Publications Inc","page":"600-609","source":"SAGE Journals","title":"Telehealth Use Among Older Adults During COVID-19: Associations With Sociodemographic and Health Characteristics, Technology Device Ownership, and Technology Learning","title-short":"Telehealth Use Among Older Adults During COVID-19","volume":"41","author":[{"family":"Choi","given":"Namkee G."},{"family":"DiNitto","given":"Diana M."},{"family":"Marti","given":"C. Nathan"},{"family":"Choi","given":"Bryan Y."}],"issued":{"date-parts":[["2022",3,1]]}}},{"id":2135,"uris":["http://zotero.org/users/9292995/items/9RPZ3SHG"],"itemData":{"id":2135,"type":"article-journal","container-title":"Telemedicine and e-Health","ISSN":"1530-5627","issue":"1","journalAbbreviation":"Telemedicine and e-Health","note":"publisher: Mary Ann Liebert, Inc., publishers 140 Huguenot Street, 3rd Floor New …","page":"51-59","title":"Understanding telemedicine's “new normal”: variations in telemedicine use by specialty line and patient demographics","volume":"28","author":[{"family":"Drake","given":"Connor"},{"family":"Lian","given":"Tyler"},{"family":"Cameron","given":"Blake"},{"family":"Medynskaya","given":"Kate"},{"family":"Bosworth","given":"Hayden B"},{"family":"Shah","given":"Kevin"}],"issued":{"date-parts":[["2022"]]}}},{"id":2222,"uris":["http://zotero.org/users/9292995/items/IESQ79V4"],"itemData":{"id":2222,"type":"article-journal","abstract":"We examined use of and willingness to use video telehealth during the COVID-19 pandemic in a longitudinally followed cohort. Between February 2019 and March 2021, use and willingness to use increased among nearly all subgroups, with large increases among Black adults and adults with lower educational attainment. In March 2021 Black adults, adults ages 20-39, and high-income adults reported the greatest willingness to use video telehealth.","container-title":"Health Affairs (Project Hope)","DOI":"10.1377/hlthaff.2022.00118","ISSN":"1544-5208","issue":"11","journalAbbreviation":"Health Aff (Millwood)","language":"eng","note":"PMID: 36343311","page":"1645-1651","source":"PubMed","title":"Use Of And Willingness To Use Video Telehealth Through The COVID-19 Pandemic","volume":"41","author":[{"family":"Fischer","given":"Shira H."},{"family":"Predmore","given":"Zachary"},{"family":"Roth","given":"Elizabeth"},{"family":"Uscher-Pines","given":"Lori"},{"family":"Baird","given":"Matthew"},{"family":"Breslau","given":"Joshua"}],"issued":{"date-parts":[["2022",11]]}}},{"id":2234,"uris":["http://zotero.org/users/9292995/items/XBS5W45N"],"itemData":{"id":2234,"type":"thesis","publisher":"Walden University","title":"Evaluating U.S. Household T aluating U.S. Household Telemedicine Use in Primar elemedicine Use in Primary Care Settings","URL":"https://scholarworks.waldenu.edu/cgi/viewcontent.cgi?article=13072&amp;context=dissertations","author":[{"family":"Osobase","given":"Robert"}],"issued":{"date-parts":[["2023"]]}}}],"schema":"https://github.com/citation-style-language/schema/raw/master/csl-citation.json"} </w:instrText>
      </w:r>
      <w:r w:rsidRPr="00832A81">
        <w:rPr>
          <w:shd w:val="clear" w:color="auto" w:fill="FFFFFF"/>
        </w:rPr>
        <w:fldChar w:fldCharType="separate"/>
      </w:r>
      <w:r w:rsidR="009A6E84" w:rsidRPr="009A6E84">
        <w:t xml:space="preserve">Choi et al. </w:t>
      </w:r>
      <w:r w:rsidR="009A6E84">
        <w:t>(</w:t>
      </w:r>
      <w:r w:rsidR="009A6E84" w:rsidRPr="009A6E84">
        <w:t>2022</w:t>
      </w:r>
      <w:r w:rsidR="009A6E84">
        <w:t>),</w:t>
      </w:r>
      <w:r w:rsidR="009A6E84" w:rsidRPr="009A6E84">
        <w:t xml:space="preserve"> Drake et al. </w:t>
      </w:r>
      <w:r w:rsidR="009A6E84">
        <w:t>(</w:t>
      </w:r>
      <w:r w:rsidR="009A6E84" w:rsidRPr="009A6E84">
        <w:t>2022</w:t>
      </w:r>
      <w:r w:rsidR="009A6E84">
        <w:t>),</w:t>
      </w:r>
      <w:r w:rsidR="009A6E84" w:rsidRPr="009A6E84">
        <w:t xml:space="preserve"> Fischer et al. </w:t>
      </w:r>
      <w:r w:rsidR="009A6E84">
        <w:t>(</w:t>
      </w:r>
      <w:r w:rsidR="009A6E84" w:rsidRPr="009A6E84">
        <w:t>2022</w:t>
      </w:r>
      <w:r w:rsidR="009A6E84">
        <w:t>),</w:t>
      </w:r>
      <w:r w:rsidR="00A60B3C">
        <w:t xml:space="preserve"> and</w:t>
      </w:r>
      <w:r w:rsidR="009A6E84" w:rsidRPr="009A6E84">
        <w:t xml:space="preserve"> Osobase, </w:t>
      </w:r>
      <w:r w:rsidR="009A6E84">
        <w:t>(</w:t>
      </w:r>
      <w:r w:rsidR="009A6E84" w:rsidRPr="009A6E84">
        <w:t>2023)</w:t>
      </w:r>
      <w:r w:rsidRPr="00832A81">
        <w:rPr>
          <w:shd w:val="clear" w:color="auto" w:fill="FFFFFF"/>
        </w:rPr>
        <w:fldChar w:fldCharType="end"/>
      </w:r>
      <w:r w:rsidRPr="007B245D">
        <w:rPr>
          <w:color w:val="0D0D0D"/>
          <w:shd w:val="clear" w:color="auto" w:fill="FFFFFF"/>
        </w:rPr>
        <w:t xml:space="preserve">, </w:t>
      </w:r>
      <w:bookmarkEnd w:id="49"/>
      <w:r w:rsidRPr="007B245D">
        <w:rPr>
          <w:color w:val="0D0D0D"/>
          <w:shd w:val="clear" w:color="auto" w:fill="FFFFFF"/>
        </w:rPr>
        <w:t xml:space="preserve">who </w:t>
      </w:r>
      <w:r w:rsidR="00C85572">
        <w:rPr>
          <w:color w:val="0D0D0D"/>
          <w:shd w:val="clear" w:color="auto" w:fill="FFFFFF"/>
        </w:rPr>
        <w:t xml:space="preserve">ascribed this to </w:t>
      </w:r>
      <w:r w:rsidR="00DA09CD">
        <w:rPr>
          <w:color w:val="0D0D0D"/>
          <w:shd w:val="clear" w:color="auto" w:fill="FFFFFF"/>
        </w:rPr>
        <w:t>the higher value of time among higher</w:t>
      </w:r>
      <w:r w:rsidR="00233F42">
        <w:rPr>
          <w:color w:val="0D0D0D"/>
          <w:shd w:val="clear" w:color="auto" w:fill="FFFFFF"/>
        </w:rPr>
        <w:t>-</w:t>
      </w:r>
      <w:r w:rsidR="00DA09CD">
        <w:rPr>
          <w:color w:val="0D0D0D"/>
          <w:shd w:val="clear" w:color="auto" w:fill="FFFFFF"/>
        </w:rPr>
        <w:t xml:space="preserve">income individuals and the </w:t>
      </w:r>
      <w:r w:rsidR="00DA09CD" w:rsidRPr="00DA09CD">
        <w:rPr>
          <w:color w:val="0D0D0D"/>
          <w:shd w:val="clear" w:color="auto" w:fill="FFFFFF"/>
        </w:rPr>
        <w:t>greater access to</w:t>
      </w:r>
      <w:r w:rsidR="00980071">
        <w:rPr>
          <w:color w:val="0D0D0D"/>
          <w:shd w:val="clear" w:color="auto" w:fill="FFFFFF"/>
        </w:rPr>
        <w:t xml:space="preserve"> </w:t>
      </w:r>
      <w:r w:rsidR="00C85572">
        <w:rPr>
          <w:color w:val="0D0D0D"/>
          <w:shd w:val="clear" w:color="auto" w:fill="FFFFFF"/>
        </w:rPr>
        <w:t xml:space="preserve">digital </w:t>
      </w:r>
      <w:r w:rsidR="00DA09CD" w:rsidRPr="00DA09CD">
        <w:rPr>
          <w:color w:val="0D0D0D"/>
          <w:shd w:val="clear" w:color="auto" w:fill="FFFFFF"/>
        </w:rPr>
        <w:t>equipment (</w:t>
      </w:r>
      <w:r w:rsidR="000A25A1">
        <w:rPr>
          <w:color w:val="0D0D0D"/>
          <w:shd w:val="clear" w:color="auto" w:fill="FFFFFF"/>
        </w:rPr>
        <w:t xml:space="preserve">such as </w:t>
      </w:r>
      <w:r w:rsidR="00DA09CD" w:rsidRPr="00DA09CD">
        <w:rPr>
          <w:color w:val="0D0D0D"/>
          <w:shd w:val="clear" w:color="auto" w:fill="FFFFFF"/>
        </w:rPr>
        <w:t>computers</w:t>
      </w:r>
      <w:r w:rsidR="000A25A1">
        <w:rPr>
          <w:color w:val="0D0D0D"/>
          <w:shd w:val="clear" w:color="auto" w:fill="FFFFFF"/>
        </w:rPr>
        <w:t xml:space="preserve"> and</w:t>
      </w:r>
      <w:r w:rsidR="00DA09CD" w:rsidRPr="00DA09CD">
        <w:rPr>
          <w:color w:val="0D0D0D"/>
          <w:shd w:val="clear" w:color="auto" w:fill="FFFFFF"/>
        </w:rPr>
        <w:t xml:space="preserve"> tablets).</w:t>
      </w:r>
      <w:r w:rsidR="00C85572">
        <w:rPr>
          <w:color w:val="0D0D0D"/>
          <w:shd w:val="clear" w:color="auto" w:fill="FFFFFF"/>
        </w:rPr>
        <w:t xml:space="preserve"> The vehicle ownership effect </w:t>
      </w:r>
      <w:r w:rsidR="00980071">
        <w:rPr>
          <w:color w:val="0D0D0D"/>
          <w:shd w:val="clear" w:color="auto" w:fill="FFFFFF"/>
        </w:rPr>
        <w:t xml:space="preserve">is consistent with the notion of limited transportation access to out-of-home activities, and the consequent increase in engagement in virtual activities of all kinds, including telemedicine </w:t>
      </w:r>
      <w:r>
        <w:rPr>
          <w:color w:val="0D0D0D"/>
          <w:shd w:val="clear" w:color="auto" w:fill="FFFFFF"/>
        </w:rPr>
        <w:t xml:space="preserve">(see, for example, </w:t>
      </w:r>
      <w:bookmarkStart w:id="50" w:name="_Hlk166043903"/>
      <w:r>
        <w:rPr>
          <w:color w:val="0D0D0D"/>
          <w:shd w:val="clear" w:color="auto" w:fill="FFFFFF"/>
        </w:rPr>
        <w:fldChar w:fldCharType="begin"/>
      </w:r>
      <w:r w:rsidR="009A6E84">
        <w:rPr>
          <w:color w:val="0D0D0D"/>
          <w:shd w:val="clear" w:color="auto" w:fill="FFFFFF"/>
        </w:rPr>
        <w:instrText xml:space="preserve"> ADDIN ZOTERO_ITEM CSL_CITATION {"citationID":"YZN1Uwbr","properties":{"formattedCitation":"(Dias et al., 2020; Figliozzi &amp; Unnikrishnan, 2021; Kim &amp; Wang, 2021)","plainCitation":"(Dias et al., 2020; Figliozzi &amp; Unnikrishnan, 2021; Kim &amp; Wang, 2021)","dontUpdate":true,"noteIndex":0},"citationItems":[{"id":425,"uris":["http://zotero.org/users/9292995/items/VYA5VQBP"],"itemData":{"id":425,"type":"article-journal","container-title":"Transportation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K"}],"issued":{"date-parts":[["2020"]]}}},{"id":754,"uris":["http://zotero.org/users/9292995/items/QPJ2DW37"],"itemData":{"id":754,"type":"article-journal","container-title":"Transportation Research Part A: Policy and Practice","ISSN":"0965-8564","journalAbbreviation":"Transportation Research Part A: Policy and Practice","note":"publisher: Elsevier","page":"1-19","title":"Exploring the impact of socio-demographic characteristics, health concerns, and product type on home delivery rates and expenditures during a strict COVID-19 lockdown period: A case study from Portland, OR","volume":"153","author":[{"family":"Figliozzi","given":"Miguel"},{"family":"Unnikrishnan","given":"Avinash"}],"issued":{"date-parts":[["2021"]]}}},{"id":416,"uris":["http://zotero.org/users/9292995/items/ESXZI25A"],"itemData":{"id":416,"type":"article-journal","container-title":"Transportation Research Part C: Emerging Technologies","ISSN":"0968-090X","journalAbbreviation":"Transportation Research Part C: Emerging Technologies","note":"publisher: Elsevier","page":"103052","title":"To be online or in-store: Analysis of retail, grocery, and food shopping in New York city","volume":"126","author":[{"family":"Kim","given":"Woojung"},{"family":"Wang","given":"Xiaokun Cara"}],"issued":{"date-parts":[["2021"]]}}}],"schema":"https://github.com/citation-style-language/schema/raw/master/csl-citation.json"} </w:instrText>
      </w:r>
      <w:r>
        <w:rPr>
          <w:color w:val="0D0D0D"/>
          <w:shd w:val="clear" w:color="auto" w:fill="FFFFFF"/>
        </w:rPr>
        <w:fldChar w:fldCharType="separate"/>
      </w:r>
      <w:r w:rsidR="009A6E84" w:rsidRPr="009A6E84">
        <w:t>Dias et al., 2020</w:t>
      </w:r>
      <w:r w:rsidR="009A6E84">
        <w:t>,</w:t>
      </w:r>
      <w:r w:rsidR="009A6E84" w:rsidRPr="009A6E84">
        <w:t xml:space="preserve"> Figliozzi </w:t>
      </w:r>
      <w:r w:rsidR="009A6E84">
        <w:t>and</w:t>
      </w:r>
      <w:r w:rsidR="009A6E84" w:rsidRPr="009A6E84">
        <w:t xml:space="preserve"> Unnikrishnan, 2021</w:t>
      </w:r>
      <w:r w:rsidR="009A6E84">
        <w:t>, and</w:t>
      </w:r>
      <w:r w:rsidR="009A6E84" w:rsidRPr="009A6E84">
        <w:t xml:space="preserve"> Kim </w:t>
      </w:r>
      <w:r w:rsidR="009A6E84">
        <w:t>and</w:t>
      </w:r>
      <w:r w:rsidR="009A6E84" w:rsidRPr="009A6E84">
        <w:t xml:space="preserve"> Wang, 2021)</w:t>
      </w:r>
      <w:r>
        <w:rPr>
          <w:color w:val="0D0D0D"/>
          <w:shd w:val="clear" w:color="auto" w:fill="FFFFFF"/>
        </w:rPr>
        <w:fldChar w:fldCharType="end"/>
      </w:r>
      <w:r w:rsidR="0077128D">
        <w:rPr>
          <w:color w:val="0D0D0D"/>
          <w:shd w:val="clear" w:color="auto" w:fill="FFFFFF"/>
        </w:rPr>
        <w:t>.</w:t>
      </w:r>
    </w:p>
    <w:p w14:paraId="63F99E4F" w14:textId="2D6F47BC" w:rsidR="007B245D" w:rsidRDefault="007B245D" w:rsidP="009D0CA2">
      <w:pPr>
        <w:spacing w:after="0" w:line="240" w:lineRule="auto"/>
        <w:ind w:firstLine="720"/>
        <w:jc w:val="both"/>
        <w:rPr>
          <w:color w:val="0D0D0D"/>
          <w:shd w:val="clear" w:color="auto" w:fill="FFFFFF"/>
        </w:rPr>
      </w:pPr>
      <w:r>
        <w:rPr>
          <w:color w:val="0D0D0D"/>
          <w:shd w:val="clear" w:color="auto" w:fill="FFFFFF"/>
        </w:rPr>
        <w:t xml:space="preserve"> </w:t>
      </w:r>
      <w:bookmarkEnd w:id="50"/>
    </w:p>
    <w:p w14:paraId="66B1C607" w14:textId="380A302B" w:rsidR="003B43BB" w:rsidRPr="0077128D" w:rsidRDefault="003B43BB" w:rsidP="009D0CA2">
      <w:pPr>
        <w:spacing w:after="0" w:line="240" w:lineRule="auto"/>
        <w:jc w:val="both"/>
        <w:rPr>
          <w:color w:val="0D0D0D"/>
          <w:u w:val="single"/>
          <w:shd w:val="clear" w:color="auto" w:fill="FFFFFF"/>
        </w:rPr>
      </w:pPr>
      <w:r w:rsidRPr="0077128D">
        <w:rPr>
          <w:color w:val="0D0D0D"/>
          <w:u w:val="single"/>
          <w:shd w:val="clear" w:color="auto" w:fill="FFFFFF"/>
        </w:rPr>
        <w:t>Employment Characteristics</w:t>
      </w:r>
    </w:p>
    <w:p w14:paraId="08C3F4F8" w14:textId="1687EA50" w:rsidR="00156B71" w:rsidRPr="00AB49A2" w:rsidRDefault="00156B71" w:rsidP="006F3050">
      <w:pPr>
        <w:spacing w:after="0" w:line="240" w:lineRule="auto"/>
        <w:jc w:val="both"/>
      </w:pPr>
      <w:r>
        <w:rPr>
          <w:color w:val="0D0D0D"/>
          <w:shd w:val="clear" w:color="auto" w:fill="FFFFFF"/>
        </w:rPr>
        <w:t xml:space="preserve">Our analysis also </w:t>
      </w:r>
      <w:r w:rsidRPr="00156B71">
        <w:rPr>
          <w:color w:val="0D0D0D"/>
          <w:shd w:val="clear" w:color="auto" w:fill="FFFFFF"/>
        </w:rPr>
        <w:t>explore</w:t>
      </w:r>
      <w:r w:rsidR="007B33B0">
        <w:rPr>
          <w:color w:val="0D0D0D"/>
          <w:shd w:val="clear" w:color="auto" w:fill="FFFFFF"/>
        </w:rPr>
        <w:t>d</w:t>
      </w:r>
      <w:r w:rsidRPr="00156B71">
        <w:rPr>
          <w:color w:val="0D0D0D"/>
          <w:shd w:val="clear" w:color="auto" w:fill="FFFFFF"/>
        </w:rPr>
        <w:t xml:space="preserve"> the relationship between employment status, telework habits, and telemedicine </w:t>
      </w:r>
      <w:r w:rsidR="000706EF">
        <w:rPr>
          <w:color w:val="0D0D0D"/>
          <w:shd w:val="clear" w:color="auto" w:fill="FFFFFF"/>
        </w:rPr>
        <w:t>adoption</w:t>
      </w:r>
      <w:r w:rsidRPr="00156B71">
        <w:rPr>
          <w:color w:val="0D0D0D"/>
          <w:shd w:val="clear" w:color="auto" w:fill="FFFFFF"/>
        </w:rPr>
        <w:t>.</w:t>
      </w:r>
      <w:r w:rsidR="001164F4" w:rsidRPr="001164F4">
        <w:rPr>
          <w:color w:val="0D0D0D"/>
          <w:shd w:val="clear" w:color="auto" w:fill="FFFFFF"/>
        </w:rPr>
        <w:t xml:space="preserve"> </w:t>
      </w:r>
      <w:r w:rsidR="007B245D">
        <w:rPr>
          <w:color w:val="0D0D0D"/>
          <w:shd w:val="clear" w:color="auto" w:fill="FFFFFF"/>
        </w:rPr>
        <w:t xml:space="preserve">While </w:t>
      </w:r>
      <w:r w:rsidR="007B245D" w:rsidRPr="007B245D">
        <w:rPr>
          <w:color w:val="0D0D0D"/>
          <w:shd w:val="clear" w:color="auto" w:fill="FFFFFF"/>
        </w:rPr>
        <w:t>employment status itself d</w:t>
      </w:r>
      <w:r w:rsidR="00DA09CD">
        <w:rPr>
          <w:color w:val="0D0D0D"/>
          <w:shd w:val="clear" w:color="auto" w:fill="FFFFFF"/>
        </w:rPr>
        <w:t>id</w:t>
      </w:r>
      <w:r w:rsidR="007B245D" w:rsidRPr="007B245D">
        <w:rPr>
          <w:color w:val="0D0D0D"/>
          <w:shd w:val="clear" w:color="auto" w:fill="FFFFFF"/>
        </w:rPr>
        <w:t xml:space="preserve"> not significantly influence telemedicine adoption</w:t>
      </w:r>
      <w:r w:rsidR="007B245D">
        <w:rPr>
          <w:color w:val="0D0D0D"/>
          <w:shd w:val="clear" w:color="auto" w:fill="FFFFFF"/>
        </w:rPr>
        <w:t>,</w:t>
      </w:r>
      <w:r w:rsidR="007B245D" w:rsidRPr="007B245D">
        <w:rPr>
          <w:color w:val="0D0D0D"/>
          <w:shd w:val="clear" w:color="auto" w:fill="FFFFFF"/>
        </w:rPr>
        <w:t xml:space="preserve"> telework </w:t>
      </w:r>
      <w:r w:rsidR="00A50108">
        <w:rPr>
          <w:color w:val="0D0D0D"/>
          <w:shd w:val="clear" w:color="auto" w:fill="FFFFFF"/>
        </w:rPr>
        <w:t xml:space="preserve">arrangements </w:t>
      </w:r>
      <w:r w:rsidR="00956E1E">
        <w:rPr>
          <w:color w:val="0D0D0D"/>
          <w:shd w:val="clear" w:color="auto" w:fill="FFFFFF"/>
        </w:rPr>
        <w:t xml:space="preserve">turned out </w:t>
      </w:r>
      <w:r w:rsidR="00A50108">
        <w:rPr>
          <w:color w:val="0D0D0D"/>
          <w:shd w:val="clear" w:color="auto" w:fill="FFFFFF"/>
        </w:rPr>
        <w:t xml:space="preserve">to </w:t>
      </w:r>
      <w:r w:rsidR="007B245D" w:rsidRPr="007B245D">
        <w:rPr>
          <w:color w:val="0D0D0D"/>
          <w:shd w:val="clear" w:color="auto" w:fill="FFFFFF"/>
        </w:rPr>
        <w:t>play a key role.</w:t>
      </w:r>
      <w:r w:rsidR="007B245D">
        <w:rPr>
          <w:color w:val="0D0D0D"/>
          <w:shd w:val="clear" w:color="auto" w:fill="FFFFFF"/>
        </w:rPr>
        <w:t xml:space="preserve"> B</w:t>
      </w:r>
      <w:r w:rsidR="007B245D" w:rsidRPr="007B245D">
        <w:rPr>
          <w:color w:val="0D0D0D"/>
          <w:shd w:val="clear" w:color="auto" w:fill="FFFFFF"/>
        </w:rPr>
        <w:t xml:space="preserve">oth before and after the pandemic, individuals who frequently teleworked </w:t>
      </w:r>
      <w:r w:rsidR="007E6654">
        <w:rPr>
          <w:color w:val="0D0D0D"/>
          <w:shd w:val="clear" w:color="auto" w:fill="FFFFFF"/>
        </w:rPr>
        <w:t xml:space="preserve">(multiple times per week or more often) </w:t>
      </w:r>
      <w:r w:rsidR="007B245D" w:rsidRPr="007B245D">
        <w:rPr>
          <w:color w:val="0D0D0D"/>
          <w:shd w:val="clear" w:color="auto" w:fill="FFFFFF"/>
        </w:rPr>
        <w:t>exhibited a greater tendency to utilize telemedicine.</w:t>
      </w:r>
      <w:r w:rsidR="007B245D">
        <w:rPr>
          <w:color w:val="0D0D0D"/>
          <w:shd w:val="clear" w:color="auto" w:fill="FFFFFF"/>
        </w:rPr>
        <w:t xml:space="preserve"> This finding </w:t>
      </w:r>
      <w:r w:rsidR="00956E1E">
        <w:rPr>
          <w:color w:val="0D0D0D"/>
          <w:shd w:val="clear" w:color="auto" w:fill="FFFFFF"/>
        </w:rPr>
        <w:t>may</w:t>
      </w:r>
      <w:r w:rsidR="007B245D">
        <w:rPr>
          <w:color w:val="0D0D0D"/>
          <w:shd w:val="clear" w:color="auto" w:fill="FFFFFF"/>
        </w:rPr>
        <w:t xml:space="preserve"> be attributed to two potential reasons. </w:t>
      </w:r>
      <w:r w:rsidR="007B245D" w:rsidRPr="007B245D">
        <w:rPr>
          <w:color w:val="0D0D0D"/>
          <w:shd w:val="clear" w:color="auto" w:fill="FFFFFF"/>
        </w:rPr>
        <w:t xml:space="preserve">First, frequent teleworkers might already be comfortable using digital platforms, making telemedicine a seamless extension of their work routines. Second, the prevalence of trip chaining during commutes (combining errands with travel) might </w:t>
      </w:r>
      <w:r w:rsidR="007B245D">
        <w:rPr>
          <w:color w:val="0D0D0D"/>
          <w:shd w:val="clear" w:color="auto" w:fill="FFFFFF"/>
        </w:rPr>
        <w:t>enhance the convenience of in-person appointments</w:t>
      </w:r>
      <w:r w:rsidR="00651AAB">
        <w:rPr>
          <w:color w:val="0D0D0D"/>
          <w:shd w:val="clear" w:color="auto" w:fill="FFFFFF"/>
        </w:rPr>
        <w:t>,</w:t>
      </w:r>
      <w:r w:rsidR="007B245D">
        <w:rPr>
          <w:color w:val="0D0D0D"/>
          <w:shd w:val="clear" w:color="auto" w:fill="FFFFFF"/>
        </w:rPr>
        <w:t xml:space="preserve"> making non-teleworkers more likely to opt for in-person medical appointments.</w:t>
      </w:r>
      <w:r w:rsidR="007B245D" w:rsidRPr="007B245D">
        <w:t xml:space="preserve"> </w:t>
      </w:r>
    </w:p>
    <w:p w14:paraId="5BD70E67" w14:textId="553F4A6C" w:rsidR="007B245D" w:rsidRDefault="007B245D" w:rsidP="009D0CA2">
      <w:pPr>
        <w:spacing w:after="0" w:line="240" w:lineRule="auto"/>
        <w:ind w:firstLine="720"/>
        <w:jc w:val="both"/>
        <w:rPr>
          <w:color w:val="0D0D0D"/>
          <w:shd w:val="clear" w:color="auto" w:fill="FFFFFF"/>
        </w:rPr>
      </w:pPr>
      <w:r w:rsidRPr="007B245D">
        <w:rPr>
          <w:color w:val="0D0D0D"/>
          <w:shd w:val="clear" w:color="auto" w:fill="FFFFFF"/>
        </w:rPr>
        <w:t xml:space="preserve">Prior to the COVID-19 pandemic, students exhibited a higher propensity for telemedicine </w:t>
      </w:r>
      <w:r w:rsidR="000706EF">
        <w:rPr>
          <w:color w:val="0D0D0D"/>
          <w:shd w:val="clear" w:color="auto" w:fill="FFFFFF"/>
        </w:rPr>
        <w:t>adoption</w:t>
      </w:r>
      <w:r>
        <w:rPr>
          <w:color w:val="0D0D0D"/>
          <w:shd w:val="clear" w:color="auto" w:fill="FFFFFF"/>
        </w:rPr>
        <w:t xml:space="preserve"> </w:t>
      </w:r>
      <w:r w:rsidRPr="007B245D">
        <w:rPr>
          <w:color w:val="0D0D0D"/>
          <w:shd w:val="clear" w:color="auto" w:fill="FFFFFF"/>
        </w:rPr>
        <w:t>compared to the general population</w:t>
      </w:r>
      <w:r w:rsidR="00956E1E">
        <w:rPr>
          <w:color w:val="0D0D0D"/>
          <w:shd w:val="clear" w:color="auto" w:fill="FFFFFF"/>
        </w:rPr>
        <w:t xml:space="preserve">, perhaps because of </w:t>
      </w:r>
      <w:r w:rsidRPr="007B245D">
        <w:rPr>
          <w:color w:val="0D0D0D"/>
          <w:shd w:val="clear" w:color="auto" w:fill="FFFFFF"/>
        </w:rPr>
        <w:t>the broader access provided by university health services, which were early adopters of remote healthcare offerings</w:t>
      </w:r>
      <w:r w:rsidR="00EB2BD0">
        <w:rPr>
          <w:color w:val="0D0D0D"/>
          <w:shd w:val="clear" w:color="auto" w:fill="FFFFFF"/>
        </w:rPr>
        <w:t xml:space="preserve"> </w:t>
      </w:r>
      <w:r w:rsidR="00BF51EC">
        <w:rPr>
          <w:color w:val="0D0D0D"/>
          <w:shd w:val="clear" w:color="auto" w:fill="FFFFFF"/>
        </w:rPr>
        <w:t xml:space="preserve">(see </w:t>
      </w:r>
      <w:bookmarkStart w:id="51" w:name="_Hlk166044878"/>
      <w:r w:rsidR="00BF51EC">
        <w:rPr>
          <w:color w:val="0D0D0D"/>
          <w:shd w:val="clear" w:color="auto" w:fill="FFFFFF"/>
        </w:rPr>
        <w:fldChar w:fldCharType="begin"/>
      </w:r>
      <w:r w:rsidR="00666676">
        <w:rPr>
          <w:color w:val="0D0D0D"/>
          <w:shd w:val="clear" w:color="auto" w:fill="FFFFFF"/>
        </w:rPr>
        <w:instrText xml:space="preserve"> ADDIN ZOTERO_ITEM CSL_CITATION {"citationID":"kiomvYXh","properties":{"formattedCitation":"(Gallagher Student Health &amp; Special Risk, 2019; Hollowell et al., 2022)","plainCitation":"(Gallagher Student Health &amp; Special Risk, 2019; Hollowell et al., 2022)","dontUpdate":true,"noteIndex":0},"citationItems":[{"id":2369,"uris":["http://zotero.org/users/9292995/items/XF66A8WE"],"itemData":{"id":2369,"type":"webpage","title":"Understanding the issue: Telemedicine Access, Utilization Trends and Challenges in Student Health Insurance","URL":"https://www.gallagherstudent.com/news/article/student-health-telemedicine-access","author":[{"literal":"Gallagher Student Health &amp; Special Risk"}],"accessed":{"date-parts":[["2024",3,7]]},"issued":{"date-parts":[["2019"]]}}},{"id":2366,"uris":["http://zotero.org/users/9292995/items/R77P7ENX"],"itemData":{"id":2366,"type":"article-journal","abstract":"Objectives:\nTo identify rates of telemedicine provision during the COVID-19 pandemic and predictive institutional factors among 4-year and graduate colleges and universities.\n\nParticipants:\nThe study (n=364) included the websites (.edu) of accredited public non-profit, private non-profit, and private for-profit institutions of higher education in the United States that award bachelors, masters, or doctoral degrees.\n\nMethods:\nUsing digital content analysis, human coders analyzed institution websites for informational text indicating student telemedicine services.\n\nResults:\nFindings indicate that a minority of 4-year and above institutions offer telemedicine access. Institution type, institution size, and the presence of campus student health services were predictive. Endowment size and Minority Serving Institution status were not predictive.\n\nConclusion:\nThis study illustrates the ongoing need for increased access to remote health services across higher education, especially among smaller private and public non-profit colleges and universities and all private for-profit institutions.","container-title":"Journal of American college health : J of ACH","DOI":"10.1080/07448481.2022.2047703","ISSN":"0744-8481","journalAbbreviation":"J Am Coll Health","note":"PMID: 35298352\nPMCID: PMC9481978","page":"1-6","source":"PubMed Central","title":"Telemedicine Services in Higher Education: A Review of College and University Websites","title-short":"Telemedicine Services in Higher Education","author":[{"family":"Hollowell","given":"Adam"},{"family":"Swartz","given":"Jonas"},{"family":"Myers","given":"Evan"},{"family":"Erkanli","given":"Al"},{"family":"Hu","given":"Clarice"},{"family":"Shin","given":"Andrew"},{"family":"Bentley-Edwards","given":"Keisha"}],"issued":{"date-parts":[["2022",3,17]]}}}],"schema":"https://github.com/citation-style-language/schema/raw/master/csl-citation.json"} </w:instrText>
      </w:r>
      <w:r w:rsidR="00BF51EC">
        <w:rPr>
          <w:color w:val="0D0D0D"/>
          <w:shd w:val="clear" w:color="auto" w:fill="FFFFFF"/>
        </w:rPr>
        <w:fldChar w:fldCharType="separate"/>
      </w:r>
      <w:r w:rsidR="00BF51EC" w:rsidRPr="00BF51EC">
        <w:t xml:space="preserve">Gallagher Student Health </w:t>
      </w:r>
      <w:r w:rsidR="00A82346">
        <w:t>and</w:t>
      </w:r>
      <w:r w:rsidR="00BF51EC" w:rsidRPr="00BF51EC">
        <w:t xml:space="preserve"> Special Risk, 2019</w:t>
      </w:r>
      <w:r w:rsidR="009A6E84">
        <w:t>, and</w:t>
      </w:r>
      <w:r w:rsidR="00BF51EC" w:rsidRPr="00BF51EC">
        <w:t xml:space="preserve"> Hollowell et al., 2022)</w:t>
      </w:r>
      <w:r w:rsidR="00BF51EC">
        <w:rPr>
          <w:color w:val="0D0D0D"/>
          <w:shd w:val="clear" w:color="auto" w:fill="FFFFFF"/>
        </w:rPr>
        <w:fldChar w:fldCharType="end"/>
      </w:r>
      <w:bookmarkEnd w:id="51"/>
      <w:r w:rsidR="00BF51EC">
        <w:rPr>
          <w:color w:val="0D0D0D"/>
          <w:shd w:val="clear" w:color="auto" w:fill="FFFFFF"/>
        </w:rPr>
        <w:t xml:space="preserve">. </w:t>
      </w:r>
      <w:r w:rsidR="00EB2BD0" w:rsidRPr="00EB2BD0">
        <w:rPr>
          <w:color w:val="0D0D0D"/>
          <w:shd w:val="clear" w:color="auto" w:fill="FFFFFF"/>
        </w:rPr>
        <w:t xml:space="preserve">However, as telemedicine became more mainstream post-pandemic, the general population </w:t>
      </w:r>
      <w:r w:rsidR="00A50108">
        <w:rPr>
          <w:color w:val="0D0D0D"/>
          <w:shd w:val="clear" w:color="auto" w:fill="FFFFFF"/>
        </w:rPr>
        <w:t xml:space="preserve">appears to have </w:t>
      </w:r>
      <w:r w:rsidR="00EB2BD0" w:rsidRPr="00EB2BD0">
        <w:rPr>
          <w:color w:val="0D0D0D"/>
          <w:shd w:val="clear" w:color="auto" w:fill="FFFFFF"/>
        </w:rPr>
        <w:t>be</w:t>
      </w:r>
      <w:r w:rsidR="00A50108">
        <w:rPr>
          <w:color w:val="0D0D0D"/>
          <w:shd w:val="clear" w:color="auto" w:fill="FFFFFF"/>
        </w:rPr>
        <w:t xml:space="preserve">gun </w:t>
      </w:r>
      <w:r w:rsidR="00EB2BD0" w:rsidRPr="00EB2BD0">
        <w:rPr>
          <w:color w:val="0D0D0D"/>
          <w:shd w:val="clear" w:color="auto" w:fill="FFFFFF"/>
        </w:rPr>
        <w:t>to adopt telemedicine at rates comparable to those of students, closing the initial usage gap.</w:t>
      </w:r>
      <w:r w:rsidR="00EB2BD0">
        <w:rPr>
          <w:color w:val="0D0D0D"/>
          <w:shd w:val="clear" w:color="auto" w:fill="FFFFFF"/>
        </w:rPr>
        <w:t xml:space="preserve"> </w:t>
      </w:r>
    </w:p>
    <w:p w14:paraId="31241BE5" w14:textId="77777777" w:rsidR="006F3050" w:rsidRDefault="006F3050" w:rsidP="009D0CA2">
      <w:pPr>
        <w:spacing w:after="0" w:line="240" w:lineRule="auto"/>
        <w:jc w:val="both"/>
        <w:rPr>
          <w:color w:val="0D0D0D"/>
          <w:u w:val="single"/>
          <w:shd w:val="clear" w:color="auto" w:fill="FFFFFF"/>
        </w:rPr>
      </w:pPr>
    </w:p>
    <w:p w14:paraId="14C36A04" w14:textId="5A70B6DD" w:rsidR="00A50108" w:rsidRDefault="00A50108" w:rsidP="009D0CA2">
      <w:pPr>
        <w:spacing w:after="0" w:line="240" w:lineRule="auto"/>
        <w:jc w:val="both"/>
        <w:rPr>
          <w:color w:val="0D0D0D"/>
          <w:u w:val="single"/>
          <w:shd w:val="clear" w:color="auto" w:fill="FFFFFF"/>
        </w:rPr>
      </w:pPr>
      <w:r w:rsidRPr="0077128D">
        <w:rPr>
          <w:color w:val="0D0D0D"/>
          <w:u w:val="single"/>
          <w:shd w:val="clear" w:color="auto" w:fill="FFFFFF"/>
        </w:rPr>
        <w:lastRenderedPageBreak/>
        <w:t>Other Factors</w:t>
      </w:r>
    </w:p>
    <w:p w14:paraId="15D48978" w14:textId="31DD59A3" w:rsidR="007B245D" w:rsidRPr="007B245D" w:rsidRDefault="00192792" w:rsidP="006F3050">
      <w:pPr>
        <w:spacing w:after="0" w:line="240" w:lineRule="auto"/>
        <w:jc w:val="both"/>
      </w:pPr>
      <w:r>
        <w:t xml:space="preserve">Consistent with </w:t>
      </w:r>
      <w:r w:rsidR="00EB2BD0">
        <w:t xml:space="preserve">the </w:t>
      </w:r>
      <w:r w:rsidR="00A50108">
        <w:t xml:space="preserve">actual </w:t>
      </w:r>
      <w:r>
        <w:t xml:space="preserve">telework </w:t>
      </w:r>
      <w:r w:rsidR="00737D60">
        <w:t>frequency</w:t>
      </w:r>
      <w:r>
        <w:t xml:space="preserve"> effect</w:t>
      </w:r>
      <w:r w:rsidR="00D55370" w:rsidRPr="00D55370">
        <w:t>, the</w:t>
      </w:r>
      <w:r w:rsidR="00A50108">
        <w:t>re is a</w:t>
      </w:r>
      <w:r w:rsidR="00D55370" w:rsidRPr="00D55370">
        <w:t xml:space="preserve"> </w:t>
      </w:r>
      <w:r w:rsidR="00737D60" w:rsidRPr="00737D60">
        <w:t xml:space="preserve">positive </w:t>
      </w:r>
      <w:r>
        <w:t>influence</w:t>
      </w:r>
      <w:r w:rsidR="00A50108">
        <w:t xml:space="preserve"> of the preference for remote work</w:t>
      </w:r>
      <w:r w:rsidR="000E38BF">
        <w:t xml:space="preserve"> (in the </w:t>
      </w:r>
      <w:r w:rsidR="006312A4">
        <w:t>After-COVID</w:t>
      </w:r>
      <w:r w:rsidR="000E38BF">
        <w:t xml:space="preserve"> period) </w:t>
      </w:r>
      <w:r w:rsidR="00A50108">
        <w:t xml:space="preserve">on </w:t>
      </w:r>
      <w:r w:rsidR="00737D60" w:rsidRPr="00737D60">
        <w:t xml:space="preserve">telemedicine </w:t>
      </w:r>
      <w:r w:rsidR="000706EF">
        <w:t>adoption</w:t>
      </w:r>
      <w:r w:rsidR="000E38BF">
        <w:t>,</w:t>
      </w:r>
      <w:r w:rsidR="00D55370" w:rsidRPr="00D55370">
        <w:t xml:space="preserve"> signal</w:t>
      </w:r>
      <w:r w:rsidR="000E38BF">
        <w:t>ing</w:t>
      </w:r>
      <w:r w:rsidR="00D55370" w:rsidRPr="00D55370">
        <w:t xml:space="preserve"> a </w:t>
      </w:r>
      <w:r w:rsidR="000E38BF">
        <w:t>broader</w:t>
      </w:r>
      <w:r w:rsidR="00D55370" w:rsidRPr="00D55370">
        <w:t xml:space="preserve"> trend toward digital integration in</w:t>
      </w:r>
      <w:r w:rsidR="00A50108">
        <w:t xml:space="preserve"> </w:t>
      </w:r>
      <w:r w:rsidR="00737D60">
        <w:t>life</w:t>
      </w:r>
      <w:r w:rsidR="00A50108">
        <w:t xml:space="preserve"> activities</w:t>
      </w:r>
      <w:r w:rsidR="00D55370" w:rsidRPr="00D55370">
        <w:t>.</w:t>
      </w:r>
      <w:r w:rsidR="00737D60">
        <w:t xml:space="preserve"> </w:t>
      </w:r>
      <w:r>
        <w:t>Not surprisingly</w:t>
      </w:r>
      <w:r w:rsidR="00737D60">
        <w:t xml:space="preserve">, </w:t>
      </w:r>
      <w:r w:rsidR="000E38BF">
        <w:t xml:space="preserve">those who report that they enjoyed the lower need to </w:t>
      </w:r>
      <w:r w:rsidR="000E38BF" w:rsidRPr="009A6E84">
        <w:t xml:space="preserve">drive during the peak of COVID </w:t>
      </w:r>
      <w:r w:rsidRPr="009A6E84">
        <w:t xml:space="preserve">and those who indicate that individuals’ overall well-being was at risk during the pandemic </w:t>
      </w:r>
      <w:r w:rsidR="000E38BF" w:rsidRPr="009A6E84">
        <w:t xml:space="preserve">are </w:t>
      </w:r>
      <w:r w:rsidR="00956E1E" w:rsidRPr="009A6E84">
        <w:t xml:space="preserve">also </w:t>
      </w:r>
      <w:r w:rsidR="000E38BF" w:rsidRPr="009A6E84">
        <w:t xml:space="preserve">more likely to embrace </w:t>
      </w:r>
      <w:r w:rsidR="00737D60" w:rsidRPr="009A6E84">
        <w:t>telemedicine adoption</w:t>
      </w:r>
      <w:r w:rsidR="009A6E84">
        <w:t>.</w:t>
      </w:r>
      <w:r w:rsidR="009A6E84" w:rsidRPr="009A6E84">
        <w:t xml:space="preserve"> This finding is consistent with the observations made by </w:t>
      </w:r>
      <w:r w:rsidR="009A6E84">
        <w:fldChar w:fldCharType="begin"/>
      </w:r>
      <w:r w:rsidR="00876B92">
        <w:instrText xml:space="preserve"> ADDIN ZOTERO_ITEM CSL_CITATION {"citationID":"2DipLrdZ","properties":{"formattedCitation":"(de Palma et al., 2022)","plainCitation":"(de Palma et al., 2022)","dontUpdate":true,"noteIndex":0},"citationItems":[{"id":2463,"uris":["http://zotero.org/users/9292995/items/NFSSAG5D"],"itemData":{"id":2463,"type":"article-journal","abstract":"The outbreak of SARS-COV-2 has led to the COVID-19 pandemic in March 2020 and caused over 4.5 million deaths worldwide by September 2021. Besides the public health crisis, COVID-19 affectedthe globaleconomy and development significantly. It also led to changes in people’s mobility and lifestyle during the COVID-19 pandemic. In addition to short-term changes, the drastic transformation of the world may account for the potentially disruptive long-term impacts. Recognizing the adverse effects of the COVID-19 pandemic is crucial in mitigating the negative behavioral changes that directly relate to people’s psychological and social well-being. It is important to stress that citizens and governments face an uncertain situation since nobody knows exactly how the viruses and cures will develop. Better understanding of uncertainties and evaluating behavioral changes contribute to addressing the future of urban development, public transportation, and behavioral strategies to tackle COVID-19 negative consequences. The major sources of impacts on short-term (route, departure time, mode, teleshopping, and teleworking) and medium and long-term (car ownership, work location, choice of job, and residential location) mobility decisions are mostly reviewed and discussed in this paper.","container-title":"Transportation Research Part A: Policy and Practice","DOI":"10.1016/j.tra.2022.03.024","ISSN":"0965-8564","journalAbbreviation":"Transportation Research Part A: Policy and Practice","page":"372-397","source":"ScienceDirect","title":"An overview of effects of COVID-19 on mobility and lifestyle: 18 months since the outbreak","title-short":"An overview of effects of COVID-19 on mobility and lifestyle","volume":"159","author":[{"family":"Palma","given":"André","non-dropping-particle":"de"},{"family":"Vosough","given":"Shaghayegh"},{"family":"Liao","given":"Feixiong"}],"issued":{"date-parts":[["2022",5,1]]}}}],"schema":"https://github.com/citation-style-language/schema/raw/master/csl-citation.json"} </w:instrText>
      </w:r>
      <w:r w:rsidR="009A6E84">
        <w:fldChar w:fldCharType="separate"/>
      </w:r>
      <w:r w:rsidR="009A6E84" w:rsidRPr="009A6E84">
        <w:t xml:space="preserve">de Palma et al. </w:t>
      </w:r>
      <w:r w:rsidR="009A6E84">
        <w:t>(</w:t>
      </w:r>
      <w:r w:rsidR="009A6E84" w:rsidRPr="009A6E84">
        <w:t>2022)</w:t>
      </w:r>
      <w:r w:rsidR="009A6E84">
        <w:fldChar w:fldCharType="end"/>
      </w:r>
      <w:r w:rsidR="009A6E84">
        <w:t xml:space="preserve"> </w:t>
      </w:r>
      <w:r w:rsidR="009A6E84" w:rsidRPr="009A6E84">
        <w:t>and</w:t>
      </w:r>
      <w:r w:rsidR="009A6E84">
        <w:t xml:space="preserve"> </w:t>
      </w:r>
      <w:r w:rsidR="009A6E84">
        <w:fldChar w:fldCharType="begin"/>
      </w:r>
      <w:r w:rsidR="00876B92">
        <w:instrText xml:space="preserve"> ADDIN ZOTERO_ITEM CSL_CITATION {"citationID":"0T0g7fJp","properties":{"formattedCitation":"(Haddad et al., 2023)","plainCitation":"(Haddad et al., 2023)","dontUpdate":true,"noteIndex":0},"citationItems":[{"id":1011,"uris":["http://zotero.org/users/9292995/items/ZSZAYP89"],"itemData":{"id":1011,"type":"article-journal","container-title":"Transportation Research Part C: Emerging Technologies","ISSN":"0968-090X","journalAbbreviation":"Transportation Research Part C: Emerging Technologies","note":"publisher: Elsevier","page":"104016","title":"Eat-in or eat-out? A joint model to analyze the new landscape of dinner meal preferences","volume":"147","author":[{"family":"Haddad","given":"Angela J"},{"family":"Mondal","given":"Aupal"},{"family":"Bhat","given":"Chandra R"}],"issued":{"date-parts":[["2023"]]}}}],"schema":"https://github.com/citation-style-language/schema/raw/master/csl-citation.json"} </w:instrText>
      </w:r>
      <w:r w:rsidR="009A6E84">
        <w:fldChar w:fldCharType="separate"/>
      </w:r>
      <w:r w:rsidR="009A6E84" w:rsidRPr="009A6E84">
        <w:t xml:space="preserve">Haddad et al. </w:t>
      </w:r>
      <w:r w:rsidR="009A6E84">
        <w:t>(</w:t>
      </w:r>
      <w:r w:rsidR="009A6E84" w:rsidRPr="009A6E84">
        <w:t>2023)</w:t>
      </w:r>
      <w:r w:rsidR="009A6E84">
        <w:fldChar w:fldCharType="end"/>
      </w:r>
      <w:r w:rsidR="009A6E84" w:rsidRPr="009A6E84">
        <w:t>, who noted a similar trend in the acceptance of remote services and activities among these individuals.</w:t>
      </w:r>
      <w:r w:rsidR="009A6E84">
        <w:t xml:space="preserve"> </w:t>
      </w:r>
      <w:r w:rsidR="000E38BF" w:rsidRPr="009A6E84">
        <w:t>The</w:t>
      </w:r>
      <w:r w:rsidRPr="009A6E84">
        <w:t xml:space="preserve"> above</w:t>
      </w:r>
      <w:r w:rsidR="000E38BF" w:rsidRPr="009A6E84">
        <w:t xml:space="preserve"> t</w:t>
      </w:r>
      <w:r w:rsidRPr="009A6E84">
        <w:t>hree</w:t>
      </w:r>
      <w:r w:rsidR="000E38BF" w:rsidRPr="009A6E84">
        <w:t xml:space="preserve"> exogenous variables were </w:t>
      </w:r>
      <w:r w:rsidR="00873D46" w:rsidRPr="009A6E84">
        <w:t xml:space="preserve">not obtained for the </w:t>
      </w:r>
      <w:r w:rsidR="00C817CF">
        <w:t>Before-</w:t>
      </w:r>
      <w:r w:rsidR="006312A4">
        <w:t>COVID</w:t>
      </w:r>
      <w:r w:rsidR="00873D46" w:rsidRPr="009A6E84">
        <w:t xml:space="preserve"> period</w:t>
      </w:r>
      <w:r w:rsidR="000E38BF" w:rsidRPr="009A6E84">
        <w:t xml:space="preserve">, so they do not appear in the </w:t>
      </w:r>
      <w:r w:rsidR="00C817CF">
        <w:t>Before-</w:t>
      </w:r>
      <w:r w:rsidR="006312A4">
        <w:t>COVID</w:t>
      </w:r>
      <w:r w:rsidR="000E38BF" w:rsidRPr="009A6E84">
        <w:t xml:space="preserve"> column of </w:t>
      </w:r>
      <w:r w:rsidR="0069340B">
        <w:fldChar w:fldCharType="begin"/>
      </w:r>
      <w:r w:rsidR="0069340B">
        <w:instrText xml:space="preserve"> REF _Ref178945050 \h </w:instrText>
      </w:r>
      <w:r w:rsidR="0069340B">
        <w:fldChar w:fldCharType="separate"/>
      </w:r>
      <w:r w:rsidR="008A3DCE">
        <w:t xml:space="preserve">Table </w:t>
      </w:r>
      <w:r w:rsidR="008A3DCE">
        <w:rPr>
          <w:noProof/>
        </w:rPr>
        <w:t>4</w:t>
      </w:r>
      <w:r w:rsidR="0069340B">
        <w:fldChar w:fldCharType="end"/>
      </w:r>
      <w:r w:rsidR="000E38BF" w:rsidRPr="009A6E84">
        <w:t xml:space="preserve">. </w:t>
      </w:r>
      <w:r w:rsidR="00873D46" w:rsidRPr="009A6E84">
        <w:t>As expected, individuals who self-chara</w:t>
      </w:r>
      <w:r w:rsidR="00D658B2" w:rsidRPr="009A6E84">
        <w:t>c</w:t>
      </w:r>
      <w:r w:rsidR="00873D46" w:rsidRPr="009A6E84">
        <w:t>terize themselves as not being technologically savvy</w:t>
      </w:r>
      <w:r w:rsidR="00873D46">
        <w:t xml:space="preserve"> have a lower telemedicine adoption in both the </w:t>
      </w:r>
      <w:r w:rsidR="00C817CF">
        <w:t>Before-</w:t>
      </w:r>
      <w:r w:rsidR="006312A4">
        <w:t>COVID</w:t>
      </w:r>
      <w:r w:rsidR="00873D46">
        <w:t xml:space="preserve"> and </w:t>
      </w:r>
      <w:r w:rsidR="006312A4">
        <w:t>After-COVID</w:t>
      </w:r>
      <w:r w:rsidR="00873D46">
        <w:t xml:space="preserve"> periods.</w:t>
      </w:r>
    </w:p>
    <w:p w14:paraId="3B78407E" w14:textId="2FD6FCE5" w:rsidR="009D0E1E" w:rsidRDefault="006C22E9" w:rsidP="009D0CA2">
      <w:pPr>
        <w:spacing w:after="0" w:line="240" w:lineRule="auto"/>
        <w:ind w:firstLine="720"/>
        <w:jc w:val="both"/>
      </w:pPr>
      <w:r>
        <w:t>R</w:t>
      </w:r>
      <w:r w:rsidR="00767857">
        <w:t>esidential location attributes ha</w:t>
      </w:r>
      <w:r w:rsidR="007B33B0">
        <w:t>ve</w:t>
      </w:r>
      <w:r w:rsidR="00767857">
        <w:t xml:space="preserve"> direct effect</w:t>
      </w:r>
      <w:r w:rsidR="007B33B0">
        <w:t>s</w:t>
      </w:r>
      <w:r w:rsidR="00767857">
        <w:t xml:space="preserve"> on telemedicine preferences. </w:t>
      </w:r>
      <w:r w:rsidR="00233F42">
        <w:t>Before</w:t>
      </w:r>
      <w:r w:rsidR="00282D9C" w:rsidRPr="00282D9C">
        <w:t xml:space="preserve"> the pandemic, when telemedicine was considered a niche service, the influence of geographic accessibility to healthcare providers on telemedicine </w:t>
      </w:r>
      <w:r w:rsidR="000706EF">
        <w:t>adoption</w:t>
      </w:r>
      <w:r w:rsidR="00282D9C" w:rsidRPr="00282D9C">
        <w:t xml:space="preserve"> was </w:t>
      </w:r>
      <w:r w:rsidR="007B245D">
        <w:t>insignificant</w:t>
      </w:r>
      <w:r w:rsidR="00282D9C" w:rsidRPr="00282D9C">
        <w:t xml:space="preserve">. However, </w:t>
      </w:r>
      <w:r w:rsidR="007B33B0">
        <w:t>in the post-</w:t>
      </w:r>
      <w:r w:rsidR="00282D9C" w:rsidRPr="00282D9C">
        <w:t>pandemic</w:t>
      </w:r>
      <w:r w:rsidR="007B33B0">
        <w:t xml:space="preserve"> period</w:t>
      </w:r>
      <w:r w:rsidR="00282D9C" w:rsidRPr="00282D9C">
        <w:t xml:space="preserve">, individuals with </w:t>
      </w:r>
      <w:r w:rsidR="00E47F7F">
        <w:t>higher</w:t>
      </w:r>
      <w:r w:rsidR="00282D9C" w:rsidRPr="00282D9C">
        <w:t xml:space="preserve"> </w:t>
      </w:r>
      <w:r w:rsidR="00FD6918">
        <w:t>in-person</w:t>
      </w:r>
      <w:r w:rsidR="00282D9C" w:rsidRPr="00282D9C">
        <w:t xml:space="preserve"> access to </w:t>
      </w:r>
      <w:r w:rsidR="00803E72">
        <w:t>physicians</w:t>
      </w:r>
      <w:r w:rsidR="00282D9C" w:rsidRPr="00282D9C">
        <w:t xml:space="preserve"> </w:t>
      </w:r>
      <w:r w:rsidR="00873D46">
        <w:t>(&gt;3 physician</w:t>
      </w:r>
      <w:r w:rsidR="003E5B70">
        <w:t xml:space="preserve"> offices</w:t>
      </w:r>
      <w:r w:rsidR="00873D46">
        <w:t xml:space="preserve"> in the individual’s residence zip code) </w:t>
      </w:r>
      <w:r w:rsidR="00E47F7F">
        <w:t xml:space="preserve">and those in higher </w:t>
      </w:r>
      <w:r w:rsidR="00873D46">
        <w:t xml:space="preserve">(than average) </w:t>
      </w:r>
      <w:r w:rsidR="00E47F7F">
        <w:t xml:space="preserve">population density areas </w:t>
      </w:r>
      <w:r w:rsidR="007B33B0">
        <w:t>are</w:t>
      </w:r>
      <w:r w:rsidR="00282D9C" w:rsidRPr="00282D9C">
        <w:t xml:space="preserve"> significantly less likely to utilize telemedicine</w:t>
      </w:r>
      <w:r w:rsidR="00E47F7F">
        <w:t xml:space="preserve"> than their counterparts in locations with lower </w:t>
      </w:r>
      <w:r w:rsidR="00FD6918">
        <w:t xml:space="preserve">in-person </w:t>
      </w:r>
      <w:r w:rsidR="00873D46">
        <w:t xml:space="preserve">physician </w:t>
      </w:r>
      <w:r w:rsidR="00E47F7F">
        <w:t xml:space="preserve">access </w:t>
      </w:r>
      <w:r w:rsidR="00873D46">
        <w:t>(≤</w:t>
      </w:r>
      <w:r w:rsidR="003E5B70">
        <w:t xml:space="preserve">3 physician offices in the individual’s residence zip code) </w:t>
      </w:r>
      <w:r w:rsidR="00E47F7F">
        <w:t xml:space="preserve">and lower </w:t>
      </w:r>
      <w:r w:rsidR="003E5B70">
        <w:t xml:space="preserve">(than average) </w:t>
      </w:r>
      <w:r w:rsidR="00E47F7F">
        <w:t>population density</w:t>
      </w:r>
      <w:r w:rsidR="003E5B70">
        <w:t xml:space="preserve">. The </w:t>
      </w:r>
      <w:r w:rsidR="00C0335F">
        <w:t>results</w:t>
      </w:r>
      <w:r w:rsidR="008C2A3E" w:rsidRPr="008C2A3E">
        <w:t xml:space="preserve"> </w:t>
      </w:r>
      <w:r w:rsidR="00C0335F">
        <w:t xml:space="preserve">do not </w:t>
      </w:r>
      <w:r w:rsidR="008C2A3E" w:rsidRPr="008C2A3E">
        <w:t>reveal</w:t>
      </w:r>
      <w:r w:rsidR="00C0335F">
        <w:t xml:space="preserve"> a statistically significant influence of </w:t>
      </w:r>
      <w:r w:rsidR="00C0335F" w:rsidRPr="008C2A3E">
        <w:t>regional factors</w:t>
      </w:r>
      <w:r w:rsidR="00C0335F">
        <w:t xml:space="preserve"> on telemedicine adoption. </w:t>
      </w:r>
    </w:p>
    <w:p w14:paraId="445357D0" w14:textId="77777777" w:rsidR="009A6E84" w:rsidRPr="00A82346" w:rsidRDefault="009A6E84" w:rsidP="009D0CA2">
      <w:pPr>
        <w:spacing w:after="0" w:line="240" w:lineRule="auto"/>
        <w:ind w:firstLine="720"/>
        <w:jc w:val="both"/>
        <w:rPr>
          <w:color w:val="000000" w:themeColor="text1"/>
        </w:rPr>
      </w:pPr>
    </w:p>
    <w:p w14:paraId="692211B2" w14:textId="03431416" w:rsidR="008463D9" w:rsidRDefault="008463D9" w:rsidP="009D0CA2">
      <w:pPr>
        <w:pStyle w:val="Heading2"/>
        <w:spacing w:after="0" w:line="240" w:lineRule="auto"/>
        <w:contextualSpacing w:val="0"/>
      </w:pPr>
      <w:bookmarkStart w:id="52" w:name="_Ref178947018"/>
      <w:r w:rsidRPr="00AA7298">
        <w:t>Telemedicine</w:t>
      </w:r>
      <w:r>
        <w:t xml:space="preserve"> </w:t>
      </w:r>
      <w:r w:rsidR="00ED7316">
        <w:t>Adoption</w:t>
      </w:r>
      <w:r w:rsidR="0010772D">
        <w:t xml:space="preserve"> Facili</w:t>
      </w:r>
      <w:r w:rsidR="00DA4887">
        <w:t>t</w:t>
      </w:r>
      <w:r w:rsidR="0010772D">
        <w:t xml:space="preserve">ators/Deterrents </w:t>
      </w:r>
      <w:r>
        <w:t>Model Estimation Results</w:t>
      </w:r>
      <w:bookmarkEnd w:id="52"/>
    </w:p>
    <w:p w14:paraId="1F1335D1" w14:textId="73DF0CAF" w:rsidR="00AB0B75" w:rsidRDefault="00233F42" w:rsidP="006F3050">
      <w:pPr>
        <w:spacing w:after="0" w:line="240" w:lineRule="auto"/>
        <w:jc w:val="both"/>
      </w:pPr>
      <w:bookmarkStart w:id="53" w:name="_Hlk166100490"/>
      <w:r>
        <w:t>The second</w:t>
      </w:r>
      <w:r w:rsidR="00F66A2D">
        <w:t xml:space="preserve"> objective</w:t>
      </w:r>
      <w:r>
        <w:t xml:space="preserve"> of the study </w:t>
      </w:r>
      <w:r w:rsidR="003E5B70">
        <w:t>wa</w:t>
      </w:r>
      <w:r>
        <w:t xml:space="preserve">s </w:t>
      </w:r>
      <w:r w:rsidRPr="00233F42">
        <w:t xml:space="preserve">to explore the factors </w:t>
      </w:r>
      <w:r w:rsidR="0010772D">
        <w:t xml:space="preserve">that make telemedicine </w:t>
      </w:r>
      <w:r w:rsidR="000706EF">
        <w:t>adoption</w:t>
      </w:r>
      <w:r w:rsidR="0010772D">
        <w:t xml:space="preserve"> more appealing or less appealing</w:t>
      </w:r>
      <w:r w:rsidRPr="00233F42">
        <w:t>.</w:t>
      </w:r>
      <w:r w:rsidRPr="00296F0E">
        <w:t xml:space="preserve"> </w:t>
      </w:r>
      <w:bookmarkStart w:id="54" w:name="_Hlk166100807"/>
      <w:r w:rsidR="00D479EC">
        <w:t xml:space="preserve">The estimates correspond to the effects on the propensity that </w:t>
      </w:r>
      <w:r w:rsidR="0010772D">
        <w:t xml:space="preserve">each reason acts as a </w:t>
      </w:r>
      <w:r w:rsidR="003E5B70">
        <w:t xml:space="preserve">telemedicine </w:t>
      </w:r>
      <w:r w:rsidR="0010772D">
        <w:t>facilitator/deterrent for a random individual drawn from the population at large.</w:t>
      </w:r>
      <w:r w:rsidR="0069340B">
        <w:t xml:space="preserve">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1B38C6">
        <w:t xml:space="preserve"> </w:t>
      </w:r>
      <w:r w:rsidR="00F66A2D">
        <w:t>present</w:t>
      </w:r>
      <w:r w:rsidR="00FD6918">
        <w:t>s</w:t>
      </w:r>
      <w:r w:rsidR="00F66A2D">
        <w:t xml:space="preserve"> </w:t>
      </w:r>
      <w:r w:rsidRPr="00296F0E">
        <w:t>the results</w:t>
      </w:r>
      <w:r w:rsidR="00DE26A8">
        <w:t>.</w:t>
      </w:r>
      <w:r w:rsidRPr="00296F0E">
        <w:t xml:space="preserve"> </w:t>
      </w:r>
      <w:bookmarkEnd w:id="54"/>
      <w:r w:rsidR="00204482">
        <w:t xml:space="preserve">For ease in presentation and results discussion, we do not provide the t-statistics for the parameters in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204482">
        <w:t xml:space="preserve">, but these are available in an online </w:t>
      </w:r>
      <w:r w:rsidR="00721B8D">
        <w:t>s</w:t>
      </w:r>
      <w:r w:rsidR="00721B8D" w:rsidRPr="00721B8D">
        <w:t>upplement</w:t>
      </w:r>
      <w:r w:rsidR="00204482">
        <w:t xml:space="preserve"> at</w:t>
      </w:r>
      <w:r w:rsidR="00721B8D">
        <w:t xml:space="preserve"> </w:t>
      </w:r>
      <w:hyperlink r:id="rId99" w:history="1">
        <w:r w:rsidR="00721B8D" w:rsidRPr="00721B8D">
          <w:rPr>
            <w:rStyle w:val="Hyperlink"/>
            <w:sz w:val="23"/>
            <w:szCs w:val="23"/>
          </w:rPr>
          <w:t>https://www.caee.utexas.edu/prof/bhat/ABSTRACTS/Telemedicine/OnlineSupp.pdf</w:t>
        </w:r>
      </w:hyperlink>
      <w:r w:rsidR="00721B8D">
        <w:t xml:space="preserve">. </w:t>
      </w:r>
    </w:p>
    <w:bookmarkEnd w:id="53"/>
    <w:p w14:paraId="21FD35B5" w14:textId="77777777" w:rsidR="006F3050" w:rsidRDefault="006F3050" w:rsidP="009D0CA2">
      <w:pPr>
        <w:spacing w:after="0" w:line="240" w:lineRule="auto"/>
        <w:jc w:val="both"/>
        <w:rPr>
          <w:u w:val="single"/>
        </w:rPr>
      </w:pPr>
    </w:p>
    <w:p w14:paraId="744DE59D" w14:textId="16D91B68" w:rsidR="00DE26A8" w:rsidRPr="007B42A6" w:rsidRDefault="00DE26A8" w:rsidP="009D0CA2">
      <w:pPr>
        <w:spacing w:after="0" w:line="240" w:lineRule="auto"/>
        <w:jc w:val="both"/>
        <w:rPr>
          <w:u w:val="single"/>
        </w:rPr>
      </w:pPr>
      <w:r w:rsidRPr="007B42A6">
        <w:rPr>
          <w:u w:val="single"/>
        </w:rPr>
        <w:t>Individual/Sociodemographic Effects</w:t>
      </w:r>
    </w:p>
    <w:p w14:paraId="33B4EDFD" w14:textId="65A9D0D6" w:rsidR="0065551A" w:rsidRDefault="005B22C8" w:rsidP="009D0CA2">
      <w:pPr>
        <w:spacing w:after="0" w:line="240" w:lineRule="auto"/>
        <w:jc w:val="both"/>
      </w:pPr>
      <w:r w:rsidRPr="00296F0E">
        <w:t xml:space="preserve">The results reveal </w:t>
      </w:r>
      <w:r w:rsidR="00DE26A8">
        <w:t xml:space="preserve">that, for women, the main </w:t>
      </w:r>
      <w:r w:rsidR="0010772D">
        <w:t xml:space="preserve">reasons for the appeal of telemedicine correspond to </w:t>
      </w:r>
      <w:r w:rsidR="00DE26A8">
        <w:t>t</w:t>
      </w:r>
      <w:r w:rsidR="00D479EC">
        <w:t>he</w:t>
      </w:r>
      <w:r w:rsidR="00DE26A8">
        <w:t xml:space="preserve"> </w:t>
      </w:r>
      <w:r w:rsidR="00353CC0">
        <w:t>lower</w:t>
      </w:r>
      <w:r w:rsidR="00DE26A8">
        <w:t xml:space="preserve"> contagion risk</w:t>
      </w:r>
      <w:r w:rsidR="00666676">
        <w:t xml:space="preserve"> (LCR)</w:t>
      </w:r>
      <w:r w:rsidR="00DE26A8">
        <w:t xml:space="preserve">, </w:t>
      </w:r>
      <w:r w:rsidR="00353CC0">
        <w:t xml:space="preserve">the </w:t>
      </w:r>
      <w:r w:rsidR="00DE26A8">
        <w:t xml:space="preserve">difficulty in in-person accessibility (DIPA), and telemedicine convenience </w:t>
      </w:r>
      <w:r w:rsidR="00666676">
        <w:t xml:space="preserve">(TC), </w:t>
      </w:r>
      <w:r w:rsidR="00DE26A8">
        <w:t>in that order</w:t>
      </w:r>
      <w:r w:rsidR="00666676">
        <w:t>.</w:t>
      </w:r>
      <w:r w:rsidR="00353CC0" w:rsidRPr="005A1F2A">
        <w:rPr>
          <w:rStyle w:val="FootnoteReference"/>
        </w:rPr>
        <w:footnoteReference w:id="5"/>
      </w:r>
      <w:r w:rsidR="00666676">
        <w:t xml:space="preserve"> </w:t>
      </w:r>
      <w:r w:rsidR="001209A5">
        <w:t>Women also appear less sensitive</w:t>
      </w:r>
      <w:r w:rsidR="00A708B2">
        <w:t xml:space="preserve"> </w:t>
      </w:r>
      <w:r w:rsidR="001209A5">
        <w:t xml:space="preserve">to any </w:t>
      </w:r>
      <w:r w:rsidR="00A708B2">
        <w:t xml:space="preserve">lower cost </w:t>
      </w:r>
      <w:r w:rsidR="00666676">
        <w:t xml:space="preserve">(LE) </w:t>
      </w:r>
      <w:r w:rsidR="00A708B2">
        <w:t xml:space="preserve">benefits of telemedicine </w:t>
      </w:r>
      <w:r w:rsidR="001209A5">
        <w:t>compared to men</w:t>
      </w:r>
      <w:r w:rsidR="00353CC0">
        <w:t xml:space="preserve">, and </w:t>
      </w:r>
      <w:r w:rsidR="00353CC0">
        <w:rPr>
          <w:color w:val="000000"/>
        </w:rPr>
        <w:t>are</w:t>
      </w:r>
      <w:r w:rsidR="00A708B2" w:rsidRPr="000D5F45">
        <w:rPr>
          <w:color w:val="000000"/>
        </w:rPr>
        <w:t xml:space="preserve"> less likely than men to perceive </w:t>
      </w:r>
      <w:r w:rsidR="00353CC0">
        <w:rPr>
          <w:color w:val="000000"/>
        </w:rPr>
        <w:t xml:space="preserve">poor </w:t>
      </w:r>
      <w:r w:rsidR="00AC6E44">
        <w:rPr>
          <w:color w:val="000000"/>
        </w:rPr>
        <w:t xml:space="preserve">telemedicine </w:t>
      </w:r>
      <w:r w:rsidR="00A708B2" w:rsidRPr="000D5F45">
        <w:rPr>
          <w:color w:val="000000"/>
        </w:rPr>
        <w:t>quality</w:t>
      </w:r>
      <w:r w:rsidR="00666676">
        <w:rPr>
          <w:color w:val="000000"/>
        </w:rPr>
        <w:t xml:space="preserve"> (PTQ)</w:t>
      </w:r>
      <w:r w:rsidR="00A708B2" w:rsidRPr="000D5F45">
        <w:rPr>
          <w:color w:val="000000"/>
        </w:rPr>
        <w:t>.</w:t>
      </w:r>
      <w:r w:rsidR="00A708B2">
        <w:rPr>
          <w:color w:val="000000"/>
        </w:rPr>
        <w:t xml:space="preserve"> </w:t>
      </w:r>
      <w:r w:rsidR="00A708B2">
        <w:t>The</w:t>
      </w:r>
      <w:r w:rsidR="005F4CF0">
        <w:t xml:space="preserve"> </w:t>
      </w:r>
      <w:r w:rsidR="00353CC0">
        <w:t xml:space="preserve">gender-based result regarding lowering </w:t>
      </w:r>
      <w:r w:rsidR="005F4CF0">
        <w:t>contagion risk</w:t>
      </w:r>
      <w:r w:rsidR="00A708B2">
        <w:t xml:space="preserve"> </w:t>
      </w:r>
      <w:r w:rsidR="00353CC0">
        <w:t xml:space="preserve">(LCR) </w:t>
      </w:r>
      <w:r w:rsidR="00A708B2">
        <w:t xml:space="preserve">may be attributed to women having generally more health-related angst (and, therefore, being more contagion risk aware; see, for example, </w:t>
      </w:r>
      <w:bookmarkStart w:id="55" w:name="_Hlk166045566"/>
      <w:r w:rsidR="00A708B2">
        <w:fldChar w:fldCharType="begin"/>
      </w:r>
      <w:r w:rsidR="00876B92">
        <w:instrText xml:space="preserve"> ADDIN ZOTERO_ITEM CSL_CITATION {"citationID":"ybdZk1Wx","properties":{"formattedCitation":"(MacSwain et al., 2009)","plainCitation":"(MacSwain et al., 2009)","dontUpdate":true,"noteIndex":0},"citationItems":[{"id":2326,"uris":["http://zotero.org/users/9292995/items/XQH8IY5Q"],"itemData":{"id":2326,"type":"article-journal","abstract":"Health anxiety (HA) involves persistent worry about one’s health and beliefs one has an illness or may contract a disease. In the present study, gender differences in Noyes et al.’s (2003) interpersonal model of health anxiety (IMHA) were examined. Using a sample of 950 undergraduates (674 women; 276 men), multigroup confirmatory factor analyses suggested the measurement model for key dimensions of the IMHA (i.e., reassurance-seeking, alienation, worry, and absorption) were invariant across gender. This suggests key dimensions of this model are applicable to and generalizable across women and men. Coefficients alpha for and bivariate correlations between these IMHA dimensions were also roughly comparable across women and men. As hypothesized, mean levels of reassurance-seeking and worry were significantly higher in women compared to men. No gender differences were observed in mean levels of alienation or absorption. Reassurance-seeking and worry appear salient in the interpersonal behavior and emotional life of women with HA. The present study helps to clarify gender differences in the IMHA and other HA models involving similar variables.","container-title":"Personality and Individual Differences","DOI":"10.1016/j.paid.2009.07.020","ISSN":"0191-8869","issue":"8","journalAbbreviation":"Personality and Individual Differences","page":"938-943","source":"ScienceDirect","title":"Gender differences in health anxiety: An investigation of the interpersonal model of health anxiety","title-short":"Gender differences in health anxiety","volume":"47","author":[{"family":"MacSwain","given":"Kerry Lynn H."},{"family":"Sherry","given":"Simon B."},{"family":"Stewart","given":"Sherry H."},{"family":"Watt","given":"Margo C."},{"family":"Hadjistavropoulos","given":"Heather D."},{"family":"Graham","given":"Aislin R."}],"issued":{"date-parts":[["2009",12,1]]}}}],"schema":"https://github.com/citation-style-language/schema/raw/master/csl-citation.json"} </w:instrText>
      </w:r>
      <w:r w:rsidR="00A708B2">
        <w:fldChar w:fldCharType="separate"/>
      </w:r>
      <w:r w:rsidR="00A708B2" w:rsidRPr="007E5EB1">
        <w:t>MacSwain et al.</w:t>
      </w:r>
      <w:r w:rsidR="009A6E84">
        <w:t>,</w:t>
      </w:r>
      <w:r w:rsidR="00A708B2" w:rsidRPr="007E5EB1">
        <w:t xml:space="preserve"> 2009</w:t>
      </w:r>
      <w:r w:rsidR="00A708B2">
        <w:fldChar w:fldCharType="end"/>
      </w:r>
      <w:r w:rsidR="009A6E84">
        <w:t xml:space="preserve"> and </w:t>
      </w:r>
      <w:r w:rsidR="009A6E84">
        <w:fldChar w:fldCharType="begin"/>
      </w:r>
      <w:r w:rsidR="00876B92">
        <w:instrText xml:space="preserve"> ADDIN ZOTERO_ITEM CSL_CITATION {"citationID":"4soCvaLP","properties":{"formattedCitation":"(Alsharawy et al., 2021)","plainCitation":"(Alsharawy et al., 2021)","dontUpdate":true,"noteIndex":0},"citationItems":[{"id":2324,"uris":["http://zotero.org/users/9292995/items/PYUKSMEN"],"itemData":{"id":2324,"type":"article-journal","abstract":"The COVID-19 pandemic has led many people to suffer from emotional distress. Previous studies suggest that women process and express affective experiences, such as fear, with a greater intensity compared to men. We administered an online survey to a sample of participants in the United States that measures fear of COVID-19, perceptions about health and financial risks, and preventative measures taken. Despite the empirical fact that men are more likely to experience adverse health consequences from COVID-19, women report greater fear and more negative expectations about health-related consequences of COVID-19 than men. However, women are more optimistic than men regarding the financial consequences of the pandemic. Women also report more negative emotional experiences generally during the pandemic, particularly in situations where other people or the government take actions that make matters worse. Though women report taking more preventative measures than men in response to the pandemic, gender differences in behavior are reduced after controlling for fear. These results shed light on how differences in emotional experiences of the pandemic may inform policy interventions.","container-title":"Frontiers in Psychology","ISSN":"1664-1078","source":"Frontiers","title":"Gender Differences in Fear and Risk Perception During the COVID-19 Pandemic","URL":"https://www.frontiersin.org/journals/psychology/articles/10.3389/fpsyg.2021.689467","volume":"12","author":[{"family":"Alsharawy","given":"Abdelaziz"},{"family":"Spoon","given":"Ross"},{"family":"Smith","given":"Alec"},{"family":"Ball","given":"Sheryl"}],"accessed":{"date-parts":[["2024",2,25]]},"issued":{"date-parts":[["2021"]]}}}],"schema":"https://github.com/citation-style-language/schema/raw/master/csl-citation.json"} </w:instrText>
      </w:r>
      <w:r w:rsidR="009A6E84">
        <w:fldChar w:fldCharType="separate"/>
      </w:r>
      <w:r w:rsidR="009A6E84" w:rsidRPr="007E5EB1">
        <w:t>Alsharawy et al.</w:t>
      </w:r>
      <w:r w:rsidR="009A6E84">
        <w:t>,</w:t>
      </w:r>
      <w:r w:rsidR="009A6E84" w:rsidRPr="007E5EB1">
        <w:t xml:space="preserve"> 2021</w:t>
      </w:r>
      <w:r w:rsidR="009A6E84">
        <w:fldChar w:fldCharType="end"/>
      </w:r>
      <w:r w:rsidR="009A6E84">
        <w:t>)</w:t>
      </w:r>
      <w:r w:rsidR="00353CC0">
        <w:t xml:space="preserve">, </w:t>
      </w:r>
      <w:bookmarkEnd w:id="55"/>
      <w:r w:rsidR="00353CC0">
        <w:t>while t</w:t>
      </w:r>
      <w:r w:rsidR="005F4CF0">
        <w:t xml:space="preserve">he DIPA and </w:t>
      </w:r>
      <w:r w:rsidR="00666676">
        <w:t>TC</w:t>
      </w:r>
      <w:r w:rsidR="005F4CF0">
        <w:t xml:space="preserve"> results may be tied to </w:t>
      </w:r>
      <w:r w:rsidR="00A708B2">
        <w:t xml:space="preserve">the time-poor nature of women given they typically juggle multiple responsibilities </w:t>
      </w:r>
      <w:r w:rsidR="005F4CF0">
        <w:t xml:space="preserve">of </w:t>
      </w:r>
      <w:r w:rsidRPr="00296F0E">
        <w:t>work, household duties, and caregiving for children</w:t>
      </w:r>
      <w:r w:rsidR="00353CC0">
        <w:t>/</w:t>
      </w:r>
      <w:r w:rsidRPr="00296F0E">
        <w:t>older family members</w:t>
      </w:r>
      <w:r w:rsidR="005F4CF0">
        <w:t xml:space="preserve"> (</w:t>
      </w:r>
      <w:bookmarkStart w:id="56" w:name="_Hlk166045604"/>
      <w:r w:rsidRPr="00296F0E">
        <w:t xml:space="preserve">see </w:t>
      </w:r>
      <w:r w:rsidR="00666676">
        <w:fldChar w:fldCharType="begin"/>
      </w:r>
      <w:r w:rsidR="00876B92">
        <w:instrText xml:space="preserve"> ADDIN ZOTERO_ITEM CSL_CITATION {"citationID":"9ccnZFXx","properties":{"formattedCitation":"(Bernardo et al., 2015)","plainCitation":"(Bernardo et al., 2015)","dontUpdate":true,"noteIndex":0},"citationItems":[{"id":869,"uris":["http://zotero.org/users/9292995/items/G7JDNVK3"],"itemData":{"id":869,"type":"article-journal","container-title":"Transportation Research Part A: Policy and Practice","ISSN":"0965-8564","journalAbbreviation":"Transportation Research Part A: Policy and Practice","note":"publisher: Elsevier","page":"71-91","title":"An empirical investigation into the time-use and activity patterns of dual-earner couples with and without young children","volume":"76","author":[{"family":"Bernardo","given":"Christina"},{"family":"Paleti","given":"Rajesh"},{"family":"Hoklas","given":"Megan"},{"family":"Bhat","given":"Chandra"}],"issued":{"date-parts":[["2015"]]}}}],"schema":"https://github.com/citation-style-language/schema/raw/master/csl-citation.json"} </w:instrText>
      </w:r>
      <w:r w:rsidR="00666676">
        <w:fldChar w:fldCharType="separate"/>
      </w:r>
      <w:r w:rsidR="00666676" w:rsidRPr="00666676">
        <w:t>Bernardo et al., 2015</w:t>
      </w:r>
      <w:r w:rsidR="00666676">
        <w:fldChar w:fldCharType="end"/>
      </w:r>
      <w:r w:rsidR="00666676">
        <w:t xml:space="preserve"> </w:t>
      </w:r>
      <w:r w:rsidR="005F4CF0">
        <w:t xml:space="preserve">and </w:t>
      </w:r>
      <w:r w:rsidRPr="00296F0E">
        <w:fldChar w:fldCharType="begin"/>
      </w:r>
      <w:r w:rsidR="00666676">
        <w:instrText xml:space="preserve"> ADDIN ZOTERO_ITEM CSL_CITATION {"citationID":"fFwui5AO","properties":{"formattedCitation":"(Festini et al., 2019; Mattingly &amp; Sayer, 2006)","plainCitation":"(Festini et al., 2019; Mattingly &amp; Sayer, 2006)","dontUpdate":true,"noteIndex":0},"citationItems":[{"id":2312,"uris":["http://zotero.org/users/9292995/items/UGVFYKNL"],"itemData":{"id":2312,"type":"article-journal","abstract":"Busier people tend to perform better on cognitive tasks than less busy individuals. Nevertheless, the characteristics that are associated with greater perceived busyness are unknown. To address this question participants (N = 463) from the Dallas Lifespan Brain Study (ages 20–89) completed a self-report busyness assessment and demographic, health, personality, and lifestyle measures. Results revealed that perceived busyness peaked in 30-year-olds, showed age-related decreases until age 60, and then remained stable. Moreover, women generally reported being busier than men. Analysis of age by gender interactions revealed that men exhibited a significant cubic age effect for busyness, whereas women did not. Overall, younger age, female gender, agreeableness, neuroticism, frequent participation in novel activities, and enjoyment of cognitive processing were independently associated with being busier, and the characteristics related to busyness were generally stable across age. Notably, participation in novel activities and need for cognition were the most predictive lifestyle characteristics, supporting the framing of busyness as an indicator of mental engagement. We also propose personality-based sources of self-generated and other-generated busyness.","container-title":"The Journal of General Psychology","DOI":"10.1080/00221309.2018.1540396","ISSN":"0022-1309","issue":"2","note":"publisher: Routledge\n_eprint: https://doi.org/10.1080/00221309.2018.1540396\nPMID: 30686122","page":"111-133","source":"Taylor and Francis+NEJM","title":"What makes us busy? Predictors of perceived busyness across the adult lifespan","title-short":"What makes us busy?","volume":"146","author":[{"family":"Festini","given":"Sara B."},{"family":"Hertzog","given":"Christopher"},{"family":"McDonough","given":"Ian M."},{"family":"Park","given":"Denise C."}],"issued":{"date-parts":[["2019",4,3]]}}},{"id":2314,"uris":["http://zotero.org/users/9292995/items/GYLICDC3"],"itemData":{"id":2314,"type":"article-journal","abstract":"Free time has the potential to reduce time pressures, yet previous studies paradoxically report increases in free time concurrent with increases in feeling rushed. Using U.S. time diary data from 708 individuals in 1975 and 964 individuals in 1998, we review the evidence on trends in free time and subjective perceptions of feeling rushed, and reexamine the relationship between free time and time pressure. We find that women's time pressure increased significantly between 1975 and 1998 but men's did not. In addition, the effects of objective time constraints vary by gender. Whereas more free time reduces men's perceptions of feeling rushed at both time points, among women, free time marginally reduced time pressure in 1975 but no longer reduced time pressure in 1998. Our findings suggest that persistent inequality in gendered time-use patterns is paralleled by gendered experiences of time pressure.","container-title":"Journal of Marriage and Family","DOI":"10.1111/j.1741-3737.2006.00242.x","ISSN":"1741-3737","issue":"1","language":"en","note":"_eprint: https://onlinelibrary.wiley.com/doi/pdf/10.1111/j.1741-3737.2006.00242.x","page":"205-221","source":"Wiley Online Library","title":"Under Pressure: Gender Differences in the Relationship Between Free Time and Feeling Rushed","title-short":"Under Pressure","volume":"68","author":[{"family":"Mattingly","given":"Marybeth J."},{"family":"Sayer","given":"Liana C."}],"issued":{"date-parts":[["2006"]]}}}],"schema":"https://github.com/citation-style-language/schema/raw/master/csl-citation.json"} </w:instrText>
      </w:r>
      <w:r w:rsidRPr="00296F0E">
        <w:fldChar w:fldCharType="separate"/>
      </w:r>
      <w:r w:rsidRPr="00296F0E">
        <w:t>Festini et al., 2019</w:t>
      </w:r>
      <w:r w:rsidRPr="00296F0E">
        <w:fldChar w:fldCharType="end"/>
      </w:r>
      <w:r w:rsidRPr="00296F0E">
        <w:t>)</w:t>
      </w:r>
      <w:r w:rsidR="00353CC0">
        <w:t xml:space="preserve">. The </w:t>
      </w:r>
      <w:bookmarkEnd w:id="56"/>
      <w:r w:rsidR="00353CC0">
        <w:t xml:space="preserve">latter results may also be associated with the </w:t>
      </w:r>
      <w:r w:rsidR="00233F42" w:rsidRPr="00296F0E">
        <w:t xml:space="preserve">lower access </w:t>
      </w:r>
      <w:r w:rsidR="003E5B70">
        <w:t xml:space="preserve">of women </w:t>
      </w:r>
      <w:r w:rsidR="00233F42" w:rsidRPr="00296F0E">
        <w:t>to household vehicles</w:t>
      </w:r>
      <w:r w:rsidR="003E5B70">
        <w:t xml:space="preserve"> </w:t>
      </w:r>
      <w:r w:rsidRPr="00296F0E">
        <w:t>(</w:t>
      </w:r>
      <w:bookmarkStart w:id="57" w:name="_Hlk166045634"/>
      <w:r w:rsidRPr="00296F0E">
        <w:t xml:space="preserve">see </w:t>
      </w:r>
      <w:r w:rsidRPr="00296F0E">
        <w:fldChar w:fldCharType="begin"/>
      </w:r>
      <w:r w:rsidR="00876B92">
        <w:instrText xml:space="preserve"> ADDIN ZOTERO_ITEM CSL_CITATION {"citationID":"JJNt16JP","properties":{"formattedCitation":"(Scheiner &amp; Holz-Rau, 2012)","plainCitation":"(Scheiner &amp; Holz-Rau, 2012)","dontUpdate":true,"noteIndex":0},"citationItems":[{"id":2318,"uris":["http://zotero.org/users/9292995/items/3FZNRTV9"],"itemData":{"id":2318,"type":"article-journal","abstract":"This paper studies the intra-household allocation of cars in car deficient households from a gender perspective. An individual’s car access is measured in terms of duration of car use over a week. Car deficient households are defined as households with fewer cars than drivers. We develop a set of hypotheses that serve to explain gender differences in car availability, and empirically test some of these hypotheses by using multiple regression analysis. The data we use is the German Mobility Panel 1994–2008. Our findings provide evidence for the importance of social roles and economic power in intra-household negotiations about the limited resource of the household car. We cannot clearly decipher whether patriarchal structures and/or gender preferences are relevant as well, but our data suggest that both may play a role.","collection-title":"Gender and transport: Transaction costs, competing claims and transport policy gaps","container-title":"Research in Transportation Economics","DOI":"10.1016/j.retrec.2011.12.006","ISSN":"0739-8859","issue":"1","journalAbbreviation":"Research in Transportation Economics","page":"16-26","source":"ScienceDirect","title":"Gender structures in car availability in car deficient households","volume":"34","author":[{"family":"Scheiner","given":"Joachim"},{"family":"Holz-Rau","given":"Christian"}],"issued":{"date-parts":[["2012",1,1]]}}}],"schema":"https://github.com/citation-style-language/schema/raw/master/csl-citation.json"} </w:instrText>
      </w:r>
      <w:r w:rsidRPr="00296F0E">
        <w:fldChar w:fldCharType="separate"/>
      </w:r>
      <w:r w:rsidR="009A6E84" w:rsidRPr="009A6E84">
        <w:t xml:space="preserve">Scheiner </w:t>
      </w:r>
      <w:r w:rsidR="009A6E84">
        <w:t>and</w:t>
      </w:r>
      <w:r w:rsidR="009A6E84" w:rsidRPr="009A6E84">
        <w:t xml:space="preserve"> Holz-Rau, 2012</w:t>
      </w:r>
      <w:r w:rsidRPr="00296F0E">
        <w:fldChar w:fldCharType="end"/>
      </w:r>
      <w:bookmarkEnd w:id="57"/>
      <w:r w:rsidR="009A6E84">
        <w:t xml:space="preserve">, and </w:t>
      </w:r>
      <w:r w:rsidR="009A6E84" w:rsidRPr="00296F0E">
        <w:fldChar w:fldCharType="begin"/>
      </w:r>
      <w:r w:rsidR="00876B92">
        <w:instrText xml:space="preserve"> ADDIN ZOTERO_ITEM CSL_CITATION {"citationID":"XZdQ1Mlf","properties":{"formattedCitation":"(Infutor, 2021)","plainCitation":"(Infutor, 2021)","dontUpdate":true,"noteIndex":0},"citationItems":[{"id":2317,"uris":["http://zotero.org/users/9292995/items/9G47HKPN"],"itemData":{"id":2317,"type":"dataset","title":"U.S. car owners as of 2021, by gender","URL":"https://www.statista.com/statistics/1041215/us-car-owners-by-sex/","author":[{"literal":"Infutor"}],"issued":{"date-parts":[["2021"]]}}}],"schema":"https://github.com/citation-style-language/schema/raw/master/csl-citation.json"} </w:instrText>
      </w:r>
      <w:r w:rsidR="009A6E84" w:rsidRPr="00296F0E">
        <w:fldChar w:fldCharType="separate"/>
      </w:r>
      <w:r w:rsidR="009A6E84" w:rsidRPr="009A6E84">
        <w:t>Infutor, 2021)</w:t>
      </w:r>
      <w:r w:rsidR="009A6E84" w:rsidRPr="00296F0E">
        <w:fldChar w:fldCharType="end"/>
      </w:r>
      <w:r w:rsidR="009A6E84" w:rsidRPr="00296F0E">
        <w:t>.</w:t>
      </w:r>
    </w:p>
    <w:p w14:paraId="63C078C6" w14:textId="280C3534" w:rsidR="008846A6" w:rsidRDefault="003C5B87" w:rsidP="009D0CA2">
      <w:pPr>
        <w:spacing w:after="0" w:line="240" w:lineRule="auto"/>
        <w:jc w:val="both"/>
        <w:rPr>
          <w:color w:val="000000"/>
        </w:rPr>
      </w:pPr>
      <w:r>
        <w:lastRenderedPageBreak/>
        <w:tab/>
      </w:r>
      <w:r w:rsidR="0007075D">
        <w:t xml:space="preserve">Moving </w:t>
      </w:r>
      <w:r w:rsidR="003E5B70">
        <w:t xml:space="preserve">on </w:t>
      </w:r>
      <w:r w:rsidR="0007075D">
        <w:t xml:space="preserve">to </w:t>
      </w:r>
      <w:r w:rsidR="003E5B70">
        <w:t xml:space="preserve">the </w:t>
      </w:r>
      <w:r w:rsidR="0007075D">
        <w:t xml:space="preserve">lifecycle variables, </w:t>
      </w:r>
      <w:r w:rsidR="00150E64" w:rsidRPr="00150E64">
        <w:t xml:space="preserve">telemedicine </w:t>
      </w:r>
      <w:r w:rsidR="00E00B42">
        <w:t xml:space="preserve">appears to appeal to families with children </w:t>
      </w:r>
      <w:r w:rsidR="0007075D">
        <w:t xml:space="preserve">because of </w:t>
      </w:r>
      <w:r w:rsidR="00E00B42">
        <w:t xml:space="preserve">(a) </w:t>
      </w:r>
      <w:r w:rsidR="0007075D">
        <w:t xml:space="preserve">DIPA, </w:t>
      </w:r>
      <w:r w:rsidR="00E00B42">
        <w:t xml:space="preserve">(b) </w:t>
      </w:r>
      <w:r w:rsidR="0007075D">
        <w:t>the need for more freque</w:t>
      </w:r>
      <w:r w:rsidR="003E5B70">
        <w:t>nt</w:t>
      </w:r>
      <w:r w:rsidR="0007075D">
        <w:t xml:space="preserve"> consultation (FCO), and </w:t>
      </w:r>
      <w:r w:rsidR="00E00B42">
        <w:t xml:space="preserve">(c) </w:t>
      </w:r>
      <w:r w:rsidR="0007075D">
        <w:t>the privacy offered by telemedicine</w:t>
      </w:r>
      <w:r w:rsidR="00E00B42">
        <w:t xml:space="preserve"> </w:t>
      </w:r>
      <w:r w:rsidR="00EB20C8">
        <w:t xml:space="preserve">(TP) </w:t>
      </w:r>
      <w:r w:rsidR="00E00B42">
        <w:t xml:space="preserve">(in that order), while perceived </w:t>
      </w:r>
      <w:r w:rsidR="00EB20C8">
        <w:t xml:space="preserve">in-person convenience (IPC) </w:t>
      </w:r>
      <w:r w:rsidR="004042D5">
        <w:t xml:space="preserve">(that is, perceived telemedicine inconvenience relative to IPC) </w:t>
      </w:r>
      <w:r w:rsidR="00E00B42">
        <w:t>and poor telemedicine quality</w:t>
      </w:r>
      <w:r w:rsidR="00666676">
        <w:t xml:space="preserve"> (PTQ)</w:t>
      </w:r>
      <w:r w:rsidR="00E00B42">
        <w:t xml:space="preserve"> appear to be deterrents for such families. The</w:t>
      </w:r>
      <w:r w:rsidR="008846A6">
        <w:t xml:space="preserve"> telemedicine </w:t>
      </w:r>
      <w:r w:rsidR="00B25323">
        <w:t xml:space="preserve">appeal </w:t>
      </w:r>
      <w:r w:rsidR="003E5B70">
        <w:t xml:space="preserve">for families with children </w:t>
      </w:r>
      <w:r w:rsidR="00E00B42">
        <w:t xml:space="preserve">again </w:t>
      </w:r>
      <w:r w:rsidR="00B25323">
        <w:t xml:space="preserve">is perhaps indicative of </w:t>
      </w:r>
      <w:r w:rsidR="00E00B42">
        <w:t xml:space="preserve">accessibility </w:t>
      </w:r>
      <w:r w:rsidR="00150E64" w:rsidRPr="00150E64">
        <w:t xml:space="preserve">challenges </w:t>
      </w:r>
      <w:r w:rsidR="00E00B42">
        <w:t xml:space="preserve">and time poverty faced by </w:t>
      </w:r>
      <w:r w:rsidR="00B25323">
        <w:t>parents</w:t>
      </w:r>
      <w:r w:rsidR="00E00B42">
        <w:t xml:space="preserve"> (see </w:t>
      </w:r>
      <w:r w:rsidR="00666676">
        <w:fldChar w:fldCharType="begin"/>
      </w:r>
      <w:r w:rsidR="00876B92">
        <w:instrText xml:space="preserve"> ADDIN ZOTERO_ITEM CSL_CITATION {"citationID":"ohNxXsA5","properties":{"formattedCitation":"(Bernardo et al., 2015)","plainCitation":"(Bernardo et al., 2015)","dontUpdate":true,"noteIndex":0},"citationItems":[{"id":869,"uris":["http://zotero.org/users/9292995/items/G7JDNVK3"],"itemData":{"id":869,"type":"article-journal","container-title":"Transportation Research Part A: Policy and Practice","ISSN":"0965-8564","journalAbbreviation":"Transportation Research Part A: Policy and Practice","note":"publisher: Elsevier","page":"71-91","title":"An empirical investigation into the time-use and activity patterns of dual-earner couples with and without young children","volume":"76","author":[{"family":"Bernardo","given":"Christina"},{"family":"Paleti","given":"Rajesh"},{"family":"Hoklas","given":"Megan"},{"family":"Bhat","given":"Chandra"}],"issued":{"date-parts":[["2015"]]}}}],"schema":"https://github.com/citation-style-language/schema/raw/master/csl-citation.json"} </w:instrText>
      </w:r>
      <w:r w:rsidR="00666676">
        <w:fldChar w:fldCharType="separate"/>
      </w:r>
      <w:r w:rsidR="00666676" w:rsidRPr="00666676">
        <w:t>Bernardo et al., 2015)</w:t>
      </w:r>
      <w:r w:rsidR="00666676">
        <w:fldChar w:fldCharType="end"/>
      </w:r>
      <w:r w:rsidR="00666676">
        <w:t xml:space="preserve">, </w:t>
      </w:r>
      <w:r w:rsidR="00B25323">
        <w:t xml:space="preserve">especially because of </w:t>
      </w:r>
      <w:r w:rsidR="00E00B42">
        <w:t>the frequent illness bouts of children (</w:t>
      </w:r>
      <w:r w:rsidR="009A6E84">
        <w:t xml:space="preserve">see </w:t>
      </w:r>
      <w:r w:rsidR="00E00B42">
        <w:t xml:space="preserve">Ashman et al., 2023). </w:t>
      </w:r>
      <w:r w:rsidR="008846A6">
        <w:t>On the other hand</w:t>
      </w:r>
      <w:r w:rsidR="008846A6">
        <w:rPr>
          <w:color w:val="000000"/>
        </w:rPr>
        <w:t>,</w:t>
      </w:r>
      <w:r w:rsidR="008846A6" w:rsidRPr="000D5F45">
        <w:t xml:space="preserve"> </w:t>
      </w:r>
      <w:r w:rsidR="00B25323">
        <w:rPr>
          <w:color w:val="000000"/>
        </w:rPr>
        <w:t xml:space="preserve">the </w:t>
      </w:r>
      <w:r w:rsidR="008846A6" w:rsidRPr="000D5F45">
        <w:rPr>
          <w:color w:val="000000"/>
        </w:rPr>
        <w:t xml:space="preserve">greater concerns about </w:t>
      </w:r>
      <w:r w:rsidR="008846A6">
        <w:rPr>
          <w:color w:val="000000"/>
        </w:rPr>
        <w:t xml:space="preserve">telemedicine inconvenience and </w:t>
      </w:r>
      <w:r w:rsidR="008846A6" w:rsidRPr="000D5F45">
        <w:rPr>
          <w:color w:val="000000"/>
        </w:rPr>
        <w:t>qualit</w:t>
      </w:r>
      <w:r w:rsidR="008846A6">
        <w:rPr>
          <w:color w:val="000000"/>
        </w:rPr>
        <w:t>y</w:t>
      </w:r>
      <w:r w:rsidR="00B25323">
        <w:rPr>
          <w:color w:val="000000"/>
        </w:rPr>
        <w:t xml:space="preserve"> may reflect </w:t>
      </w:r>
      <w:r w:rsidR="008846A6" w:rsidRPr="001601D2">
        <w:rPr>
          <w:color w:val="000000"/>
        </w:rPr>
        <w:t xml:space="preserve">the </w:t>
      </w:r>
      <w:r w:rsidR="008846A6">
        <w:rPr>
          <w:color w:val="000000"/>
        </w:rPr>
        <w:t>complex</w:t>
      </w:r>
      <w:r w:rsidR="008846A6" w:rsidRPr="001601D2">
        <w:rPr>
          <w:color w:val="000000"/>
        </w:rPr>
        <w:t xml:space="preserve"> healthcare needs of children</w:t>
      </w:r>
      <w:r w:rsidR="008846A6">
        <w:rPr>
          <w:color w:val="000000"/>
        </w:rPr>
        <w:t xml:space="preserve"> who require attention to</w:t>
      </w:r>
      <w:r w:rsidR="008846A6" w:rsidRPr="001601D2">
        <w:rPr>
          <w:color w:val="000000"/>
        </w:rPr>
        <w:t xml:space="preserve"> non-verbal cues</w:t>
      </w:r>
      <w:r w:rsidR="008846A6">
        <w:rPr>
          <w:color w:val="000000"/>
        </w:rPr>
        <w:t xml:space="preserve"> and</w:t>
      </w:r>
      <w:r w:rsidR="008846A6" w:rsidRPr="001601D2">
        <w:rPr>
          <w:color w:val="000000"/>
        </w:rPr>
        <w:t xml:space="preserve"> physical examinations</w:t>
      </w:r>
      <w:r w:rsidR="008846A6">
        <w:rPr>
          <w:color w:val="000000"/>
        </w:rPr>
        <w:t xml:space="preserve"> (see, for example, </w:t>
      </w:r>
      <w:bookmarkStart w:id="58" w:name="_Hlk166045721"/>
      <w:r w:rsidR="008846A6">
        <w:rPr>
          <w:color w:val="000000"/>
        </w:rPr>
        <w:fldChar w:fldCharType="begin"/>
      </w:r>
      <w:r w:rsidR="00876B92">
        <w:rPr>
          <w:color w:val="000000"/>
        </w:rPr>
        <w:instrText xml:space="preserve"> ADDIN ZOTERO_ITEM CSL_CITATION {"citationID":"ka6PlXmD","properties":{"formattedCitation":"(Freed, 2021; Tully et al., 2021)","plainCitation":"(Freed, 2021; Tully et al., 2021)","dontUpdate":true,"noteIndex":0},"citationItems":[{"id":2339,"uris":["http://zotero.org/users/9292995/items/SADUPQBS"],"itemData":{"id":2339,"type":"article-journal","container-title":"Mott Poll Report","issue":"4","title":"Virtual Visits for Kids","URL":"https://mottpoll.org/reports/virtual-visits-kids","volume":"38","author":[{"family":"Freed","given":"Gary"}],"issued":{"date-parts":[["2021"]]}}},{"id":2340,"uris":["http://zotero.org/users/9292995/items/G5DBC2IP"],"itemData":{"id":2340,"type":"article-journal","abstract":"Background: COVID-19 has brought to the fore an urgent need for secure information and communication technology (ICT) supported healthcare delivery, as the pertinence of infection control and social distancing continues. Telemedicine for paediatric care warrants special consideration around logistics, consent and assent, child welfare and communication that may differ to adult services. There is no systematic evidence synthesis available that outlines the implementation issues for incorporating telemedicine to paediatric services generally, or how users perceive these issues.Methods: We conducted a rapid mixed-methods evidence synthesis to identify barriers, facilitators, and documented stakeholder experiences of implementing paediatric telemedicine, to inform the pandemic response. A systematic search was undertaken by a research librarian in MEDLINE for relevant studies. All identified records were blind double-screened by two reviewers. Implementation-related data were extracted, and studies quality appraised using the Mixed-Methods Appraisal Tool. Qualitative findings were analysed thematically and then mapped to the Consolidated Framework for Implementation Research. Quantitative findings about barriers and facilitators for implementation were narratively synthesised.Results: We identified 27 eligible studies (19 quantitative; 5 mixed-methods, 3 qualitative). Important challenges highlighted from the perspective of the healthcare providers included issues with ICT proficiency, lack of confidence in the quality/reliability of the technology, connectivity issues, concerns around legal issues, increased administrative burden and/or fear of inability to conduct thorough examinations with reliance on subjective descriptions. Facilitators included clear dissemination of the aims of ICT services, involvement of staff throughout planning and implementation, sufficient training, and cultivation of telemedicine champions. Families often expressed preference for in-person visits but those who had tried tele-consultations, lived far from clinics, or perceived increased convenience with technology considered telemedicine more favourably. Concerns from parents included the responsibility of describing their child's condition in the absence of an in-person examination.Discussion: Healthcare providers and families who have experienced tele-consultations generally report high satisfaction and usability for such services. The use of ICT to facilitate paediatric healthcare consultations is feasible for certain clinical encounters and can work well with appropriate planning and quality facilities in place.","container-title":"Frontiers in Pediatrics","ISSN":"2296-2360","source":"Frontiers","title":"Barriers and Facilitators for Implementing Paediatric Telemedicine: Rapid Review of User Perspectives","title-short":"Barriers and Facilitators for Implementing Paediatric Telemedicine","URL":"https://www.frontiersin.org/articles/10.3389/fped.2021.630365","volume":"9","author":[{"family":"Tully","given":"Louise"},{"family":"Case","given":"Lucinda"},{"family":"Arthurs","given":"Niamh"},{"family":"Sorensen","given":"Jan"},{"family":"Marcin","given":"James P."},{"family":"O'Malley","given":"Grace"}],"accessed":{"date-parts":[["2024",2,26]]},"issued":{"date-parts":[["2021"]]}}}],"schema":"https://github.com/citation-style-language/schema/raw/master/csl-citation.json"} </w:instrText>
      </w:r>
      <w:r w:rsidR="008846A6">
        <w:rPr>
          <w:color w:val="000000"/>
        </w:rPr>
        <w:fldChar w:fldCharType="separate"/>
      </w:r>
      <w:r w:rsidR="009A6E84" w:rsidRPr="009A6E84">
        <w:t>Freed, 2021</w:t>
      </w:r>
      <w:r w:rsidR="009A6E84">
        <w:t>, and</w:t>
      </w:r>
      <w:r w:rsidR="009A6E84" w:rsidRPr="009A6E84">
        <w:t xml:space="preserve"> Tully et al., 2021</w:t>
      </w:r>
      <w:r w:rsidR="008846A6">
        <w:rPr>
          <w:color w:val="000000"/>
        </w:rPr>
        <w:fldChar w:fldCharType="end"/>
      </w:r>
      <w:r w:rsidR="009A6E84">
        <w:rPr>
          <w:color w:val="000000"/>
        </w:rPr>
        <w:t xml:space="preserve">, and </w:t>
      </w:r>
      <w:r w:rsidR="009A6E84">
        <w:rPr>
          <w:color w:val="000000"/>
        </w:rPr>
        <w:fldChar w:fldCharType="begin"/>
      </w:r>
      <w:r w:rsidR="00876B92">
        <w:rPr>
          <w:color w:val="000000"/>
        </w:rPr>
        <w:instrText xml:space="preserve"> ADDIN ZOTERO_ITEM CSL_CITATION {"citationID":"b22lrh5X","properties":{"formattedCitation":"(Burns et al., 2024)","plainCitation":"(Burns et al., 2024)","dontUpdate":true,"noteIndex":0},"citationItems":[{"id":2342,"uris":["http://zotero.org/users/9292995/items/VU2CD2CA"],"itemData":{"id":2342,"type":"article-journal","abstract":"Background: Since 2020, parents have had increasing opportunities to use telemedicine for their children, but how parents decide whether to use telemedicine for acute pediatric care relative to alternative sites of care is not clear. One of the most common reasons parents seek acute care for their children is for acute respiratory tract infections (ARTIs).\nObjective: This study aims to examine parental expectations of care via telemedicine for pediatric ARTIs, contrasting expectations of care delivered via primary care telemedicine and direct-to-consumer (DTC) telemedicine.\nMethods: We performed a sequential mixed methods analysis to examine how parents assess telemedicine for their children’s acute care. We used ARTIs as a case study for examining parent perceptions of telemedicine. First, we analyzed semistructured interviews focused on parent responses about the use of telemedicine. Each factor discussed by parents was coded to reflect whether parents indicated it incentivized or disincentivized their preferences for telemedicine versus in-person care. Results were organized by a 7-dimension framework of parental health care seeking that was generated previously, which included dimensions related to care sites (expected access, affordability, clinical quality, and site quality) and dimensions related to child or family factors (perceived illness severity, perceived child susceptibility, and parent self-efficacy). Second, we analyzed responses to a national survey, which inquired about parental expectations of primary care telemedicine, commercial DTC telemedicine, and 3 in-person sites of care (primary care, urgent care, and emergency department) across 21 factors identified through prior qualitative work. To assess whether parents had different expectations of different telemedicine models, we compared survey responses for primary care telemedicine and commercial DTC telemedicine using weighted logistic regression.\nResults: Interview participants (n=40) described factors affecting their perceptions of telemedicine as a care modality for pediatric ARTIs. Generally, factors aligned with access and affordability (eg, decreased wait time and lower out-of-pocket cost) were discussed as potential incentives for telemedicine use, while factors aligned with perceived illness severity, child susceptibility, and clinician quality (eg, trustworthiness) were discussed as potential disincentives for telemedicine use. In survey responses (n=1206), primary care and commercial DTC telemedicine were rated similarly on items related to expected accessibility and affordability. In contrast, on items related to expected quality of care, primary care telemedicine was viewed similarly to in-person primary care, while commercial DTC telemedicine was rated lower. For example, 69.7% (weighted; 842/1197) of respondents anticipated their children would be comfortable and cooperative with primary care telemedicine versus 49.7% (weighted; 584/1193) with commercial DTC telemedicine (P&amp;lt;.001).\nConclusions: In a mixed methods analysis focused on telemedicine for ARTIs, parents expressed more concerns about telemedicine quality in commercial DTC models compared with primary care–based telemedicine. These results could help health systems better design telemedicine initiatives to support family-centered care.","container-title":"JMIR Pediatrics and Parenting","DOI":"10.2196/49170","issue":"1","language":"EN","license":"Unless stated otherwise, all articles are open-access distributed under the terms of the Creative Commons Attribution License (http://creativecommons.org/licenses/by/2.0/), which permits unrestricted use, distribution, and reproduction in any medium, provided the original work (\"first published in the Journal of Medical Internet Research...\") is properly cited with original URL and bibliographic citation information. The complete bibliographic information, a link to the original publication on http://www.jmir.org/, as well as this copyright and license information must be included.","note":"Company: JMIR Pediatrics and Parenting\nDistributor: JMIR Pediatrics and Parenting\nInstitution: JMIR Pediatrics and Parenting\nLabel: JMIR Pediatrics and Parenting\npublisher: JMIR Publications Inc., Toronto, Canada","page":"e49170","source":"pediatrics.jmir.org","title":"Parent Perceptions of Telemedicine for Acute Pediatric Respiratory Tract Infections: Sequential Mixed Methods Study","title-short":"Parent Perceptions of Telemedicine for Acute Pediatric Respiratory Tract Infections","volume":"7","author":[{"family":"Burns","given":"Sarah K."},{"family":"Krishnamurti","given":"Tamar"},{"family":"Doan","given":"Tran T."},{"family":"Hanmer","given":"Janel"},{"family":"Hoberman","given":"Alejandro"},{"family":"Kahn","given":"Jeremy M."},{"family":"Schweiberger","given":"Kelsey"},{"family":"Ray","given":"Kristin N."}],"issued":{"date-parts":[["2024",1,16]]}}}],"schema":"https://github.com/citation-style-language/schema/raw/master/csl-citation.json"} </w:instrText>
      </w:r>
      <w:r w:rsidR="009A6E84">
        <w:rPr>
          <w:color w:val="000000"/>
        </w:rPr>
        <w:fldChar w:fldCharType="separate"/>
      </w:r>
      <w:r w:rsidR="009A6E84" w:rsidRPr="009A6E84">
        <w:t>Burns et al., 2024)</w:t>
      </w:r>
      <w:r w:rsidR="009A6E84">
        <w:rPr>
          <w:color w:val="000000"/>
        </w:rPr>
        <w:fldChar w:fldCharType="end"/>
      </w:r>
      <w:r w:rsidR="008846A6">
        <w:rPr>
          <w:color w:val="000000"/>
        </w:rPr>
        <w:t xml:space="preserve">. </w:t>
      </w:r>
      <w:bookmarkEnd w:id="58"/>
    </w:p>
    <w:p w14:paraId="309BDC21" w14:textId="11DF0865" w:rsidR="00046842" w:rsidRDefault="002C1E81" w:rsidP="009D0CA2">
      <w:pPr>
        <w:spacing w:after="0" w:line="240" w:lineRule="auto"/>
        <w:jc w:val="both"/>
      </w:pPr>
      <w:r>
        <w:tab/>
      </w:r>
      <w:r w:rsidR="0090275E">
        <w:t xml:space="preserve">The race-related impacts in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084CF9">
        <w:t xml:space="preserve"> </w:t>
      </w:r>
      <w:r w:rsidR="0038153F">
        <w:t>suggest that, for non-white individuals (relative to white individuals)</w:t>
      </w:r>
      <w:r w:rsidR="00EB20C8">
        <w:t>,</w:t>
      </w:r>
      <w:r w:rsidR="0038153F">
        <w:t xml:space="preserve"> the privacy offered by telemedicine (TP)</w:t>
      </w:r>
      <w:r w:rsidR="004042D5">
        <w:t xml:space="preserve"> and </w:t>
      </w:r>
      <w:r w:rsidR="0038153F">
        <w:t xml:space="preserve">the ability </w:t>
      </w:r>
      <w:r w:rsidR="00084CF9">
        <w:t xml:space="preserve">for frequent consultation opportunities </w:t>
      </w:r>
      <w:r w:rsidR="0038153F">
        <w:t>(</w:t>
      </w:r>
      <w:r w:rsidR="00EB20C8">
        <w:t>FCO</w:t>
      </w:r>
      <w:r w:rsidR="0038153F">
        <w:t>)</w:t>
      </w:r>
      <w:r w:rsidR="00EB20C8">
        <w:t xml:space="preserve"> </w:t>
      </w:r>
      <w:r w:rsidR="0003611A">
        <w:t xml:space="preserve">would </w:t>
      </w:r>
      <w:r w:rsidR="00EB20C8">
        <w:t xml:space="preserve">encourage telemedicine </w:t>
      </w:r>
      <w:r w:rsidR="000706EF">
        <w:t>adoption</w:t>
      </w:r>
      <w:r w:rsidR="00EB20C8">
        <w:t xml:space="preserve">, </w:t>
      </w:r>
      <w:r w:rsidR="00046842">
        <w:t xml:space="preserve">while </w:t>
      </w:r>
      <w:r w:rsidR="00EB20C8">
        <w:t xml:space="preserve">the comfort of home (CH) </w:t>
      </w:r>
      <w:r w:rsidR="00046842">
        <w:t>of telemedicine appeals particularly to white individuals</w:t>
      </w:r>
      <w:r w:rsidR="00F37396">
        <w:t>.</w:t>
      </w:r>
      <w:r w:rsidR="00046842">
        <w:t xml:space="preserve"> </w:t>
      </w:r>
      <w:r w:rsidR="00AB5DA4" w:rsidRPr="00AB5DA4">
        <w:t xml:space="preserve">The emphasis </w:t>
      </w:r>
      <w:r w:rsidR="00AB5DA4">
        <w:t xml:space="preserve">of non-white individuals </w:t>
      </w:r>
      <w:r w:rsidR="00AB5DA4" w:rsidRPr="00AB5DA4">
        <w:t xml:space="preserve">on </w:t>
      </w:r>
      <w:r w:rsidR="00084CF9">
        <w:t xml:space="preserve">telemedicine </w:t>
      </w:r>
      <w:r w:rsidR="00AB5DA4" w:rsidRPr="00AB5DA4">
        <w:t xml:space="preserve">privacy and frequent appointments may stem from cultural or historical factors, such as mistrust in the healthcare system or perceived discrimination, which can create barriers to accessing in-person care </w:t>
      </w:r>
      <w:bookmarkStart w:id="59" w:name="_Hlk166045829"/>
      <w:r w:rsidR="009A6E84">
        <w:fldChar w:fldCharType="begin"/>
      </w:r>
      <w:r w:rsidR="00876B92">
        <w:instrText xml:space="preserve"> ADDIN ZOTERO_ITEM CSL_CITATION {"citationID":"F5HmRmZV","properties":{"formattedCitation":"(Powell et al., 2019)","plainCitation":"(Powell et al., 2019)","dontUpdate":true,"noteIndex":0},"citationItems":[{"id":2449,"uris":["http://zotero.org/users/9292995/items/ILDIYCX8"],"itemData":{"id":2449,"type":"article-journal","abstract":"The contribution of medical mistrust to healthcare utilization delays has gained increased public health attention. However, few studies examine these associations among African-American men, who delay preventive healthcare more often and report higher levels of medical mistrust than non-Hispanic White men. Additionally, studies rarely account for other factors reportedly working in tandem with medical mistrust to increase African-American men’s preventive health screening delays (i.e., everyday racism and perceived racism in healthcare). We examined associations between medical mistrust, perceived racism in healthcare, everyday racism, and preventive health screening delays. Analyses were conducted using cross-sectional data from 610 African-American men aged 20 years and older recruited primarily from barbershops in four US regions (2003–2009). Independent variables were medical mistrust (MM), everyday racism (ER), and perceived racism in healthcare (PRH). Dependent variables were self-reported routine checkup, blood pressure screening, and cholesterol screening delays. Using multiple logistic regression and tests for mediation, we calculated odds ratios and 95% confidence intervals to assess associations between the independent and dependent variables. After final adjustment, African-American men with higher MM were significantly more likely to delay blood pressure screenings. Men with more frequent ER exposure were significantly more likely to delay routine checkups and blood pressure screenings. Higher levels of PRH were associated with a significant increased likelihood of delaying cholesterol screening. MM did not mediate associations between ER and screening delays. Increasing preventive health screening among African-American men requires addressing medical mistrust and racism in and outside healthcare institutions.","container-title":"Behavioral Medicine","DOI":"10.1080/08964289.2019.1585327","ISSN":"0896-4289","issue":"2","note":"publisher: Taylor &amp; Francis\n_eprint: https://doi.org/10.1080/08964289.2019.1585327\nPMID: 31343960","page":"102–117","source":"Taylor and Francis+NEJM","title":"Medical Mistrust, Racism, and Delays in Preventive Health Screening Among African-American Men","volume":"45","author":[{"family":"Powell","given":"Wizdom"},{"family":"Richmond","given":"Jennifer"},{"family":"Mohottige","given":"Dinushika"},{"family":"Yen","given":"Irene"},{"family":"Joslyn","given":"Allison"},{"family":"Corbie-Smith","given":"Giselle"}],"issued":{"date-parts":[["2019",4,3]]}}}],"schema":"https://github.com/citation-style-language/schema/raw/master/csl-citation.json"} </w:instrText>
      </w:r>
      <w:r w:rsidR="009A6E84">
        <w:fldChar w:fldCharType="separate"/>
      </w:r>
      <w:r w:rsidR="009A6E84" w:rsidRPr="009A6E84">
        <w:t>(</w:t>
      </w:r>
      <w:r w:rsidR="009A6E84">
        <w:t xml:space="preserve">see </w:t>
      </w:r>
      <w:r w:rsidR="009A6E84" w:rsidRPr="009A6E84">
        <w:t>Powell et al., 2019</w:t>
      </w:r>
      <w:r w:rsidR="009A6E84">
        <w:fldChar w:fldCharType="end"/>
      </w:r>
      <w:r w:rsidR="009A6E84">
        <w:t xml:space="preserve">, and </w:t>
      </w:r>
      <w:r w:rsidR="009A6E84">
        <w:fldChar w:fldCharType="begin"/>
      </w:r>
      <w:r w:rsidR="00876B92">
        <w:instrText xml:space="preserve"> ADDIN ZOTERO_ITEM CSL_CITATION {"citationID":"TawvVfCi","properties":{"formattedCitation":"(Bazargan et al., 2021)","plainCitation":"(Bazargan et al., 2021)","dontUpdate":true,"noteIndex":0},"citationItems":[{"id":2451,"uris":["http://zotero.org/users/9292995/items/9XNRRZ6K"],"itemData":{"id":2451,"type":"article-journal","abstract":"PURPOSE\nAlthough we know that racial and ethnic minorities are more likely to have mistrust in the health care system, very limited knowledge exists on correlates of such medical mistrust among this population. In this study, we explored correlates of medical mistrust in a representative sample of adults.\n\nMETHODS\nWe analyzed cross-sectional study data from the Survey of California Adults on Serious Illness and End-of-Life 2019. We ascertained race/ethnicity, health status, perceived discrimination, demographics, socioeconomic factors, and medical mistrust. For data analysis, we used multinomial logistic regression models.\n\nRESULTS\nAnalyses were based on 704 non-Hispanic Black adults, 711 Hispanic adults, and 913 non-Hispanic White adults. Racial/ethnic background was significantly associated with the level of medical mistrust. Adjusting for all covariates, odds of reporting medical mistrust were 73% higher (adjusted odds ratio [aOR] = 1.73; 95% CI, 1.15-2.61, P &lt;.01) and 49% higher (aOR = 1.49; 95% CI, 1.02-2.17, P &lt;.05) for non-Hispanic Black and Hispanic adults when compared with non-Hispanic White adults, respectively. Perceived discrimination was also associated with higher odds of medical mistrust. Indicating perceived discrimination due to income and insurance was associated with 98% higher odds of medical mistrust (aOR = 1.98; 95% CI, 1.71-2.29, P &lt;.001). Similarly, the experience of discrimination due to racial/ethnic background and language was associated with a 25% increase in the odds of medical mistrust (aOR = 1.25; 95% CI, 1.10-1.43; P &lt;.001).\n\nCONCLUSIONS\nPerceived discrimination is correlated with medical mistrust. If this association is causal, that is, if perceived discrimination causes medical mistrust, then decreasing such discrimination may improve trust in medical clinicians and reduce disparities in health outcomes. Addressing discrimination in health care settings is appropriate for many reasons related to social justice. More longitudinal research is needed to understand how complex societal, economic, psychological, and historical factors contribute to medical mistrust. This type of research may in turn inform the design of multilevel community- and theory-based training models to increase the structural competency of health care clinicians so as to reduce medical mistrust.","container-title":"Annals of Family Medicine","DOI":"10.1370/afm.2632","ISSN":"1544-1709","issue":"1","journalAbbreviation":"Ann Fam Med","note":"PMID: 33431385\nPMCID: PMC7800756","page":"4-15","source":"PubMed Central","title":"Discrimination and Medical Mistrust in a Racially and Ethnically Diverse Sample of California Adults","volume":"19","author":[{"family":"Bazargan","given":"Mohsen"},{"family":"Cobb","given":"Sharon"},{"family":"Assari","given":"Shervin"}],"issued":{"date-parts":[["2021"]]}}}],"schema":"https://github.com/citation-style-language/schema/raw/master/csl-citation.json"} </w:instrText>
      </w:r>
      <w:r w:rsidR="009A6E84">
        <w:fldChar w:fldCharType="separate"/>
      </w:r>
      <w:r w:rsidR="009A6E84" w:rsidRPr="009A6E84">
        <w:t>Bazargan et al., 2021)</w:t>
      </w:r>
      <w:r w:rsidR="009A6E84">
        <w:fldChar w:fldCharType="end"/>
      </w:r>
      <w:r w:rsidR="009B3861">
        <w:t>.</w:t>
      </w:r>
      <w:bookmarkEnd w:id="59"/>
    </w:p>
    <w:p w14:paraId="687276E1" w14:textId="17DB90C0" w:rsidR="00310137" w:rsidRDefault="002C1E81" w:rsidP="009D0CA2">
      <w:pPr>
        <w:spacing w:after="0" w:line="240" w:lineRule="auto"/>
        <w:ind w:firstLine="720"/>
        <w:jc w:val="both"/>
        <w:rPr>
          <w:color w:val="000000"/>
        </w:rPr>
      </w:pPr>
      <w:r>
        <w:t>Age is another significant demographic variable influencing telemedicine preferences</w:t>
      </w:r>
      <w:r w:rsidR="00F37396">
        <w:t xml:space="preserve">, with </w:t>
      </w:r>
      <w:r w:rsidR="000F2F3A">
        <w:t xml:space="preserve">individuals over 50 </w:t>
      </w:r>
      <w:r w:rsidR="00F37396">
        <w:t xml:space="preserve">being </w:t>
      </w:r>
      <w:r w:rsidR="00084CF9">
        <w:t xml:space="preserve">drawn to </w:t>
      </w:r>
      <w:r w:rsidR="000F2F3A">
        <w:t xml:space="preserve">telemedicine </w:t>
      </w:r>
      <w:r w:rsidR="00084CF9">
        <w:t xml:space="preserve">because of </w:t>
      </w:r>
      <w:r w:rsidR="000F2F3A">
        <w:t xml:space="preserve">increased privacy </w:t>
      </w:r>
      <w:r w:rsidR="00084CF9">
        <w:t xml:space="preserve">(TP) </w:t>
      </w:r>
      <w:r w:rsidR="000F2F3A">
        <w:t xml:space="preserve">and the </w:t>
      </w:r>
      <w:r w:rsidR="00084CF9">
        <w:t>lower</w:t>
      </w:r>
      <w:r w:rsidR="000F2F3A">
        <w:t xml:space="preserve"> contagion risk</w:t>
      </w:r>
      <w:r w:rsidR="00084CF9">
        <w:t xml:space="preserve"> (LCR)</w:t>
      </w:r>
      <w:r w:rsidR="000F2F3A">
        <w:t xml:space="preserve">. </w:t>
      </w:r>
      <w:r w:rsidR="00491673" w:rsidRPr="00491673">
        <w:t xml:space="preserve">The latter motivation can be attributed to older individuals </w:t>
      </w:r>
      <w:r w:rsidR="00B25323">
        <w:t>being more vulnerable to infections than their younger peers</w:t>
      </w:r>
      <w:r w:rsidR="00491673" w:rsidRPr="00491673">
        <w:t>.</w:t>
      </w:r>
      <w:r w:rsidR="00491673">
        <w:t xml:space="preserve"> </w:t>
      </w:r>
      <w:r w:rsidR="00084CF9">
        <w:t xml:space="preserve">Individuals over </w:t>
      </w:r>
      <w:r w:rsidR="00224348">
        <w:t>5</w:t>
      </w:r>
      <w:r w:rsidR="00084CF9">
        <w:t>0 years also are more likely than their younger peers to identify not being technologically confident (NTC) as a reason for shying away from telemedicine</w:t>
      </w:r>
      <w:r w:rsidR="00240542">
        <w:t>, which may be tied to the more digitally-savvy nature of the younger generation</w:t>
      </w:r>
      <w:r w:rsidR="00084CF9">
        <w:t xml:space="preserve">. </w:t>
      </w:r>
      <w:r w:rsidR="00240542">
        <w:t>In addition, i</w:t>
      </w:r>
      <w:r w:rsidR="007B33B0">
        <w:t xml:space="preserve">ndividuals over 60 are less </w:t>
      </w:r>
      <w:r w:rsidR="00240542">
        <w:t xml:space="preserve">drawn to </w:t>
      </w:r>
      <w:r w:rsidR="007B33B0">
        <w:t>telemedicine</w:t>
      </w:r>
      <w:r w:rsidR="00240542">
        <w:t xml:space="preserve"> because of </w:t>
      </w:r>
      <w:r w:rsidR="00B25323">
        <w:t xml:space="preserve">(a) </w:t>
      </w:r>
      <w:r w:rsidR="00084CF9">
        <w:t xml:space="preserve">time-savings </w:t>
      </w:r>
      <w:r w:rsidR="009C2B93">
        <w:t xml:space="preserve">(TS) </w:t>
      </w:r>
      <w:r w:rsidR="00240542">
        <w:t>(</w:t>
      </w:r>
      <w:r w:rsidR="007B33B0">
        <w:t>perhaps due to their more flexible schedules</w:t>
      </w:r>
      <w:r w:rsidR="00240542">
        <w:t xml:space="preserve">), </w:t>
      </w:r>
      <w:r w:rsidR="009C2B93">
        <w:t xml:space="preserve">(b) the relative convenience of in-person visits (IPC), </w:t>
      </w:r>
      <w:r w:rsidR="009C2B93">
        <w:rPr>
          <w:color w:val="000000"/>
        </w:rPr>
        <w:t xml:space="preserve">and (c) perceived </w:t>
      </w:r>
      <w:r w:rsidR="00310137" w:rsidRPr="00310137">
        <w:rPr>
          <w:color w:val="000000"/>
        </w:rPr>
        <w:t>limitations in adequately addressing</w:t>
      </w:r>
      <w:r w:rsidR="00491673" w:rsidRPr="001601D2">
        <w:rPr>
          <w:color w:val="000000"/>
        </w:rPr>
        <w:t xml:space="preserve"> the</w:t>
      </w:r>
      <w:r w:rsidR="00310137">
        <w:rPr>
          <w:color w:val="000000"/>
        </w:rPr>
        <w:t>ir</w:t>
      </w:r>
      <w:r w:rsidR="00491673" w:rsidRPr="001601D2">
        <w:rPr>
          <w:color w:val="000000"/>
        </w:rPr>
        <w:t xml:space="preserve"> </w:t>
      </w:r>
      <w:r w:rsidR="00491673">
        <w:rPr>
          <w:color w:val="000000"/>
        </w:rPr>
        <w:t>complex</w:t>
      </w:r>
      <w:r w:rsidR="00491673" w:rsidRPr="001601D2">
        <w:rPr>
          <w:color w:val="000000"/>
        </w:rPr>
        <w:t xml:space="preserve"> healthcare needs </w:t>
      </w:r>
      <w:r w:rsidR="00240542">
        <w:rPr>
          <w:color w:val="000000"/>
        </w:rPr>
        <w:t xml:space="preserve">of </w:t>
      </w:r>
      <w:r w:rsidR="00491673" w:rsidRPr="00D769F6">
        <w:rPr>
          <w:color w:val="000000"/>
        </w:rPr>
        <w:t xml:space="preserve">in-person tests </w:t>
      </w:r>
      <w:r w:rsidR="00491673">
        <w:rPr>
          <w:color w:val="000000"/>
        </w:rPr>
        <w:t>and</w:t>
      </w:r>
      <w:r w:rsidR="00491673" w:rsidRPr="00D769F6">
        <w:rPr>
          <w:color w:val="000000"/>
        </w:rPr>
        <w:t xml:space="preserve"> procedures</w:t>
      </w:r>
      <w:r w:rsidR="00AB5DA4">
        <w:rPr>
          <w:color w:val="000000"/>
        </w:rPr>
        <w:t xml:space="preserve"> (NIPT)</w:t>
      </w:r>
      <w:r w:rsidR="00310137" w:rsidRPr="00310137">
        <w:rPr>
          <w:color w:val="000000"/>
        </w:rPr>
        <w:t>.</w:t>
      </w:r>
      <w:r w:rsidR="00310137">
        <w:rPr>
          <w:color w:val="000000"/>
        </w:rPr>
        <w:t xml:space="preserve"> </w:t>
      </w:r>
    </w:p>
    <w:p w14:paraId="2EBC7B63" w14:textId="5B1295A7" w:rsidR="000F6E82" w:rsidRDefault="00E553E5" w:rsidP="009D0CA2">
      <w:pPr>
        <w:spacing w:after="0" w:line="240" w:lineRule="auto"/>
        <w:ind w:firstLine="720"/>
        <w:jc w:val="both"/>
      </w:pPr>
      <w:r>
        <w:t>Individuals with bachelor</w:t>
      </w:r>
      <w:r w:rsidR="0024719F">
        <w:t>’s</w:t>
      </w:r>
      <w:r>
        <w:t xml:space="preserve"> or graduate university degrees </w:t>
      </w:r>
      <w:r w:rsidR="00E8251F">
        <w:t>are drawn to</w:t>
      </w:r>
      <w:r w:rsidR="004B2993">
        <w:t>ward</w:t>
      </w:r>
      <w:r w:rsidR="00E8251F">
        <w:t xml:space="preserve"> telemedicine </w:t>
      </w:r>
      <w:r w:rsidR="0024719F">
        <w:t xml:space="preserve">due to </w:t>
      </w:r>
      <w:r>
        <w:t>its convenience benefits</w:t>
      </w:r>
      <w:r w:rsidR="00AB5DA4">
        <w:t xml:space="preserve"> (TC) (correspondingly, this group places less importance on the </w:t>
      </w:r>
      <w:r w:rsidR="00AB5DA4" w:rsidRPr="00AB5DA4">
        <w:t>perceived in-person convenience (IPC)</w:t>
      </w:r>
      <w:r w:rsidR="00AB5DA4">
        <w:t>)</w:t>
      </w:r>
      <w:r w:rsidR="00E8251F">
        <w:t xml:space="preserve">, but also are deterred due </w:t>
      </w:r>
      <w:r>
        <w:t xml:space="preserve">to </w:t>
      </w:r>
      <w:r w:rsidR="003C0B45">
        <w:t xml:space="preserve">the </w:t>
      </w:r>
      <w:r w:rsidRPr="000D5F45">
        <w:rPr>
          <w:color w:val="000000"/>
        </w:rPr>
        <w:t xml:space="preserve">perceived inferior </w:t>
      </w:r>
      <w:r w:rsidR="0024719F">
        <w:rPr>
          <w:color w:val="000000"/>
        </w:rPr>
        <w:t xml:space="preserve">quality of </w:t>
      </w:r>
      <w:r>
        <w:rPr>
          <w:color w:val="000000"/>
        </w:rPr>
        <w:t xml:space="preserve">telemedicine </w:t>
      </w:r>
      <w:r w:rsidRPr="000D5F45">
        <w:rPr>
          <w:color w:val="000000"/>
        </w:rPr>
        <w:t>healthcare</w:t>
      </w:r>
      <w:r w:rsidR="00AB5DA4">
        <w:rPr>
          <w:color w:val="000000"/>
        </w:rPr>
        <w:t xml:space="preserve"> (PTQ)</w:t>
      </w:r>
      <w:r w:rsidR="0024719F">
        <w:rPr>
          <w:color w:val="000000"/>
        </w:rPr>
        <w:t xml:space="preserve">. </w:t>
      </w:r>
      <w:r w:rsidR="00D81686">
        <w:t xml:space="preserve">This </w:t>
      </w:r>
      <w:r>
        <w:t xml:space="preserve">behavior </w:t>
      </w:r>
      <w:r w:rsidR="0024719F">
        <w:t>could possibly stem from</w:t>
      </w:r>
      <w:r w:rsidR="007B33B0" w:rsidRPr="007B33B0">
        <w:t xml:space="preserve"> their greater comfort </w:t>
      </w:r>
      <w:r w:rsidR="00C21BAB">
        <w:t xml:space="preserve">in </w:t>
      </w:r>
      <w:r w:rsidR="007B33B0" w:rsidRPr="007B33B0">
        <w:t>using technology</w:t>
      </w:r>
      <w:r w:rsidR="0024719F">
        <w:t>,</w:t>
      </w:r>
      <w:r w:rsidR="007B33B0" w:rsidRPr="007B33B0">
        <w:t xml:space="preserve"> </w:t>
      </w:r>
      <w:r w:rsidR="0024719F" w:rsidRPr="0024719F">
        <w:t xml:space="preserve">coupled with </w:t>
      </w:r>
      <w:r w:rsidR="00E8251F">
        <w:t xml:space="preserve">a tendency to </w:t>
      </w:r>
      <w:r w:rsidR="0024719F" w:rsidRPr="0024719F">
        <w:rPr>
          <w:color w:val="000000"/>
        </w:rPr>
        <w:t>more rigorously scrutinize and question the quality of telemedicine</w:t>
      </w:r>
      <w:r w:rsidR="00E8251F">
        <w:rPr>
          <w:color w:val="000000"/>
        </w:rPr>
        <w:t xml:space="preserve"> consultations</w:t>
      </w:r>
      <w:r w:rsidR="00E8251F" w:rsidRPr="002D5C81">
        <w:rPr>
          <w:color w:val="000000"/>
        </w:rPr>
        <w:t xml:space="preserve"> </w:t>
      </w:r>
      <w:r w:rsidR="00E8251F">
        <w:rPr>
          <w:color w:val="000000"/>
        </w:rPr>
        <w:fldChar w:fldCharType="begin"/>
      </w:r>
      <w:r w:rsidR="00E8251F">
        <w:rPr>
          <w:color w:val="000000"/>
        </w:rPr>
        <w:instrText xml:space="preserve"> ADDIN ZOTERO_ITEM CSL_CITATION {"citationID":"O6l5XLYG","properties":{"formattedCitation":"(Huber &amp; Kuncel, 2016)","plainCitation":"(Huber &amp; Kuncel, 2016)","dontUpdate":true,"noteIndex":0},"citationItems":[{"id":2440,"uris":["http://zotero.org/users/9292995/items/YL8Y6T9Q"],"itemData":{"id":2440,"type":"article-journal","abstract":"Educators view critical thinking as an essential skill, yet it remains unclear how effectively it is being taught in college. This meta-analysis synthesizes research on gains in critical thinking skills and attitudinal dispositions over various time frames in college. The results suggest that both critical thinking skills and dispositions improve substantially over a normal college experience. Furthermore, analysis of curriculum-wide efforts to improve critical thinking indicates that they do not necessarily produce incremental long-term gains. We discuss implications for the future of critical thinking in education.","container-title":"Review of Educational Research","DOI":"10.3102/0034654315605917","ISSN":"0034-6543","issue":"2","language":"en","note":"publisher: American Educational Research Association","page":"431-468","source":"SAGE Journals","title":"Does College Teach Critical Thinking? A Meta-Analysis","title-short":"Does College Teach Critical Thinking?","volume":"86","author":[{"family":"Huber","given":"Christopher R."},{"family":"Kuncel","given":"Nathan R."}],"issued":{"date-parts":[["2016",6,1]]}}}],"schema":"https://github.com/citation-style-language/schema/raw/master/csl-citation.json"} </w:instrText>
      </w:r>
      <w:r w:rsidR="00E8251F">
        <w:rPr>
          <w:color w:val="000000"/>
        </w:rPr>
        <w:fldChar w:fldCharType="separate"/>
      </w:r>
      <w:r w:rsidR="00E8251F" w:rsidRPr="002D5C81">
        <w:t>(</w:t>
      </w:r>
      <w:r w:rsidR="00A60B3C">
        <w:t xml:space="preserve">see </w:t>
      </w:r>
      <w:r w:rsidR="00E8251F" w:rsidRPr="002D5C81">
        <w:t xml:space="preserve">Huber </w:t>
      </w:r>
      <w:r w:rsidR="00A60B3C">
        <w:t>and</w:t>
      </w:r>
      <w:r w:rsidR="00E8251F" w:rsidRPr="002D5C81">
        <w:t xml:space="preserve"> Kuncel, 2016)</w:t>
      </w:r>
      <w:r w:rsidR="00E8251F">
        <w:rPr>
          <w:color w:val="000000"/>
        </w:rPr>
        <w:fldChar w:fldCharType="end"/>
      </w:r>
      <w:r w:rsidR="0024719F" w:rsidRPr="0024719F">
        <w:rPr>
          <w:color w:val="000000"/>
        </w:rPr>
        <w:t xml:space="preserve">. </w:t>
      </w:r>
      <w:r w:rsidR="004B2993">
        <w:t>Similar</w:t>
      </w:r>
      <w:r w:rsidR="00F37396">
        <w:t xml:space="preserve"> results are observed for individuals </w:t>
      </w:r>
      <w:r w:rsidR="00BD2272">
        <w:t xml:space="preserve">from </w:t>
      </w:r>
      <w:r w:rsidR="000F6E82" w:rsidRPr="000F6E82">
        <w:t>high</w:t>
      </w:r>
      <w:r w:rsidR="00BD2272">
        <w:t xml:space="preserve"> </w:t>
      </w:r>
      <w:r w:rsidR="000F6E82" w:rsidRPr="000F6E82">
        <w:t xml:space="preserve">income </w:t>
      </w:r>
      <w:r w:rsidR="00BD2272">
        <w:t>households (relative to those from low income households)</w:t>
      </w:r>
      <w:r w:rsidR="00F37396">
        <w:t>, with s</w:t>
      </w:r>
      <w:r w:rsidR="00BD2272">
        <w:t>uch individuals</w:t>
      </w:r>
      <w:r w:rsidR="004B2993">
        <w:t xml:space="preserve"> also plac</w:t>
      </w:r>
      <w:r w:rsidR="00F37396">
        <w:t>ing</w:t>
      </w:r>
      <w:r w:rsidR="004B2993">
        <w:t xml:space="preserve"> a premium on the </w:t>
      </w:r>
      <w:r w:rsidR="000F6E82" w:rsidRPr="000F6E82">
        <w:t xml:space="preserve">time-saving (TS) benefits </w:t>
      </w:r>
      <w:r w:rsidR="004B2993">
        <w:t xml:space="preserve">of telemedicine, while not </w:t>
      </w:r>
      <w:r w:rsidR="00EF4A2B">
        <w:t xml:space="preserve">being too </w:t>
      </w:r>
      <w:r w:rsidR="009C2B93">
        <w:t>drawn</w:t>
      </w:r>
      <w:r w:rsidR="00EF4A2B">
        <w:t xml:space="preserve"> by such benefits as telemedicine </w:t>
      </w:r>
      <w:r w:rsidR="000F6E82" w:rsidRPr="000F6E82">
        <w:t>privacy (TP)</w:t>
      </w:r>
      <w:r w:rsidR="00EF4A2B">
        <w:t xml:space="preserve"> and the comfort of medical consulting from home (CH). Further, </w:t>
      </w:r>
      <w:r w:rsidR="00BD2272">
        <w:t xml:space="preserve">individuals in this </w:t>
      </w:r>
      <w:r w:rsidR="00EF4A2B">
        <w:t xml:space="preserve">high income group typically enjoy a high level of spatial activity accessibility, and so do not face much difficulty in in-person </w:t>
      </w:r>
      <w:r w:rsidR="000F6E82" w:rsidRPr="000F6E82">
        <w:t>accessibility (DIPA)</w:t>
      </w:r>
      <w:r w:rsidR="00BD2272">
        <w:t>, as also evidenced in the higher emphasis on DIPA as income decreases (see the positive coefficient on the “Income decreased during COVID” variable in the DIPA column)</w:t>
      </w:r>
      <w:r w:rsidR="00EF4A2B">
        <w:t xml:space="preserve">. </w:t>
      </w:r>
      <w:r w:rsidR="00BD2272">
        <w:t>The last three columns of</w:t>
      </w:r>
      <w:r w:rsidR="0069340B">
        <w:t xml:space="preserve">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BD2272">
        <w:t xml:space="preserve"> </w:t>
      </w:r>
      <w:r w:rsidR="0059221E">
        <w:t xml:space="preserve">for the income variables </w:t>
      </w:r>
      <w:r w:rsidR="00BD2272">
        <w:t xml:space="preserve">reveal that individuals from high income households view </w:t>
      </w:r>
      <w:r w:rsidR="000F6E82" w:rsidRPr="000F6E82">
        <w:t>technological confidence (NTC),</w:t>
      </w:r>
      <w:r w:rsidR="009D7F75">
        <w:t xml:space="preserve"> </w:t>
      </w:r>
      <w:r w:rsidR="009D7F75" w:rsidRPr="000F6E82">
        <w:t xml:space="preserve">security issues (TSC), </w:t>
      </w:r>
      <w:r w:rsidR="000F6E82" w:rsidRPr="000F6E82">
        <w:t xml:space="preserve">and in-person convenience (IPC) as </w:t>
      </w:r>
      <w:r w:rsidR="00BD2272">
        <w:t xml:space="preserve">less of </w:t>
      </w:r>
      <w:r w:rsidR="000F6E82" w:rsidRPr="000F6E82">
        <w:t xml:space="preserve">barriers to telemedicine </w:t>
      </w:r>
      <w:r w:rsidR="000706EF">
        <w:t>adoption</w:t>
      </w:r>
      <w:r w:rsidR="00BD2272">
        <w:t>.</w:t>
      </w:r>
      <w:r w:rsidR="000F6E82" w:rsidRPr="000F6E82">
        <w:t xml:space="preserve"> </w:t>
      </w:r>
      <w:r w:rsidR="0059221E">
        <w:t xml:space="preserve">Another perspective on these results is that individuals from low income households </w:t>
      </w:r>
      <w:r w:rsidR="00476D1C">
        <w:t xml:space="preserve">do perceive more </w:t>
      </w:r>
      <w:r w:rsidR="006C03FD">
        <w:t xml:space="preserve">difficulty in in-person access (DIPA) </w:t>
      </w:r>
      <w:r w:rsidR="00476D1C">
        <w:t>to medical services</w:t>
      </w:r>
      <w:r w:rsidR="006C03FD">
        <w:t xml:space="preserve">. They also </w:t>
      </w:r>
      <w:r w:rsidR="0059221E">
        <w:t xml:space="preserve">are less concerned about any potential degradation in telemedicine quality </w:t>
      </w:r>
      <w:r w:rsidR="0059221E">
        <w:lastRenderedPageBreak/>
        <w:t xml:space="preserve">(PTQ), and are more positive about telemedicine convenience (TC) and privacy (TP), though also concerned about </w:t>
      </w:r>
      <w:r w:rsidR="006C03FD">
        <w:t>digital security (TSC) and their own tech</w:t>
      </w:r>
      <w:r w:rsidR="00D658B2">
        <w:t>n</w:t>
      </w:r>
      <w:r w:rsidR="006C03FD">
        <w:t xml:space="preserve">ological confidence (NTC). </w:t>
      </w:r>
    </w:p>
    <w:p w14:paraId="619F6493" w14:textId="77777777" w:rsidR="006F3050" w:rsidRDefault="00476D1C" w:rsidP="009D0CA2">
      <w:pPr>
        <w:spacing w:after="0" w:line="240" w:lineRule="auto"/>
        <w:ind w:firstLine="720"/>
        <w:jc w:val="both"/>
      </w:pPr>
      <w:r>
        <w:t xml:space="preserve">As with individuals from low income households, those from </w:t>
      </w:r>
      <w:r w:rsidR="00AB4FD2" w:rsidRPr="00AB4FD2">
        <w:t>households without vehicles</w:t>
      </w:r>
      <w:r w:rsidR="009C2B93">
        <w:t xml:space="preserve"> </w:t>
      </w:r>
      <w:r>
        <w:t xml:space="preserve">appear to value the telemedicine modality due to DIPA, </w:t>
      </w:r>
      <w:r w:rsidR="0038015F" w:rsidRPr="0038015F">
        <w:t>reinforc</w:t>
      </w:r>
      <w:r>
        <w:t xml:space="preserve">ing </w:t>
      </w:r>
      <w:r w:rsidR="0038015F" w:rsidRPr="0038015F">
        <w:t xml:space="preserve">the potential of </w:t>
      </w:r>
      <w:r w:rsidR="0038015F">
        <w:t>telemedicine</w:t>
      </w:r>
      <w:r w:rsidR="0038015F" w:rsidRPr="0038015F">
        <w:t xml:space="preserve"> to address transportation-related disparities in healthcare access.</w:t>
      </w:r>
    </w:p>
    <w:p w14:paraId="04AF934E" w14:textId="0DCBE1BA" w:rsidR="00160069" w:rsidRDefault="003C0B45" w:rsidP="009D0CA2">
      <w:pPr>
        <w:spacing w:after="0" w:line="240" w:lineRule="auto"/>
        <w:ind w:firstLine="720"/>
        <w:jc w:val="both"/>
      </w:pPr>
      <w:r>
        <w:t xml:space="preserve"> </w:t>
      </w:r>
    </w:p>
    <w:p w14:paraId="1D54BF22" w14:textId="77777777" w:rsidR="00160069" w:rsidRPr="0077128D" w:rsidRDefault="00160069" w:rsidP="009D0CA2">
      <w:pPr>
        <w:spacing w:after="0" w:line="240" w:lineRule="auto"/>
        <w:jc w:val="both"/>
        <w:rPr>
          <w:color w:val="0D0D0D"/>
          <w:u w:val="single"/>
          <w:shd w:val="clear" w:color="auto" w:fill="FFFFFF"/>
        </w:rPr>
      </w:pPr>
      <w:r w:rsidRPr="0077128D">
        <w:rPr>
          <w:color w:val="0D0D0D"/>
          <w:u w:val="single"/>
          <w:shd w:val="clear" w:color="auto" w:fill="FFFFFF"/>
        </w:rPr>
        <w:t>Employment Characteristics</w:t>
      </w:r>
    </w:p>
    <w:p w14:paraId="10B5D9CD" w14:textId="47263F1F" w:rsidR="003C0B45" w:rsidRDefault="008B6402" w:rsidP="006F3050">
      <w:pPr>
        <w:spacing w:after="0" w:line="240" w:lineRule="auto"/>
        <w:jc w:val="both"/>
      </w:pPr>
      <w:r w:rsidRPr="008B6402">
        <w:t xml:space="preserve">Employed individuals, </w:t>
      </w:r>
      <w:r w:rsidR="007D54C5">
        <w:t xml:space="preserve">relative to those not employed, </w:t>
      </w:r>
      <w:r w:rsidR="009214B7">
        <w:t xml:space="preserve">place less emphasis on DIPA as a driver for telemedicine </w:t>
      </w:r>
      <w:r w:rsidR="00D863B3">
        <w:t>adoption</w:t>
      </w:r>
      <w:r w:rsidR="00B60B10">
        <w:t xml:space="preserve">, </w:t>
      </w:r>
      <w:r w:rsidR="009214B7">
        <w:t xml:space="preserve">while appreciating the privacy offered by telemedicine (TP) and being more open to telemedicine from places other than the home (lower CH). </w:t>
      </w:r>
      <w:r w:rsidR="00B60B10">
        <w:t xml:space="preserve">In addition, employed individuals attribute less emphasis to the need for in-person tests (NIPT) as a deterrent for telemedicine </w:t>
      </w:r>
      <w:r w:rsidR="000706EF">
        <w:t>adoption</w:t>
      </w:r>
      <w:r w:rsidR="00276682">
        <w:t>.</w:t>
      </w:r>
      <w:r w:rsidR="00B60B10">
        <w:t xml:space="preserve"> </w:t>
      </w:r>
      <w:r w:rsidR="009214B7">
        <w:t xml:space="preserve">As we discuss later in Section </w:t>
      </w:r>
      <w:r w:rsidR="0069340B">
        <w:fldChar w:fldCharType="begin"/>
      </w:r>
      <w:r w:rsidR="0069340B">
        <w:instrText xml:space="preserve"> REF _Ref178944760 \r \h </w:instrText>
      </w:r>
      <w:r w:rsidR="0069340B">
        <w:fldChar w:fldCharType="separate"/>
      </w:r>
      <w:r w:rsidR="008A3DCE">
        <w:t>6</w:t>
      </w:r>
      <w:r w:rsidR="0069340B">
        <w:fldChar w:fldCharType="end"/>
      </w:r>
      <w:r w:rsidR="009214B7">
        <w:t>, th</w:t>
      </w:r>
      <w:r w:rsidR="00B60B10">
        <w:t>ese results</w:t>
      </w:r>
      <w:r w:rsidR="009214B7">
        <w:t xml:space="preserve"> suggest opportunities </w:t>
      </w:r>
      <w:r w:rsidR="00B60B10">
        <w:t xml:space="preserve">to integrate </w:t>
      </w:r>
      <w:r w:rsidR="009214B7">
        <w:t xml:space="preserve">telemedicine within and around workplaces. </w:t>
      </w:r>
    </w:p>
    <w:p w14:paraId="6B07A693" w14:textId="609BA492" w:rsidR="003C0B45" w:rsidRPr="000F6E82" w:rsidRDefault="00B60B10" w:rsidP="009D0CA2">
      <w:pPr>
        <w:spacing w:after="0" w:line="240" w:lineRule="auto"/>
        <w:ind w:firstLine="720"/>
        <w:jc w:val="both"/>
        <w:rPr>
          <w:color w:val="000000"/>
        </w:rPr>
      </w:pPr>
      <w:r>
        <w:t xml:space="preserve">Individuals who telework frequently from home (either daily or multiple days per week from home), not surprisingly, </w:t>
      </w:r>
      <w:r w:rsidR="00E23038">
        <w:t xml:space="preserve">identify </w:t>
      </w:r>
      <w:r>
        <w:t xml:space="preserve">comfort from home (CH) and </w:t>
      </w:r>
      <w:r w:rsidR="00E23038">
        <w:t xml:space="preserve">the </w:t>
      </w:r>
      <w:r>
        <w:t xml:space="preserve">lower COVID risk (LCR) </w:t>
      </w:r>
      <w:r w:rsidR="00E23038">
        <w:t xml:space="preserve">as appealing aspects of telemedicine. They also tend </w:t>
      </w:r>
      <w:r w:rsidR="00E23038">
        <w:rPr>
          <w:color w:val="000000"/>
        </w:rPr>
        <w:t xml:space="preserve">to </w:t>
      </w:r>
      <w:r w:rsidR="003C0B45" w:rsidRPr="003C0B45">
        <w:rPr>
          <w:color w:val="000000"/>
        </w:rPr>
        <w:t>exhibit diminished concerns regarding convenience</w:t>
      </w:r>
      <w:r w:rsidR="000F6E82">
        <w:rPr>
          <w:color w:val="000000"/>
        </w:rPr>
        <w:t xml:space="preserve"> (IPC)</w:t>
      </w:r>
      <w:r w:rsidR="003C0B45" w:rsidRPr="003C0B45">
        <w:rPr>
          <w:color w:val="000000"/>
        </w:rPr>
        <w:t xml:space="preserve">, </w:t>
      </w:r>
      <w:r w:rsidR="000F6E82">
        <w:rPr>
          <w:color w:val="000000"/>
        </w:rPr>
        <w:t xml:space="preserve">and </w:t>
      </w:r>
      <w:r w:rsidR="000F6E82" w:rsidRPr="003C0B45">
        <w:rPr>
          <w:color w:val="000000"/>
        </w:rPr>
        <w:t>privacy</w:t>
      </w:r>
      <w:r w:rsidR="003C0B45" w:rsidRPr="003C0B45">
        <w:rPr>
          <w:color w:val="000000"/>
        </w:rPr>
        <w:t xml:space="preserve"> </w:t>
      </w:r>
      <w:r w:rsidR="000F6E82">
        <w:rPr>
          <w:color w:val="000000"/>
        </w:rPr>
        <w:t xml:space="preserve">(POP) </w:t>
      </w:r>
      <w:r w:rsidR="003C0B45" w:rsidRPr="003C0B45">
        <w:rPr>
          <w:color w:val="000000"/>
        </w:rPr>
        <w:t xml:space="preserve">when it comes to telemedicine. Their work-from-home arrangements </w:t>
      </w:r>
      <w:r w:rsidR="003C0B45">
        <w:rPr>
          <w:color w:val="000000"/>
        </w:rPr>
        <w:t>enhance</w:t>
      </w:r>
      <w:r w:rsidR="003C0B45" w:rsidRPr="003C0B45">
        <w:rPr>
          <w:color w:val="000000"/>
        </w:rPr>
        <w:t xml:space="preserve"> familiarity with virtual services and </w:t>
      </w:r>
      <w:r w:rsidR="00276682">
        <w:rPr>
          <w:color w:val="000000"/>
        </w:rPr>
        <w:t>offer</w:t>
      </w:r>
      <w:r w:rsidR="003C0B45" w:rsidRPr="003C0B45">
        <w:rPr>
          <w:color w:val="000000"/>
        </w:rPr>
        <w:t xml:space="preserve"> privacy</w:t>
      </w:r>
      <w:r w:rsidR="00276682">
        <w:rPr>
          <w:color w:val="000000"/>
        </w:rPr>
        <w:t xml:space="preserve"> </w:t>
      </w:r>
      <w:r w:rsidR="003C0B45" w:rsidRPr="003C0B45">
        <w:rPr>
          <w:color w:val="000000"/>
        </w:rPr>
        <w:t>within the home environment.</w:t>
      </w:r>
      <w:r w:rsidR="003C0B45">
        <w:rPr>
          <w:color w:val="000000"/>
        </w:rPr>
        <w:t xml:space="preserve"> </w:t>
      </w:r>
      <w:r w:rsidR="00D0196B">
        <w:rPr>
          <w:color w:val="000000"/>
        </w:rPr>
        <w:t xml:space="preserve">Related to actual teleworking, but more of a personal trait that we discuss here (though </w:t>
      </w:r>
      <w:r w:rsidR="00D863B3">
        <w:rPr>
          <w:color w:val="000000"/>
        </w:rPr>
        <w:t xml:space="preserve">it </w:t>
      </w:r>
      <w:r w:rsidR="00D0196B">
        <w:rPr>
          <w:color w:val="000000"/>
        </w:rPr>
        <w:t>is positioned under “personal traits</w:t>
      </w:r>
      <w:r w:rsidR="00276682">
        <w:rPr>
          <w:color w:val="000000"/>
        </w:rPr>
        <w:t xml:space="preserve"> and COVID-19 per</w:t>
      </w:r>
      <w:r w:rsidR="00D658B2">
        <w:rPr>
          <w:color w:val="000000"/>
        </w:rPr>
        <w:t>s</w:t>
      </w:r>
      <w:r w:rsidR="00276682">
        <w:rPr>
          <w:color w:val="000000"/>
        </w:rPr>
        <w:t>pectives</w:t>
      </w:r>
      <w:r w:rsidR="00D0196B">
        <w:rPr>
          <w:color w:val="000000"/>
        </w:rPr>
        <w:t xml:space="preserve">” in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D0196B">
        <w:rPr>
          <w:color w:val="000000"/>
        </w:rPr>
        <w:t>) is the effect of “</w:t>
      </w:r>
      <w:r w:rsidR="003C0B45">
        <w:t>enjoy working</w:t>
      </w:r>
      <w:r w:rsidR="00D0196B">
        <w:t xml:space="preserve"> from home</w:t>
      </w:r>
      <w:r w:rsidR="0069340B">
        <w:t>.</w:t>
      </w:r>
      <w:r w:rsidR="00D0196B">
        <w:t>”</w:t>
      </w:r>
      <w:r w:rsidR="00F37396">
        <w:t xml:space="preserve"> Among t</w:t>
      </w:r>
      <w:r w:rsidR="00D0196B">
        <w:t>hose who enjoy teleworking</w:t>
      </w:r>
      <w:r w:rsidR="00DE437C">
        <w:t xml:space="preserve"> (regardless of actual teleworking frequency)</w:t>
      </w:r>
      <w:r w:rsidR="00D0196B">
        <w:t xml:space="preserve">, DIPA is an incentive for telemedicine </w:t>
      </w:r>
      <w:r w:rsidR="000706EF">
        <w:t>adoption</w:t>
      </w:r>
      <w:r w:rsidR="00D0196B">
        <w:t xml:space="preserve">, while in-person provider’s office privacy (POP) </w:t>
      </w:r>
      <w:r w:rsidR="009D7F75">
        <w:t xml:space="preserve">and </w:t>
      </w:r>
      <w:r w:rsidR="00F37396">
        <w:t xml:space="preserve">telemedicine </w:t>
      </w:r>
      <w:r w:rsidR="009D7F75" w:rsidRPr="003C0B45">
        <w:rPr>
          <w:color w:val="000000"/>
        </w:rPr>
        <w:t>data security</w:t>
      </w:r>
      <w:r w:rsidR="009D7F75">
        <w:rPr>
          <w:color w:val="000000"/>
        </w:rPr>
        <w:t xml:space="preserve"> (TSC) concer</w:t>
      </w:r>
      <w:r w:rsidR="00F37396">
        <w:rPr>
          <w:color w:val="000000"/>
        </w:rPr>
        <w:t xml:space="preserve">ns </w:t>
      </w:r>
      <w:r w:rsidR="009D7F75">
        <w:t>are</w:t>
      </w:r>
      <w:r w:rsidR="00D0196B">
        <w:t xml:space="preserve"> l</w:t>
      </w:r>
      <w:r w:rsidR="00DE437C">
        <w:t xml:space="preserve">ess of a </w:t>
      </w:r>
      <w:r w:rsidR="00D0196B">
        <w:t>telemedicine</w:t>
      </w:r>
      <w:r w:rsidR="00DE437C">
        <w:t xml:space="preserve"> deter</w:t>
      </w:r>
      <w:r w:rsidR="00D658B2">
        <w:t>r</w:t>
      </w:r>
      <w:r w:rsidR="00DE437C">
        <w:t>ent</w:t>
      </w:r>
      <w:r w:rsidR="00D0196B">
        <w:t>.</w:t>
      </w:r>
      <w:r w:rsidR="009D7F75">
        <w:rPr>
          <w:color w:val="000000"/>
        </w:rPr>
        <w:t xml:space="preserve"> T</w:t>
      </w:r>
      <w:r w:rsidR="009D7F75" w:rsidRPr="003C0B45">
        <w:rPr>
          <w:color w:val="000000"/>
        </w:rPr>
        <w:t xml:space="preserve">eleworkers often receive digital and cybersecurity training through their employment, potentially increasing their comfort with the data security practices of </w:t>
      </w:r>
      <w:r w:rsidR="009D7F75">
        <w:rPr>
          <w:color w:val="000000"/>
        </w:rPr>
        <w:t>virtual</w:t>
      </w:r>
      <w:r w:rsidR="009D7F75" w:rsidRPr="003C0B45">
        <w:rPr>
          <w:color w:val="000000"/>
        </w:rPr>
        <w:t xml:space="preserve"> platforms</w:t>
      </w:r>
      <w:r w:rsidR="009D7F75">
        <w:rPr>
          <w:color w:val="000000"/>
        </w:rPr>
        <w:t>.</w:t>
      </w:r>
    </w:p>
    <w:p w14:paraId="4510591E" w14:textId="3AE24A99" w:rsidR="003C0B45" w:rsidRDefault="003C0B45" w:rsidP="009D0CA2">
      <w:pPr>
        <w:spacing w:after="0" w:line="240" w:lineRule="auto"/>
        <w:ind w:firstLine="720"/>
        <w:jc w:val="both"/>
      </w:pPr>
      <w:r w:rsidRPr="003C0B45">
        <w:t xml:space="preserve">Beyond the workplace, students </w:t>
      </w:r>
      <w:r w:rsidR="00733A1B">
        <w:t xml:space="preserve">have a favorable perspective regarding telemedicine because of </w:t>
      </w:r>
      <w:r w:rsidRPr="003C0B45">
        <w:t>the opportunity to schedule appointments more frequently</w:t>
      </w:r>
      <w:r w:rsidR="001B38C6">
        <w:t xml:space="preserve"> (FCO)</w:t>
      </w:r>
      <w:r w:rsidR="00DE437C">
        <w:t>, and</w:t>
      </w:r>
      <w:r w:rsidRPr="003C0B45">
        <w:t xml:space="preserve"> individuals who commute </w:t>
      </w:r>
      <w:r w:rsidR="00733A1B">
        <w:t xml:space="preserve">using a </w:t>
      </w:r>
      <w:r w:rsidRPr="003C0B45">
        <w:t xml:space="preserve">personal vehicle </w:t>
      </w:r>
      <w:r w:rsidR="00733A1B">
        <w:t>place less of a premium on telemedicine convenience</w:t>
      </w:r>
      <w:r w:rsidR="00DE437C">
        <w:t xml:space="preserve"> (perhaps an indication of </w:t>
      </w:r>
      <w:r w:rsidRPr="003C0B45">
        <w:t xml:space="preserve">the </w:t>
      </w:r>
      <w:r w:rsidR="00733A1B">
        <w:t xml:space="preserve">influence of commute-related </w:t>
      </w:r>
      <w:r w:rsidRPr="003C0B45">
        <w:t xml:space="preserve">trip-chaining in </w:t>
      </w:r>
      <w:r w:rsidR="00733A1B">
        <w:t xml:space="preserve">positively </w:t>
      </w:r>
      <w:r w:rsidRPr="003C0B45">
        <w:t>shaping the perceived convenience of in-person visits</w:t>
      </w:r>
      <w:r w:rsidR="00DE437C">
        <w:t>)</w:t>
      </w:r>
      <w:r w:rsidRPr="003C0B45">
        <w:t>.</w:t>
      </w:r>
    </w:p>
    <w:p w14:paraId="16549857" w14:textId="77777777" w:rsidR="006F3050" w:rsidRDefault="006F3050" w:rsidP="009D0CA2">
      <w:pPr>
        <w:spacing w:after="0" w:line="240" w:lineRule="auto"/>
        <w:ind w:firstLine="720"/>
        <w:jc w:val="both"/>
      </w:pPr>
    </w:p>
    <w:p w14:paraId="22A9DD48" w14:textId="3F2F2DA3" w:rsidR="00160069" w:rsidRDefault="00160069" w:rsidP="009D0CA2">
      <w:pPr>
        <w:spacing w:after="0" w:line="240" w:lineRule="auto"/>
        <w:jc w:val="both"/>
      </w:pPr>
      <w:r w:rsidRPr="0077128D">
        <w:rPr>
          <w:color w:val="0D0D0D"/>
          <w:u w:val="single"/>
          <w:shd w:val="clear" w:color="auto" w:fill="FFFFFF"/>
        </w:rPr>
        <w:t>Other Factors</w:t>
      </w:r>
    </w:p>
    <w:p w14:paraId="5FF1A72E" w14:textId="068E8D90" w:rsidR="00FD6918" w:rsidRDefault="00786165" w:rsidP="006F3050">
      <w:pPr>
        <w:spacing w:after="0" w:line="240" w:lineRule="auto"/>
        <w:jc w:val="both"/>
      </w:pPr>
      <w:r>
        <w:t xml:space="preserve">Expectedly, </w:t>
      </w:r>
      <w:r w:rsidR="00733A1B">
        <w:t xml:space="preserve">the results related to access to in-person health care services in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69340B">
        <w:t xml:space="preserve"> </w:t>
      </w:r>
      <w:r w:rsidR="00733A1B">
        <w:t xml:space="preserve">indicate that </w:t>
      </w:r>
      <w:r w:rsidRPr="00786165">
        <w:t>individuals residing in areas with a high</w:t>
      </w:r>
      <w:r w:rsidR="00733A1B">
        <w:t>er</w:t>
      </w:r>
      <w:r w:rsidRPr="00786165">
        <w:t xml:space="preserve"> concentration of physicians within their zip code</w:t>
      </w:r>
      <w:r w:rsidR="00733A1B">
        <w:t xml:space="preserve"> </w:t>
      </w:r>
      <w:r w:rsidR="003A5332">
        <w:t xml:space="preserve">identify (a) difficulty in in-person accessibility </w:t>
      </w:r>
      <w:r w:rsidRPr="00786165">
        <w:t>DIPA</w:t>
      </w:r>
      <w:r w:rsidR="00733A1B">
        <w:t xml:space="preserve"> </w:t>
      </w:r>
      <w:r w:rsidR="003A5332">
        <w:t xml:space="preserve">and the privacy offered by telemedicine </w:t>
      </w:r>
      <w:r w:rsidR="00733A1B">
        <w:t>as less of reason</w:t>
      </w:r>
      <w:r w:rsidR="003A5332">
        <w:t>s</w:t>
      </w:r>
      <w:r w:rsidR="00733A1B">
        <w:t xml:space="preserve"> for considering telemedicine (</w:t>
      </w:r>
      <w:r w:rsidRPr="00786165">
        <w:t>reinforcing the lower propensity for telemedicine adoption in such locales</w:t>
      </w:r>
      <w:r>
        <w:t xml:space="preserve">, as discussed in </w:t>
      </w:r>
      <w:r w:rsidR="00C2725F">
        <w:t xml:space="preserve">Section </w:t>
      </w:r>
      <w:r w:rsidR="0069340B">
        <w:fldChar w:fldCharType="begin"/>
      </w:r>
      <w:r w:rsidR="0069340B">
        <w:instrText xml:space="preserve"> REF _Ref178944777 \r \h </w:instrText>
      </w:r>
      <w:r w:rsidR="0069340B">
        <w:fldChar w:fldCharType="separate"/>
      </w:r>
      <w:r w:rsidR="008A3DCE">
        <w:t>5.1</w:t>
      </w:r>
      <w:r w:rsidR="0069340B">
        <w:fldChar w:fldCharType="end"/>
      </w:r>
      <w:r w:rsidR="00733A1B">
        <w:t>)</w:t>
      </w:r>
      <w:r w:rsidR="003A5332">
        <w:t xml:space="preserve">, and (b) perceive </w:t>
      </w:r>
      <w:r w:rsidR="000F6E82">
        <w:t>telemedicine’s</w:t>
      </w:r>
      <w:r w:rsidRPr="00786165">
        <w:t xml:space="preserve"> inconvenience </w:t>
      </w:r>
      <w:r w:rsidR="000F6E82">
        <w:t xml:space="preserve">(IPC) </w:t>
      </w:r>
      <w:r w:rsidRPr="00786165">
        <w:t xml:space="preserve">as a </w:t>
      </w:r>
      <w:r w:rsidR="00F61E18">
        <w:rPr>
          <w:color w:val="000000" w:themeColor="text1"/>
        </w:rPr>
        <w:t>deterrent</w:t>
      </w:r>
      <w:r w:rsidRPr="00786165">
        <w:t xml:space="preserve"> to adoption.</w:t>
      </w:r>
      <w:r w:rsidR="009D0E1E">
        <w:t xml:space="preserve"> </w:t>
      </w:r>
      <w:r w:rsidR="00EB0D0D">
        <w:t xml:space="preserve">Interestingly, while </w:t>
      </w:r>
      <w:r w:rsidR="009A6E84">
        <w:t xml:space="preserve">the </w:t>
      </w:r>
      <w:r w:rsidR="00EB0D0D">
        <w:t>population density of an individual’s zip code of residence featured in the telemedicine adoption decision, it did not play a significant role in the facilitator/deterrent reasons</w:t>
      </w:r>
      <w:r w:rsidR="00DE437C">
        <w:t>.</w:t>
      </w:r>
      <w:r w:rsidR="00EB0D0D">
        <w:t xml:space="preserve"> Finally, in </w:t>
      </w:r>
      <w:r w:rsidR="0069340B">
        <w:fldChar w:fldCharType="begin"/>
      </w:r>
      <w:r w:rsidR="0069340B">
        <w:instrText xml:space="preserve"> REF _Ref178945096 \h </w:instrText>
      </w:r>
      <w:r w:rsidR="0069340B">
        <w:fldChar w:fldCharType="separate"/>
      </w:r>
      <w:r w:rsidR="008A3DCE">
        <w:t xml:space="preserve">Table </w:t>
      </w:r>
      <w:r w:rsidR="008A3DCE">
        <w:rPr>
          <w:noProof/>
        </w:rPr>
        <w:t>5</w:t>
      </w:r>
      <w:r w:rsidR="0069340B">
        <w:fldChar w:fldCharType="end"/>
      </w:r>
      <w:r w:rsidR="00EB0D0D">
        <w:t>, r</w:t>
      </w:r>
      <w:r w:rsidR="006B3C0D" w:rsidRPr="008C2A3E">
        <w:t>egional factors</w:t>
      </w:r>
      <w:r w:rsidR="006B3C0D">
        <w:t xml:space="preserve"> influence </w:t>
      </w:r>
      <w:r w:rsidR="00A81FFC">
        <w:t xml:space="preserve">the </w:t>
      </w:r>
      <w:r w:rsidR="00F61E18">
        <w:t>facilitators</w:t>
      </w:r>
      <w:r w:rsidR="00A81FFC">
        <w:t xml:space="preserve"> </w:t>
      </w:r>
      <w:r>
        <w:t xml:space="preserve">and </w:t>
      </w:r>
      <w:r w:rsidR="00F61E18">
        <w:rPr>
          <w:color w:val="000000" w:themeColor="text1"/>
        </w:rPr>
        <w:t>deterrents</w:t>
      </w:r>
      <w:r>
        <w:t xml:space="preserve"> to </w:t>
      </w:r>
      <w:r w:rsidR="00D863B3">
        <w:t>adopt</w:t>
      </w:r>
      <w:r w:rsidR="006B3C0D">
        <w:t xml:space="preserve"> telemedicine</w:t>
      </w:r>
      <w:r w:rsidR="003A5332">
        <w:t xml:space="preserve">, though they are introduced </w:t>
      </w:r>
      <w:r w:rsidR="00F766B2">
        <w:t xml:space="preserve">primarily </w:t>
      </w:r>
      <w:r w:rsidR="003A5332">
        <w:t xml:space="preserve">as a control for estimating the other individual-level effects more accurately. </w:t>
      </w:r>
      <w:r w:rsidR="007A4B79">
        <w:t>In general, the results reveal that those living in the Northeast view privacy (TP) as a key appeal of telemedicine services</w:t>
      </w:r>
      <w:r w:rsidR="007A4B79" w:rsidRPr="00786165">
        <w:rPr>
          <w:rFonts w:eastAsia="Times New Roman"/>
        </w:rPr>
        <w:t xml:space="preserve">, </w:t>
      </w:r>
      <w:r w:rsidR="007A4B79">
        <w:t xml:space="preserve">while those </w:t>
      </w:r>
      <w:r w:rsidRPr="00786165">
        <w:rPr>
          <w:rFonts w:eastAsia="Times New Roman"/>
        </w:rPr>
        <w:t xml:space="preserve">residing in the Midwest </w:t>
      </w:r>
      <w:r w:rsidR="007A4B79">
        <w:rPr>
          <w:rFonts w:eastAsia="Times New Roman"/>
        </w:rPr>
        <w:t>view convenience (TC) as the key driver</w:t>
      </w:r>
      <w:r w:rsidR="00F766B2">
        <w:rPr>
          <w:rFonts w:eastAsia="Times New Roman"/>
        </w:rPr>
        <w:t>. Those in the Midwest and West</w:t>
      </w:r>
      <w:r w:rsidR="0069340B">
        <w:rPr>
          <w:rFonts w:eastAsia="Times New Roman"/>
        </w:rPr>
        <w:t xml:space="preserve"> are</w:t>
      </w:r>
      <w:r w:rsidR="007A4B79">
        <w:rPr>
          <w:rFonts w:eastAsia="Times New Roman"/>
        </w:rPr>
        <w:t xml:space="preserve"> also less likely to believe that telemedicine will not be offered by health </w:t>
      </w:r>
      <w:r w:rsidR="007A4B79">
        <w:rPr>
          <w:rFonts w:eastAsia="Times New Roman"/>
        </w:rPr>
        <w:lastRenderedPageBreak/>
        <w:t>care providers (TNA)</w:t>
      </w:r>
      <w:r w:rsidR="00F766B2">
        <w:rPr>
          <w:rFonts w:eastAsia="Times New Roman"/>
        </w:rPr>
        <w:t xml:space="preserve">, </w:t>
      </w:r>
      <w:r w:rsidR="00F766B2">
        <w:t xml:space="preserve">while individuals living in </w:t>
      </w:r>
      <w:r>
        <w:t>southern states demonstrate relatively higher confidence in telemedicine quality</w:t>
      </w:r>
      <w:r w:rsidR="000F6E82">
        <w:t xml:space="preserve"> (PTQ)</w:t>
      </w:r>
      <w:r w:rsidR="00F766B2">
        <w:t xml:space="preserve">. </w:t>
      </w:r>
      <w:r>
        <w:t xml:space="preserve"> </w:t>
      </w:r>
    </w:p>
    <w:p w14:paraId="2C3FFF9A" w14:textId="77777777" w:rsidR="006F3050" w:rsidRDefault="006F3050" w:rsidP="006F3050">
      <w:pPr>
        <w:spacing w:after="0" w:line="240" w:lineRule="auto"/>
        <w:jc w:val="both"/>
        <w:rPr>
          <w:u w:val="single"/>
        </w:rPr>
      </w:pPr>
    </w:p>
    <w:p w14:paraId="4782E747" w14:textId="77777777" w:rsidR="00FD6918" w:rsidRPr="00A82346" w:rsidRDefault="00FD6918" w:rsidP="009D0CA2">
      <w:pPr>
        <w:spacing w:after="0" w:line="240" w:lineRule="auto"/>
        <w:jc w:val="both"/>
        <w:rPr>
          <w:u w:val="single"/>
        </w:rPr>
      </w:pPr>
      <w:r w:rsidRPr="00A82346">
        <w:rPr>
          <w:u w:val="single"/>
        </w:rPr>
        <w:t>Unobserved Correlations</w:t>
      </w:r>
    </w:p>
    <w:p w14:paraId="03EF5CB9" w14:textId="24CF8FD0" w:rsidR="00FD6918" w:rsidRPr="0060250B" w:rsidRDefault="0069340B" w:rsidP="006F3050">
      <w:pPr>
        <w:spacing w:after="0" w:line="240" w:lineRule="auto"/>
        <w:ind w:left="18"/>
        <w:jc w:val="both"/>
        <w:rPr>
          <w:color w:val="000000" w:themeColor="text1"/>
        </w:rPr>
      </w:pPr>
      <w:r>
        <w:rPr>
          <w:color w:val="000000" w:themeColor="text1"/>
        </w:rPr>
        <w:fldChar w:fldCharType="begin"/>
      </w:r>
      <w:r>
        <w:rPr>
          <w:color w:val="000000" w:themeColor="text1"/>
        </w:rPr>
        <w:instrText xml:space="preserve"> REF _Ref178945178 \h </w:instrText>
      </w:r>
      <w:r>
        <w:rPr>
          <w:color w:val="000000" w:themeColor="text1"/>
        </w:rPr>
      </w:r>
      <w:r>
        <w:rPr>
          <w:color w:val="000000" w:themeColor="text1"/>
        </w:rPr>
        <w:fldChar w:fldCharType="separate"/>
      </w:r>
      <w:r w:rsidR="008A3DCE">
        <w:t xml:space="preserve">Table </w:t>
      </w:r>
      <w:r w:rsidR="008A3DCE">
        <w:rPr>
          <w:noProof/>
        </w:rPr>
        <w:t>6</w:t>
      </w:r>
      <w:r>
        <w:rPr>
          <w:color w:val="000000" w:themeColor="text1"/>
        </w:rPr>
        <w:fldChar w:fldCharType="end"/>
      </w:r>
      <w:r w:rsidR="00FD6918" w:rsidRPr="0060250B">
        <w:rPr>
          <w:color w:val="000000" w:themeColor="text1"/>
        </w:rPr>
        <w:t xml:space="preserve"> presents </w:t>
      </w:r>
      <w:r w:rsidR="00DE437C">
        <w:rPr>
          <w:color w:val="000000" w:themeColor="text1"/>
        </w:rPr>
        <w:t xml:space="preserve">the </w:t>
      </w:r>
      <w:r w:rsidR="00FD6918" w:rsidRPr="0060250B">
        <w:rPr>
          <w:color w:val="000000" w:themeColor="text1"/>
        </w:rPr>
        <w:t xml:space="preserve">correlation effects </w:t>
      </w:r>
      <w:r w:rsidR="00F766B2">
        <w:rPr>
          <w:color w:val="000000" w:themeColor="text1"/>
        </w:rPr>
        <w:t xml:space="preserve">in unobserved factors among </w:t>
      </w:r>
      <w:r w:rsidR="00DE437C">
        <w:rPr>
          <w:color w:val="000000" w:themeColor="text1"/>
        </w:rPr>
        <w:t xml:space="preserve">(a) </w:t>
      </w:r>
      <w:r w:rsidR="00F766B2">
        <w:rPr>
          <w:color w:val="000000" w:themeColor="text1"/>
        </w:rPr>
        <w:t xml:space="preserve">the </w:t>
      </w:r>
      <w:r w:rsidR="00FD6918" w:rsidRPr="0060250B">
        <w:rPr>
          <w:color w:val="000000" w:themeColor="text1"/>
        </w:rPr>
        <w:t xml:space="preserve">adoption choices </w:t>
      </w:r>
      <w:r w:rsidR="00F766B2">
        <w:rPr>
          <w:color w:val="000000" w:themeColor="text1"/>
        </w:rPr>
        <w:t xml:space="preserve">across the </w:t>
      </w:r>
      <w:r w:rsidR="00C817CF">
        <w:rPr>
          <w:color w:val="000000" w:themeColor="text1"/>
        </w:rPr>
        <w:t>Before-</w:t>
      </w:r>
      <w:r w:rsidR="00F766B2">
        <w:rPr>
          <w:color w:val="000000" w:themeColor="text1"/>
        </w:rPr>
        <w:t xml:space="preserve">, </w:t>
      </w:r>
      <w:r w:rsidR="00F8247A">
        <w:rPr>
          <w:color w:val="000000" w:themeColor="text1"/>
        </w:rPr>
        <w:t>During-</w:t>
      </w:r>
      <w:r w:rsidR="00F766B2">
        <w:rPr>
          <w:color w:val="000000" w:themeColor="text1"/>
        </w:rPr>
        <w:t xml:space="preserve">, and </w:t>
      </w:r>
      <w:r w:rsidR="006312A4">
        <w:rPr>
          <w:color w:val="000000" w:themeColor="text1"/>
        </w:rPr>
        <w:t>After-COVID</w:t>
      </w:r>
      <w:r w:rsidR="00F766B2">
        <w:rPr>
          <w:color w:val="000000" w:themeColor="text1"/>
        </w:rPr>
        <w:t xml:space="preserve"> periods (the top left </w:t>
      </w:r>
      <w:r w:rsidR="009D7F75" w:rsidRPr="00D22A5B">
        <w:rPr>
          <w:iCs/>
        </w:rPr>
        <w:t>3</w:t>
      </w:r>
      <m:oMath>
        <m:r>
          <w:rPr>
            <w:rFonts w:ascii="Cambria Math" w:hAnsi="Cambria Math"/>
          </w:rPr>
          <m:t>×</m:t>
        </m:r>
      </m:oMath>
      <w:r w:rsidR="009D7F75" w:rsidRPr="00D22A5B">
        <w:rPr>
          <w:iCs/>
        </w:rPr>
        <w:t>3</w:t>
      </w:r>
      <w:r w:rsidR="009D7F75">
        <w:t xml:space="preserve"> </w:t>
      </w:r>
      <w:r w:rsidR="0065445B">
        <w:rPr>
          <w:color w:val="000000" w:themeColor="text1"/>
        </w:rPr>
        <w:t xml:space="preserve">numeric </w:t>
      </w:r>
      <w:r w:rsidR="00F766B2">
        <w:rPr>
          <w:color w:val="000000" w:themeColor="text1"/>
        </w:rPr>
        <w:t>submatrix),</w:t>
      </w:r>
      <w:r w:rsidR="00DE437C">
        <w:rPr>
          <w:color w:val="000000" w:themeColor="text1"/>
        </w:rPr>
        <w:t xml:space="preserve"> (b)</w:t>
      </w:r>
      <w:r w:rsidR="00F766B2">
        <w:rPr>
          <w:color w:val="000000" w:themeColor="text1"/>
        </w:rPr>
        <w:t xml:space="preserve"> the correlations in the unobserved factors between the adoption choice in the </w:t>
      </w:r>
      <w:r w:rsidR="006312A4">
        <w:rPr>
          <w:color w:val="000000" w:themeColor="text1"/>
        </w:rPr>
        <w:t>After-COVID</w:t>
      </w:r>
      <w:r w:rsidR="00F766B2">
        <w:rPr>
          <w:color w:val="000000" w:themeColor="text1"/>
        </w:rPr>
        <w:t xml:space="preserve"> period </w:t>
      </w:r>
      <w:r w:rsidR="00FD6918" w:rsidRPr="0060250B">
        <w:rPr>
          <w:color w:val="000000" w:themeColor="text1"/>
        </w:rPr>
        <w:t xml:space="preserve">and </w:t>
      </w:r>
      <w:r w:rsidR="00F766B2">
        <w:rPr>
          <w:color w:val="000000" w:themeColor="text1"/>
        </w:rPr>
        <w:t xml:space="preserve">each of the </w:t>
      </w:r>
      <w:r w:rsidR="00FD6918" w:rsidRPr="0060250B">
        <w:rPr>
          <w:color w:val="000000" w:themeColor="text1"/>
        </w:rPr>
        <w:t xml:space="preserve">reasons </w:t>
      </w:r>
      <w:r w:rsidR="00F766B2">
        <w:rPr>
          <w:color w:val="000000" w:themeColor="text1"/>
        </w:rPr>
        <w:t xml:space="preserve">that constitute facilitators and </w:t>
      </w:r>
      <w:r w:rsidR="00F64E60">
        <w:rPr>
          <w:color w:val="000000" w:themeColor="text1"/>
        </w:rPr>
        <w:t>deterrents</w:t>
      </w:r>
      <w:r w:rsidR="00F766B2">
        <w:rPr>
          <w:color w:val="000000" w:themeColor="text1"/>
        </w:rPr>
        <w:t xml:space="preserve"> of telemedicine adoption (</w:t>
      </w:r>
      <w:r w:rsidR="00DE437C">
        <w:rPr>
          <w:color w:val="000000" w:themeColor="text1"/>
        </w:rPr>
        <w:t>the third numeric row of the table)</w:t>
      </w:r>
      <w:r w:rsidR="0065445B">
        <w:rPr>
          <w:color w:val="000000" w:themeColor="text1"/>
        </w:rPr>
        <w:t>, (c) the correlations among the facilitator reasons (the fourth through 11</w:t>
      </w:r>
      <w:r w:rsidR="0065445B" w:rsidRPr="00FC5247">
        <w:rPr>
          <w:color w:val="000000" w:themeColor="text1"/>
          <w:vertAlign w:val="superscript"/>
        </w:rPr>
        <w:t>th</w:t>
      </w:r>
      <w:r w:rsidR="0065445B">
        <w:rPr>
          <w:color w:val="000000" w:themeColor="text1"/>
        </w:rPr>
        <w:t xml:space="preserve"> numeric rows and columns of the table), and (d) the correlations among the deterrent reasons (the 12</w:t>
      </w:r>
      <w:r w:rsidR="0065445B" w:rsidRPr="00FC5247">
        <w:rPr>
          <w:color w:val="000000" w:themeColor="text1"/>
          <w:vertAlign w:val="superscript"/>
        </w:rPr>
        <w:t>th</w:t>
      </w:r>
      <w:r w:rsidR="0065445B">
        <w:rPr>
          <w:color w:val="000000" w:themeColor="text1"/>
        </w:rPr>
        <w:t xml:space="preserve"> through 18</w:t>
      </w:r>
      <w:r w:rsidR="0065445B" w:rsidRPr="00FC5247">
        <w:rPr>
          <w:color w:val="000000" w:themeColor="text1"/>
          <w:vertAlign w:val="superscript"/>
        </w:rPr>
        <w:t>th</w:t>
      </w:r>
      <w:r w:rsidR="0065445B">
        <w:rPr>
          <w:color w:val="000000" w:themeColor="text1"/>
        </w:rPr>
        <w:t xml:space="preserve"> numeric rows and columns of the table). A</w:t>
      </w:r>
      <w:r w:rsidR="00F766B2">
        <w:rPr>
          <w:color w:val="000000" w:themeColor="text1"/>
        </w:rPr>
        <w:t>s discussed earlier, the facil</w:t>
      </w:r>
      <w:r w:rsidR="00D658B2">
        <w:rPr>
          <w:color w:val="000000" w:themeColor="text1"/>
        </w:rPr>
        <w:t>i</w:t>
      </w:r>
      <w:r w:rsidR="00F766B2">
        <w:rPr>
          <w:color w:val="000000" w:themeColor="text1"/>
        </w:rPr>
        <w:t>tator/</w:t>
      </w:r>
      <w:r w:rsidR="00F64E60">
        <w:rPr>
          <w:color w:val="000000" w:themeColor="text1"/>
        </w:rPr>
        <w:t>deterrent</w:t>
      </w:r>
      <w:r w:rsidR="00F766B2">
        <w:rPr>
          <w:color w:val="000000" w:themeColor="text1"/>
        </w:rPr>
        <w:t xml:space="preserve"> reasons were sought only for the </w:t>
      </w:r>
      <w:r w:rsidR="006312A4">
        <w:rPr>
          <w:color w:val="000000" w:themeColor="text1"/>
        </w:rPr>
        <w:t>After-COVID</w:t>
      </w:r>
      <w:r w:rsidR="00F766B2">
        <w:rPr>
          <w:color w:val="000000" w:themeColor="text1"/>
        </w:rPr>
        <w:t xml:space="preserve"> period, and so the </w:t>
      </w:r>
      <w:r w:rsidR="00A43F0B">
        <w:rPr>
          <w:color w:val="000000" w:themeColor="text1"/>
        </w:rPr>
        <w:t>columns correspon</w:t>
      </w:r>
      <w:r w:rsidR="0065445B">
        <w:rPr>
          <w:color w:val="000000" w:themeColor="text1"/>
        </w:rPr>
        <w:t>d</w:t>
      </w:r>
      <w:r w:rsidR="00A43F0B">
        <w:rPr>
          <w:color w:val="000000" w:themeColor="text1"/>
        </w:rPr>
        <w:t xml:space="preserve">ing to the first two </w:t>
      </w:r>
      <w:r w:rsidR="0065445B">
        <w:rPr>
          <w:color w:val="000000" w:themeColor="text1"/>
        </w:rPr>
        <w:t xml:space="preserve">numeric </w:t>
      </w:r>
      <w:r w:rsidR="00A43F0B">
        <w:rPr>
          <w:color w:val="000000" w:themeColor="text1"/>
        </w:rPr>
        <w:t xml:space="preserve">rows (of </w:t>
      </w:r>
      <w:r w:rsidR="00C817CF">
        <w:rPr>
          <w:color w:val="000000" w:themeColor="text1"/>
        </w:rPr>
        <w:t>Before-</w:t>
      </w:r>
      <w:r w:rsidR="00A43F0B">
        <w:rPr>
          <w:color w:val="000000" w:themeColor="text1"/>
        </w:rPr>
        <w:t xml:space="preserve"> and </w:t>
      </w:r>
      <w:r w:rsidR="00F8247A">
        <w:rPr>
          <w:color w:val="000000" w:themeColor="text1"/>
        </w:rPr>
        <w:t>During-</w:t>
      </w:r>
      <w:r w:rsidR="006312A4">
        <w:rPr>
          <w:color w:val="000000" w:themeColor="text1"/>
        </w:rPr>
        <w:t>COVID</w:t>
      </w:r>
      <w:r w:rsidR="00A43F0B">
        <w:rPr>
          <w:color w:val="000000" w:themeColor="text1"/>
        </w:rPr>
        <w:t xml:space="preserve"> periods) and the facil</w:t>
      </w:r>
      <w:r w:rsidR="00D658B2">
        <w:rPr>
          <w:color w:val="000000" w:themeColor="text1"/>
        </w:rPr>
        <w:t>it</w:t>
      </w:r>
      <w:r w:rsidR="00A43F0B">
        <w:rPr>
          <w:color w:val="000000" w:themeColor="text1"/>
        </w:rPr>
        <w:t>at</w:t>
      </w:r>
      <w:r w:rsidR="0065445B">
        <w:rPr>
          <w:color w:val="000000" w:themeColor="text1"/>
        </w:rPr>
        <w:t>o</w:t>
      </w:r>
      <w:r w:rsidR="00A43F0B">
        <w:rPr>
          <w:color w:val="000000" w:themeColor="text1"/>
        </w:rPr>
        <w:t>r/</w:t>
      </w:r>
      <w:r w:rsidR="00D658B2">
        <w:rPr>
          <w:color w:val="000000" w:themeColor="text1"/>
        </w:rPr>
        <w:t>deterrent</w:t>
      </w:r>
      <w:r w:rsidR="00A43F0B">
        <w:rPr>
          <w:color w:val="000000" w:themeColor="text1"/>
        </w:rPr>
        <w:t xml:space="preserve"> reasons have zeros as entries. Similarly, the facilitator reasons are only obtained from those who actually adopted telemedicine, and the </w:t>
      </w:r>
      <w:r w:rsidR="00D658B2">
        <w:rPr>
          <w:color w:val="000000" w:themeColor="text1"/>
        </w:rPr>
        <w:t>deterrent</w:t>
      </w:r>
      <w:r w:rsidR="00A43F0B">
        <w:rPr>
          <w:color w:val="000000" w:themeColor="text1"/>
        </w:rPr>
        <w:t xml:space="preserve"> reasons are obtained only from those who did not adopt telemedicine (in the </w:t>
      </w:r>
      <w:r w:rsidR="006312A4">
        <w:rPr>
          <w:color w:val="000000" w:themeColor="text1"/>
        </w:rPr>
        <w:t>After-COVID</w:t>
      </w:r>
      <w:r w:rsidR="00A43F0B">
        <w:rPr>
          <w:color w:val="000000" w:themeColor="text1"/>
        </w:rPr>
        <w:t xml:space="preserve"> per</w:t>
      </w:r>
      <w:r w:rsidR="00D658B2">
        <w:rPr>
          <w:color w:val="000000" w:themeColor="text1"/>
        </w:rPr>
        <w:t>i</w:t>
      </w:r>
      <w:r w:rsidR="00A43F0B">
        <w:rPr>
          <w:color w:val="000000" w:themeColor="text1"/>
        </w:rPr>
        <w:t xml:space="preserve">od) and so the entire sub-matrix containing the correlations between the facilitator and </w:t>
      </w:r>
      <w:r w:rsidR="00F61E18">
        <w:rPr>
          <w:color w:val="000000" w:themeColor="text1"/>
        </w:rPr>
        <w:t>deterrent</w:t>
      </w:r>
      <w:r w:rsidR="00A43F0B">
        <w:rPr>
          <w:color w:val="000000" w:themeColor="text1"/>
        </w:rPr>
        <w:t xml:space="preserve"> reasons have to be set to zero. In the table, </w:t>
      </w:r>
      <w:r w:rsidR="00FD6918" w:rsidRPr="0060250B">
        <w:rPr>
          <w:color w:val="000000" w:themeColor="text1"/>
        </w:rPr>
        <w:t xml:space="preserve">we only provide the t-statistics for correlations that are statistically significant at least at the 76% confidence level. </w:t>
      </w:r>
    </w:p>
    <w:p w14:paraId="3A78B940" w14:textId="4F981443" w:rsidR="00F64E60" w:rsidRPr="00F64E60" w:rsidRDefault="00A43F0B" w:rsidP="009D0CA2">
      <w:pPr>
        <w:spacing w:after="0" w:line="240" w:lineRule="auto"/>
        <w:ind w:left="18" w:firstLine="720"/>
        <w:jc w:val="both"/>
        <w:rPr>
          <w:color w:val="000000" w:themeColor="text1"/>
        </w:rPr>
      </w:pPr>
      <w:r>
        <w:t xml:space="preserve">The top left </w:t>
      </w:r>
      <w:r w:rsidRPr="009D7F75">
        <w:rPr>
          <w:iCs/>
        </w:rPr>
        <w:t>3</w:t>
      </w:r>
      <w:r w:rsidR="00721B8D">
        <w:rPr>
          <w:iCs/>
        </w:rPr>
        <w:t>×</w:t>
      </w:r>
      <w:r w:rsidRPr="009D7F75">
        <w:rPr>
          <w:iCs/>
        </w:rPr>
        <w:t>3</w:t>
      </w:r>
      <w:r>
        <w:t xml:space="preserve"> matrix indicates </w:t>
      </w:r>
      <w:r w:rsidR="007C76BA">
        <w:t xml:space="preserve">the </w:t>
      </w:r>
      <w:r>
        <w:t>correlations among the three propensities for telemedicine adoption in the three different periods</w:t>
      </w:r>
      <w:r w:rsidR="007C76BA">
        <w:t xml:space="preserve">. While these correlations correspond to common unobserved factors and can take any sign, the positive correlations are rather intuitive. Unobserved individual factors that increase the propensity for telemedicine adoption in any period also tend to increase the propensity of telemedicine adoption at other periods. </w:t>
      </w:r>
      <w:r w:rsidR="00FD6918" w:rsidRPr="0060250B">
        <w:t xml:space="preserve">Controlling for such common (but </w:t>
      </w:r>
      <w:r w:rsidR="00FD6918" w:rsidRPr="00F6357B">
        <w:t xml:space="preserve">time-varying) unobserved factors across the </w:t>
      </w:r>
      <w:r w:rsidR="00015E61" w:rsidRPr="00F6357B">
        <w:t>periods</w:t>
      </w:r>
      <w:r w:rsidR="00FD6918" w:rsidRPr="00F6357B">
        <w:t xml:space="preserve"> allows for the consistent estimation of the effects of observed exogenous variables.</w:t>
      </w:r>
      <w:r w:rsidR="009D7F75" w:rsidRPr="00F6357B">
        <w:t xml:space="preserve"> Of particular importance from a self-selection perspective are the correlations corresponding to the “</w:t>
      </w:r>
      <w:r w:rsidR="006312A4">
        <w:t>After-COVID</w:t>
      </w:r>
      <w:r w:rsidR="009D7F75" w:rsidRPr="00F6357B">
        <w:t>” row and the many telemedicine facilitator/deterrent reasons columns</w:t>
      </w:r>
      <w:r w:rsidR="00342FFA">
        <w:t xml:space="preserve"> (third numeric rows in</w:t>
      </w:r>
      <w:r w:rsidR="0069340B">
        <w:t xml:space="preserve"> </w:t>
      </w:r>
      <w:r w:rsidR="0069340B">
        <w:rPr>
          <w:color w:val="000000" w:themeColor="text1"/>
        </w:rPr>
        <w:fldChar w:fldCharType="begin"/>
      </w:r>
      <w:r w:rsidR="0069340B">
        <w:rPr>
          <w:color w:val="000000" w:themeColor="text1"/>
        </w:rPr>
        <w:instrText xml:space="preserve"> REF _Ref178945178 \h </w:instrText>
      </w:r>
      <w:r w:rsidR="0069340B">
        <w:rPr>
          <w:color w:val="000000" w:themeColor="text1"/>
        </w:rPr>
      </w:r>
      <w:r w:rsidR="0069340B">
        <w:rPr>
          <w:color w:val="000000" w:themeColor="text1"/>
        </w:rPr>
        <w:fldChar w:fldCharType="separate"/>
      </w:r>
      <w:r w:rsidR="008A3DCE">
        <w:t xml:space="preserve">Table </w:t>
      </w:r>
      <w:r w:rsidR="008A3DCE">
        <w:rPr>
          <w:noProof/>
        </w:rPr>
        <w:t>6</w:t>
      </w:r>
      <w:r w:rsidR="0069340B">
        <w:rPr>
          <w:color w:val="000000" w:themeColor="text1"/>
        </w:rPr>
        <w:fldChar w:fldCharType="end"/>
      </w:r>
      <w:r w:rsidR="00342FFA">
        <w:t>)</w:t>
      </w:r>
      <w:r w:rsidR="009D7F75" w:rsidRPr="00F6357B">
        <w:t>. Self-selection occurs when individuals choose to adopt/not adopt telemedicine based on their unobserved characteristics, such as preferences, attitudes, or constraints, which may also influence their likelihood of citing specific facilitators/deterrents for adoption.</w:t>
      </w:r>
      <w:r w:rsidR="00FD6918" w:rsidRPr="00F6357B">
        <w:t xml:space="preserve"> </w:t>
      </w:r>
      <w:r w:rsidR="00015E61" w:rsidRPr="00F6357B">
        <w:rPr>
          <w:color w:val="000000" w:themeColor="text1"/>
          <w:shd w:val="clear" w:color="auto" w:fill="FFFFFF"/>
        </w:rPr>
        <w:t>As an illustration</w:t>
      </w:r>
      <w:r w:rsidR="00015E61" w:rsidRPr="00F6357B">
        <w:t>, the -0.3</w:t>
      </w:r>
      <w:r w:rsidR="009D7F75" w:rsidRPr="00F6357B">
        <w:t>6</w:t>
      </w:r>
      <w:r w:rsidR="00015E61" w:rsidRPr="00F6357B">
        <w:t xml:space="preserve"> correlation between DIPA and telemedicine adoption suggests that unobserved factors that increase the likelihood of citing DIPA as a reason for telemedicine </w:t>
      </w:r>
      <w:r w:rsidR="00D863B3">
        <w:t>adoption</w:t>
      </w:r>
      <w:r w:rsidR="00015E61" w:rsidRPr="00F6357B">
        <w:t xml:space="preserve"> also decrease the likelihood of actually adopting telemedicine.</w:t>
      </w:r>
      <w:r w:rsidR="005834D2" w:rsidRPr="00F6357B">
        <w:t xml:space="preserve"> Thus, for example, an individual who has a strong trust in in-person visits (an unobserved factor) and a strong desire to see their doctor face-to-face may perceive a higher level of difficulty in accessing in-person medical services (DIPA). This is because their strong preference for in-person visits may make them feel that they do not have as much accessibility as they would like, creating a sense of difficulty. However, this same individual, due to their strong trust in in-person visits, may be less likely to adopt telemedicine. As a result</w:t>
      </w:r>
      <w:r w:rsidR="00015E61" w:rsidRPr="00F6357B">
        <w:t xml:space="preserve">, </w:t>
      </w:r>
      <w:r w:rsidR="005834D2" w:rsidRPr="00F6357B">
        <w:t xml:space="preserve">in the </w:t>
      </w:r>
      <w:r w:rsidR="00015E61" w:rsidRPr="00F6357B">
        <w:t>sub</w:t>
      </w:r>
      <w:r w:rsidR="009D7F75" w:rsidRPr="00F6357B">
        <w:t>-</w:t>
      </w:r>
      <w:r w:rsidR="00015E61" w:rsidRPr="00F6357B">
        <w:t xml:space="preserve">population of individuals who </w:t>
      </w:r>
      <w:r w:rsidR="005834D2" w:rsidRPr="00F6357B">
        <w:t xml:space="preserve">adopt telemedicine, </w:t>
      </w:r>
      <w:r w:rsidR="00956468" w:rsidRPr="00F6357B">
        <w:t>there is likely to be a weaker positive relationship between DIPA and telemedicine adoption than in the general population. That is, i</w:t>
      </w:r>
      <w:r w:rsidR="00015E61" w:rsidRPr="00F6357B">
        <w:t>f we ignore th</w:t>
      </w:r>
      <w:r w:rsidR="00956468" w:rsidRPr="00F6357B">
        <w:t xml:space="preserve">e </w:t>
      </w:r>
      <w:r w:rsidR="00677400" w:rsidRPr="00F6357B">
        <w:t xml:space="preserve">negative </w:t>
      </w:r>
      <w:r w:rsidR="00956468" w:rsidRPr="00F6357B">
        <w:t xml:space="preserve">correlation between DIPA and telemedicine adoption due to </w:t>
      </w:r>
      <w:r w:rsidR="00015E61" w:rsidRPr="00F6357B">
        <w:t>unobserved factor</w:t>
      </w:r>
      <w:r w:rsidR="00956468" w:rsidRPr="00F6357B">
        <w:t>s</w:t>
      </w:r>
      <w:r w:rsidR="00015E61" w:rsidRPr="00F6357B">
        <w:t xml:space="preserve"> (</w:t>
      </w:r>
      <w:r w:rsidR="00956468" w:rsidRPr="00F6357B">
        <w:t xml:space="preserve">such as intrinsic </w:t>
      </w:r>
      <w:r w:rsidR="00015E61" w:rsidRPr="00F6357B">
        <w:t>trust in in-person visits)</w:t>
      </w:r>
      <w:r w:rsidR="00956468" w:rsidRPr="00F6357B">
        <w:t>,</w:t>
      </w:r>
      <w:r w:rsidR="00015E61" w:rsidRPr="00F6357B">
        <w:t xml:space="preserve"> we </w:t>
      </w:r>
      <w:r w:rsidR="00956468" w:rsidRPr="00F6357B">
        <w:t>would</w:t>
      </w:r>
      <w:r w:rsidR="00015E61" w:rsidRPr="00F6357B">
        <w:t xml:space="preserve"> underestimate the importance of DIPA as a motivator for telemedicine adoption in the general population. </w:t>
      </w:r>
      <w:r w:rsidR="00F64E60" w:rsidRPr="00F6357B">
        <w:t>Such inaccurate results can lead to misinformed policy implications regarding how to increase telemedicine use (if that were the goal).</w:t>
      </w:r>
      <w:r w:rsidR="00F64E60">
        <w:rPr>
          <w:rFonts w:ascii="Arial" w:hAnsi="Arial" w:cs="Arial"/>
          <w:color w:val="29261B"/>
          <w:spacing w:val="-5"/>
          <w:sz w:val="21"/>
          <w:szCs w:val="21"/>
          <w:shd w:val="clear" w:color="auto" w:fill="F5F4EF"/>
        </w:rPr>
        <w:t xml:space="preserve"> </w:t>
      </w:r>
    </w:p>
    <w:p w14:paraId="0101D5C3" w14:textId="184E3345" w:rsidR="002D5C81" w:rsidRDefault="007E7997" w:rsidP="009D0CA2">
      <w:pPr>
        <w:spacing w:after="0" w:line="240" w:lineRule="auto"/>
        <w:ind w:firstLine="720"/>
        <w:jc w:val="both"/>
        <w:rPr>
          <w:color w:val="000000" w:themeColor="text1"/>
        </w:rPr>
      </w:pPr>
      <w:r>
        <w:rPr>
          <w:color w:val="000000" w:themeColor="text1"/>
        </w:rPr>
        <w:lastRenderedPageBreak/>
        <w:t>The correlations among the facilitator reasons are all positive</w:t>
      </w:r>
      <w:r w:rsidR="007C76BA">
        <w:rPr>
          <w:color w:val="000000" w:themeColor="text1"/>
        </w:rPr>
        <w:t>. Again, while these correlations can be of any sign, the positive correlations are rather intuitive</w:t>
      </w:r>
      <w:r w:rsidR="002D5C81" w:rsidRPr="002D5C81">
        <w:rPr>
          <w:color w:val="000000" w:themeColor="text1"/>
        </w:rPr>
        <w:t xml:space="preserve">, suggesting that individuals </w:t>
      </w:r>
      <w:r>
        <w:rPr>
          <w:color w:val="000000" w:themeColor="text1"/>
        </w:rPr>
        <w:t xml:space="preserve">who intrinsically value one aspect </w:t>
      </w:r>
      <w:r w:rsidR="00F64E60">
        <w:rPr>
          <w:color w:val="000000" w:themeColor="text1"/>
        </w:rPr>
        <w:t>of</w:t>
      </w:r>
      <w:r>
        <w:rPr>
          <w:color w:val="000000" w:themeColor="text1"/>
        </w:rPr>
        <w:t xml:space="preserve"> telemedicine also value </w:t>
      </w:r>
      <w:r w:rsidR="0065445B">
        <w:rPr>
          <w:color w:val="000000" w:themeColor="text1"/>
        </w:rPr>
        <w:t xml:space="preserve">other </w:t>
      </w:r>
      <w:r>
        <w:rPr>
          <w:color w:val="000000" w:themeColor="text1"/>
        </w:rPr>
        <w:t xml:space="preserve">aspects in a similar positive manner. </w:t>
      </w:r>
      <w:r w:rsidR="002D5C81" w:rsidRPr="002D5C81">
        <w:rPr>
          <w:color w:val="000000" w:themeColor="text1"/>
        </w:rPr>
        <w:t>A</w:t>
      </w:r>
      <w:r w:rsidR="0065445B">
        <w:rPr>
          <w:color w:val="000000" w:themeColor="text1"/>
        </w:rPr>
        <w:t xml:space="preserve">mong </w:t>
      </w:r>
      <w:r w:rsidR="002D5C81" w:rsidRPr="002D5C81">
        <w:rPr>
          <w:color w:val="000000" w:themeColor="text1"/>
        </w:rPr>
        <w:t>the</w:t>
      </w:r>
      <w:r w:rsidR="0065445B">
        <w:rPr>
          <w:color w:val="000000" w:themeColor="text1"/>
        </w:rPr>
        <w:t xml:space="preserve"> many correlations</w:t>
      </w:r>
      <w:r w:rsidR="002D5C81" w:rsidRPr="002D5C81">
        <w:rPr>
          <w:color w:val="000000" w:themeColor="text1"/>
        </w:rPr>
        <w:t>, comfort emerge</w:t>
      </w:r>
      <w:r w:rsidR="00121091">
        <w:rPr>
          <w:color w:val="000000" w:themeColor="text1"/>
        </w:rPr>
        <w:t>s</w:t>
      </w:r>
      <w:r w:rsidR="002D5C81" w:rsidRPr="002D5C81">
        <w:rPr>
          <w:color w:val="000000" w:themeColor="text1"/>
        </w:rPr>
        <w:t xml:space="preserve"> as a central element </w:t>
      </w:r>
      <w:r w:rsidR="00F64E60">
        <w:rPr>
          <w:color w:val="000000" w:themeColor="text1"/>
        </w:rPr>
        <w:t>having</w:t>
      </w:r>
      <w:r w:rsidR="0065445B">
        <w:rPr>
          <w:color w:val="000000" w:themeColor="text1"/>
        </w:rPr>
        <w:t xml:space="preserve"> </w:t>
      </w:r>
      <w:r w:rsidR="002D5C81" w:rsidRPr="002D5C81">
        <w:rPr>
          <w:color w:val="000000" w:themeColor="text1"/>
        </w:rPr>
        <w:t xml:space="preserve">the strongest correlations with other motivating factors. </w:t>
      </w:r>
      <w:r w:rsidR="001A37E3">
        <w:rPr>
          <w:color w:val="000000" w:themeColor="text1"/>
        </w:rPr>
        <w:t xml:space="preserve">Similarly, </w:t>
      </w:r>
      <w:r w:rsidR="002D5C81" w:rsidRPr="002D5C81">
        <w:rPr>
          <w:color w:val="000000" w:themeColor="text1"/>
        </w:rPr>
        <w:t>s</w:t>
      </w:r>
      <w:r w:rsidR="00EF5882" w:rsidRPr="002D5C81">
        <w:rPr>
          <w:color w:val="000000" w:themeColor="text1"/>
        </w:rPr>
        <w:t xml:space="preserve">everal </w:t>
      </w:r>
      <w:r w:rsidR="001A37E3">
        <w:rPr>
          <w:color w:val="000000" w:themeColor="text1"/>
        </w:rPr>
        <w:t xml:space="preserve">deterrent </w:t>
      </w:r>
      <w:r w:rsidR="00EF5882" w:rsidRPr="002D5C81">
        <w:rPr>
          <w:color w:val="000000" w:themeColor="text1"/>
        </w:rPr>
        <w:t xml:space="preserve">reasons appear to be intertwined. </w:t>
      </w:r>
      <w:r w:rsidR="002D5C81" w:rsidRPr="002D5C81">
        <w:rPr>
          <w:color w:val="000000" w:themeColor="text1"/>
        </w:rPr>
        <w:t>The strongest correlation (0.5</w:t>
      </w:r>
      <w:r w:rsidR="002502BF">
        <w:rPr>
          <w:color w:val="000000" w:themeColor="text1"/>
        </w:rPr>
        <w:t>5</w:t>
      </w:r>
      <w:r w:rsidR="002D5C81" w:rsidRPr="002D5C81">
        <w:rPr>
          <w:color w:val="000000" w:themeColor="text1"/>
        </w:rPr>
        <w:t xml:space="preserve">) exists between </w:t>
      </w:r>
      <w:r w:rsidR="001A37E3">
        <w:rPr>
          <w:color w:val="000000" w:themeColor="text1"/>
        </w:rPr>
        <w:t>“not technologically confident” (</w:t>
      </w:r>
      <w:r w:rsidR="002502BF">
        <w:rPr>
          <w:color w:val="000000" w:themeColor="text1"/>
        </w:rPr>
        <w:t>N</w:t>
      </w:r>
      <w:r w:rsidR="001A37E3">
        <w:rPr>
          <w:color w:val="000000" w:themeColor="text1"/>
        </w:rPr>
        <w:t>T</w:t>
      </w:r>
      <w:r w:rsidR="002502BF">
        <w:rPr>
          <w:color w:val="000000" w:themeColor="text1"/>
        </w:rPr>
        <w:t>C</w:t>
      </w:r>
      <w:r w:rsidR="001A37E3">
        <w:rPr>
          <w:color w:val="000000" w:themeColor="text1"/>
        </w:rPr>
        <w:t>)</w:t>
      </w:r>
      <w:r w:rsidR="002502BF">
        <w:rPr>
          <w:color w:val="000000" w:themeColor="text1"/>
        </w:rPr>
        <w:t xml:space="preserve"> and </w:t>
      </w:r>
      <w:r w:rsidR="001A37E3">
        <w:rPr>
          <w:color w:val="000000" w:themeColor="text1"/>
        </w:rPr>
        <w:t>“telemedicine security concern” (</w:t>
      </w:r>
      <w:r w:rsidR="002502BF">
        <w:rPr>
          <w:color w:val="000000" w:themeColor="text1"/>
        </w:rPr>
        <w:t>TSC</w:t>
      </w:r>
      <w:r w:rsidR="001A37E3">
        <w:rPr>
          <w:color w:val="000000" w:themeColor="text1"/>
        </w:rPr>
        <w:t>) (see the last column and pe</w:t>
      </w:r>
      <w:r w:rsidR="0065445B">
        <w:rPr>
          <w:color w:val="000000" w:themeColor="text1"/>
        </w:rPr>
        <w:t>n</w:t>
      </w:r>
      <w:r w:rsidR="001A37E3">
        <w:rPr>
          <w:color w:val="000000" w:themeColor="text1"/>
        </w:rPr>
        <w:t xml:space="preserve">ultimate row of </w:t>
      </w:r>
      <w:r w:rsidR="0069340B">
        <w:rPr>
          <w:color w:val="000000" w:themeColor="text1"/>
        </w:rPr>
        <w:fldChar w:fldCharType="begin"/>
      </w:r>
      <w:r w:rsidR="0069340B">
        <w:rPr>
          <w:color w:val="000000" w:themeColor="text1"/>
        </w:rPr>
        <w:instrText xml:space="preserve"> REF _Ref178945178 \h </w:instrText>
      </w:r>
      <w:r w:rsidR="0069340B">
        <w:rPr>
          <w:color w:val="000000" w:themeColor="text1"/>
        </w:rPr>
      </w:r>
      <w:r w:rsidR="0069340B">
        <w:rPr>
          <w:color w:val="000000" w:themeColor="text1"/>
        </w:rPr>
        <w:fldChar w:fldCharType="separate"/>
      </w:r>
      <w:r w:rsidR="008A3DCE">
        <w:t xml:space="preserve">Table </w:t>
      </w:r>
      <w:r w:rsidR="008A3DCE">
        <w:rPr>
          <w:noProof/>
        </w:rPr>
        <w:t>6</w:t>
      </w:r>
      <w:r w:rsidR="0069340B">
        <w:rPr>
          <w:color w:val="000000" w:themeColor="text1"/>
        </w:rPr>
        <w:fldChar w:fldCharType="end"/>
      </w:r>
      <w:r w:rsidR="001A37E3">
        <w:rPr>
          <w:color w:val="000000" w:themeColor="text1"/>
        </w:rPr>
        <w:t xml:space="preserve">), </w:t>
      </w:r>
      <w:r w:rsidR="002D5C81" w:rsidRPr="002D5C81">
        <w:rPr>
          <w:color w:val="000000" w:themeColor="text1"/>
        </w:rPr>
        <w:t xml:space="preserve">suggesting a link between low technical confidence and heightened security worries. Similarly, a strong correlation </w:t>
      </w:r>
      <w:r w:rsidR="001A37E3">
        <w:rPr>
          <w:color w:val="000000" w:themeColor="text1"/>
        </w:rPr>
        <w:t xml:space="preserve">(0.32) </w:t>
      </w:r>
      <w:r w:rsidR="002D5C81" w:rsidRPr="002D5C81">
        <w:rPr>
          <w:color w:val="000000" w:themeColor="text1"/>
        </w:rPr>
        <w:t xml:space="preserve">exists between </w:t>
      </w:r>
      <w:r w:rsidR="001A37E3">
        <w:rPr>
          <w:color w:val="000000" w:themeColor="text1"/>
        </w:rPr>
        <w:t>provider’s office privacy (</w:t>
      </w:r>
      <w:r w:rsidR="002502BF">
        <w:rPr>
          <w:color w:val="000000" w:themeColor="text1"/>
        </w:rPr>
        <w:t>POP</w:t>
      </w:r>
      <w:r w:rsidR="001A37E3">
        <w:rPr>
          <w:color w:val="000000" w:themeColor="text1"/>
        </w:rPr>
        <w:t>)</w:t>
      </w:r>
      <w:r w:rsidR="002502BF">
        <w:rPr>
          <w:color w:val="000000" w:themeColor="text1"/>
        </w:rPr>
        <w:t xml:space="preserve"> </w:t>
      </w:r>
      <w:r w:rsidR="002D5C81" w:rsidRPr="002D5C81">
        <w:rPr>
          <w:color w:val="000000" w:themeColor="text1"/>
        </w:rPr>
        <w:t xml:space="preserve">and </w:t>
      </w:r>
      <w:r w:rsidR="002502BF">
        <w:rPr>
          <w:color w:val="000000" w:themeColor="text1"/>
        </w:rPr>
        <w:t>TSC, suggesting</w:t>
      </w:r>
      <w:r w:rsidR="002D5C81" w:rsidRPr="002D5C81">
        <w:rPr>
          <w:color w:val="000000" w:themeColor="text1"/>
        </w:rPr>
        <w:t xml:space="preserve"> that people who </w:t>
      </w:r>
      <w:r w:rsidR="001A37E3">
        <w:rPr>
          <w:color w:val="000000" w:themeColor="text1"/>
        </w:rPr>
        <w:t>are concerned about digital</w:t>
      </w:r>
      <w:r w:rsidR="002D5C81" w:rsidRPr="002D5C81">
        <w:rPr>
          <w:color w:val="000000" w:themeColor="text1"/>
        </w:rPr>
        <w:t xml:space="preserve"> privacy are also more likely to value </w:t>
      </w:r>
      <w:r w:rsidR="001A37E3">
        <w:rPr>
          <w:color w:val="000000" w:themeColor="text1"/>
        </w:rPr>
        <w:t xml:space="preserve">digital </w:t>
      </w:r>
      <w:r w:rsidR="002D5C81" w:rsidRPr="002D5C81">
        <w:rPr>
          <w:color w:val="000000" w:themeColor="text1"/>
        </w:rPr>
        <w:t xml:space="preserve">data security. </w:t>
      </w:r>
      <w:r w:rsidR="004A6EC3">
        <w:rPr>
          <w:color w:val="000000" w:themeColor="text1"/>
        </w:rPr>
        <w:t xml:space="preserve">Clearly, </w:t>
      </w:r>
      <w:r w:rsidR="00D863B3">
        <w:rPr>
          <w:color w:val="000000" w:themeColor="text1"/>
        </w:rPr>
        <w:t xml:space="preserve">the </w:t>
      </w:r>
      <w:r w:rsidR="00957643">
        <w:rPr>
          <w:color w:val="000000" w:themeColor="text1"/>
        </w:rPr>
        <w:t>security and privacy of digital telemedic</w:t>
      </w:r>
      <w:r w:rsidR="004A6EC3">
        <w:rPr>
          <w:color w:val="000000" w:themeColor="text1"/>
        </w:rPr>
        <w:t>i</w:t>
      </w:r>
      <w:r w:rsidR="00957643">
        <w:rPr>
          <w:color w:val="000000" w:themeColor="text1"/>
        </w:rPr>
        <w:t>ne use are concerns in general, especially among those who feel they are not technologically proficient</w:t>
      </w:r>
      <w:r w:rsidR="007949EF">
        <w:rPr>
          <w:color w:val="000000" w:themeColor="text1"/>
        </w:rPr>
        <w:t>.</w:t>
      </w:r>
      <w:r w:rsidR="00957643">
        <w:rPr>
          <w:color w:val="000000" w:themeColor="text1"/>
        </w:rPr>
        <w:t xml:space="preserve"> </w:t>
      </w:r>
    </w:p>
    <w:p w14:paraId="609F2650" w14:textId="77777777" w:rsidR="00342FFA" w:rsidRDefault="00342FFA" w:rsidP="00466681">
      <w:pPr>
        <w:spacing w:after="0" w:line="240" w:lineRule="auto"/>
        <w:jc w:val="both"/>
        <w:rPr>
          <w:color w:val="000000" w:themeColor="text1"/>
        </w:rPr>
      </w:pPr>
    </w:p>
    <w:p w14:paraId="678EA7BD" w14:textId="223A97AA" w:rsidR="0044576F" w:rsidRDefault="0044576F" w:rsidP="00466681">
      <w:pPr>
        <w:pStyle w:val="Heading2"/>
        <w:keepNext/>
        <w:keepLines/>
        <w:spacing w:after="0" w:line="240" w:lineRule="auto"/>
        <w:contextualSpacing w:val="0"/>
      </w:pPr>
      <w:bookmarkStart w:id="60" w:name="_Hlk159495617"/>
      <w:r>
        <w:t>Goodness-of-Fit Measures</w:t>
      </w:r>
    </w:p>
    <w:p w14:paraId="003C3357" w14:textId="208A38EB" w:rsidR="00A94DB4" w:rsidRPr="00A94DB4" w:rsidRDefault="00A94DB4" w:rsidP="00466681">
      <w:pPr>
        <w:keepNext/>
        <w:keepLines/>
        <w:spacing w:after="0" w:line="240" w:lineRule="auto"/>
        <w:jc w:val="both"/>
        <w:rPr>
          <w:u w:val="single"/>
        </w:rPr>
      </w:pPr>
      <w:r w:rsidRPr="00A94DB4">
        <w:rPr>
          <w:rFonts w:eastAsia="Calibri"/>
          <w:u w:val="single"/>
        </w:rPr>
        <w:t>Likelihood-Based Data Fit Measures</w:t>
      </w:r>
    </w:p>
    <w:p w14:paraId="0229E364" w14:textId="5F7B1F5F" w:rsidR="001E62FC" w:rsidRDefault="004A6EC3" w:rsidP="00466681">
      <w:pPr>
        <w:keepNext/>
        <w:keepLines/>
        <w:spacing w:after="0" w:line="240" w:lineRule="auto"/>
        <w:jc w:val="both"/>
      </w:pPr>
      <w:r>
        <w:t xml:space="preserve">We compare </w:t>
      </w:r>
      <w:r w:rsidR="007735FB" w:rsidRPr="007735FB">
        <w:t>the data fit provided by</w:t>
      </w:r>
      <w:r w:rsidR="005C2E3D">
        <w:t xml:space="preserve"> our proposed joint model (</w:t>
      </w:r>
      <w:r w:rsidR="00F6357B">
        <w:t>i.e.,</w:t>
      </w:r>
      <w:r w:rsidR="005C2E3D">
        <w:t xml:space="preserve"> </w:t>
      </w:r>
      <w:r w:rsidR="001F563E">
        <w:t xml:space="preserve">the </w:t>
      </w:r>
      <w:r w:rsidR="009663F4">
        <w:t>multiperiod</w:t>
      </w:r>
      <w:r w:rsidR="001F563E">
        <w:t>-</w:t>
      </w:r>
      <w:r w:rsidR="005C2E3D">
        <w:t>cross-section</w:t>
      </w:r>
      <w:r w:rsidR="001F563E">
        <w:t>al</w:t>
      </w:r>
      <w:r w:rsidR="005C2E3D">
        <w:t xml:space="preserve"> MBP model)</w:t>
      </w:r>
      <w:r w:rsidR="007735FB" w:rsidRPr="007735FB">
        <w:t xml:space="preserve"> relative to a naïve independent</w:t>
      </w:r>
      <w:r w:rsidR="007735FB">
        <w:t xml:space="preserve"> </w:t>
      </w:r>
      <w:r w:rsidR="007735FB" w:rsidRPr="007735FB">
        <w:t xml:space="preserve">model that completely ignores </w:t>
      </w:r>
      <w:r w:rsidR="007735FB" w:rsidRPr="00121091">
        <w:t>jointness (</w:t>
      </w:r>
      <w:r w:rsidR="00F6357B" w:rsidRPr="00121091">
        <w:t>i.e.,</w:t>
      </w:r>
      <w:r w:rsidR="007735FB" w:rsidRPr="00121091">
        <w:t xml:space="preserve"> the correlations) among the </w:t>
      </w:r>
      <w:r w:rsidR="007949EF">
        <w:t xml:space="preserve">many </w:t>
      </w:r>
      <w:r w:rsidR="007735FB" w:rsidRPr="00121091">
        <w:t>dimensions</w:t>
      </w:r>
      <w:r w:rsidR="005C2E3D" w:rsidRPr="00121091">
        <w:t>,</w:t>
      </w:r>
      <w:r w:rsidR="007735FB" w:rsidRPr="00121091">
        <w:t xml:space="preserve"> as well as </w:t>
      </w:r>
      <w:r>
        <w:t>a</w:t>
      </w:r>
      <w:r w:rsidR="007735FB" w:rsidRPr="00121091">
        <w:t xml:space="preserve"> </w:t>
      </w:r>
      <w:r>
        <w:t xml:space="preserve">thresholds-only </w:t>
      </w:r>
      <w:r w:rsidR="007735FB" w:rsidRPr="00121091">
        <w:t xml:space="preserve">model. </w:t>
      </w:r>
      <w:r w:rsidR="005C2E3D" w:rsidRPr="00121091">
        <w:t>Several metrics can be used for this comparison</w:t>
      </w:r>
      <w:r w:rsidR="00C2725F">
        <w:t xml:space="preserve">, as presented in </w:t>
      </w:r>
      <w:r w:rsidR="0069340B">
        <w:fldChar w:fldCharType="begin"/>
      </w:r>
      <w:r w:rsidR="0069340B">
        <w:instrText xml:space="preserve"> REF _Ref178945209 \h </w:instrText>
      </w:r>
      <w:r w:rsidR="0069340B">
        <w:fldChar w:fldCharType="separate"/>
      </w:r>
      <w:r w:rsidR="008A3DCE">
        <w:t xml:space="preserve">Table </w:t>
      </w:r>
      <w:r w:rsidR="008A3DCE">
        <w:rPr>
          <w:noProof/>
        </w:rPr>
        <w:t>7</w:t>
      </w:r>
      <w:r w:rsidR="0069340B">
        <w:fldChar w:fldCharType="end"/>
      </w:r>
      <w:r w:rsidR="005C2E3D" w:rsidRPr="00121091">
        <w:t xml:space="preserve">. </w:t>
      </w:r>
      <w:r w:rsidR="00001866" w:rsidRPr="00121091">
        <w:t xml:space="preserve">First, </w:t>
      </w:r>
      <w:r w:rsidR="005C2E3D" w:rsidRPr="00121091">
        <w:t xml:space="preserve">we use </w:t>
      </w:r>
      <w:r w:rsidR="00001866" w:rsidRPr="00121091">
        <w:t>t</w:t>
      </w:r>
      <w:r w:rsidR="007735FB" w:rsidRPr="00121091">
        <w:t xml:space="preserve">he Bayesian Information Criterion (BIC) statistic </w:t>
      </w:r>
      <w:r w:rsidR="005A1BA8" w:rsidRPr="007F18E6">
        <w:rPr>
          <w:position w:val="-18"/>
        </w:rPr>
        <w:object w:dxaOrig="5820" w:dyaOrig="480" w14:anchorId="788F77E9">
          <v:shape id="_x0000_i1071" type="#_x0000_t75" style="width:291pt;height:24pt" o:ole="" o:preferrelative="f">
            <v:imagedata r:id="rId100" o:title=""/>
            <o:lock v:ext="edit" aspectratio="f"/>
          </v:shape>
          <o:OLEObject Type="Embed" ProgID="Equation.DSMT4" ShapeID="_x0000_i1071" DrawAspect="Content" ObjectID="_1790752379" r:id="rId101"/>
        </w:object>
      </w:r>
      <w:r w:rsidR="009D7F75" w:rsidRPr="009101D8">
        <w:t xml:space="preserve"> </w:t>
      </w:r>
      <w:r w:rsidR="00001866" w:rsidRPr="00121091">
        <w:t xml:space="preserve"> to compare model </w:t>
      </w:r>
      <w:r w:rsidR="00001866" w:rsidRPr="00296F0E">
        <w:t>performance</w:t>
      </w:r>
      <w:r w:rsidR="007949EF">
        <w:t xml:space="preserve">, where </w:t>
      </w:r>
      <w:r w:rsidR="005A1BA8" w:rsidRPr="007F18E6">
        <w:rPr>
          <w:position w:val="-10"/>
        </w:rPr>
        <w:object w:dxaOrig="499" w:dyaOrig="380" w14:anchorId="11B92DFC">
          <v:shape id="_x0000_i1072" type="#_x0000_t75" style="width:25.3pt;height:18.85pt" o:ole="" o:preferrelative="f">
            <v:imagedata r:id="rId102" o:title=""/>
            <o:lock v:ext="edit" aspectratio="f"/>
          </v:shape>
          <o:OLEObject Type="Embed" ProgID="Equation.DSMT4" ShapeID="_x0000_i1072" DrawAspect="Content" ObjectID="_1790752380" r:id="rId103"/>
        </w:object>
      </w:r>
      <w:r w:rsidR="009D7F75" w:rsidRPr="009101D8">
        <w:t xml:space="preserve"> </w:t>
      </w:r>
      <w:r w:rsidR="007949EF">
        <w:t>is the log-likelihood value at convergence</w:t>
      </w:r>
      <w:r w:rsidR="00001866" w:rsidRPr="00296F0E">
        <w:t>.</w:t>
      </w:r>
      <w:r w:rsidR="001E62FC" w:rsidRPr="00296F0E">
        <w:t xml:space="preserve"> </w:t>
      </w:r>
      <w:r w:rsidR="0069340B">
        <w:fldChar w:fldCharType="begin"/>
      </w:r>
      <w:r w:rsidR="0069340B">
        <w:instrText xml:space="preserve"> REF _Ref178945209 \h </w:instrText>
      </w:r>
      <w:r w:rsidR="0069340B">
        <w:fldChar w:fldCharType="separate"/>
      </w:r>
      <w:r w:rsidR="008A3DCE">
        <w:t xml:space="preserve">Table </w:t>
      </w:r>
      <w:r w:rsidR="008A3DCE">
        <w:rPr>
          <w:noProof/>
        </w:rPr>
        <w:t>7</w:t>
      </w:r>
      <w:r w:rsidR="0069340B">
        <w:fldChar w:fldCharType="end"/>
      </w:r>
      <w:r w:rsidR="0069340B">
        <w:t xml:space="preserve"> </w:t>
      </w:r>
      <w:r w:rsidR="001E62FC" w:rsidRPr="00296F0E">
        <w:t>shows that the joint</w:t>
      </w:r>
      <w:r w:rsidR="00001866" w:rsidRPr="00296F0E">
        <w:t xml:space="preserve"> </w:t>
      </w:r>
      <w:r w:rsidR="001E62FC" w:rsidRPr="00296F0E">
        <w:t xml:space="preserve">model </w:t>
      </w:r>
      <w:r w:rsidR="005C2E3D" w:rsidRPr="00296F0E">
        <w:t>exhibits</w:t>
      </w:r>
      <w:r w:rsidR="001E62FC" w:rsidRPr="00296F0E">
        <w:t xml:space="preserve"> a</w:t>
      </w:r>
      <w:r w:rsidR="00001866" w:rsidRPr="00296F0E">
        <w:t xml:space="preserve"> lower BIC statistic</w:t>
      </w:r>
      <w:r w:rsidR="001E62FC" w:rsidRPr="00296F0E">
        <w:t xml:space="preserve"> compared to the independent model</w:t>
      </w:r>
      <w:r w:rsidR="005C2E3D" w:rsidRPr="00296F0E">
        <w:t>, indicating superior model performance.</w:t>
      </w:r>
      <w:r w:rsidR="00121091" w:rsidRPr="00296F0E">
        <w:t xml:space="preserve"> </w:t>
      </w:r>
      <w:r w:rsidR="005C2E3D" w:rsidRPr="00296F0E">
        <w:rPr>
          <w:color w:val="0D0D0D"/>
          <w:shd w:val="clear" w:color="auto" w:fill="FFFFFF"/>
        </w:rPr>
        <w:t xml:space="preserve">Moreover, </w:t>
      </w:r>
      <w:r w:rsidR="001E62FC" w:rsidRPr="00296F0E">
        <w:t xml:space="preserve">the difference in </w:t>
      </w:r>
      <w:r w:rsidR="005C2E3D" w:rsidRPr="00296F0E">
        <w:t>the</w:t>
      </w:r>
      <w:r w:rsidR="001E62FC" w:rsidRPr="00296F0E">
        <w:t xml:space="preserve"> average probability of correct</w:t>
      </w:r>
      <w:r w:rsidR="001E62FC" w:rsidRPr="00121091">
        <w:t xml:space="preserve"> prediction</w:t>
      </w:r>
      <w:r w:rsidR="005C2E3D" w:rsidRPr="00121091">
        <w:t xml:space="preserve"> </w:t>
      </w:r>
      <w:r w:rsidR="001E62FC" w:rsidRPr="00121091">
        <w:t xml:space="preserve">and the adjusted likelihood ratio index </w:t>
      </w:r>
      <w:r w:rsidR="00466681" w:rsidRPr="007F18E6">
        <w:rPr>
          <w:position w:val="-10"/>
        </w:rPr>
        <w:object w:dxaOrig="320" w:dyaOrig="360" w14:anchorId="0C2E66CC">
          <v:shape id="_x0000_i1073" type="#_x0000_t75" style="width:15.85pt;height:18pt" o:ole="" o:preferrelative="f">
            <v:imagedata r:id="rId104" o:title=""/>
            <o:lock v:ext="edit" aspectratio="f"/>
          </v:shape>
          <o:OLEObject Type="Embed" ProgID="Equation.DSMT4" ShapeID="_x0000_i1073" DrawAspect="Content" ObjectID="_1790752381" r:id="rId105"/>
        </w:object>
      </w:r>
      <w:r w:rsidR="005C2E3D" w:rsidRPr="00121091">
        <w:t xml:space="preserve"> is also substantial, indicating the better fit of the joint model relative to the independent</w:t>
      </w:r>
      <w:r w:rsidR="005C2E3D">
        <w:t xml:space="preserve"> </w:t>
      </w:r>
      <w:r w:rsidR="007949EF">
        <w:t xml:space="preserve">and thresholds-only </w:t>
      </w:r>
      <w:r w:rsidR="005C2E3D">
        <w:t>model. The</w:t>
      </w:r>
      <w:r w:rsidR="003E189C">
        <w:t xml:space="preserve"> </w:t>
      </w:r>
      <w:r w:rsidR="00466681" w:rsidRPr="007F18E6">
        <w:rPr>
          <w:position w:val="-10"/>
        </w:rPr>
        <w:object w:dxaOrig="320" w:dyaOrig="360" w14:anchorId="350D61CA">
          <v:shape id="_x0000_i1074" type="#_x0000_t75" style="width:15.85pt;height:18pt" o:ole="" o:preferrelative="f">
            <v:imagedata r:id="rId106" o:title=""/>
            <o:lock v:ext="edit" aspectratio="f"/>
          </v:shape>
          <o:OLEObject Type="Embed" ProgID="Equation.DSMT4" ShapeID="_x0000_i1074" DrawAspect="Content" ObjectID="_1790752382" r:id="rId107"/>
        </w:object>
      </w:r>
      <w:r w:rsidR="001E62FC">
        <w:t xml:space="preserve"> </w:t>
      </w:r>
      <w:r w:rsidR="005C2E3D">
        <w:t xml:space="preserve">index </w:t>
      </w:r>
      <w:r w:rsidR="001E62FC">
        <w:t>is calculated as follows:</w:t>
      </w:r>
    </w:p>
    <w:p w14:paraId="07087FAE" w14:textId="20FB4B27" w:rsidR="007735FB" w:rsidRDefault="005A1BA8" w:rsidP="009D0CA2">
      <w:pPr>
        <w:spacing w:after="0" w:line="240" w:lineRule="auto"/>
        <w:jc w:val="both"/>
      </w:pPr>
      <w:r w:rsidRPr="007F18E6">
        <w:rPr>
          <w:position w:val="-28"/>
        </w:rPr>
        <w:object w:dxaOrig="1800" w:dyaOrig="720" w14:anchorId="337914B1">
          <v:shape id="_x0000_i1075" type="#_x0000_t75" style="width:90pt;height:36pt" o:ole="" o:preferrelative="f">
            <v:imagedata r:id="rId108" o:title=""/>
            <o:lock v:ext="edit" aspectratio="f"/>
          </v:shape>
          <o:OLEObject Type="Embed" ProgID="Equation.DSMT4" ShapeID="_x0000_i1075" DrawAspect="Content" ObjectID="_1790752383" r:id="rId109"/>
        </w:object>
      </w:r>
      <w:r w:rsidR="00AA7298">
        <w:tab/>
      </w:r>
      <w:r w:rsidR="00AA7298">
        <w:tab/>
      </w:r>
      <w:r w:rsidR="00AA7298">
        <w:tab/>
      </w:r>
      <w:r w:rsidR="00AA7298">
        <w:tab/>
      </w:r>
      <w:r w:rsidR="00AA7298">
        <w:tab/>
      </w:r>
      <w:r w:rsidR="00AA7298">
        <w:tab/>
      </w:r>
      <w:r w:rsidR="00AA7298">
        <w:tab/>
      </w:r>
      <w:r w:rsidR="00AA7298">
        <w:tab/>
      </w:r>
      <w:r w:rsidR="00AA7298">
        <w:tab/>
      </w:r>
      <w:r w:rsidR="00AA7298">
        <w:tab/>
        <w:t xml:space="preserve">       (4)</w:t>
      </w:r>
    </w:p>
    <w:p w14:paraId="5F104CA1" w14:textId="0B11AB3F" w:rsidR="00296F0E" w:rsidRDefault="007949EF" w:rsidP="009D0CA2">
      <w:pPr>
        <w:spacing w:after="0" w:line="240" w:lineRule="auto"/>
        <w:jc w:val="both"/>
      </w:pPr>
      <w:r>
        <w:t xml:space="preserve">In the above equation, </w:t>
      </w:r>
      <w:r w:rsidR="00530825" w:rsidRPr="00530825">
        <w:rPr>
          <w:i/>
          <w:iCs/>
        </w:rPr>
        <w:t>L</w:t>
      </w:r>
      <w:r w:rsidR="00530825">
        <w:t>(</w:t>
      </w:r>
      <w:r w:rsidR="00530825" w:rsidRPr="00530825">
        <w:t>c</w:t>
      </w:r>
      <w:r w:rsidR="00530825">
        <w:t>)</w:t>
      </w:r>
      <w:r w:rsidR="00F64E60">
        <w:t xml:space="preserve"> </w:t>
      </w:r>
      <w:r>
        <w:t xml:space="preserve">represents the thresholds-only </w:t>
      </w:r>
      <w:r w:rsidR="001E62FC">
        <w:t>log-likelihood function at convergence</w:t>
      </w:r>
      <w:r w:rsidR="00D863B3">
        <w:t>,</w:t>
      </w:r>
      <w:r>
        <w:t xml:space="preserve"> </w:t>
      </w:r>
      <w:r w:rsidR="001E62FC">
        <w:t xml:space="preserve">and </w:t>
      </w:r>
      <w:r w:rsidR="001E62FC" w:rsidRPr="00FC5247">
        <w:rPr>
          <w:i/>
          <w:iCs/>
        </w:rPr>
        <w:t>M</w:t>
      </w:r>
      <w:r w:rsidR="00530825" w:rsidRPr="00530825">
        <w:t xml:space="preserve"> </w:t>
      </w:r>
      <w:r w:rsidR="001E62FC">
        <w:t>is the number of parameters estimated in the model</w:t>
      </w:r>
      <w:r w:rsidR="005C2E3D">
        <w:t xml:space="preserve"> (excluding the </w:t>
      </w:r>
      <w:r>
        <w:t>thresholds</w:t>
      </w:r>
      <w:r w:rsidR="005C2E3D">
        <w:t>)</w:t>
      </w:r>
      <w:r w:rsidR="001E62FC">
        <w:t xml:space="preserve">. </w:t>
      </w:r>
      <w:r w:rsidR="005C2E3D">
        <w:t>Lastly, since</w:t>
      </w:r>
      <w:r w:rsidR="005C2E3D" w:rsidRPr="005C2E3D">
        <w:t xml:space="preserve"> the </w:t>
      </w:r>
      <w:r w:rsidR="005C2E3D" w:rsidRPr="00F64E60">
        <w:t xml:space="preserve">joint and independent models are nested (the independent model is a special case of the joint model with additional constraints), we can perform a nested likelihood ratio test. The results of this computation show that </w:t>
      </w:r>
      <w:r w:rsidR="00121091" w:rsidRPr="00F64E60">
        <w:t>the likelihood ratio</w:t>
      </w:r>
      <w:r w:rsidR="005C2E3D" w:rsidRPr="00F64E60">
        <w:t xml:space="preserve"> is much greater than the </w:t>
      </w:r>
      <w:r w:rsidR="00E61D52" w:rsidRPr="00F64E60">
        <w:t>critical chi-square value corresponding to</w:t>
      </w:r>
      <w:r w:rsidR="005C2E3D" w:rsidRPr="00F64E60">
        <w:t xml:space="preserve"> 67 degrees</w:t>
      </w:r>
      <w:r w:rsidR="005C2E3D">
        <w:t xml:space="preserve"> of freedom </w:t>
      </w:r>
      <w:r w:rsidR="00E61D52">
        <w:t xml:space="preserve">at the </w:t>
      </w:r>
      <w:r w:rsidR="005C2E3D">
        <w:t>0.0</w:t>
      </w:r>
      <w:r w:rsidR="009D7F75">
        <w:t>0</w:t>
      </w:r>
      <w:r w:rsidR="005C2E3D">
        <w:t>1 significance level</w:t>
      </w:r>
      <w:r w:rsidR="00E61D52">
        <w:t xml:space="preserve">, </w:t>
      </w:r>
      <w:r w:rsidR="00E61D52" w:rsidRPr="00E61D52">
        <w:t>support</w:t>
      </w:r>
      <w:r w:rsidR="00E61D52">
        <w:t>ing</w:t>
      </w:r>
      <w:r w:rsidR="00E61D52" w:rsidRPr="00E61D52">
        <w:t xml:space="preserve"> the superiority of the joint model</w:t>
      </w:r>
      <w:bookmarkEnd w:id="60"/>
      <w:r w:rsidR="00AA7298">
        <w:t>.</w:t>
      </w:r>
      <w:r w:rsidR="005B2D4E">
        <w:t xml:space="preserve"> In fact, the better data fit of the proposed model is literally definitive relative to the competition, given the large chi-squared test values. </w:t>
      </w:r>
    </w:p>
    <w:p w14:paraId="07DD43BE" w14:textId="77777777" w:rsidR="006F3050" w:rsidRDefault="006F3050" w:rsidP="009D0CA2">
      <w:pPr>
        <w:spacing w:after="0" w:line="240" w:lineRule="auto"/>
        <w:jc w:val="both"/>
        <w:rPr>
          <w:rFonts w:eastAsia="Calibri"/>
          <w:u w:val="single"/>
        </w:rPr>
      </w:pPr>
    </w:p>
    <w:p w14:paraId="785C7E2F" w14:textId="2E3D7C7B" w:rsidR="00A94DB4" w:rsidRPr="00A94DB4" w:rsidRDefault="00A94DB4" w:rsidP="009D0CA2">
      <w:pPr>
        <w:spacing w:after="0" w:line="240" w:lineRule="auto"/>
        <w:jc w:val="both"/>
        <w:rPr>
          <w:u w:val="single"/>
        </w:rPr>
      </w:pPr>
      <w:r>
        <w:rPr>
          <w:rFonts w:eastAsia="Calibri"/>
          <w:u w:val="single"/>
        </w:rPr>
        <w:t>Aggregate</w:t>
      </w:r>
      <w:r w:rsidRPr="00A94DB4">
        <w:rPr>
          <w:rFonts w:eastAsia="Calibri"/>
          <w:u w:val="single"/>
        </w:rPr>
        <w:t xml:space="preserve"> Data Fit Measures</w:t>
      </w:r>
    </w:p>
    <w:p w14:paraId="42CC8259" w14:textId="3FE346CF" w:rsidR="007D636E" w:rsidRDefault="006D6A62" w:rsidP="006F3050">
      <w:pPr>
        <w:spacing w:after="0" w:line="240" w:lineRule="auto"/>
        <w:jc w:val="both"/>
      </w:pPr>
      <w:r w:rsidRPr="00C817CF">
        <w:t xml:space="preserve">We also evaluate the data fit of the joint and the independent models at the aggregate level. </w:t>
      </w:r>
      <w:r w:rsidR="004C67F1" w:rsidRPr="00C817CF">
        <w:t>Technically speaking, we can compare the predicted share of individuals who would choose to adopt telemedicine along with the entire multivariate combination of the facilitator reasons for adoption, and compare this multivariate prediction with the observed multivariate combination. However, this would lead to 2</w:t>
      </w:r>
      <w:r w:rsidR="004C67F1" w:rsidRPr="00C817CF">
        <w:rPr>
          <w:vertAlign w:val="superscript"/>
        </w:rPr>
        <w:t>8</w:t>
      </w:r>
      <w:r w:rsidR="004C67F1" w:rsidRPr="00C817CF">
        <w:t xml:space="preserve">=256 combinations. </w:t>
      </w:r>
      <w:r w:rsidR="0000673A" w:rsidRPr="00C817CF">
        <w:t xml:space="preserve">Similarly, we can compare the predicted share of individuals who would not choose telemedicine along with the entire multivariate combination </w:t>
      </w:r>
      <w:r w:rsidR="0000673A" w:rsidRPr="00C817CF">
        <w:lastRenderedPageBreak/>
        <w:t>of the deterrent reasons, but this would again lead to 2</w:t>
      </w:r>
      <w:r w:rsidR="0000673A" w:rsidRPr="00C817CF">
        <w:rPr>
          <w:vertAlign w:val="superscript"/>
        </w:rPr>
        <w:t>7</w:t>
      </w:r>
      <w:r w:rsidR="0000673A" w:rsidRPr="00C817CF">
        <w:t xml:space="preserve">=128 combinations. </w:t>
      </w:r>
      <w:r w:rsidR="004C67F1" w:rsidRPr="00C817CF">
        <w:t xml:space="preserve">So, we compute the predicted shares of individuals who would adopt telemedicine and </w:t>
      </w:r>
      <w:r w:rsidR="0000673A" w:rsidRPr="00C817CF">
        <w:t xml:space="preserve">identify </w:t>
      </w:r>
      <w:r w:rsidR="004C67F1" w:rsidRPr="00C817CF">
        <w:t>each facilitator reason individually</w:t>
      </w:r>
      <w:r w:rsidR="0000673A" w:rsidRPr="00C817CF">
        <w:t xml:space="preserve">. For instance, we compute the predicted share of individuals who indicate that they would adopt telemedicine and identify DIPA as a facilitator reason, as well as the predicted share of individuals who indicate they would adopt telemedicine and do not identify DIPA as a facilitator reason. Similarly, </w:t>
      </w:r>
      <w:r w:rsidR="004C67F1" w:rsidRPr="00C817CF">
        <w:t xml:space="preserve">we compare the predicted and observed shares for non-adoption and each individual deterrent reason. </w:t>
      </w:r>
      <w:r w:rsidR="00530825" w:rsidRPr="00C817CF">
        <w:t xml:space="preserve">The results are presented in </w:t>
      </w:r>
      <w:r w:rsidR="0069340B">
        <w:fldChar w:fldCharType="begin"/>
      </w:r>
      <w:r w:rsidR="0069340B">
        <w:instrText xml:space="preserve"> REF _Ref178945234 \h </w:instrText>
      </w:r>
      <w:r w:rsidR="0069340B">
        <w:fldChar w:fldCharType="separate"/>
      </w:r>
      <w:r w:rsidR="008A3DCE">
        <w:t xml:space="preserve">Table </w:t>
      </w:r>
      <w:r w:rsidR="008A3DCE">
        <w:rPr>
          <w:noProof/>
        </w:rPr>
        <w:t>8</w:t>
      </w:r>
      <w:r w:rsidR="0069340B">
        <w:fldChar w:fldCharType="end"/>
      </w:r>
      <w:r w:rsidR="00530825" w:rsidRPr="00C817CF">
        <w:t xml:space="preserve">. The first broad column in </w:t>
      </w:r>
      <w:r w:rsidR="0069340B">
        <w:fldChar w:fldCharType="begin"/>
      </w:r>
      <w:r w:rsidR="0069340B">
        <w:instrText xml:space="preserve"> REF _Ref178945234 \h </w:instrText>
      </w:r>
      <w:r w:rsidR="0069340B">
        <w:fldChar w:fldCharType="separate"/>
      </w:r>
      <w:r w:rsidR="008A3DCE">
        <w:t xml:space="preserve">Table </w:t>
      </w:r>
      <w:r w:rsidR="008A3DCE">
        <w:rPr>
          <w:noProof/>
        </w:rPr>
        <w:t>8</w:t>
      </w:r>
      <w:r w:rsidR="0069340B">
        <w:fldChar w:fldCharType="end"/>
      </w:r>
      <w:r w:rsidR="00530825" w:rsidRPr="00C817CF">
        <w:t xml:space="preserve"> shows the observed counts and corresponding shares of individuals who would adopt (or not adopt) telemedicine and identify each facilitator (or deterrent) reason. The second broad column includes the predicted counts and shares from the joint model system, along with the average absolute percentage error (APE) depicting the average absolute difference between observed and predicted values. The third broad column presents the same information as the second, but for the independent model instead of the joint model. Across most rows, the joint model exhibits a lower APE value compared to the independent model. A similar conclusion is obtained when </w:t>
      </w:r>
      <w:r w:rsidRPr="00C817CF">
        <w:t>compar</w:t>
      </w:r>
      <w:r w:rsidR="00530825" w:rsidRPr="00C817CF">
        <w:t>ing</w:t>
      </w:r>
      <w:r w:rsidRPr="00C817CF">
        <w:t xml:space="preserve"> the observed and model-predicted shares </w:t>
      </w:r>
      <w:r w:rsidR="009F63C7" w:rsidRPr="00C817CF">
        <w:t xml:space="preserve">using </w:t>
      </w:r>
      <w:r w:rsidRPr="00C817CF">
        <w:t>a weighted absolute percentage error (WAPE) value (the weighting here is based on the actual observed share of individuals</w:t>
      </w:r>
      <w:r w:rsidR="009F63C7" w:rsidRPr="00C817CF">
        <w:t xml:space="preserve"> falling in each row combination of </w:t>
      </w:r>
      <w:r w:rsidR="0069340B">
        <w:fldChar w:fldCharType="begin"/>
      </w:r>
      <w:r w:rsidR="0069340B">
        <w:instrText xml:space="preserve"> REF _Ref178945234 \h </w:instrText>
      </w:r>
      <w:r w:rsidR="0069340B">
        <w:fldChar w:fldCharType="separate"/>
      </w:r>
      <w:r w:rsidR="008A3DCE">
        <w:t xml:space="preserve">Table </w:t>
      </w:r>
      <w:r w:rsidR="008A3DCE">
        <w:rPr>
          <w:noProof/>
        </w:rPr>
        <w:t>8</w:t>
      </w:r>
      <w:r w:rsidR="0069340B">
        <w:fldChar w:fldCharType="end"/>
      </w:r>
      <w:r w:rsidRPr="00C817CF">
        <w:t>).</w:t>
      </w:r>
      <w:r w:rsidR="00530825" w:rsidRPr="00C817CF">
        <w:t xml:space="preserve"> The joint model</w:t>
      </w:r>
      <w:r w:rsidR="00BC4A8E" w:rsidRPr="00C817CF">
        <w:t xml:space="preserve"> has a</w:t>
      </w:r>
      <w:r w:rsidR="00530825" w:rsidRPr="00C817CF">
        <w:t xml:space="preserve"> WAPE </w:t>
      </w:r>
      <w:r w:rsidR="00BC4A8E" w:rsidRPr="00C817CF">
        <w:t>of</w:t>
      </w:r>
      <w:r w:rsidR="00530825" w:rsidRPr="00C817CF">
        <w:t xml:space="preserve"> 23.0%</w:t>
      </w:r>
      <w:r w:rsidR="00D863B3">
        <w:t>,</w:t>
      </w:r>
      <w:r w:rsidR="00530825" w:rsidRPr="00C817CF">
        <w:t xml:space="preserve"> </w:t>
      </w:r>
      <w:r w:rsidR="00BC4A8E" w:rsidRPr="00C817CF">
        <w:t xml:space="preserve">which is significantly </w:t>
      </w:r>
      <w:r w:rsidR="00530825" w:rsidRPr="00C817CF">
        <w:t>lower than the independent model's WAPE of 54.0%, demonstrating the joint model's superior fit and predictive accuracy.</w:t>
      </w:r>
    </w:p>
    <w:p w14:paraId="31F0DF69" w14:textId="77777777" w:rsidR="007D636E" w:rsidRDefault="007D636E" w:rsidP="009D0CA2">
      <w:pPr>
        <w:spacing w:after="0" w:line="240" w:lineRule="auto"/>
        <w:jc w:val="both"/>
      </w:pPr>
    </w:p>
    <w:p w14:paraId="534444D2" w14:textId="44CE2A5F" w:rsidR="00364281" w:rsidRPr="006F3050" w:rsidRDefault="00364281" w:rsidP="009D0CA2">
      <w:pPr>
        <w:pStyle w:val="Heading1"/>
        <w:spacing w:after="0" w:line="240" w:lineRule="auto"/>
        <w:contextualSpacing w:val="0"/>
        <w:rPr>
          <w:caps/>
        </w:rPr>
      </w:pPr>
      <w:bookmarkStart w:id="61" w:name="_Ref178944760"/>
      <w:r w:rsidRPr="006F3050">
        <w:rPr>
          <w:caps/>
        </w:rPr>
        <w:t>Magnitude Effects of Variables and Implications</w:t>
      </w:r>
      <w:bookmarkEnd w:id="61"/>
    </w:p>
    <w:p w14:paraId="4A229487" w14:textId="0623459E" w:rsidR="00CC12E5" w:rsidRDefault="00364281" w:rsidP="009D0CA2">
      <w:pPr>
        <w:pStyle w:val="Heading2"/>
        <w:spacing w:after="0" w:line="240" w:lineRule="auto"/>
        <w:contextualSpacing w:val="0"/>
      </w:pPr>
      <w:r>
        <w:t>ATE Analysis Preparatio</w:t>
      </w:r>
      <w:r w:rsidR="00EF1221">
        <w:t>n</w:t>
      </w:r>
    </w:p>
    <w:p w14:paraId="438E50B2" w14:textId="61532EF4" w:rsidR="00005E11" w:rsidRDefault="00354ACF" w:rsidP="006F3050">
      <w:pPr>
        <w:spacing w:after="0" w:line="240" w:lineRule="auto"/>
        <w:jc w:val="both"/>
      </w:pPr>
      <w:r>
        <w:t>T</w:t>
      </w:r>
      <w:r w:rsidR="00005E11" w:rsidRPr="00005E11">
        <w:t xml:space="preserve">he </w:t>
      </w:r>
      <w:r>
        <w:t xml:space="preserve">estimation results </w:t>
      </w:r>
      <w:r w:rsidR="00005E11" w:rsidRPr="00005E11">
        <w:t xml:space="preserve">in Section </w:t>
      </w:r>
      <w:r w:rsidR="0069340B">
        <w:fldChar w:fldCharType="begin"/>
      </w:r>
      <w:r w:rsidR="0069340B">
        <w:instrText xml:space="preserve"> REF _Ref178944794 \r \h </w:instrText>
      </w:r>
      <w:r w:rsidR="0069340B">
        <w:fldChar w:fldCharType="separate"/>
      </w:r>
      <w:r w:rsidR="008A3DCE">
        <w:t>5</w:t>
      </w:r>
      <w:r w:rsidR="0069340B">
        <w:fldChar w:fldCharType="end"/>
      </w:r>
      <w:r w:rsidR="00005E11" w:rsidRPr="00005E11">
        <w:t xml:space="preserve"> </w:t>
      </w:r>
      <w:r>
        <w:t xml:space="preserve">provide the effects of variables on telemedicine adoption propensity and the propensity of each facilitator/deterrent reason, but do not immediately provide the magnitude of impacts. </w:t>
      </w:r>
      <w:r w:rsidR="00005E11" w:rsidRPr="00005E11">
        <w:t xml:space="preserve">For example, a positive coefficient for </w:t>
      </w:r>
      <w:r w:rsidR="007949EF">
        <w:t xml:space="preserve">the higher </w:t>
      </w:r>
      <w:r w:rsidR="00727039">
        <w:t xml:space="preserve">household </w:t>
      </w:r>
      <w:r w:rsidR="00005E11" w:rsidRPr="00005E11">
        <w:t xml:space="preserve">income </w:t>
      </w:r>
      <w:r w:rsidR="007949EF">
        <w:t xml:space="preserve">brackets (relative to the lower income brackets) </w:t>
      </w:r>
      <w:r w:rsidR="00005E11" w:rsidRPr="00005E11">
        <w:t>indicate</w:t>
      </w:r>
      <w:r w:rsidR="00005E11">
        <w:t>s</w:t>
      </w:r>
      <w:r w:rsidR="00005E11" w:rsidRPr="00005E11">
        <w:t xml:space="preserve"> a higher likelihood of telemedicine </w:t>
      </w:r>
      <w:r w:rsidR="00D863B3">
        <w:t>adoption</w:t>
      </w:r>
      <w:r w:rsidR="00005E11" w:rsidRPr="00005E11">
        <w:t xml:space="preserve"> among </w:t>
      </w:r>
      <w:r w:rsidR="00727039">
        <w:t xml:space="preserve">individuals from </w:t>
      </w:r>
      <w:r w:rsidR="00005E11" w:rsidRPr="00005E11">
        <w:t>higher</w:t>
      </w:r>
      <w:r w:rsidR="00727039">
        <w:t xml:space="preserve"> </w:t>
      </w:r>
      <w:r w:rsidR="00005E11" w:rsidRPr="00005E11">
        <w:t>income</w:t>
      </w:r>
      <w:r w:rsidR="00727039">
        <w:t xml:space="preserve"> households relative to lower income house</w:t>
      </w:r>
      <w:r w:rsidR="00D658B2">
        <w:t>h</w:t>
      </w:r>
      <w:r w:rsidR="00727039">
        <w:t>olds</w:t>
      </w:r>
      <w:r w:rsidR="00005E11" w:rsidRPr="00005E11">
        <w:t xml:space="preserve">, but does not quantify the extent of change in the probability of telemedicine adoption </w:t>
      </w:r>
      <w:r w:rsidR="007949EF">
        <w:t xml:space="preserve">between individuals of </w:t>
      </w:r>
      <w:r w:rsidR="00727039">
        <w:t xml:space="preserve">the </w:t>
      </w:r>
      <w:r w:rsidR="007949EF">
        <w:t xml:space="preserve">different income groups. </w:t>
      </w:r>
      <w:r>
        <w:t xml:space="preserve">Such </w:t>
      </w:r>
      <w:r w:rsidR="007949EF">
        <w:t xml:space="preserve">shift </w:t>
      </w:r>
      <w:r>
        <w:t>estimate</w:t>
      </w:r>
      <w:r w:rsidR="007949EF">
        <w:t>s</w:t>
      </w:r>
      <w:r>
        <w:t xml:space="preserve"> </w:t>
      </w:r>
      <w:r w:rsidR="007949EF">
        <w:t>may be computed using average treatment effects (</w:t>
      </w:r>
      <w:r>
        <w:t>ATEs</w:t>
      </w:r>
      <w:r w:rsidR="007949EF">
        <w:t>)</w:t>
      </w:r>
      <w:r>
        <w:t xml:space="preserve">, </w:t>
      </w:r>
      <w:r w:rsidR="007949EF">
        <w:t xml:space="preserve">which </w:t>
      </w:r>
      <w:r>
        <w:t xml:space="preserve">can be computed for a change from </w:t>
      </w:r>
      <w:r w:rsidR="00005E11" w:rsidRPr="00005E11">
        <w:t>a</w:t>
      </w:r>
      <w:r>
        <w:t>ny</w:t>
      </w:r>
      <w:r w:rsidR="00005E11" w:rsidRPr="00005E11">
        <w:t xml:space="preserve"> specific </w:t>
      </w:r>
      <w:r w:rsidR="00005E11">
        <w:t xml:space="preserve">“Base Level” </w:t>
      </w:r>
      <w:r w:rsidR="00005E11" w:rsidRPr="00005E11">
        <w:t xml:space="preserve">category (e.g., </w:t>
      </w:r>
      <w:r w:rsidR="00727039">
        <w:t>high</w:t>
      </w:r>
      <w:r w:rsidR="00005E11" w:rsidRPr="00005E11">
        <w:t xml:space="preserve"> income) to a</w:t>
      </w:r>
      <w:r w:rsidR="00005E11">
        <w:t xml:space="preserve"> “Treatment Level”</w:t>
      </w:r>
      <w:r w:rsidR="00005E11" w:rsidRPr="00005E11">
        <w:t xml:space="preserve"> </w:t>
      </w:r>
      <w:r w:rsidR="00005E11">
        <w:t xml:space="preserve">category </w:t>
      </w:r>
      <w:r w:rsidR="00005E11" w:rsidRPr="00005E11">
        <w:t xml:space="preserve">(e.g., </w:t>
      </w:r>
      <w:r w:rsidR="00727039">
        <w:t>low</w:t>
      </w:r>
      <w:r w:rsidR="00005E11" w:rsidRPr="00005E11">
        <w:t xml:space="preserve"> income). </w:t>
      </w:r>
      <w:r>
        <w:t>For presentation convenience, in this section, w</w:t>
      </w:r>
      <w:r w:rsidR="00707F22">
        <w:t xml:space="preserve">e only report the ATEs for a change between a specific pair of states for categorical variables </w:t>
      </w:r>
      <w:r w:rsidR="00727039">
        <w:t xml:space="preserve">(such as household income) </w:t>
      </w:r>
      <w:r w:rsidR="00707F22">
        <w:t>that can take more than two states.</w:t>
      </w:r>
      <w:r w:rsidR="00707F22" w:rsidRPr="00707F22">
        <w:t xml:space="preserve"> </w:t>
      </w:r>
      <w:r w:rsidR="00707F22">
        <w:t>For the co</w:t>
      </w:r>
      <w:r w:rsidR="00EB0D0D">
        <w:t>unt</w:t>
      </w:r>
      <w:r w:rsidR="00707F22">
        <w:t xml:space="preserve"> variable </w:t>
      </w:r>
      <w:r w:rsidR="00EB0D0D">
        <w:t xml:space="preserve">effect </w:t>
      </w:r>
      <w:r w:rsidR="00707F22">
        <w:t xml:space="preserve">related to the number </w:t>
      </w:r>
      <w:r w:rsidR="00707F22" w:rsidRPr="00707F22">
        <w:t xml:space="preserve">of physicians’ offices in </w:t>
      </w:r>
      <w:r w:rsidR="001B38C6">
        <w:t xml:space="preserve">the </w:t>
      </w:r>
      <w:r w:rsidR="00707F22" w:rsidRPr="00707F22">
        <w:t>zip code</w:t>
      </w:r>
      <w:r w:rsidR="00707F22">
        <w:t xml:space="preserve"> </w:t>
      </w:r>
      <w:r w:rsidR="005B68EA">
        <w:t>(</w:t>
      </w:r>
      <w:r w:rsidR="00EB0D0D">
        <w:t xml:space="preserve">for the </w:t>
      </w:r>
      <w:r w:rsidR="005B68EA">
        <w:t xml:space="preserve">facilitator reasons analysis) </w:t>
      </w:r>
      <w:r w:rsidR="00707F22">
        <w:t xml:space="preserve">and </w:t>
      </w:r>
      <w:r w:rsidR="00EB0D0D">
        <w:t xml:space="preserve">the continuous variable of </w:t>
      </w:r>
      <w:r w:rsidR="00707F22">
        <w:t>population density</w:t>
      </w:r>
      <w:r w:rsidR="005B68EA">
        <w:t xml:space="preserve"> (that affects the telemedicine adoption choice)</w:t>
      </w:r>
      <w:r w:rsidR="00707F22">
        <w:t>, we change</w:t>
      </w:r>
      <w:r w:rsidR="001B38C6">
        <w:t>d</w:t>
      </w:r>
      <w:r w:rsidR="00707F22">
        <w:t xml:space="preserve"> the variable from </w:t>
      </w:r>
      <w:r w:rsidR="0003225F">
        <w:t>below average to above average</w:t>
      </w:r>
      <w:r w:rsidR="005B68EA">
        <w:t xml:space="preserve"> in the ATE analysis</w:t>
      </w:r>
      <w:r w:rsidR="00C2725F">
        <w:t>.</w:t>
      </w:r>
    </w:p>
    <w:p w14:paraId="42A63AD1" w14:textId="5ADD17B7" w:rsidR="00CE51D1" w:rsidRDefault="0069340B" w:rsidP="009D0CA2">
      <w:pPr>
        <w:spacing w:after="0" w:line="240" w:lineRule="auto"/>
        <w:ind w:firstLine="720"/>
        <w:jc w:val="both"/>
      </w:pPr>
      <w:r>
        <w:fldChar w:fldCharType="begin"/>
      </w:r>
      <w:r>
        <w:instrText xml:space="preserve"> REF _Ref178945258 \h </w:instrText>
      </w:r>
      <w:r>
        <w:fldChar w:fldCharType="separate"/>
      </w:r>
      <w:r w:rsidR="008A3DCE">
        <w:t xml:space="preserve">Table </w:t>
      </w:r>
      <w:r w:rsidR="008A3DCE">
        <w:rPr>
          <w:noProof/>
        </w:rPr>
        <w:t>9</w:t>
      </w:r>
      <w:r>
        <w:fldChar w:fldCharType="end"/>
      </w:r>
      <w:r w:rsidR="00B464FF">
        <w:t xml:space="preserve"> </w:t>
      </w:r>
      <w:r w:rsidR="00CE51D1">
        <w:t>summarizes</w:t>
      </w:r>
      <w:r w:rsidR="00B464FF">
        <w:t xml:space="preserve"> the computed ATEs for </w:t>
      </w:r>
      <w:r w:rsidR="00727039">
        <w:t xml:space="preserve">selected </w:t>
      </w:r>
      <w:r w:rsidR="00B464FF">
        <w:t xml:space="preserve">exogenous variables. </w:t>
      </w:r>
      <w:r w:rsidR="00CE51D1" w:rsidRPr="00CE51D1">
        <w:t xml:space="preserve">While the ATEs </w:t>
      </w:r>
      <w:r w:rsidR="00CE51D1">
        <w:t xml:space="preserve">corresponding </w:t>
      </w:r>
      <w:r w:rsidR="00CE51D1" w:rsidRPr="00CE51D1">
        <w:t>to telemedicine adoption during</w:t>
      </w:r>
      <w:r w:rsidR="005B68EA">
        <w:t xml:space="preserve"> </w:t>
      </w:r>
      <w:r w:rsidR="00CE51D1" w:rsidRPr="00CE51D1">
        <w:t xml:space="preserve">the </w:t>
      </w:r>
      <w:r w:rsidR="00C817CF">
        <w:t>Before-</w:t>
      </w:r>
      <w:r w:rsidR="006312A4">
        <w:t>COVID</w:t>
      </w:r>
      <w:r w:rsidR="00CE51D1" w:rsidRPr="00CE51D1">
        <w:t xml:space="preserve"> and </w:t>
      </w:r>
      <w:r w:rsidR="00F8247A">
        <w:t>During-</w:t>
      </w:r>
      <w:r w:rsidR="006312A4">
        <w:t>COVID</w:t>
      </w:r>
      <w:r w:rsidR="00CE51D1" w:rsidRPr="00CE51D1">
        <w:t xml:space="preserve"> periods were </w:t>
      </w:r>
      <w:r w:rsidR="005B68EA">
        <w:t xml:space="preserve">also </w:t>
      </w:r>
      <w:r w:rsidR="00CE51D1" w:rsidRPr="00CE51D1">
        <w:t>calculated, they are not included in this analysis</w:t>
      </w:r>
      <w:r w:rsidR="00CE51D1">
        <w:t xml:space="preserve"> as they </w:t>
      </w:r>
      <w:r w:rsidR="00CE51D1" w:rsidRPr="00CE51D1">
        <w:t xml:space="preserve">offer limited value for understanding the current landscape of telemedicine adoption </w:t>
      </w:r>
      <w:r w:rsidR="00BD334A">
        <w:t>and</w:t>
      </w:r>
      <w:r w:rsidR="00CE51D1" w:rsidRPr="00CE51D1">
        <w:t xml:space="preserve"> informing necessary interventions.</w:t>
      </w:r>
      <w:r w:rsidR="00CE51D1">
        <w:t xml:space="preserve"> To illustrate the interpretations of the ATE entries in </w:t>
      </w:r>
      <w:r>
        <w:fldChar w:fldCharType="begin"/>
      </w:r>
      <w:r>
        <w:instrText xml:space="preserve"> REF _Ref178945258 \h </w:instrText>
      </w:r>
      <w:r>
        <w:fldChar w:fldCharType="separate"/>
      </w:r>
      <w:r w:rsidR="008A3DCE">
        <w:t xml:space="preserve">Table </w:t>
      </w:r>
      <w:r w:rsidR="008A3DCE">
        <w:rPr>
          <w:noProof/>
        </w:rPr>
        <w:t>9</w:t>
      </w:r>
      <w:r>
        <w:fldChar w:fldCharType="end"/>
      </w:r>
      <w:r w:rsidR="00CE51D1">
        <w:t xml:space="preserve">, consider the </w:t>
      </w:r>
      <w:r w:rsidR="001F563E">
        <w:t>third</w:t>
      </w:r>
      <w:r w:rsidR="00CE51D1">
        <w:t xml:space="preserve"> numeric row corresponding to the age variable. </w:t>
      </w:r>
      <w:r w:rsidR="005B68EA">
        <w:t>The entry of “</w:t>
      </w:r>
      <w:r w:rsidR="009D7F75">
        <w:t>-</w:t>
      </w:r>
      <w:r w:rsidR="005B68EA">
        <w:t>2</w:t>
      </w:r>
      <w:r w:rsidR="007019D0">
        <w:t>9</w:t>
      </w:r>
      <w:r w:rsidR="005B68EA">
        <w:t>.</w:t>
      </w:r>
      <w:r w:rsidR="007019D0">
        <w:t>7</w:t>
      </w:r>
      <w:r w:rsidR="005B68EA">
        <w:t>%” in the “telemedicine adoption” column indicates that</w:t>
      </w:r>
      <w:r w:rsidR="00B6675B">
        <w:t xml:space="preserve"> a random individual in the population who is older than 50 years would be about </w:t>
      </w:r>
      <w:r w:rsidR="007019D0">
        <w:t>30</w:t>
      </w:r>
      <w:r w:rsidR="00B6675B">
        <w:t>% less likely to take to telemedicine relative to a random individual in the population 50 years or younger</w:t>
      </w:r>
      <w:r w:rsidR="00E00D98">
        <w:t xml:space="preserve"> (equivalently, the younger individual would be about 1.</w:t>
      </w:r>
      <w:r w:rsidR="007019D0">
        <w:t>4</w:t>
      </w:r>
      <w:r w:rsidR="00E00D98">
        <w:t xml:space="preserve">3 </w:t>
      </w:r>
      <w:r w:rsidR="00E00D98">
        <w:lastRenderedPageBreak/>
        <w:t>(=100/7</w:t>
      </w:r>
      <w:r w:rsidR="009D7F75">
        <w:t>0</w:t>
      </w:r>
      <w:r w:rsidR="00E00D98">
        <w:t>) times more likely to be adopting telemedicine relative to the older individual)</w:t>
      </w:r>
      <w:r w:rsidR="00B6675B">
        <w:t xml:space="preserve">. </w:t>
      </w:r>
      <w:r w:rsidR="00E00D98">
        <w:t>Similarly, the entry of “23</w:t>
      </w:r>
      <w:r w:rsidR="00530825">
        <w:t>.0</w:t>
      </w:r>
      <w:r w:rsidR="00E00D98">
        <w:t xml:space="preserve">%” for the age variable corresponding to the </w:t>
      </w:r>
      <w:r w:rsidR="007019D0">
        <w:t xml:space="preserve">LCR </w:t>
      </w:r>
      <w:r w:rsidR="00E00D98">
        <w:t xml:space="preserve">column in </w:t>
      </w:r>
      <w:r>
        <w:fldChar w:fldCharType="begin"/>
      </w:r>
      <w:r>
        <w:instrText xml:space="preserve"> REF _Ref178945258 \h </w:instrText>
      </w:r>
      <w:r>
        <w:fldChar w:fldCharType="separate"/>
      </w:r>
      <w:r w:rsidR="008A3DCE">
        <w:t xml:space="preserve">Table </w:t>
      </w:r>
      <w:r w:rsidR="008A3DCE">
        <w:rPr>
          <w:noProof/>
        </w:rPr>
        <w:t>9</w:t>
      </w:r>
      <w:r>
        <w:fldChar w:fldCharType="end"/>
      </w:r>
      <w:r>
        <w:t xml:space="preserve"> </w:t>
      </w:r>
      <w:r w:rsidR="007019D0">
        <w:t>i</w:t>
      </w:r>
      <w:r w:rsidR="00E00D98">
        <w:t>ndicates that a random individual in the population who is older than 50 years would be about 23% more likely (or about 1.</w:t>
      </w:r>
      <w:r w:rsidR="00530825">
        <w:t>23</w:t>
      </w:r>
      <w:r w:rsidR="00E00D98">
        <w:t xml:space="preserve"> times more likely) to </w:t>
      </w:r>
      <w:r w:rsidR="00727039">
        <w:t xml:space="preserve">identify lower contagion risk (LCR) as a motivating factor to adopt </w:t>
      </w:r>
      <w:r w:rsidR="00E00D98">
        <w:t xml:space="preserve">telemedicine than a random individual in the population who is 50 years or younger. Other entries may be similarly interpreted. </w:t>
      </w:r>
      <w:r w:rsidR="00BA5CD3">
        <w:t xml:space="preserve">In the rest of this section, we discuss the policy implications of the ATEs from </w:t>
      </w:r>
      <w:r>
        <w:fldChar w:fldCharType="begin"/>
      </w:r>
      <w:r>
        <w:instrText xml:space="preserve"> REF _Ref178945258 \h </w:instrText>
      </w:r>
      <w:r>
        <w:fldChar w:fldCharType="separate"/>
      </w:r>
      <w:r w:rsidR="008A3DCE">
        <w:t xml:space="preserve">Table </w:t>
      </w:r>
      <w:r w:rsidR="008A3DCE">
        <w:rPr>
          <w:noProof/>
        </w:rPr>
        <w:t>9</w:t>
      </w:r>
      <w:r>
        <w:fldChar w:fldCharType="end"/>
      </w:r>
      <w:r>
        <w:t xml:space="preserve"> </w:t>
      </w:r>
      <w:r w:rsidR="00BA5CD3">
        <w:t xml:space="preserve">in three categories: (1) </w:t>
      </w:r>
      <w:r w:rsidR="00BB30B2">
        <w:t>E</w:t>
      </w:r>
      <w:r w:rsidR="00BA5CD3">
        <w:t xml:space="preserve">quity implications, (2) Telemedicine integration in the workplace, and (3) Transportation and urban planning implications. </w:t>
      </w:r>
    </w:p>
    <w:p w14:paraId="78A06451" w14:textId="77777777" w:rsidR="00D104C2" w:rsidRDefault="00D104C2" w:rsidP="009D0CA2">
      <w:pPr>
        <w:spacing w:after="0" w:line="240" w:lineRule="auto"/>
        <w:jc w:val="both"/>
      </w:pPr>
    </w:p>
    <w:p w14:paraId="4C440FED" w14:textId="37092EB6" w:rsidR="00BA5CD3" w:rsidRPr="00D658B2" w:rsidRDefault="00BA5CD3" w:rsidP="00721B8D">
      <w:pPr>
        <w:pStyle w:val="Heading2"/>
        <w:keepNext/>
        <w:keepLines/>
        <w:spacing w:after="0" w:line="240" w:lineRule="auto"/>
        <w:contextualSpacing w:val="0"/>
      </w:pPr>
      <w:r w:rsidRPr="00731CEA">
        <w:t xml:space="preserve">Equity </w:t>
      </w:r>
      <w:r w:rsidR="00EF1221" w:rsidRPr="00731CEA">
        <w:t>Implications</w:t>
      </w:r>
    </w:p>
    <w:p w14:paraId="012FF1C2" w14:textId="0F77AE7F" w:rsidR="005E4792" w:rsidRDefault="00EF1221" w:rsidP="00721B8D">
      <w:pPr>
        <w:keepNext/>
        <w:keepLines/>
        <w:spacing w:after="0" w:line="240" w:lineRule="auto"/>
        <w:jc w:val="both"/>
      </w:pPr>
      <w:r>
        <w:t xml:space="preserve">The </w:t>
      </w:r>
      <w:r w:rsidR="005E4792">
        <w:t xml:space="preserve">ATE </w:t>
      </w:r>
      <w:r>
        <w:t xml:space="preserve">results </w:t>
      </w:r>
      <w:r w:rsidR="005E4792">
        <w:t xml:space="preserve">in </w:t>
      </w:r>
      <w:r w:rsidR="0069340B">
        <w:fldChar w:fldCharType="begin"/>
      </w:r>
      <w:r w:rsidR="0069340B">
        <w:instrText xml:space="preserve"> REF _Ref178945258 \h </w:instrText>
      </w:r>
      <w:r w:rsidR="0069340B">
        <w:fldChar w:fldCharType="separate"/>
      </w:r>
      <w:r w:rsidR="008A3DCE">
        <w:t xml:space="preserve">Table </w:t>
      </w:r>
      <w:r w:rsidR="008A3DCE">
        <w:rPr>
          <w:noProof/>
        </w:rPr>
        <w:t>9</w:t>
      </w:r>
      <w:r w:rsidR="0069340B">
        <w:fldChar w:fldCharType="end"/>
      </w:r>
      <w:r w:rsidR="0069340B">
        <w:t xml:space="preserve"> </w:t>
      </w:r>
      <w:r>
        <w:t xml:space="preserve">provide important insights regarding how telemedicine may be effectively utilized to elevate the provision of health services in general, and bridge the equity gap across different demographic </w:t>
      </w:r>
      <w:r w:rsidR="00942741">
        <w:t xml:space="preserve">and place-based </w:t>
      </w:r>
      <w:r>
        <w:t>groups in particular</w:t>
      </w:r>
      <w:r w:rsidR="005E4792">
        <w:t>.</w:t>
      </w:r>
    </w:p>
    <w:p w14:paraId="65FDFB16" w14:textId="0080AC26" w:rsidR="002375BD" w:rsidRDefault="005E4792" w:rsidP="009D0CA2">
      <w:pPr>
        <w:spacing w:after="0" w:line="240" w:lineRule="auto"/>
        <w:ind w:firstLine="720"/>
        <w:jc w:val="both"/>
      </w:pPr>
      <w:r>
        <w:t>W</w:t>
      </w:r>
      <w:r w:rsidRPr="005E5B98">
        <w:t>omen</w:t>
      </w:r>
      <w:r>
        <w:t xml:space="preserve"> </w:t>
      </w:r>
      <w:r w:rsidR="003F1166">
        <w:t xml:space="preserve">and individuals </w:t>
      </w:r>
      <w:r w:rsidR="003F1166" w:rsidRPr="007019D0">
        <w:rPr>
          <w:color w:val="000000" w:themeColor="text1"/>
        </w:rPr>
        <w:t xml:space="preserve">with children in the household </w:t>
      </w:r>
      <w:r w:rsidRPr="007019D0">
        <w:rPr>
          <w:color w:val="000000" w:themeColor="text1"/>
        </w:rPr>
        <w:t>view telemedicine as an effective means to circumvent difficulties</w:t>
      </w:r>
      <w:r w:rsidR="00783171">
        <w:rPr>
          <w:color w:val="000000" w:themeColor="text1"/>
        </w:rPr>
        <w:t xml:space="preserve"> </w:t>
      </w:r>
      <w:r w:rsidRPr="007019D0">
        <w:rPr>
          <w:color w:val="000000" w:themeColor="text1"/>
        </w:rPr>
        <w:t xml:space="preserve">in accessing in-person medical appointments. </w:t>
      </w:r>
      <w:r w:rsidR="00B21D11" w:rsidRPr="007019D0">
        <w:rPr>
          <w:color w:val="000000" w:themeColor="text1"/>
        </w:rPr>
        <w:t xml:space="preserve">For women, </w:t>
      </w:r>
      <w:r w:rsidRPr="007019D0">
        <w:rPr>
          <w:color w:val="000000" w:themeColor="text1"/>
        </w:rPr>
        <w:t>perception</w:t>
      </w:r>
      <w:r w:rsidR="00E03D1C" w:rsidRPr="007019D0">
        <w:rPr>
          <w:color w:val="000000" w:themeColor="text1"/>
        </w:rPr>
        <w:t>s</w:t>
      </w:r>
      <w:r w:rsidRPr="007019D0">
        <w:rPr>
          <w:color w:val="000000" w:themeColor="text1"/>
        </w:rPr>
        <w:t xml:space="preserve"> </w:t>
      </w:r>
      <w:r w:rsidR="00A10E90" w:rsidRPr="007019D0">
        <w:rPr>
          <w:color w:val="000000" w:themeColor="text1"/>
        </w:rPr>
        <w:t>of</w:t>
      </w:r>
      <w:r w:rsidRPr="007019D0">
        <w:rPr>
          <w:color w:val="000000" w:themeColor="text1"/>
        </w:rPr>
        <w:t xml:space="preserve"> telemedicine </w:t>
      </w:r>
      <w:r w:rsidR="00A10E90" w:rsidRPr="007019D0">
        <w:rPr>
          <w:color w:val="000000" w:themeColor="text1"/>
        </w:rPr>
        <w:t>as being</w:t>
      </w:r>
      <w:r w:rsidRPr="007019D0">
        <w:rPr>
          <w:color w:val="000000" w:themeColor="text1"/>
        </w:rPr>
        <w:t xml:space="preserve"> convenient and mitigat</w:t>
      </w:r>
      <w:r w:rsidR="00A10E90" w:rsidRPr="007019D0">
        <w:rPr>
          <w:color w:val="000000" w:themeColor="text1"/>
        </w:rPr>
        <w:t xml:space="preserve">ing </w:t>
      </w:r>
      <w:r w:rsidRPr="007019D0">
        <w:rPr>
          <w:color w:val="000000" w:themeColor="text1"/>
        </w:rPr>
        <w:t xml:space="preserve">the risk of contracting illnesses, </w:t>
      </w:r>
      <w:r w:rsidR="00A10E90" w:rsidRPr="007019D0">
        <w:rPr>
          <w:color w:val="000000" w:themeColor="text1"/>
        </w:rPr>
        <w:t>combined with</w:t>
      </w:r>
      <w:r w:rsidRPr="007019D0">
        <w:rPr>
          <w:color w:val="000000" w:themeColor="text1"/>
        </w:rPr>
        <w:t xml:space="preserve"> a belief that telemedicine is not inherently inferior to in-person visits in terms of quality, </w:t>
      </w:r>
      <w:r w:rsidR="00B21D11" w:rsidRPr="007019D0">
        <w:rPr>
          <w:color w:val="000000" w:themeColor="text1"/>
        </w:rPr>
        <w:t>suggest that there is potential to increase telemedicine use and elevate the general focus on women</w:t>
      </w:r>
      <w:r w:rsidR="007D6645">
        <w:rPr>
          <w:color w:val="000000" w:themeColor="text1"/>
        </w:rPr>
        <w:t>’s</w:t>
      </w:r>
      <w:r w:rsidR="00B21D11" w:rsidRPr="007019D0">
        <w:rPr>
          <w:color w:val="000000" w:themeColor="text1"/>
        </w:rPr>
        <w:t xml:space="preserve"> health issues (particularly because telemedicine adoption rates currently </w:t>
      </w:r>
      <w:r w:rsidR="00A10E90" w:rsidRPr="007019D0">
        <w:rPr>
          <w:color w:val="000000" w:themeColor="text1"/>
        </w:rPr>
        <w:t xml:space="preserve">are not different </w:t>
      </w:r>
      <w:r w:rsidR="00B21D11" w:rsidRPr="007019D0">
        <w:rPr>
          <w:color w:val="000000" w:themeColor="text1"/>
        </w:rPr>
        <w:t xml:space="preserve">by gender). The timing to do so also aligns well with </w:t>
      </w:r>
      <w:r w:rsidR="00B21D11" w:rsidRPr="007019D0">
        <w:rPr>
          <w:color w:val="000000" w:themeColor="text1"/>
          <w:shd w:val="clear" w:color="auto" w:fill="FFFFFF"/>
        </w:rPr>
        <w:t xml:space="preserve">President Biden’s recent “White House Initiative on Women’s Health Research” initiative with a $12 billion investment in new funding </w:t>
      </w:r>
      <w:bookmarkStart w:id="62" w:name="_Hlk166079829"/>
      <w:r w:rsidR="00B224DB" w:rsidRPr="007019D0">
        <w:rPr>
          <w:color w:val="000000" w:themeColor="text1"/>
          <w:shd w:val="clear" w:color="auto" w:fill="FFFFFF"/>
        </w:rPr>
        <w:fldChar w:fldCharType="begin"/>
      </w:r>
      <w:r w:rsidR="00B224DB" w:rsidRPr="007019D0">
        <w:rPr>
          <w:color w:val="000000" w:themeColor="text1"/>
          <w:shd w:val="clear" w:color="auto" w:fill="FFFFFF"/>
        </w:rPr>
        <w:instrText xml:space="preserve"> ADDIN ZOTERO_ITEM CSL_CITATION {"citationID":"oBmS3UZt","properties":{"formattedCitation":"(The White House, 2024)","plainCitation":"(The White House, 2024)","noteIndex":0},"citationItems":[{"id":2454,"uris":["http://zotero.org/users/9292995/items/NWDG23ZH"],"itemData":{"id":2454,"type":"post-weblog","container-title":"The White House","language":"en-US","title":"FACT SHEET: President Biden Issues Executive Order and Announces New Actions to Advance Women’s Health Research and Innovation","title-short":"FACT SHEET","URL":"https://www.whitehouse.gov/briefing-room/statements-releases/2024/03/18/fact-sheet-president-biden-issues-executive-order-and-announces-new-actions-to-advance-womens-health-research-and-innovation/","author":[{"literal":"The White House"}],"accessed":{"date-parts":[["2024",5,6]]},"issued":{"date-parts":[["2024"]]}}}],"schema":"https://github.com/citation-style-language/schema/raw/master/csl-citation.json"} </w:instrText>
      </w:r>
      <w:r w:rsidR="00B224DB" w:rsidRPr="007019D0">
        <w:rPr>
          <w:color w:val="000000" w:themeColor="text1"/>
          <w:shd w:val="clear" w:color="auto" w:fill="FFFFFF"/>
        </w:rPr>
        <w:fldChar w:fldCharType="separate"/>
      </w:r>
      <w:r w:rsidR="00B224DB" w:rsidRPr="007019D0">
        <w:rPr>
          <w:color w:val="000000" w:themeColor="text1"/>
        </w:rPr>
        <w:t>(The White House, 2024)</w:t>
      </w:r>
      <w:r w:rsidR="00B224DB" w:rsidRPr="007019D0">
        <w:rPr>
          <w:color w:val="000000" w:themeColor="text1"/>
          <w:shd w:val="clear" w:color="auto" w:fill="FFFFFF"/>
        </w:rPr>
        <w:fldChar w:fldCharType="end"/>
      </w:r>
      <w:r w:rsidR="00B224DB" w:rsidRPr="007019D0">
        <w:rPr>
          <w:color w:val="000000" w:themeColor="text1"/>
          <w:shd w:val="clear" w:color="auto" w:fill="FFFFFF"/>
        </w:rPr>
        <w:t>.</w:t>
      </w:r>
      <w:r w:rsidR="00B21D11" w:rsidRPr="007019D0">
        <w:rPr>
          <w:color w:val="000000" w:themeColor="text1"/>
          <w:shd w:val="clear" w:color="auto" w:fill="FFFFFF"/>
        </w:rPr>
        <w:t> </w:t>
      </w:r>
      <w:bookmarkEnd w:id="62"/>
      <w:r w:rsidR="003F1166" w:rsidRPr="007019D0">
        <w:rPr>
          <w:color w:val="000000" w:themeColor="text1"/>
        </w:rPr>
        <w:t>Similarly, families with children value the privacy, as well as the potential for more frequent medical consultations, offered by telemedicine</w:t>
      </w:r>
      <w:r w:rsidR="007019D0">
        <w:t>, while adopt</w:t>
      </w:r>
      <w:r w:rsidR="001F563E">
        <w:t>ing</w:t>
      </w:r>
      <w:r w:rsidR="007019D0">
        <w:t xml:space="preserve"> telemedicine at a higher rate (18</w:t>
      </w:r>
      <w:r w:rsidR="00A73FAB">
        <w:t>.0</w:t>
      </w:r>
      <w:r w:rsidR="007019D0">
        <w:t xml:space="preserve">%). </w:t>
      </w:r>
      <w:r>
        <w:t xml:space="preserve">Approaches that maximize the </w:t>
      </w:r>
      <w:r w:rsidR="003F1166">
        <w:t xml:space="preserve">health </w:t>
      </w:r>
      <w:r>
        <w:t xml:space="preserve">benefits </w:t>
      </w:r>
      <w:r w:rsidR="003F1166">
        <w:t xml:space="preserve">for </w:t>
      </w:r>
      <w:r>
        <w:t>women</w:t>
      </w:r>
      <w:r w:rsidR="003F1166">
        <w:t xml:space="preserve"> </w:t>
      </w:r>
      <w:r w:rsidR="002375BD">
        <w:t xml:space="preserve">and caregivers </w:t>
      </w:r>
      <w:r w:rsidRPr="000A6691">
        <w:t>may include online clinics</w:t>
      </w:r>
      <w:r>
        <w:t xml:space="preserve"> staffed with licensed professionals who specialize in women's</w:t>
      </w:r>
      <w:r w:rsidR="003F1166">
        <w:t xml:space="preserve"> </w:t>
      </w:r>
      <w:r w:rsidR="002375BD">
        <w:t xml:space="preserve">and children’s </w:t>
      </w:r>
      <w:r>
        <w:t xml:space="preserve">health issues. These virtual clinics </w:t>
      </w:r>
      <w:r w:rsidR="00727039">
        <w:t xml:space="preserve">could offer </w:t>
      </w:r>
      <w:r>
        <w:t>round-the-clock availability and tailored expertise, effectively address</w:t>
      </w:r>
      <w:r w:rsidR="00727039">
        <w:t>ing</w:t>
      </w:r>
      <w:r>
        <w:t xml:space="preserve"> the unique healthcare needs of women and families, while also satisfying the demand for more frequent appointments, particularly among households with children</w:t>
      </w:r>
      <w:r w:rsidR="002375BD">
        <w:t>.</w:t>
      </w:r>
      <w:r>
        <w:t xml:space="preserve"> </w:t>
      </w:r>
      <w:r w:rsidR="002375BD" w:rsidRPr="002B2A06">
        <w:t xml:space="preserve">However, unlike the case of women, households with children perceive telemedicine as inconvenient </w:t>
      </w:r>
      <w:r w:rsidR="002375BD">
        <w:t xml:space="preserve">(IPC) </w:t>
      </w:r>
      <w:r w:rsidR="002375BD" w:rsidRPr="002B2A06">
        <w:t xml:space="preserve">and of lower quality </w:t>
      </w:r>
      <w:r w:rsidR="002375BD">
        <w:t xml:space="preserve">(PTQ) </w:t>
      </w:r>
      <w:r w:rsidR="002375BD" w:rsidRPr="002B2A06">
        <w:t>compared to in-person care</w:t>
      </w:r>
      <w:r w:rsidR="002375BD">
        <w:t xml:space="preserve">, indicating that </w:t>
      </w:r>
      <w:r w:rsidR="002375BD" w:rsidRPr="002B2A06">
        <w:t xml:space="preserve">merely increasing </w:t>
      </w:r>
      <w:r w:rsidR="002375BD">
        <w:t>telemedicine provision</w:t>
      </w:r>
      <w:r w:rsidR="002375BD" w:rsidRPr="002B2A06">
        <w:t xml:space="preserve"> is not enough to encourage widespread adoption among these households. To address this challenge, healthcare providers should consider implementing hybrid care models that combine telemedicine with essential in-person visits</w:t>
      </w:r>
      <w:r w:rsidR="002375BD">
        <w:t xml:space="preserve">. This may be pursued </w:t>
      </w:r>
      <w:r w:rsidR="005828BA">
        <w:t xml:space="preserve">by </w:t>
      </w:r>
      <w:r w:rsidR="002375BD" w:rsidRPr="00CF3E90">
        <w:t xml:space="preserve">leveraging </w:t>
      </w:r>
      <w:r w:rsidR="005828BA">
        <w:t xml:space="preserve">virtual </w:t>
      </w:r>
      <w:r w:rsidR="002375BD" w:rsidRPr="00CF3E90">
        <w:t xml:space="preserve">technologies </w:t>
      </w:r>
      <w:r w:rsidR="00727039">
        <w:t>(</w:t>
      </w:r>
      <w:r w:rsidR="002375BD" w:rsidRPr="00CF3E90">
        <w:t>such as remote patient monitoring and interactive educational tools</w:t>
      </w:r>
      <w:r w:rsidR="00727039">
        <w:t>),</w:t>
      </w:r>
      <w:r w:rsidR="005828BA">
        <w:t xml:space="preserve"> combined with strategically scheduled in-person visits</w:t>
      </w:r>
      <w:r w:rsidR="001F563E">
        <w:t>,</w:t>
      </w:r>
      <w:r w:rsidR="005828BA">
        <w:t xml:space="preserve"> </w:t>
      </w:r>
      <w:r w:rsidR="00727039">
        <w:t xml:space="preserve">to better </w:t>
      </w:r>
      <w:r w:rsidR="005828BA" w:rsidRPr="002B2A06">
        <w:t>understand</w:t>
      </w:r>
      <w:r w:rsidR="00727039">
        <w:t xml:space="preserve"> </w:t>
      </w:r>
      <w:r w:rsidR="00A73FAB">
        <w:t xml:space="preserve">the </w:t>
      </w:r>
      <w:r w:rsidR="005828BA" w:rsidRPr="002B2A06">
        <w:t xml:space="preserve">non-verbal cues </w:t>
      </w:r>
      <w:r w:rsidR="00727039">
        <w:t xml:space="preserve">of children </w:t>
      </w:r>
      <w:r w:rsidR="005828BA">
        <w:t xml:space="preserve">for </w:t>
      </w:r>
      <w:r w:rsidR="005828BA" w:rsidRPr="002B2A06">
        <w:t>accurate diagnosis and treatment.</w:t>
      </w:r>
      <w:r w:rsidR="005828BA">
        <w:t xml:space="preserve"> </w:t>
      </w:r>
      <w:r w:rsidR="002375BD">
        <w:t>H</w:t>
      </w:r>
      <w:r w:rsidR="002375BD" w:rsidRPr="00CF3E90">
        <w:t>ealthcare providers</w:t>
      </w:r>
      <w:r w:rsidR="002375BD">
        <w:t xml:space="preserve"> can also collaborate with </w:t>
      </w:r>
      <w:r w:rsidR="002375BD" w:rsidRPr="00CF3E90">
        <w:t xml:space="preserve">child development experts </w:t>
      </w:r>
      <w:r w:rsidR="002375BD">
        <w:t>to</w:t>
      </w:r>
      <w:r w:rsidR="002375BD" w:rsidRPr="00CF3E90">
        <w:t xml:space="preserve"> enhance the interpretation of non-verbal cues in telemedicine consultations, ultimately </w:t>
      </w:r>
      <w:r w:rsidR="002375BD">
        <w:t>improving</w:t>
      </w:r>
      <w:r w:rsidR="002375BD" w:rsidRPr="00CF3E90">
        <w:t xml:space="preserve"> the quality of care delivered.</w:t>
      </w:r>
      <w:r w:rsidR="005828BA">
        <w:t xml:space="preserve"> </w:t>
      </w:r>
      <w:r w:rsidR="002375BD">
        <w:t>Such initiatives not only enhance convenience and accessibility</w:t>
      </w:r>
      <w:r w:rsidR="001F563E">
        <w:t>,</w:t>
      </w:r>
      <w:r w:rsidR="002375BD">
        <w:t xml:space="preserve"> but also empower women and caregivers to proactively manage their health and the well-being of their families. </w:t>
      </w:r>
    </w:p>
    <w:p w14:paraId="08DF1DB1" w14:textId="402E5F86" w:rsidR="00910C0C" w:rsidRDefault="00910C0C" w:rsidP="009D0CA2">
      <w:pPr>
        <w:spacing w:after="0" w:line="240" w:lineRule="auto"/>
        <w:ind w:firstLine="720"/>
        <w:jc w:val="both"/>
      </w:pPr>
      <w:r w:rsidRPr="000A6691">
        <w:t>The negative ATE (-</w:t>
      </w:r>
      <w:r>
        <w:t>2</w:t>
      </w:r>
      <w:r w:rsidR="007019D0">
        <w:t>9</w:t>
      </w:r>
      <w:r w:rsidRPr="000A6691">
        <w:t>.</w:t>
      </w:r>
      <w:r w:rsidR="007019D0">
        <w:t>7</w:t>
      </w:r>
      <w:r>
        <w:t>%</w:t>
      </w:r>
      <w:r w:rsidRPr="000A6691">
        <w:t xml:space="preserve">) for those over 50 indicates a significant gap in telemedicine </w:t>
      </w:r>
      <w:r w:rsidR="000706EF">
        <w:t>adoption</w:t>
      </w:r>
      <w:r w:rsidR="00A10E90">
        <w:t>,</w:t>
      </w:r>
      <w:r w:rsidRPr="000A6691">
        <w:t xml:space="preserve"> </w:t>
      </w:r>
      <w:r>
        <w:t>stemming</w:t>
      </w:r>
      <w:r w:rsidR="00A10E90">
        <w:t>, as per</w:t>
      </w:r>
      <w:r w:rsidR="0069340B">
        <w:t xml:space="preserve"> </w:t>
      </w:r>
      <w:r w:rsidR="0069340B">
        <w:fldChar w:fldCharType="begin"/>
      </w:r>
      <w:r w:rsidR="0069340B">
        <w:instrText xml:space="preserve"> REF _Ref178945258 \h </w:instrText>
      </w:r>
      <w:r w:rsidR="0069340B">
        <w:fldChar w:fldCharType="separate"/>
      </w:r>
      <w:r w:rsidR="008A3DCE">
        <w:t xml:space="preserve">Table </w:t>
      </w:r>
      <w:r w:rsidR="008A3DCE">
        <w:rPr>
          <w:noProof/>
        </w:rPr>
        <w:t>9</w:t>
      </w:r>
      <w:r w:rsidR="0069340B">
        <w:fldChar w:fldCharType="end"/>
      </w:r>
      <w:r w:rsidR="00A10E90">
        <w:t xml:space="preserve">, </w:t>
      </w:r>
      <w:r w:rsidRPr="000A6691">
        <w:t>from</w:t>
      </w:r>
      <w:r>
        <w:t xml:space="preserve"> </w:t>
      </w:r>
      <w:r w:rsidR="00E54573">
        <w:t xml:space="preserve">in-person </w:t>
      </w:r>
      <w:r w:rsidRPr="000A6691">
        <w:t xml:space="preserve">convenience </w:t>
      </w:r>
      <w:r w:rsidR="00A10E90">
        <w:t>(</w:t>
      </w:r>
      <w:r w:rsidR="00E54573">
        <w:t>IP</w:t>
      </w:r>
      <w:r w:rsidR="00A10E90">
        <w:t xml:space="preserve">C) </w:t>
      </w:r>
      <w:r w:rsidR="00E54573">
        <w:t>relative to telemedicine</w:t>
      </w:r>
      <w:r>
        <w:t xml:space="preserve"> </w:t>
      </w:r>
      <w:r w:rsidRPr="000A6691">
        <w:t xml:space="preserve">and </w:t>
      </w:r>
      <w:r w:rsidR="00A10E90">
        <w:t xml:space="preserve">“not being </w:t>
      </w:r>
      <w:r w:rsidRPr="000A6691">
        <w:t>technological</w:t>
      </w:r>
      <w:r w:rsidR="00A10E90">
        <w:t>ly confident” (NTC)</w:t>
      </w:r>
      <w:r w:rsidRPr="000A6691">
        <w:t xml:space="preserve">. </w:t>
      </w:r>
      <w:r w:rsidRPr="000A6691">
        <w:rPr>
          <w:color w:val="1F1F1F"/>
          <w:shd w:val="clear" w:color="auto" w:fill="FFFFFF"/>
        </w:rPr>
        <w:t xml:space="preserve">This trend highlights a digital divide that could exclude older adults from the </w:t>
      </w:r>
      <w:r w:rsidR="00A10E90">
        <w:rPr>
          <w:color w:val="1F1F1F"/>
          <w:shd w:val="clear" w:color="auto" w:fill="FFFFFF"/>
        </w:rPr>
        <w:t xml:space="preserve">full </w:t>
      </w:r>
      <w:r w:rsidRPr="000A6691">
        <w:rPr>
          <w:color w:val="1F1F1F"/>
          <w:shd w:val="clear" w:color="auto" w:fill="FFFFFF"/>
        </w:rPr>
        <w:t>advantages of telemedicine</w:t>
      </w:r>
      <w:r w:rsidR="00A10E90">
        <w:rPr>
          <w:color w:val="1F1F1F"/>
          <w:shd w:val="clear" w:color="auto" w:fill="FFFFFF"/>
        </w:rPr>
        <w:t xml:space="preserve">, even as older individuals </w:t>
      </w:r>
      <w:r w:rsidR="00E54573">
        <w:rPr>
          <w:color w:val="1F1F1F"/>
          <w:shd w:val="clear" w:color="auto" w:fill="FFFFFF"/>
        </w:rPr>
        <w:t>appear to distinctly appreciate</w:t>
      </w:r>
      <w:r w:rsidR="00A10E90">
        <w:rPr>
          <w:color w:val="1F1F1F"/>
          <w:shd w:val="clear" w:color="auto" w:fill="FFFFFF"/>
        </w:rPr>
        <w:t xml:space="preserve"> the privacy (TP)</w:t>
      </w:r>
      <w:r w:rsidR="00E54573">
        <w:rPr>
          <w:color w:val="1F1F1F"/>
          <w:shd w:val="clear" w:color="auto" w:fill="FFFFFF"/>
        </w:rPr>
        <w:t xml:space="preserve"> and</w:t>
      </w:r>
      <w:r w:rsidR="00A10E90">
        <w:rPr>
          <w:color w:val="1F1F1F"/>
          <w:shd w:val="clear" w:color="auto" w:fill="FFFFFF"/>
        </w:rPr>
        <w:t xml:space="preserve"> low contagion risk (LCR)</w:t>
      </w:r>
      <w:r w:rsidR="00E54573">
        <w:rPr>
          <w:color w:val="1F1F1F"/>
          <w:shd w:val="clear" w:color="auto" w:fill="FFFFFF"/>
        </w:rPr>
        <w:t xml:space="preserve"> benefits of telemedicine</w:t>
      </w:r>
      <w:r w:rsidRPr="000A6691">
        <w:rPr>
          <w:color w:val="1F1F1F"/>
          <w:shd w:val="clear" w:color="auto" w:fill="FFFFFF"/>
        </w:rPr>
        <w:t xml:space="preserve">. To </w:t>
      </w:r>
      <w:r w:rsidRPr="000A6691">
        <w:rPr>
          <w:color w:val="1F1F1F"/>
          <w:shd w:val="clear" w:color="auto" w:fill="FFFFFF"/>
        </w:rPr>
        <w:lastRenderedPageBreak/>
        <w:t>address this gap, efforts are needed to bolster digital literacy among older adults and develop user-friendly telehealth platforms tailored to their specific needs. Collaborative initiatives between healthcare providers and community stakeholders can play a pivotal role. For instance, healthcare providers can partner with senior centers, libraries, and community organizations to offer digital literacy workshops focused on basic computer skills, navigating telemedicine platforms, and online safety</w:t>
      </w:r>
      <w:r>
        <w:rPr>
          <w:color w:val="1F1F1F"/>
          <w:shd w:val="clear" w:color="auto" w:fill="FFFFFF"/>
        </w:rPr>
        <w:t xml:space="preserve">. </w:t>
      </w:r>
      <w:r w:rsidRPr="000A6691">
        <w:rPr>
          <w:color w:val="1F1F1F"/>
          <w:shd w:val="clear" w:color="auto" w:fill="FFFFFF"/>
        </w:rPr>
        <w:t>Moreover, equipping such centers with</w:t>
      </w:r>
      <w:r w:rsidRPr="000A6691">
        <w:t xml:space="preserve"> </w:t>
      </w:r>
      <w:r w:rsidRPr="000A6691">
        <w:rPr>
          <w:color w:val="1F1F1F"/>
          <w:shd w:val="clear" w:color="auto" w:fill="FFFFFF"/>
        </w:rPr>
        <w:t>requisite technological infrastructure, including computers, cameras, and designated private spaces</w:t>
      </w:r>
      <w:r>
        <w:rPr>
          <w:color w:val="1F1F1F"/>
          <w:shd w:val="clear" w:color="auto" w:fill="FFFFFF"/>
        </w:rPr>
        <w:t xml:space="preserve"> (especially since our results indicate that older adults are more likely to benefit from the privacy offered by telemedicine with an ATE of 52.4%)</w:t>
      </w:r>
      <w:r w:rsidRPr="000A6691">
        <w:rPr>
          <w:color w:val="1F1F1F"/>
          <w:shd w:val="clear" w:color="auto" w:fill="FFFFFF"/>
        </w:rPr>
        <w:t xml:space="preserve">, facilitates seamless access to telemedicine consultations in a supportive environment, with trained personnel on hand to offer assistance as needed. </w:t>
      </w:r>
      <w:r w:rsidR="00727039">
        <w:rPr>
          <w:color w:val="0D0D0D"/>
          <w:shd w:val="clear" w:color="auto" w:fill="FFFFFF"/>
        </w:rPr>
        <w:t>I</w:t>
      </w:r>
      <w:r w:rsidRPr="000A6691">
        <w:rPr>
          <w:color w:val="0D0D0D"/>
          <w:shd w:val="clear" w:color="auto" w:fill="FFFFFF"/>
        </w:rPr>
        <w:t xml:space="preserve">nitiatives such as providing loaner devices pre-loaded with telehealth applications can </w:t>
      </w:r>
      <w:r w:rsidR="00727039">
        <w:rPr>
          <w:color w:val="0D0D0D"/>
          <w:shd w:val="clear" w:color="auto" w:fill="FFFFFF"/>
        </w:rPr>
        <w:t xml:space="preserve">also </w:t>
      </w:r>
      <w:r w:rsidRPr="000A6691">
        <w:rPr>
          <w:color w:val="0D0D0D"/>
          <w:shd w:val="clear" w:color="auto" w:fill="FFFFFF"/>
        </w:rPr>
        <w:t xml:space="preserve">alleviate barriers associated with </w:t>
      </w:r>
      <w:r w:rsidR="00727039">
        <w:rPr>
          <w:color w:val="0D0D0D"/>
          <w:shd w:val="clear" w:color="auto" w:fill="FFFFFF"/>
        </w:rPr>
        <w:t xml:space="preserve">equipment </w:t>
      </w:r>
      <w:r w:rsidRPr="000A6691">
        <w:rPr>
          <w:color w:val="0D0D0D"/>
          <w:shd w:val="clear" w:color="auto" w:fill="FFFFFF"/>
        </w:rPr>
        <w:t xml:space="preserve">constraints. </w:t>
      </w:r>
      <w:r w:rsidR="00727039">
        <w:rPr>
          <w:color w:val="0D0D0D"/>
          <w:shd w:val="clear" w:color="auto" w:fill="FFFFFF"/>
        </w:rPr>
        <w:t>Additionally</w:t>
      </w:r>
      <w:r w:rsidRPr="000A6691">
        <w:rPr>
          <w:color w:val="0D0D0D"/>
          <w:shd w:val="clear" w:color="auto" w:fill="FFFFFF"/>
        </w:rPr>
        <w:t xml:space="preserve">, healthcare providers can rely on input from focus groups to learn about the main technological impediments encountered by older adults. This user-centered approach can lead to more effective platform designs. Clear and succinct on-screen instructions throughout the appointment process </w:t>
      </w:r>
      <w:r>
        <w:rPr>
          <w:color w:val="0D0D0D"/>
          <w:shd w:val="clear" w:color="auto" w:fill="FFFFFF"/>
        </w:rPr>
        <w:t xml:space="preserve">could </w:t>
      </w:r>
      <w:r w:rsidRPr="000A6691">
        <w:rPr>
          <w:color w:val="0D0D0D"/>
          <w:shd w:val="clear" w:color="auto" w:fill="FFFFFF"/>
        </w:rPr>
        <w:t>further streamline the telemedicine experience</w:t>
      </w:r>
      <w:r>
        <w:rPr>
          <w:color w:val="0D0D0D"/>
          <w:shd w:val="clear" w:color="auto" w:fill="FFFFFF"/>
        </w:rPr>
        <w:t xml:space="preserve">. Alternatively, pre-telemedicine visit telephone calls with instructions could also increase the likelihood of successful virtual consultations, as indicated by </w:t>
      </w:r>
      <w:bookmarkStart w:id="63" w:name="_Hlk166080361"/>
      <w:r>
        <w:rPr>
          <w:color w:val="0D0D0D"/>
          <w:shd w:val="clear" w:color="auto" w:fill="FFFFFF"/>
        </w:rPr>
        <w:fldChar w:fldCharType="begin"/>
      </w:r>
      <w:r w:rsidR="00876B92">
        <w:rPr>
          <w:color w:val="0D0D0D"/>
          <w:shd w:val="clear" w:color="auto" w:fill="FFFFFF"/>
        </w:rPr>
        <w:instrText xml:space="preserve"> ADDIN ZOTERO_ITEM CSL_CITATION {"citationID":"gVZqMg6U","properties":{"formattedCitation":"(Gusdorf et al., 2023)","plainCitation":"(Gusdorf et al., 2023)","dontUpdate":true,"noteIndex":0},"citationItems":[{"id":2447,"uris":["http://zotero.org/users/9292995/items/8Z86QW9T"],"itemData":{"id":2447,"type":"article-journal","abstract":"INTRODUCTION: The need to rapidly implement telehealth at large scale during the COVID-19 pandemic led to many patients using telehealth for the first time. We assessed the effect of structured pre-visit preparatory telephone calls on success of telehealth visits and examined risk factors for unsuccessful visits.\nMETHODS: A retrospective cohort study was carried out of 45,803 adult patients scheduled for a total of 64,447 telehealth appointments between March and July 2020 at an academic medical center. A subset of patients received a structured pre-visit phone call. Demographic factors and inclusion of a pre-visit call were analysed by logistic regression. Primary outcomes were non-completion of any visit and completion of phone-only versus audio-visual telehealth visits.\nRESULTS: A pre-visit telephone call to a subset of patients significantly increased the likelihood of a successful telehealth visit (OR 0.54; 95% CI: 0.48-0.60). Patients aged 18-30 years, those with non-commercial insurance or those of Black race were more likely to have incomplete visits. Compared to age 18-30, increasing age increased likelihood of a failed video visit: 31-50 years (OR 1.31; 95% CI: 1.13-1.51), 51-70 years (OR 2.98; 2.60-3.42) and &gt;70 years (OR 4.16; 3.58-4.82). Those with non-commercial insurance and those of Black race (OR 1.8; 95% CI 1.67-1.92) were more likely to have a failed video visit.\nDISCUSSION: A structured pre-call to patients improved the likelihood of a successful video visit during widespread adoption of telehealth. Structured pre-calls to patients may be an important tool to help reduce gaps in utilization among groups.","container-title":"Journal of Telemedicine and Telecare","DOI":"10.1177/1357633X211008786","ISSN":"1758-1109","issue":"8","journalAbbreviation":"J Telemed Telecare","language":"eng","note":"PMID: 33975506","page":"607-612","source":"PubMed","title":"A patient education intervention improved rates of successful video visits during rapid implementation of telehealth","volume":"29","author":[{"family":"Gusdorf","given":"Roman E."},{"family":"Shah","given":"Kaustav P."},{"family":"Triana","given":"Austin J."},{"family":"McCoy","given":"Allison B."},{"family":"Pabla","given":"Baldeep"},{"family":"Scoville","given":"Elizabeth"},{"family":"Dalal","given":"Robin"},{"family":"Beaulieu","given":"Dawn B."},{"family":"Schwartz","given":"David A."},{"family":"Horst","given":"Sara N."},{"family":"Griffith","given":"Michelle L."}],"issued":{"date-parts":[["2023",9]]}}}],"schema":"https://github.com/citation-style-language/schema/raw/master/csl-citation.json"} </w:instrText>
      </w:r>
      <w:r>
        <w:rPr>
          <w:color w:val="0D0D0D"/>
          <w:shd w:val="clear" w:color="auto" w:fill="FFFFFF"/>
        </w:rPr>
        <w:fldChar w:fldCharType="separate"/>
      </w:r>
      <w:r w:rsidRPr="00BD334A">
        <w:t xml:space="preserve">Gusdorf et al. </w:t>
      </w:r>
      <w:r w:rsidR="007019D0">
        <w:t>(</w:t>
      </w:r>
      <w:r w:rsidRPr="00BD334A">
        <w:t>2023)</w:t>
      </w:r>
      <w:r>
        <w:rPr>
          <w:color w:val="0D0D0D"/>
          <w:shd w:val="clear" w:color="auto" w:fill="FFFFFF"/>
        </w:rPr>
        <w:fldChar w:fldCharType="end"/>
      </w:r>
      <w:r>
        <w:rPr>
          <w:color w:val="0D0D0D"/>
          <w:shd w:val="clear" w:color="auto" w:fill="FFFFFF"/>
        </w:rPr>
        <w:t xml:space="preserve">. </w:t>
      </w:r>
      <w:bookmarkEnd w:id="63"/>
      <w:r w:rsidRPr="000A6691">
        <w:rPr>
          <w:color w:val="0D0D0D"/>
          <w:shd w:val="clear" w:color="auto" w:fill="FFFFFF"/>
        </w:rPr>
        <w:t xml:space="preserve">Lastly, to cater to diverse preferences and comfort levels, healthcare providers should offer alternatives such as telephone-based appointments alongside video conferencing </w:t>
      </w:r>
      <w:r>
        <w:rPr>
          <w:color w:val="0D0D0D"/>
          <w:shd w:val="clear" w:color="auto" w:fill="FFFFFF"/>
        </w:rPr>
        <w:t xml:space="preserve">to </w:t>
      </w:r>
      <w:r w:rsidRPr="000A6691">
        <w:rPr>
          <w:color w:val="0D0D0D"/>
          <w:shd w:val="clear" w:color="auto" w:fill="FFFFFF"/>
        </w:rPr>
        <w:t>enhance accessibility and inclusivity. As such, efforts to bridge the digital gap and enhance telemedicine accessibility for seniors not only</w:t>
      </w:r>
      <w:r w:rsidR="00727039">
        <w:rPr>
          <w:color w:val="0D0D0D"/>
          <w:shd w:val="clear" w:color="auto" w:fill="FFFFFF"/>
        </w:rPr>
        <w:t xml:space="preserve"> </w:t>
      </w:r>
      <w:r w:rsidRPr="000A6691">
        <w:rPr>
          <w:color w:val="0D0D0D"/>
          <w:shd w:val="clear" w:color="auto" w:fill="FFFFFF"/>
        </w:rPr>
        <w:t>promot</w:t>
      </w:r>
      <w:r w:rsidR="00727039">
        <w:rPr>
          <w:color w:val="0D0D0D"/>
          <w:shd w:val="clear" w:color="auto" w:fill="FFFFFF"/>
        </w:rPr>
        <w:t>e</w:t>
      </w:r>
      <w:r w:rsidRPr="000A6691">
        <w:rPr>
          <w:color w:val="0D0D0D"/>
          <w:shd w:val="clear" w:color="auto" w:fill="FFFFFF"/>
        </w:rPr>
        <w:t xml:space="preserve"> health equity</w:t>
      </w:r>
      <w:r w:rsidR="00727039">
        <w:rPr>
          <w:color w:val="0D0D0D"/>
          <w:shd w:val="clear" w:color="auto" w:fill="FFFFFF"/>
        </w:rPr>
        <w:t>,</w:t>
      </w:r>
      <w:r w:rsidRPr="000A6691">
        <w:rPr>
          <w:color w:val="0D0D0D"/>
          <w:shd w:val="clear" w:color="auto" w:fill="FFFFFF"/>
        </w:rPr>
        <w:t xml:space="preserve"> but also </w:t>
      </w:r>
      <w:r w:rsidR="00727039">
        <w:rPr>
          <w:color w:val="0D0D0D"/>
          <w:shd w:val="clear" w:color="auto" w:fill="FFFFFF"/>
        </w:rPr>
        <w:t xml:space="preserve">improve </w:t>
      </w:r>
      <w:r w:rsidR="00E54573">
        <w:rPr>
          <w:color w:val="0D0D0D"/>
          <w:shd w:val="clear" w:color="auto" w:fill="FFFFFF"/>
        </w:rPr>
        <w:t xml:space="preserve">quality-of-life considerations </w:t>
      </w:r>
      <w:r w:rsidR="00727039">
        <w:rPr>
          <w:color w:val="0D0D0D"/>
          <w:shd w:val="clear" w:color="auto" w:fill="FFFFFF"/>
        </w:rPr>
        <w:t>over the</w:t>
      </w:r>
      <w:r w:rsidR="007019D0">
        <w:rPr>
          <w:color w:val="0D0D0D"/>
          <w:shd w:val="clear" w:color="auto" w:fill="FFFFFF"/>
        </w:rPr>
        <w:t>ir</w:t>
      </w:r>
      <w:r w:rsidR="00727039">
        <w:rPr>
          <w:color w:val="0D0D0D"/>
          <w:shd w:val="clear" w:color="auto" w:fill="FFFFFF"/>
        </w:rPr>
        <w:t xml:space="preserve"> life span</w:t>
      </w:r>
      <w:r w:rsidRPr="000A6691">
        <w:rPr>
          <w:color w:val="0D0D0D"/>
          <w:shd w:val="clear" w:color="auto" w:fill="FFFFFF"/>
        </w:rPr>
        <w:t>.</w:t>
      </w:r>
    </w:p>
    <w:p w14:paraId="7AEFD2C6" w14:textId="1AEB7343" w:rsidR="008520BA" w:rsidRDefault="001B46DA" w:rsidP="009D0CA2">
      <w:pPr>
        <w:spacing w:after="0" w:line="240" w:lineRule="auto"/>
        <w:ind w:firstLine="720"/>
        <w:jc w:val="both"/>
      </w:pPr>
      <w:r w:rsidRPr="001B46DA">
        <w:rPr>
          <w:rStyle w:val="Strong"/>
          <w:b w:val="0"/>
          <w:bCs w:val="0"/>
          <w:color w:val="1F1F1F"/>
          <w:shd w:val="clear" w:color="auto" w:fill="FFFFFF"/>
        </w:rPr>
        <w:t xml:space="preserve">Telemedicine </w:t>
      </w:r>
      <w:r>
        <w:rPr>
          <w:rStyle w:val="Strong"/>
          <w:b w:val="0"/>
          <w:bCs w:val="0"/>
          <w:color w:val="1F1F1F"/>
          <w:shd w:val="clear" w:color="auto" w:fill="FFFFFF"/>
        </w:rPr>
        <w:t xml:space="preserve">also </w:t>
      </w:r>
      <w:r w:rsidRPr="001B46DA">
        <w:rPr>
          <w:rStyle w:val="Strong"/>
          <w:b w:val="0"/>
          <w:bCs w:val="0"/>
          <w:color w:val="1F1F1F"/>
          <w:shd w:val="clear" w:color="auto" w:fill="FFFFFF"/>
        </w:rPr>
        <w:t xml:space="preserve">addresses </w:t>
      </w:r>
      <w:r>
        <w:rPr>
          <w:rStyle w:val="Strong"/>
          <w:b w:val="0"/>
          <w:bCs w:val="0"/>
          <w:color w:val="1F1F1F"/>
          <w:shd w:val="clear" w:color="auto" w:fill="FFFFFF"/>
        </w:rPr>
        <w:t xml:space="preserve">accessibility </w:t>
      </w:r>
      <w:r w:rsidRPr="001B46DA">
        <w:rPr>
          <w:rStyle w:val="Strong"/>
          <w:b w:val="0"/>
          <w:bCs w:val="0"/>
          <w:color w:val="1F1F1F"/>
          <w:shd w:val="clear" w:color="auto" w:fill="FFFFFF"/>
        </w:rPr>
        <w:t>challenges</w:t>
      </w:r>
      <w:r>
        <w:rPr>
          <w:rStyle w:val="Strong"/>
          <w:b w:val="0"/>
          <w:bCs w:val="0"/>
          <w:color w:val="1F1F1F"/>
          <w:shd w:val="clear" w:color="auto" w:fill="FFFFFF"/>
        </w:rPr>
        <w:t xml:space="preserve"> faced by </w:t>
      </w:r>
      <w:r w:rsidRPr="001B46DA">
        <w:rPr>
          <w:rStyle w:val="Strong"/>
          <w:b w:val="0"/>
          <w:bCs w:val="0"/>
          <w:color w:val="1F1F1F"/>
          <w:shd w:val="clear" w:color="auto" w:fill="FFFFFF"/>
        </w:rPr>
        <w:t>individuals with low</w:t>
      </w:r>
      <w:r w:rsidR="00942741">
        <w:rPr>
          <w:rStyle w:val="Strong"/>
          <w:b w:val="0"/>
          <w:bCs w:val="0"/>
          <w:color w:val="1F1F1F"/>
          <w:shd w:val="clear" w:color="auto" w:fill="FFFFFF"/>
        </w:rPr>
        <w:t xml:space="preserve"> </w:t>
      </w:r>
      <w:r w:rsidR="00910C0C">
        <w:rPr>
          <w:rStyle w:val="Strong"/>
          <w:b w:val="0"/>
          <w:bCs w:val="0"/>
          <w:color w:val="1F1F1F"/>
          <w:shd w:val="clear" w:color="auto" w:fill="FFFFFF"/>
        </w:rPr>
        <w:t xml:space="preserve">household </w:t>
      </w:r>
      <w:r w:rsidRPr="001B46DA">
        <w:rPr>
          <w:rStyle w:val="Strong"/>
          <w:b w:val="0"/>
          <w:bCs w:val="0"/>
          <w:color w:val="1F1F1F"/>
          <w:shd w:val="clear" w:color="auto" w:fill="FFFFFF"/>
        </w:rPr>
        <w:t>income</w:t>
      </w:r>
      <w:r w:rsidR="00BD334A">
        <w:rPr>
          <w:rStyle w:val="Strong"/>
          <w:b w:val="0"/>
          <w:bCs w:val="0"/>
          <w:color w:val="1F1F1F"/>
          <w:shd w:val="clear" w:color="auto" w:fill="FFFFFF"/>
        </w:rPr>
        <w:t>s</w:t>
      </w:r>
      <w:r w:rsidRPr="001B46DA">
        <w:rPr>
          <w:rStyle w:val="Strong"/>
          <w:b w:val="0"/>
          <w:bCs w:val="0"/>
          <w:color w:val="1F1F1F"/>
          <w:shd w:val="clear" w:color="auto" w:fill="FFFFFF"/>
        </w:rPr>
        <w:t xml:space="preserve"> and </w:t>
      </w:r>
      <w:r w:rsidR="005828BA">
        <w:rPr>
          <w:rStyle w:val="Strong"/>
          <w:b w:val="0"/>
          <w:bCs w:val="0"/>
          <w:color w:val="1F1F1F"/>
          <w:shd w:val="clear" w:color="auto" w:fill="FFFFFF"/>
        </w:rPr>
        <w:t>less access to motorized vehicles</w:t>
      </w:r>
      <w:r w:rsidR="00680564">
        <w:rPr>
          <w:rStyle w:val="Strong"/>
          <w:b w:val="0"/>
          <w:bCs w:val="0"/>
          <w:color w:val="1F1F1F"/>
          <w:shd w:val="clear" w:color="auto" w:fill="FFFFFF"/>
        </w:rPr>
        <w:t>.</w:t>
      </w:r>
      <w:r w:rsidR="00680564" w:rsidRPr="00680564">
        <w:rPr>
          <w:rStyle w:val="Strong"/>
          <w:b w:val="0"/>
          <w:bCs w:val="0"/>
          <w:color w:val="1F1F1F"/>
          <w:shd w:val="clear" w:color="auto" w:fill="FFFFFF"/>
        </w:rPr>
        <w:t xml:space="preserve"> </w:t>
      </w:r>
      <w:r w:rsidR="002B2A06">
        <w:rPr>
          <w:rStyle w:val="Strong"/>
          <w:b w:val="0"/>
          <w:bCs w:val="0"/>
          <w:color w:val="1F1F1F"/>
          <w:shd w:val="clear" w:color="auto" w:fill="FFFFFF"/>
        </w:rPr>
        <w:t>Similar to the case of women, t</w:t>
      </w:r>
      <w:r w:rsidR="002B2A06" w:rsidRPr="002B2A06">
        <w:rPr>
          <w:rStyle w:val="Strong"/>
          <w:b w:val="0"/>
          <w:bCs w:val="0"/>
          <w:color w:val="1F1F1F"/>
          <w:shd w:val="clear" w:color="auto" w:fill="FFFFFF"/>
        </w:rPr>
        <w:t>he combination of</w:t>
      </w:r>
      <w:r w:rsidR="002B2A06">
        <w:rPr>
          <w:rStyle w:val="Strong"/>
          <w:b w:val="0"/>
          <w:bCs w:val="0"/>
          <w:color w:val="1F1F1F"/>
          <w:shd w:val="clear" w:color="auto" w:fill="FFFFFF"/>
        </w:rPr>
        <w:t xml:space="preserve"> individuals’</w:t>
      </w:r>
      <w:r w:rsidR="002B2A06" w:rsidRPr="002B2A06">
        <w:rPr>
          <w:rStyle w:val="Strong"/>
          <w:b w:val="0"/>
          <w:bCs w:val="0"/>
          <w:color w:val="1F1F1F"/>
          <w:shd w:val="clear" w:color="auto" w:fill="FFFFFF"/>
        </w:rPr>
        <w:t xml:space="preserve"> heightened challenges in accessing in-person appointments, and their perception that telemedi</w:t>
      </w:r>
      <w:r w:rsidR="00910C0C">
        <w:rPr>
          <w:rStyle w:val="Strong"/>
          <w:b w:val="0"/>
          <w:bCs w:val="0"/>
          <w:color w:val="1F1F1F"/>
          <w:shd w:val="clear" w:color="auto" w:fill="FFFFFF"/>
        </w:rPr>
        <w:t xml:space="preserve">cine does not diminish privacy and is </w:t>
      </w:r>
      <w:r w:rsidR="002B2A06" w:rsidRPr="002B2A06">
        <w:rPr>
          <w:rStyle w:val="Strong"/>
          <w:b w:val="0"/>
          <w:bCs w:val="0"/>
          <w:color w:val="1F1F1F"/>
          <w:shd w:val="clear" w:color="auto" w:fill="FFFFFF"/>
        </w:rPr>
        <w:t>not necessarily inferior to in-person visits</w:t>
      </w:r>
      <w:r w:rsidR="001F563E">
        <w:rPr>
          <w:rStyle w:val="Strong"/>
          <w:b w:val="0"/>
          <w:bCs w:val="0"/>
          <w:color w:val="1F1F1F"/>
          <w:shd w:val="clear" w:color="auto" w:fill="FFFFFF"/>
        </w:rPr>
        <w:t xml:space="preserve"> (see </w:t>
      </w:r>
      <w:r w:rsidR="0069340B">
        <w:fldChar w:fldCharType="begin"/>
      </w:r>
      <w:r w:rsidR="0069340B">
        <w:instrText xml:space="preserve"> REF _Ref178945258 \h </w:instrText>
      </w:r>
      <w:r w:rsidR="0069340B">
        <w:fldChar w:fldCharType="separate"/>
      </w:r>
      <w:r w:rsidR="008A3DCE">
        <w:t xml:space="preserve">Table </w:t>
      </w:r>
      <w:r w:rsidR="008A3DCE">
        <w:rPr>
          <w:noProof/>
        </w:rPr>
        <w:t>9</w:t>
      </w:r>
      <w:r w:rsidR="0069340B">
        <w:fldChar w:fldCharType="end"/>
      </w:r>
      <w:r w:rsidR="001F563E">
        <w:rPr>
          <w:rStyle w:val="Strong"/>
          <w:b w:val="0"/>
          <w:bCs w:val="0"/>
          <w:color w:val="1F1F1F"/>
          <w:shd w:val="clear" w:color="auto" w:fill="FFFFFF"/>
        </w:rPr>
        <w:t>)</w:t>
      </w:r>
      <w:r w:rsidR="002B2A06" w:rsidRPr="002B2A06">
        <w:rPr>
          <w:rStyle w:val="Strong"/>
          <w:b w:val="0"/>
          <w:bCs w:val="0"/>
          <w:color w:val="1F1F1F"/>
          <w:shd w:val="clear" w:color="auto" w:fill="FFFFFF"/>
        </w:rPr>
        <w:t xml:space="preserve">, strongly suggests </w:t>
      </w:r>
      <w:r w:rsidR="002B2A06">
        <w:t xml:space="preserve">that targeted strategies </w:t>
      </w:r>
      <w:r w:rsidR="00727039">
        <w:t xml:space="preserve">toward these demographic groups </w:t>
      </w:r>
      <w:r w:rsidR="005828BA">
        <w:t xml:space="preserve">could increase telemedicine adoption (especially given the current adoption rates are lower for these groups compared to </w:t>
      </w:r>
      <w:r w:rsidR="00727039">
        <w:t>their peer groups</w:t>
      </w:r>
      <w:r w:rsidR="005828BA">
        <w:t xml:space="preserve">). </w:t>
      </w:r>
      <w:r w:rsidR="000E0A8C" w:rsidRPr="000E0A8C">
        <w:rPr>
          <w:rStyle w:val="Strong"/>
          <w:b w:val="0"/>
          <w:bCs w:val="0"/>
          <w:color w:val="1F1F1F"/>
          <w:shd w:val="clear" w:color="auto" w:fill="FFFFFF"/>
        </w:rPr>
        <w:t xml:space="preserve">However, merely increasing the availability of telemedicine for these individuals without </w:t>
      </w:r>
      <w:r w:rsidR="000E0A8C">
        <w:rPr>
          <w:rStyle w:val="Strong"/>
          <w:b w:val="0"/>
          <w:bCs w:val="0"/>
          <w:color w:val="1F1F1F"/>
          <w:shd w:val="clear" w:color="auto" w:fill="FFFFFF"/>
        </w:rPr>
        <w:t xml:space="preserve">ensuring they possess </w:t>
      </w:r>
      <w:r w:rsidR="000E0A8C" w:rsidRPr="000E0A8C">
        <w:rPr>
          <w:rStyle w:val="Strong"/>
          <w:b w:val="0"/>
          <w:bCs w:val="0"/>
          <w:color w:val="1F1F1F"/>
          <w:shd w:val="clear" w:color="auto" w:fill="FFFFFF"/>
        </w:rPr>
        <w:t xml:space="preserve">the necessary tools for access will not </w:t>
      </w:r>
      <w:r w:rsidR="000E0A8C">
        <w:rPr>
          <w:rStyle w:val="Strong"/>
          <w:b w:val="0"/>
          <w:bCs w:val="0"/>
          <w:color w:val="1F1F1F"/>
          <w:shd w:val="clear" w:color="auto" w:fill="FFFFFF"/>
        </w:rPr>
        <w:t>yield effective results</w:t>
      </w:r>
      <w:r w:rsidR="000E0A8C" w:rsidRPr="000E0A8C">
        <w:rPr>
          <w:rStyle w:val="Strong"/>
          <w:b w:val="0"/>
          <w:bCs w:val="0"/>
          <w:color w:val="1F1F1F"/>
          <w:shd w:val="clear" w:color="auto" w:fill="FFFFFF"/>
        </w:rPr>
        <w:t xml:space="preserve">. </w:t>
      </w:r>
      <w:r w:rsidR="00E54573">
        <w:rPr>
          <w:rStyle w:val="Strong"/>
          <w:b w:val="0"/>
          <w:bCs w:val="0"/>
          <w:color w:val="1F1F1F"/>
          <w:shd w:val="clear" w:color="auto" w:fill="FFFFFF"/>
        </w:rPr>
        <w:t>L</w:t>
      </w:r>
      <w:r w:rsidR="008520BA" w:rsidRPr="0006017E">
        <w:rPr>
          <w:rStyle w:val="Strong"/>
          <w:b w:val="0"/>
          <w:bCs w:val="0"/>
          <w:color w:val="1F1F1F"/>
          <w:shd w:val="clear" w:color="auto" w:fill="FFFFFF"/>
        </w:rPr>
        <w:t>ow-income individuals face significant digital accessibility challenges that hinder their adoption of telemedicine services</w:t>
      </w:r>
      <w:r w:rsidR="00E54573">
        <w:rPr>
          <w:rStyle w:val="Strong"/>
          <w:b w:val="0"/>
          <w:bCs w:val="0"/>
          <w:color w:val="1F1F1F"/>
          <w:shd w:val="clear" w:color="auto" w:fill="FFFFFF"/>
        </w:rPr>
        <w:t xml:space="preserve">, which then also appear to get translated into </w:t>
      </w:r>
      <w:r w:rsidR="007019D0">
        <w:rPr>
          <w:rStyle w:val="Strong"/>
          <w:b w:val="0"/>
          <w:bCs w:val="0"/>
          <w:color w:val="1F1F1F"/>
          <w:shd w:val="clear" w:color="auto" w:fill="FFFFFF"/>
        </w:rPr>
        <w:t xml:space="preserve">the </w:t>
      </w:r>
      <w:r w:rsidR="00E54573">
        <w:rPr>
          <w:rStyle w:val="Strong"/>
          <w:b w:val="0"/>
          <w:bCs w:val="0"/>
          <w:color w:val="1F1F1F"/>
          <w:shd w:val="clear" w:color="auto" w:fill="FFFFFF"/>
        </w:rPr>
        <w:t>p</w:t>
      </w:r>
      <w:r w:rsidR="008520BA" w:rsidRPr="0006017E">
        <w:rPr>
          <w:rStyle w:val="Strong"/>
          <w:b w:val="0"/>
          <w:bCs w:val="0"/>
          <w:color w:val="1F1F1F"/>
          <w:shd w:val="clear" w:color="auto" w:fill="FFFFFF"/>
        </w:rPr>
        <w:t>erceived inconvenience</w:t>
      </w:r>
      <w:r w:rsidR="008520BA">
        <w:rPr>
          <w:rStyle w:val="Strong"/>
          <w:b w:val="0"/>
          <w:bCs w:val="0"/>
          <w:color w:val="1F1F1F"/>
          <w:shd w:val="clear" w:color="auto" w:fill="FFFFFF"/>
        </w:rPr>
        <w:t xml:space="preserve"> of telemedicine</w:t>
      </w:r>
      <w:r w:rsidR="001F563E">
        <w:rPr>
          <w:rStyle w:val="Strong"/>
          <w:b w:val="0"/>
          <w:bCs w:val="0"/>
          <w:color w:val="1F1F1F"/>
          <w:shd w:val="clear" w:color="auto" w:fill="FFFFFF"/>
        </w:rPr>
        <w:t xml:space="preserve"> (higher IPC)</w:t>
      </w:r>
      <w:r w:rsidR="008520BA" w:rsidRPr="0006017E">
        <w:rPr>
          <w:rStyle w:val="Strong"/>
          <w:b w:val="0"/>
          <w:bCs w:val="0"/>
          <w:color w:val="1F1F1F"/>
          <w:shd w:val="clear" w:color="auto" w:fill="FFFFFF"/>
        </w:rPr>
        <w:t>, technological limitations</w:t>
      </w:r>
      <w:r w:rsidR="001F563E">
        <w:rPr>
          <w:rStyle w:val="Strong"/>
          <w:b w:val="0"/>
          <w:bCs w:val="0"/>
          <w:color w:val="1F1F1F"/>
          <w:shd w:val="clear" w:color="auto" w:fill="FFFFFF"/>
        </w:rPr>
        <w:t xml:space="preserve"> (higher NTC)</w:t>
      </w:r>
      <w:r w:rsidR="008520BA" w:rsidRPr="0006017E">
        <w:rPr>
          <w:rStyle w:val="Strong"/>
          <w:b w:val="0"/>
          <w:bCs w:val="0"/>
          <w:color w:val="1F1F1F"/>
          <w:shd w:val="clear" w:color="auto" w:fill="FFFFFF"/>
        </w:rPr>
        <w:t>, and security apprehensions</w:t>
      </w:r>
      <w:r w:rsidR="001F563E">
        <w:rPr>
          <w:rStyle w:val="Strong"/>
          <w:b w:val="0"/>
          <w:bCs w:val="0"/>
          <w:color w:val="1F1F1F"/>
          <w:shd w:val="clear" w:color="auto" w:fill="FFFFFF"/>
        </w:rPr>
        <w:t xml:space="preserve"> (higher TSC)</w:t>
      </w:r>
      <w:r w:rsidR="008520BA">
        <w:rPr>
          <w:rStyle w:val="Strong"/>
          <w:b w:val="0"/>
          <w:bCs w:val="0"/>
          <w:color w:val="1F1F1F"/>
          <w:shd w:val="clear" w:color="auto" w:fill="FFFFFF"/>
        </w:rPr>
        <w:t>.</w:t>
      </w:r>
      <w:r w:rsidR="008520BA" w:rsidRPr="0006017E">
        <w:t xml:space="preserve"> </w:t>
      </w:r>
      <w:r w:rsidR="00E54573">
        <w:t xml:space="preserve">In particular, </w:t>
      </w:r>
      <w:r w:rsidR="00910C0C">
        <w:rPr>
          <w:rStyle w:val="Strong"/>
          <w:b w:val="0"/>
          <w:bCs w:val="0"/>
          <w:color w:val="1F1F1F"/>
          <w:shd w:val="clear" w:color="auto" w:fill="FFFFFF"/>
        </w:rPr>
        <w:t>t</w:t>
      </w:r>
      <w:r w:rsidR="008520BA" w:rsidRPr="0006017E">
        <w:rPr>
          <w:rStyle w:val="Strong"/>
          <w:b w:val="0"/>
          <w:bCs w:val="0"/>
          <w:color w:val="1F1F1F"/>
          <w:shd w:val="clear" w:color="auto" w:fill="FFFFFF"/>
        </w:rPr>
        <w:t xml:space="preserve">he lack of reliable internet connectivity, limited access to </w:t>
      </w:r>
      <w:r w:rsidR="00910C0C">
        <w:rPr>
          <w:rStyle w:val="Strong"/>
          <w:b w:val="0"/>
          <w:bCs w:val="0"/>
          <w:color w:val="1F1F1F"/>
          <w:shd w:val="clear" w:color="auto" w:fill="FFFFFF"/>
        </w:rPr>
        <w:t>digital</w:t>
      </w:r>
      <w:r w:rsidR="008520BA" w:rsidRPr="0006017E">
        <w:rPr>
          <w:rStyle w:val="Strong"/>
          <w:b w:val="0"/>
          <w:bCs w:val="0"/>
          <w:color w:val="1F1F1F"/>
          <w:shd w:val="clear" w:color="auto" w:fill="FFFFFF"/>
        </w:rPr>
        <w:t xml:space="preserve"> devices, and inadequate digital literacy skills </w:t>
      </w:r>
      <w:r w:rsidR="00910C0C">
        <w:rPr>
          <w:rStyle w:val="Strong"/>
          <w:b w:val="0"/>
          <w:bCs w:val="0"/>
          <w:color w:val="1F1F1F"/>
          <w:shd w:val="clear" w:color="auto" w:fill="FFFFFF"/>
        </w:rPr>
        <w:t>among low</w:t>
      </w:r>
      <w:r w:rsidR="00A73FAB">
        <w:rPr>
          <w:rStyle w:val="Strong"/>
          <w:b w:val="0"/>
          <w:bCs w:val="0"/>
          <w:color w:val="1F1F1F"/>
          <w:shd w:val="clear" w:color="auto" w:fill="FFFFFF"/>
        </w:rPr>
        <w:t>-</w:t>
      </w:r>
      <w:r w:rsidR="00910C0C">
        <w:rPr>
          <w:rStyle w:val="Strong"/>
          <w:b w:val="0"/>
          <w:bCs w:val="0"/>
          <w:color w:val="1F1F1F"/>
          <w:shd w:val="clear" w:color="auto" w:fill="FFFFFF"/>
        </w:rPr>
        <w:t xml:space="preserve">income individuals, as has been established in many earlier </w:t>
      </w:r>
      <w:bookmarkStart w:id="64" w:name="_Hlk179632399"/>
      <w:r w:rsidR="00910C0C">
        <w:rPr>
          <w:rStyle w:val="Strong"/>
          <w:b w:val="0"/>
          <w:bCs w:val="0"/>
          <w:color w:val="1F1F1F"/>
          <w:shd w:val="clear" w:color="auto" w:fill="FFFFFF"/>
        </w:rPr>
        <w:t>studies</w:t>
      </w:r>
      <w:r w:rsidR="007019D0">
        <w:rPr>
          <w:rStyle w:val="Strong"/>
          <w:b w:val="0"/>
          <w:bCs w:val="0"/>
          <w:color w:val="1F1F1F"/>
          <w:shd w:val="clear" w:color="auto" w:fill="FFFFFF"/>
        </w:rPr>
        <w:t xml:space="preserve"> (see </w:t>
      </w:r>
      <w:r w:rsidR="007019D0">
        <w:rPr>
          <w:rStyle w:val="Strong"/>
          <w:b w:val="0"/>
          <w:bCs w:val="0"/>
          <w:color w:val="1F1F1F"/>
          <w:shd w:val="clear" w:color="auto" w:fill="FFFFFF"/>
        </w:rPr>
        <w:fldChar w:fldCharType="begin"/>
      </w:r>
      <w:r w:rsidR="00876B92">
        <w:rPr>
          <w:rStyle w:val="Strong"/>
          <w:b w:val="0"/>
          <w:bCs w:val="0"/>
          <w:color w:val="1F1F1F"/>
          <w:shd w:val="clear" w:color="auto" w:fill="FFFFFF"/>
        </w:rPr>
        <w:instrText xml:space="preserve"> ADDIN ZOTERO_ITEM CSL_CITATION {"citationID":"nFjs1ZEr","properties":{"formattedCitation":"(Vogels, 2021)","plainCitation":"(Vogels, 2021)","dontUpdate":true,"noteIndex":0},"citationItems":[{"id":2456,"uris":["http://zotero.org/users/9292995/items/73QNC5MZ"],"itemData":{"id":2456,"type":"report","title":"Digital divide persists even as Americans with lower incomes make gains in tech adoption","URL":"https://www.pewresearch.org/short-reads/2021/06/22/digital-divide-persists-even-as-americans-with-lower-incomes-make-gains-in-tech-adoption/","author":[{"family":"Vogels","given":"Emimly"}],"issued":{"date-parts":[["2021"]]}}}],"schema":"https://github.com/citation-style-language/schema/raw/master/csl-citation.json"} </w:instrText>
      </w:r>
      <w:r w:rsidR="007019D0">
        <w:rPr>
          <w:rStyle w:val="Strong"/>
          <w:b w:val="0"/>
          <w:bCs w:val="0"/>
          <w:color w:val="1F1F1F"/>
          <w:shd w:val="clear" w:color="auto" w:fill="FFFFFF"/>
        </w:rPr>
        <w:fldChar w:fldCharType="separate"/>
      </w:r>
      <w:r w:rsidR="007019D0" w:rsidRPr="007019D0">
        <w:t>Vogels, 2021</w:t>
      </w:r>
      <w:r w:rsidR="007019D0">
        <w:rPr>
          <w:rStyle w:val="Strong"/>
          <w:b w:val="0"/>
          <w:bCs w:val="0"/>
          <w:color w:val="1F1F1F"/>
          <w:shd w:val="clear" w:color="auto" w:fill="FFFFFF"/>
        </w:rPr>
        <w:fldChar w:fldCharType="end"/>
      </w:r>
      <w:bookmarkStart w:id="65" w:name="_Hlk166080486"/>
      <w:r w:rsidR="00A23169">
        <w:rPr>
          <w:rStyle w:val="Strong"/>
          <w:b w:val="0"/>
          <w:bCs w:val="0"/>
          <w:color w:val="1F1F1F"/>
          <w:shd w:val="clear" w:color="auto" w:fill="FFFFFF"/>
        </w:rPr>
        <w:fldChar w:fldCharType="begin"/>
      </w:r>
      <w:r w:rsidR="00876B92">
        <w:rPr>
          <w:rStyle w:val="Strong"/>
          <w:b w:val="0"/>
          <w:bCs w:val="0"/>
          <w:color w:val="1F1F1F"/>
          <w:shd w:val="clear" w:color="auto" w:fill="FFFFFF"/>
        </w:rPr>
        <w:instrText xml:space="preserve"> ADDIN ZOTERO_ITEM CSL_CITATION {"citationID":"MZn64FJC","properties":{"formattedCitation":"(Connected Nation, 2023)","plainCitation":"(Connected Nation, 2023)","dontUpdate":true,"noteIndex":0},"citationItems":[{"id":2457,"uris":["http://zotero.org/users/9292995/items/TFDMKPWV"],"itemData":{"id":2457,"type":"report","title":"Mind the Gap: Closing the Digital Divide through affordability, access, and adoption","URL":"connectednation.org/DigitalDivide2023","author":[{"literal":"Connected Nation"}],"issued":{"date-parts":[["2023"]]}}}],"schema":"https://github.com/citation-style-language/schema/raw/master/csl-citation.json"} </w:instrText>
      </w:r>
      <w:r w:rsidR="00A23169">
        <w:rPr>
          <w:rStyle w:val="Strong"/>
          <w:b w:val="0"/>
          <w:bCs w:val="0"/>
          <w:color w:val="1F1F1F"/>
          <w:shd w:val="clear" w:color="auto" w:fill="FFFFFF"/>
        </w:rPr>
        <w:fldChar w:fldCharType="separate"/>
      </w:r>
      <w:r w:rsidR="007019D0">
        <w:t xml:space="preserve">, and </w:t>
      </w:r>
      <w:r w:rsidR="007019D0" w:rsidRPr="007019D0">
        <w:t>Connected Nation, 2023)</w:t>
      </w:r>
      <w:r w:rsidR="00A23169">
        <w:rPr>
          <w:rStyle w:val="Strong"/>
          <w:b w:val="0"/>
          <w:bCs w:val="0"/>
          <w:color w:val="1F1F1F"/>
          <w:shd w:val="clear" w:color="auto" w:fill="FFFFFF"/>
        </w:rPr>
        <w:fldChar w:fldCharType="end"/>
      </w:r>
      <w:r w:rsidR="00910C0C">
        <w:rPr>
          <w:rStyle w:val="Strong"/>
          <w:b w:val="0"/>
          <w:bCs w:val="0"/>
          <w:color w:val="1F1F1F"/>
          <w:shd w:val="clear" w:color="auto" w:fill="FFFFFF"/>
        </w:rPr>
        <w:t>,</w:t>
      </w:r>
      <w:r w:rsidR="008520BA" w:rsidRPr="0006017E">
        <w:rPr>
          <w:rStyle w:val="Strong"/>
          <w:b w:val="0"/>
          <w:bCs w:val="0"/>
          <w:color w:val="1F1F1F"/>
          <w:shd w:val="clear" w:color="auto" w:fill="FFFFFF"/>
        </w:rPr>
        <w:t xml:space="preserve"> </w:t>
      </w:r>
      <w:bookmarkEnd w:id="64"/>
      <w:bookmarkEnd w:id="65"/>
      <w:r w:rsidR="008520BA" w:rsidRPr="0006017E">
        <w:rPr>
          <w:rStyle w:val="Strong"/>
          <w:b w:val="0"/>
          <w:bCs w:val="0"/>
          <w:color w:val="1F1F1F"/>
          <w:shd w:val="clear" w:color="auto" w:fill="FFFFFF"/>
        </w:rPr>
        <w:t>mak</w:t>
      </w:r>
      <w:r w:rsidR="00E54573">
        <w:rPr>
          <w:rStyle w:val="Strong"/>
          <w:b w:val="0"/>
          <w:bCs w:val="0"/>
          <w:color w:val="1F1F1F"/>
          <w:shd w:val="clear" w:color="auto" w:fill="FFFFFF"/>
        </w:rPr>
        <w:t>e</w:t>
      </w:r>
      <w:r w:rsidR="008520BA" w:rsidRPr="0006017E">
        <w:rPr>
          <w:rStyle w:val="Strong"/>
          <w:b w:val="0"/>
          <w:bCs w:val="0"/>
          <w:color w:val="1F1F1F"/>
          <w:shd w:val="clear" w:color="auto" w:fill="FFFFFF"/>
        </w:rPr>
        <w:t xml:space="preserve"> it difficult for low-income individuals to navigate and effectively use telemedicine platforms.</w:t>
      </w:r>
      <w:r w:rsidR="008520BA">
        <w:rPr>
          <w:rStyle w:val="Strong"/>
          <w:b w:val="0"/>
          <w:bCs w:val="0"/>
          <w:color w:val="1F1F1F"/>
          <w:shd w:val="clear" w:color="auto" w:fill="FFFFFF"/>
        </w:rPr>
        <w:t xml:space="preserve"> </w:t>
      </w:r>
      <w:r w:rsidR="008520BA" w:rsidRPr="00F93F8C">
        <w:rPr>
          <w:color w:val="0D0D0D"/>
          <w:shd w:val="clear" w:color="auto" w:fill="FFFFFF"/>
        </w:rPr>
        <w:t>Government healthcare initiatives</w:t>
      </w:r>
      <w:r w:rsidR="00727039">
        <w:rPr>
          <w:color w:val="0D0D0D"/>
          <w:shd w:val="clear" w:color="auto" w:fill="FFFFFF"/>
        </w:rPr>
        <w:t xml:space="preserve"> can </w:t>
      </w:r>
      <w:r w:rsidR="008520BA" w:rsidRPr="00F93F8C">
        <w:rPr>
          <w:color w:val="0D0D0D"/>
          <w:shd w:val="clear" w:color="auto" w:fill="FFFFFF"/>
        </w:rPr>
        <w:t>bridg</w:t>
      </w:r>
      <w:r w:rsidR="00727039">
        <w:rPr>
          <w:color w:val="0D0D0D"/>
          <w:shd w:val="clear" w:color="auto" w:fill="FFFFFF"/>
        </w:rPr>
        <w:t>e</w:t>
      </w:r>
      <w:r w:rsidR="008520BA" w:rsidRPr="00F93F8C">
        <w:rPr>
          <w:color w:val="0D0D0D"/>
          <w:shd w:val="clear" w:color="auto" w:fill="FFFFFF"/>
        </w:rPr>
        <w:t xml:space="preserve"> th</w:t>
      </w:r>
      <w:r w:rsidR="008520BA">
        <w:rPr>
          <w:color w:val="0D0D0D"/>
          <w:shd w:val="clear" w:color="auto" w:fill="FFFFFF"/>
        </w:rPr>
        <w:t>is</w:t>
      </w:r>
      <w:r w:rsidR="008520BA" w:rsidRPr="00F93F8C">
        <w:rPr>
          <w:color w:val="0D0D0D"/>
          <w:shd w:val="clear" w:color="auto" w:fill="FFFFFF"/>
        </w:rPr>
        <w:t xml:space="preserve"> digital divide by subsidizing internet access and devices for low-income households</w:t>
      </w:r>
      <w:r w:rsidR="00910C0C">
        <w:rPr>
          <w:color w:val="0D0D0D"/>
          <w:shd w:val="clear" w:color="auto" w:fill="FFFFFF"/>
        </w:rPr>
        <w:t>.</w:t>
      </w:r>
      <w:r w:rsidR="008520BA" w:rsidRPr="00F93F8C">
        <w:rPr>
          <w:color w:val="0D0D0D"/>
          <w:shd w:val="clear" w:color="auto" w:fill="FFFFFF"/>
        </w:rPr>
        <w:t xml:space="preserve"> Collaborative efforts </w:t>
      </w:r>
      <w:r w:rsidR="00727039">
        <w:rPr>
          <w:color w:val="0D0D0D"/>
          <w:shd w:val="clear" w:color="auto" w:fill="FFFFFF"/>
        </w:rPr>
        <w:t>among</w:t>
      </w:r>
      <w:r w:rsidR="008520BA" w:rsidRPr="00F93F8C">
        <w:rPr>
          <w:color w:val="0D0D0D"/>
          <w:shd w:val="clear" w:color="auto" w:fill="FFFFFF"/>
        </w:rPr>
        <w:t xml:space="preserve"> healthcare providers, technology companies, and non-profit organizations</w:t>
      </w:r>
      <w:r w:rsidR="00727039">
        <w:rPr>
          <w:color w:val="0D0D0D"/>
          <w:shd w:val="clear" w:color="auto" w:fill="FFFFFF"/>
        </w:rPr>
        <w:t xml:space="preserve"> </w:t>
      </w:r>
      <w:r w:rsidR="008520BA" w:rsidRPr="00F93F8C">
        <w:rPr>
          <w:color w:val="0D0D0D"/>
          <w:shd w:val="clear" w:color="auto" w:fill="FFFFFF"/>
        </w:rPr>
        <w:t>that provide loaner or subsidized smartphones or tablets pre-loaded with user-friendly telemedicine applications</w:t>
      </w:r>
      <w:r w:rsidR="00727039">
        <w:rPr>
          <w:color w:val="0D0D0D"/>
          <w:shd w:val="clear" w:color="auto" w:fill="FFFFFF"/>
        </w:rPr>
        <w:t xml:space="preserve"> may also help</w:t>
      </w:r>
      <w:r w:rsidR="008520BA" w:rsidRPr="00F93F8C">
        <w:rPr>
          <w:color w:val="0D0D0D"/>
          <w:shd w:val="clear" w:color="auto" w:fill="FFFFFF"/>
        </w:rPr>
        <w:t>.</w:t>
      </w:r>
      <w:r w:rsidR="008520BA">
        <w:rPr>
          <w:color w:val="0D0D0D"/>
          <w:shd w:val="clear" w:color="auto" w:fill="FFFFFF"/>
        </w:rPr>
        <w:t xml:space="preserve"> </w:t>
      </w:r>
      <w:r w:rsidR="00727039">
        <w:rPr>
          <w:color w:val="0D0D0D"/>
          <w:shd w:val="clear" w:color="auto" w:fill="FFFFFF"/>
        </w:rPr>
        <w:t>For instance, a</w:t>
      </w:r>
      <w:r w:rsidR="008520BA">
        <w:rPr>
          <w:color w:val="0D0D0D"/>
          <w:shd w:val="clear" w:color="auto" w:fill="FFFFFF"/>
        </w:rPr>
        <w:t>fter the onset of the pandemic, s</w:t>
      </w:r>
      <w:r w:rsidR="008520BA" w:rsidRPr="00F93F8C">
        <w:rPr>
          <w:color w:val="0D0D0D"/>
          <w:shd w:val="clear" w:color="auto" w:fill="FFFFFF"/>
        </w:rPr>
        <w:t>everal government programs, such as the Emergency Broadband Benefit (EBB), the federal Lifeline program, the Affordable Connectivity Program (ACP), and school initiatives, have emerged to offer free or heavily subsidized devices, tablets, phones, and data plans to low-income individuals and families</w:t>
      </w:r>
      <w:r w:rsidR="008520BA">
        <w:rPr>
          <w:color w:val="0D0D0D"/>
          <w:shd w:val="clear" w:color="auto" w:fill="FFFFFF"/>
        </w:rPr>
        <w:t xml:space="preserve"> </w:t>
      </w:r>
      <w:bookmarkStart w:id="66" w:name="_Hlk166080539"/>
      <w:r w:rsidR="008520BA">
        <w:rPr>
          <w:color w:val="0D0D0D"/>
          <w:shd w:val="clear" w:color="auto" w:fill="FFFFFF"/>
        </w:rPr>
        <w:fldChar w:fldCharType="begin"/>
      </w:r>
      <w:r w:rsidR="00876B92">
        <w:rPr>
          <w:color w:val="0D0D0D"/>
          <w:shd w:val="clear" w:color="auto" w:fill="FFFFFF"/>
        </w:rPr>
        <w:instrText xml:space="preserve"> ADDIN ZOTERO_ITEM CSL_CITATION {"citationID":"o41bex2M","properties":{"formattedCitation":"(Get Government Grants and Help, 2024; Rajan, 2024)","plainCitation":"(Get Government Grants and Help, 2024; Rajan, 2024)","dontUpdate":true,"noteIndex":0},"citationItems":[{"id":2443,"uris":["http://zotero.org/users/9292995/items/SYLI984Q"],"itemData":{"id":2443,"type":"post-weblog","title":"Free Government Tablet 2024 - Online  Application For Low Income","URL":"https://www.linkedin.com/pulse/free-government-tablet-2024-online-application-yvy4c/","author":[{"literal":"Get Government Grants and Help"}],"issued":{"date-parts":[["2024"]]}}},{"id":2442,"uris":["http://zotero.org/users/9292995/items/CQ3E2KLC"],"itemData":{"id":2442,"type":"post-weblog","title":"Free Tablets From Government: Eligibility, Programs, and Alternatives","URL":"https://www.linkedin.com/pulse/free-tablets-from-government-eligibility-programs-alternatives-x-foomc/","author":[{"family":"Rajan","given":"X"}],"issued":{"date-parts":[["2024"]]}}}],"schema":"https://github.com/citation-style-language/schema/raw/master/csl-citation.json"} </w:instrText>
      </w:r>
      <w:r w:rsidR="008520BA">
        <w:rPr>
          <w:color w:val="0D0D0D"/>
          <w:shd w:val="clear" w:color="auto" w:fill="FFFFFF"/>
        </w:rPr>
        <w:fldChar w:fldCharType="separate"/>
      </w:r>
      <w:r w:rsidR="008520BA" w:rsidRPr="00F93F8C">
        <w:t>(</w:t>
      </w:r>
      <w:r w:rsidR="007019D0">
        <w:t xml:space="preserve">see </w:t>
      </w:r>
      <w:r w:rsidR="008520BA" w:rsidRPr="00F93F8C">
        <w:t>Get Government Grants and Help, 2024</w:t>
      </w:r>
      <w:r w:rsidR="007019D0">
        <w:t>, and</w:t>
      </w:r>
      <w:r w:rsidR="008520BA" w:rsidRPr="00F93F8C">
        <w:t xml:space="preserve"> Rajan, 2024)</w:t>
      </w:r>
      <w:r w:rsidR="008520BA">
        <w:rPr>
          <w:color w:val="0D0D0D"/>
          <w:shd w:val="clear" w:color="auto" w:fill="FFFFFF"/>
        </w:rPr>
        <w:fldChar w:fldCharType="end"/>
      </w:r>
      <w:r w:rsidR="008520BA" w:rsidRPr="00F93F8C">
        <w:rPr>
          <w:color w:val="0D0D0D"/>
          <w:shd w:val="clear" w:color="auto" w:fill="FFFFFF"/>
        </w:rPr>
        <w:t xml:space="preserve">. </w:t>
      </w:r>
      <w:bookmarkEnd w:id="66"/>
      <w:r w:rsidR="008520BA">
        <w:rPr>
          <w:color w:val="0D0D0D"/>
          <w:shd w:val="clear" w:color="auto" w:fill="FFFFFF"/>
        </w:rPr>
        <w:t>Some l</w:t>
      </w:r>
      <w:r w:rsidR="008520BA" w:rsidRPr="00F93F8C">
        <w:rPr>
          <w:color w:val="0D0D0D"/>
          <w:shd w:val="clear" w:color="auto" w:fill="FFFFFF"/>
        </w:rPr>
        <w:t>ocal housing authorities, nonprofits, and libraries</w:t>
      </w:r>
      <w:r w:rsidR="008520BA">
        <w:rPr>
          <w:color w:val="0D0D0D"/>
          <w:shd w:val="clear" w:color="auto" w:fill="FFFFFF"/>
        </w:rPr>
        <w:t xml:space="preserve"> </w:t>
      </w:r>
      <w:r w:rsidR="008520BA" w:rsidRPr="00F93F8C">
        <w:rPr>
          <w:color w:val="0D0D0D"/>
          <w:shd w:val="clear" w:color="auto" w:fill="FFFFFF"/>
        </w:rPr>
        <w:t xml:space="preserve">have </w:t>
      </w:r>
      <w:r w:rsidR="008520BA">
        <w:rPr>
          <w:color w:val="0D0D0D"/>
          <w:shd w:val="clear" w:color="auto" w:fill="FFFFFF"/>
        </w:rPr>
        <w:lastRenderedPageBreak/>
        <w:t xml:space="preserve">also started </w:t>
      </w:r>
      <w:r w:rsidR="008520BA" w:rsidRPr="00F93F8C">
        <w:rPr>
          <w:color w:val="0D0D0D"/>
          <w:shd w:val="clear" w:color="auto" w:fill="FFFFFF"/>
        </w:rPr>
        <w:t>technology assistance programs distributing free refurbished devices.</w:t>
      </w:r>
      <w:r w:rsidR="008520BA" w:rsidRPr="00F93F8C">
        <w:t xml:space="preserve"> </w:t>
      </w:r>
      <w:r w:rsidR="008520BA" w:rsidRPr="00F93F8C">
        <w:rPr>
          <w:color w:val="0D0D0D"/>
          <w:shd w:val="clear" w:color="auto" w:fill="FFFFFF"/>
        </w:rPr>
        <w:t xml:space="preserve">Additionally, </w:t>
      </w:r>
      <w:r w:rsidR="00E54573">
        <w:rPr>
          <w:color w:val="0D0D0D"/>
          <w:shd w:val="clear" w:color="auto" w:fill="FFFFFF"/>
        </w:rPr>
        <w:t xml:space="preserve">as with older individuals, </w:t>
      </w:r>
      <w:r w:rsidR="008520BA" w:rsidRPr="00F93F8C">
        <w:rPr>
          <w:color w:val="0D0D0D"/>
          <w:shd w:val="clear" w:color="auto" w:fill="FFFFFF"/>
        </w:rPr>
        <w:t xml:space="preserve">providing free digital literacy training programs </w:t>
      </w:r>
      <w:r w:rsidR="00727039">
        <w:rPr>
          <w:color w:val="0D0D0D"/>
          <w:shd w:val="clear" w:color="auto" w:fill="FFFFFF"/>
        </w:rPr>
        <w:t xml:space="preserve">can help impart </w:t>
      </w:r>
      <w:r w:rsidR="008520BA" w:rsidRPr="00F93F8C">
        <w:rPr>
          <w:color w:val="0D0D0D"/>
          <w:shd w:val="clear" w:color="auto" w:fill="FFFFFF"/>
        </w:rPr>
        <w:t xml:space="preserve">essential skills to navigate telemedicine platforms, understand privacy and security features, and effectively communicate with healthcare providers virtually. </w:t>
      </w:r>
    </w:p>
    <w:p w14:paraId="64F8A3E9" w14:textId="2882E68A" w:rsidR="0006017E" w:rsidRDefault="0091517C" w:rsidP="009D0CA2">
      <w:pPr>
        <w:spacing w:after="0" w:line="240" w:lineRule="auto"/>
        <w:ind w:firstLine="720"/>
        <w:jc w:val="both"/>
      </w:pPr>
      <w:bookmarkStart w:id="67" w:name="_Hlk178864396"/>
      <w:r>
        <w:rPr>
          <w:rStyle w:val="Strong"/>
          <w:b w:val="0"/>
          <w:bCs w:val="0"/>
          <w:color w:val="1F1F1F"/>
          <w:shd w:val="clear" w:color="auto" w:fill="FFFFFF"/>
        </w:rPr>
        <w:t xml:space="preserve">The implications </w:t>
      </w:r>
      <w:r w:rsidR="007019D0">
        <w:rPr>
          <w:rStyle w:val="Strong"/>
          <w:b w:val="0"/>
          <w:bCs w:val="0"/>
          <w:color w:val="1F1F1F"/>
          <w:shd w:val="clear" w:color="auto" w:fill="FFFFFF"/>
        </w:rPr>
        <w:t>of</w:t>
      </w:r>
      <w:r>
        <w:rPr>
          <w:rStyle w:val="Strong"/>
          <w:b w:val="0"/>
          <w:bCs w:val="0"/>
          <w:color w:val="1F1F1F"/>
          <w:shd w:val="clear" w:color="auto" w:fill="FFFFFF"/>
        </w:rPr>
        <w:t xml:space="preserve"> the employment-related ATEs in </w:t>
      </w:r>
      <w:r w:rsidR="0069340B">
        <w:fldChar w:fldCharType="begin"/>
      </w:r>
      <w:r w:rsidR="0069340B">
        <w:instrText xml:space="preserve"> REF _Ref178945258 \h </w:instrText>
      </w:r>
      <w:r w:rsidR="0069340B">
        <w:fldChar w:fldCharType="separate"/>
      </w:r>
      <w:r w:rsidR="008A3DCE">
        <w:t xml:space="preserve">Table </w:t>
      </w:r>
      <w:r w:rsidR="008A3DCE">
        <w:rPr>
          <w:noProof/>
        </w:rPr>
        <w:t>9</w:t>
      </w:r>
      <w:r w:rsidR="0069340B">
        <w:fldChar w:fldCharType="end"/>
      </w:r>
      <w:r w:rsidR="007019D0">
        <w:rPr>
          <w:rStyle w:val="Strong"/>
          <w:b w:val="0"/>
          <w:bCs w:val="0"/>
          <w:color w:val="1F1F1F"/>
          <w:shd w:val="clear" w:color="auto" w:fill="FFFFFF"/>
        </w:rPr>
        <w:t xml:space="preserve"> </w:t>
      </w:r>
      <w:r>
        <w:rPr>
          <w:rStyle w:val="Strong"/>
          <w:b w:val="0"/>
          <w:bCs w:val="0"/>
          <w:color w:val="1F1F1F"/>
          <w:shd w:val="clear" w:color="auto" w:fill="FFFFFF"/>
        </w:rPr>
        <w:t xml:space="preserve">are discussed in the next section. </w:t>
      </w:r>
      <w:bookmarkStart w:id="68" w:name="_Hlk178868316"/>
      <w:bookmarkStart w:id="69" w:name="_Hlk178868476"/>
      <w:bookmarkStart w:id="70" w:name="_Hlk178868518"/>
      <w:r w:rsidR="00251B13" w:rsidRPr="007E3CCA">
        <w:rPr>
          <w:rStyle w:val="Strong"/>
          <w:b w:val="0"/>
          <w:bCs w:val="0"/>
          <w:color w:val="1F1F1F"/>
          <w:shd w:val="clear" w:color="auto" w:fill="FFFFFF"/>
        </w:rPr>
        <w:t>In terms of residential location</w:t>
      </w:r>
      <w:r w:rsidR="00251B13" w:rsidRPr="007E3CCA">
        <w:rPr>
          <w:b/>
          <w:bCs/>
        </w:rPr>
        <w:t xml:space="preserve">, </w:t>
      </w:r>
      <w:r w:rsidR="00251B13" w:rsidRPr="003A79C8">
        <w:t>our</w:t>
      </w:r>
      <w:r w:rsidR="00251B13" w:rsidRPr="007E3CCA">
        <w:t xml:space="preserve"> findings demonstrate the significant impact of transportation accessibility and infrastructure on the adoption of telemedicine. Previous studies have established that an individual's place of residence plays a crucial role in determining their access to healthcare, affecting the frequency and quality of medical care </w:t>
      </w:r>
      <w:bookmarkStart w:id="71" w:name="_Hlk179634039"/>
      <w:r w:rsidR="00251B13" w:rsidRPr="007E3CCA">
        <w:t>received</w:t>
      </w:r>
      <w:r w:rsidR="00251B13">
        <w:t xml:space="preserve"> </w:t>
      </w:r>
      <w:r w:rsidR="00251B13">
        <w:fldChar w:fldCharType="begin"/>
      </w:r>
      <w:r w:rsidR="00251B13">
        <w:instrText xml:space="preserve"> ADDIN ZOTERO_ITEM CSL_CITATION {"citationID":"yblPvb6C","properties":{"formattedCitation":"(Estrada et al., 2022)","plainCitation":"(Estrada et al., 2022)","noteIndex":0},"citationItems":[{"id":2444,"uris":["http://zotero.org/users/9292995/items/EDH5M22D"],"itemData":{"id":2444,"type":"article-journal","abstract":"Background:\nPlace is a social determinant of health, as recently evidenced by COVID-19. Previous literature surrounding health disparities in the United States often fails to acknowledge the role of structural racism on place-based health disparities for historically marginalized communities (i.e., Black and African American communities, Hispanic/Latinx communities, Indigenous communities [i.e., First Nations, Native American, Alaskan Native, and Native Hawaiian], and Pacific Islanders). This narrative review summarizes the intersection between structural racism and place as contributors to COVID-19 health disparities.\n\nMethods:\nThis narrative review accounts for the unique place-based health care experiences influenced by structural racism, including health systems and services and physical environment. We searched online databases for peer-reviewed and governmental sources, published in English between 2000 and 2021, related to place-based U.S. health inequities in historically marginalized communities. We then narrate the link between the historical trajectory of structural racism and current COVID-19 health outcomes for historically marginalized communities.\n\nResults:\nStructural racism has infrequently been named as a contributor to place as a social determinant of health. This narrative review details how place is intricately intertwined with the results of structural racism, focusing on one's access to health systems and services and physical environment, including the outdoor air and drinking water. The role of place, health disparities, and structural racism has been starkly displayed during the COVID-19 pandemic, where historically marginalized communities have been subject to greater rates of COVID-19 incidence and mortality.\n\nConclusion:\nAs COVID-19 becomes endemic, it is crucial to understand how place-based inequities and structural racism contributed to the COVID-19 racial disparities in incidence and mortality. Addressing structurally racist place-based health inequities through anti-racist policy strategies is one way to move the United States toward achieving health equity.","container-title":"Health Equity","DOI":"10.1089/heq.2021.0190","ISSN":"2473-1242","issue":"1","journalAbbreviation":"Health Equity","note":"PMID: 35651360\nPMCID: PMC9148659","page":"356-366","source":"PubMed Central","title":"Structural Racism, Place, and COVID-19: A Narrative Review Describing How We Prepare for an Endemic COVID-19 Future","title-short":"Structural Racism, Place, and COVID-19","volume":"6","author":[{"family":"Estrada","given":"Leah V."},{"family":"Levasseur","given":"Jessica L."},{"family":"Maxim","given":"Alexandra"},{"family":"Benavidez","given":"Gabriel A."},{"family":"Pollack Porter","given":"Keshia M."}],"issued":{"date-parts":[["2022",5,12]]}}}],"schema":"https://github.com/citation-style-language/schema/raw/master/csl-citation.json"} </w:instrText>
      </w:r>
      <w:r w:rsidR="00251B13">
        <w:fldChar w:fldCharType="separate"/>
      </w:r>
      <w:r w:rsidR="00251B13" w:rsidRPr="003A79C8">
        <w:t>(Estrada et al., 2022)</w:t>
      </w:r>
      <w:r w:rsidR="00251B13">
        <w:fldChar w:fldCharType="end"/>
      </w:r>
      <w:r w:rsidR="00251B13" w:rsidRPr="007E3CCA">
        <w:t xml:space="preserve">. </w:t>
      </w:r>
      <w:bookmarkEnd w:id="71"/>
      <w:r w:rsidR="00251B13" w:rsidRPr="007E3CCA">
        <w:t>Given this context, our findings indicate that telemedicine serves as a critical tool in addressing healthcare accessibility disparities based on location.</w:t>
      </w:r>
      <w:r w:rsidR="00251B13">
        <w:t xml:space="preserve"> </w:t>
      </w:r>
      <w:r w:rsidR="00251B13" w:rsidRPr="007E3CCA">
        <w:t xml:space="preserve">Prior to the COVID-19 pandemic, when telemedicine was not widely utilized, the attributes of residential locations did not significantly influence telemedicine adoption decisions, as illustrated in </w:t>
      </w:r>
      <w:r w:rsidR="0069340B">
        <w:fldChar w:fldCharType="begin"/>
      </w:r>
      <w:r w:rsidR="0069340B">
        <w:instrText xml:space="preserve"> REF _Ref178945050 \h </w:instrText>
      </w:r>
      <w:r w:rsidR="0069340B">
        <w:fldChar w:fldCharType="separate"/>
      </w:r>
      <w:r w:rsidR="008A3DCE">
        <w:t xml:space="preserve">Table </w:t>
      </w:r>
      <w:r w:rsidR="008A3DCE">
        <w:rPr>
          <w:noProof/>
        </w:rPr>
        <w:t>4</w:t>
      </w:r>
      <w:r w:rsidR="0069340B">
        <w:fldChar w:fldCharType="end"/>
      </w:r>
      <w:r w:rsidR="00251B13" w:rsidRPr="007E3CCA">
        <w:t>. This may have led to lower overall healthcare utilization in areas with limited access. However, the post-pandemic landscape reveals a different narrative, suggesting a lasting shift in healthcare access patterns. Specifically, following the COVID-19 outbreak, we observe significantly higher telemedicine adoption rates in areas with limited access to in-person medical services, as indicated by a lower number of physicians' offices in the zip code, and in areas with low population density, with adoption rates increasing by 15.1% and 11.3% respectively.</w:t>
      </w:r>
      <w:r w:rsidR="00251B13">
        <w:t xml:space="preserve"> </w:t>
      </w:r>
      <w:r w:rsidR="00251B13" w:rsidRPr="007E3CCA">
        <w:t xml:space="preserve">These findings </w:t>
      </w:r>
      <w:r w:rsidR="00251B13">
        <w:t xml:space="preserve">highlight </w:t>
      </w:r>
      <w:r w:rsidR="00251B13" w:rsidRPr="007E3CCA">
        <w:t xml:space="preserve">the potential of telemedicine in bridging healthcare accessibility gaps, particularly in </w:t>
      </w:r>
      <w:r w:rsidR="008850E4">
        <w:t>“</w:t>
      </w:r>
      <w:r w:rsidR="00251B13" w:rsidRPr="007E3CCA">
        <w:t>medical service deserts</w:t>
      </w:r>
      <w:r w:rsidR="008850E4">
        <w:t>”</w:t>
      </w:r>
      <w:r w:rsidR="00251B13" w:rsidRPr="007E3CCA">
        <w:t xml:space="preserve"> (MSDs)</w:t>
      </w:r>
      <w:r w:rsidR="008850E4">
        <w:t>,</w:t>
      </w:r>
      <w:r w:rsidR="00251B13">
        <w:t xml:space="preserve"> which are typically</w:t>
      </w:r>
      <w:r w:rsidR="00251B13" w:rsidRPr="007E3CCA">
        <w:t xml:space="preserve"> characterized by limited transportation infrastructure or inadequate public transit options. Our results from the reasons for using telemedicine </w:t>
      </w:r>
      <w:r w:rsidR="00251B13">
        <w:t xml:space="preserve">further </w:t>
      </w:r>
      <w:r w:rsidR="00251B13" w:rsidRPr="007E3CCA">
        <w:t>support this interpretation, indicating that individuals in areas with limited access are 7.3% more likely to cite using telemedicine to overcome difficulties in in-person accessibility (DIPA). This emphasizes the role of telemedicine in mitigating transportation-related healthcare barriers, especially in rural areas where long travel distances and lack of reliable transportation can significantly impede healthcare access</w:t>
      </w:r>
      <w:r w:rsidR="00251B13">
        <w:t xml:space="preserve"> </w:t>
      </w:r>
      <w:bookmarkStart w:id="72" w:name="_Hlk178947761"/>
      <w:r w:rsidR="00251B13">
        <w:fldChar w:fldCharType="begin"/>
      </w:r>
      <w:r w:rsidR="00251B13">
        <w:instrText xml:space="preserve"> ADDIN ZOTERO_ITEM CSL_CITATION {"citationID":"G6iYPRSZ","properties":{"formattedCitation":"(Douthit et al., 2015)","plainCitation":"(Douthit et al., 2015)","noteIndex":0},"citationItems":[{"id":2687,"uris":["http://zotero.org/users/9292995/items/93MF4QRL"],"itemData":{"id":2687,"type":"article-journal","abstract":"Objectives\nTo review research published before and after the passage of the Patient Protection and Affordable Care Act (2010) examining barriers in seeking or accessing health care in rural populations in the USA.\nStudy design\nThis literature review was based on a comprehensive search for all literature researching rural health care provision and access in the USA.\nMethods\nPubmed, Proquest Allied Nursing and Health Literature, National Rural Health Association (NRHA) Resource Center and Google Scholar databases were searched using the Medical Subject Headings (MeSH) ‘Rural Health Services’ and ‘Rural Health.’ MeSH subtitle headings used were ‘USA,’ ‘utilization,’ ‘trends’ and ‘supply and distribution.’ Keywords added to the search parameters were ‘access,’ ‘rural’ and ‘health care.’ Searches in Google Scholar employed the phrases ‘health care disparities in the USA,’ inequalities in ‘health care in the USA,’ ‘health care in rural USA’ and ‘access to health care in rural USA.’ After eliminating non-relevant articles, 34 articles were included.\nResults\nSignificant differences in health care access between rural and urban areas exist. Reluctance to seek health care in rural areas was based on cultural and financial constraints, often compounded by a scarcity of services, a lack of trained physicians, insufficient public transport, and poor availability of broadband internet services. Rural residents were found to have poorer health, with rural areas having difficulty in attracting and retaining physicians, and maintaining health services on a par with their urban counterparts.\nConclusions\nRural and urban health care disparities require an ongoing program of reform with the aim to improve the provision of services, promote recruitment, training and career development of rural health care professionals, increase comprehensive health insurance coverage and engage rural residents and healthcare providers in health promotion.","container-title":"Public Health","DOI":"10.1016/j.puhe.2015.04.001","ISSN":"0033-3506","issue":"6","journalAbbreviation":"Public Health","page":"611-620","source":"ScienceDirect","title":"Exposing some important barriers to health care access in the rural USA","volume":"129","author":[{"family":"Douthit","given":"N."},{"family":"Kiv","given":"S."},{"family":"Dwolatzky","given":"T."},{"family":"Biswas","given":"S."}],"issued":{"date-parts":[["2015",6,1]]}}}],"schema":"https://github.com/citation-style-language/schema/raw/master/csl-citation.json"} </w:instrText>
      </w:r>
      <w:r w:rsidR="00251B13">
        <w:fldChar w:fldCharType="separate"/>
      </w:r>
      <w:r w:rsidR="00251B13" w:rsidRPr="003A79C8">
        <w:t>(Douthit et al., 2015)</w:t>
      </w:r>
      <w:r w:rsidR="00251B13">
        <w:fldChar w:fldCharType="end"/>
      </w:r>
      <w:bookmarkEnd w:id="72"/>
      <w:r w:rsidR="00251B13">
        <w:t xml:space="preserve">. </w:t>
      </w:r>
      <w:r w:rsidR="00251B13" w:rsidRPr="007E3CCA">
        <w:t xml:space="preserve">Moreover, our findings suggest that for people in MSDs, telemedicine is not merely a temporary solution but a preferred mode of healthcare delivery. The results indicate that individuals in these areas </w:t>
      </w:r>
      <w:r w:rsidR="00251B13">
        <w:t xml:space="preserve">also </w:t>
      </w:r>
      <w:r w:rsidR="00251B13" w:rsidRPr="007E3CCA">
        <w:t>show a stronger preference for telemedicine privacy (TP) and have lower concerns about in-person convenience (IPC). Th</w:t>
      </w:r>
      <w:r w:rsidR="00783171">
        <w:t>e</w:t>
      </w:r>
      <w:r w:rsidR="00251B13" w:rsidRPr="007E3CCA">
        <w:t>s</w:t>
      </w:r>
      <w:r w:rsidR="00783171">
        <w:t>e</w:t>
      </w:r>
      <w:r w:rsidR="00251B13" w:rsidRPr="007E3CCA">
        <w:t xml:space="preserve"> preference</w:t>
      </w:r>
      <w:r w:rsidR="00783171">
        <w:t>s</w:t>
      </w:r>
      <w:r w:rsidR="00251B13" w:rsidRPr="007E3CCA">
        <w:t xml:space="preserve"> indicate a potential long-term shift in healthcare delivery models, particularly in underserved areas.</w:t>
      </w:r>
      <w:r w:rsidR="00251B13">
        <w:t xml:space="preserve"> </w:t>
      </w:r>
      <w:r w:rsidR="00251B13" w:rsidRPr="007E3CCA">
        <w:t>However, it is important to note that the effectiveness of telemedicine in areas with limited accessibility is dependent on robust digital infrastructure. As telemedicine increasingly serves as a vital lifeline for patients in MSDs, the need for reliable high-speed internet becomes paramount.</w:t>
      </w:r>
      <w:r w:rsidR="00251B13">
        <w:t xml:space="preserve"> </w:t>
      </w:r>
      <w:r w:rsidR="00251B13" w:rsidRPr="007E3CCA">
        <w:rPr>
          <w:rFonts w:eastAsia="Times New Roman"/>
        </w:rPr>
        <w:t xml:space="preserve">Additionally, as </w:t>
      </w:r>
      <w:bookmarkStart w:id="73" w:name="_Hlk178947765"/>
      <w:bookmarkStart w:id="74" w:name="_Hlk179634145"/>
      <w:r w:rsidR="00251B13">
        <w:fldChar w:fldCharType="begin"/>
      </w:r>
      <w:r w:rsidR="00651AAB">
        <w:instrText xml:space="preserve"> ADDIN ZOTERO_ITEM CSL_CITATION {"citationID":"xNql9Jip","properties":{"formattedCitation":"(K. L. Chen et al., 2021)","plainCitation":"(K. L. Chen et al., 2021)","noteIndex":0},"citationItems":[{"id":2689,"uris":["http://zotero.org/users/9292995/items/IJ7JC7D5"],"itemData":{"id":2689,"type":"article-journal","abstract":"The Coronavirus disease 19 (COVID-19) pandemic has disrupted both transportation and health systems. While about 40% of Americans have delayed seeking medical care during the pandemic, it remains unclear to what extent transportation is contributing to missed care. To understand the relationship between transportation and unmet health care needs during the pandemic, this paper synthesizes existing knowledge on transportation patterns and barriers across five types of health care needs. While the literature is limited by the absence of detailed data for trips to health care, key themes emerged across populations and settings. We find that some patients, many of whom already experience transportation disadvantage, likely need extra support during the pandemic to overcome new travel barriers related to changes in public transit or the inability to rely on others for rides. Telemedicine is working as a partial substitute for some visits but cannot fulfill all health care needs, especially for vulnerable groups. Structural inequality during the pandemic has likely compounded health care access barriers for low-income individuals and people of color, who face not only disproportionate health risks, but also greater difficulty in transportation access and heightened economic hardship due to COVID-19. Partnerships between health and transportation systems hold promise for jointly addressing disparities in health- and transportation-related challenges but are largely limited to Medicaid-enrolled patients. Our findings suggest that transportation and health care providers should look for additional strategies to ensure that transportation access is not a reason for delayed medical care during and after the COVID-19 pandemic.","container-title":"Transportation Research Interdisciplinary Perspectives","DOI":"10.1016/j.trip.2021.100338","ISSN":"2590-1982","journalAbbreviation":"Transportation Research Interdisciplinary Perspectives","page":"100338","source":"ScienceDirect","title":"How is the COVID-19 pandemic shaping transportation access to health care?","volume":"10","author":[{"family":"Chen","given":"Katherine L."},{"family":"Brozen","given":"Madeline"},{"family":"Rollman","given":"Jeffrey E."},{"family":"Ward","given":"Tayler"},{"family":"Norris","given":"Keith C."},{"family":"Gregory","given":"Kimberly D."},{"family":"Zimmerman","given":"Frederick J."}],"issued":{"date-parts":[["2021",6,1]]}}}],"schema":"https://github.com/citation-style-language/schema/raw/master/csl-citation.json"} </w:instrText>
      </w:r>
      <w:r w:rsidR="00251B13">
        <w:fldChar w:fldCharType="separate"/>
      </w:r>
      <w:r w:rsidR="00651AAB" w:rsidRPr="00651AAB">
        <w:t xml:space="preserve">Chen et al. </w:t>
      </w:r>
      <w:r w:rsidR="00651AAB">
        <w:t>(</w:t>
      </w:r>
      <w:r w:rsidR="00651AAB" w:rsidRPr="00651AAB">
        <w:t>2021)</w:t>
      </w:r>
      <w:r w:rsidR="00251B13">
        <w:fldChar w:fldCharType="end"/>
      </w:r>
      <w:bookmarkEnd w:id="73"/>
      <w:r w:rsidR="008850E4">
        <w:t xml:space="preserve"> </w:t>
      </w:r>
      <w:bookmarkEnd w:id="74"/>
      <w:r w:rsidR="008850E4">
        <w:t>emphasized</w:t>
      </w:r>
      <w:r w:rsidR="00251B13" w:rsidRPr="007E3CCA">
        <w:rPr>
          <w:rFonts w:eastAsia="Times New Roman"/>
        </w:rPr>
        <w:t xml:space="preserve">, although telemedicine has made remarkable strides in bridging healthcare </w:t>
      </w:r>
      <w:r w:rsidR="00251B13">
        <w:rPr>
          <w:rFonts w:eastAsia="Times New Roman"/>
        </w:rPr>
        <w:t xml:space="preserve">accessibility </w:t>
      </w:r>
      <w:r w:rsidR="00251B13" w:rsidRPr="007E3CCA">
        <w:rPr>
          <w:rFonts w:eastAsia="Times New Roman"/>
        </w:rPr>
        <w:t xml:space="preserve">gaps, it cannot meet all healthcare needs. </w:t>
      </w:r>
      <w:r w:rsidR="008850E4" w:rsidRPr="008850E4">
        <w:rPr>
          <w:rFonts w:eastAsia="Times New Roman"/>
        </w:rPr>
        <w:t>Thus, transportation and healthcare providers must continue exploring strategies to guarantee that lack of transportation does not hinder timely medical care for individuals facing transportation challenges</w:t>
      </w:r>
      <w:r w:rsidR="008850E4">
        <w:rPr>
          <w:rFonts w:eastAsia="Times New Roman"/>
        </w:rPr>
        <w:t>.</w:t>
      </w:r>
      <w:bookmarkEnd w:id="68"/>
      <w:bookmarkEnd w:id="69"/>
      <w:bookmarkEnd w:id="70"/>
    </w:p>
    <w:bookmarkEnd w:id="67"/>
    <w:p w14:paraId="30109EA4" w14:textId="77777777" w:rsidR="007019D0" w:rsidRPr="0060250B" w:rsidRDefault="007019D0" w:rsidP="009D0CA2">
      <w:pPr>
        <w:spacing w:after="0" w:line="240" w:lineRule="auto"/>
        <w:ind w:firstLine="720"/>
        <w:jc w:val="both"/>
        <w:rPr>
          <w:color w:val="1F1F1F"/>
          <w:shd w:val="clear" w:color="auto" w:fill="FFFFFF"/>
        </w:rPr>
      </w:pPr>
    </w:p>
    <w:p w14:paraId="18A32D82" w14:textId="32228761" w:rsidR="00CC12E5" w:rsidRPr="000A6691" w:rsidRDefault="00CC12E5" w:rsidP="009D0CA2">
      <w:pPr>
        <w:pStyle w:val="Heading2"/>
        <w:spacing w:after="0" w:line="240" w:lineRule="auto"/>
        <w:contextualSpacing w:val="0"/>
        <w:rPr>
          <w:shd w:val="clear" w:color="auto" w:fill="FFFFFF"/>
        </w:rPr>
      </w:pPr>
      <w:r w:rsidRPr="000A6691">
        <w:rPr>
          <w:shd w:val="clear" w:color="auto" w:fill="FFFFFF"/>
        </w:rPr>
        <w:t xml:space="preserve">Telemedicine </w:t>
      </w:r>
      <w:r w:rsidRPr="00A85BF6">
        <w:t>Integration</w:t>
      </w:r>
      <w:r>
        <w:rPr>
          <w:shd w:val="clear" w:color="auto" w:fill="FFFFFF"/>
        </w:rPr>
        <w:t xml:space="preserve"> in the Workplace</w:t>
      </w:r>
    </w:p>
    <w:p w14:paraId="4E00F5FD" w14:textId="20564F67" w:rsidR="00F93F8C" w:rsidRDefault="00F93F8C" w:rsidP="006F3050">
      <w:pPr>
        <w:spacing w:after="0" w:line="240" w:lineRule="auto"/>
        <w:jc w:val="both"/>
        <w:rPr>
          <w:color w:val="0D0D0D"/>
          <w:shd w:val="clear" w:color="auto" w:fill="FFFFFF"/>
        </w:rPr>
      </w:pPr>
      <w:r w:rsidRPr="00F93F8C">
        <w:rPr>
          <w:color w:val="0D0D0D"/>
          <w:shd w:val="clear" w:color="auto" w:fill="FFFFFF"/>
        </w:rPr>
        <w:t xml:space="preserve">The ATE analysis highlights the contrasting </w:t>
      </w:r>
      <w:r w:rsidR="00BA5CD3">
        <w:rPr>
          <w:color w:val="0D0D0D"/>
          <w:shd w:val="clear" w:color="auto" w:fill="FFFFFF"/>
        </w:rPr>
        <w:t xml:space="preserve">telemedicine-related </w:t>
      </w:r>
      <w:r w:rsidRPr="00F93F8C">
        <w:rPr>
          <w:color w:val="0D0D0D"/>
          <w:shd w:val="clear" w:color="auto" w:fill="FFFFFF"/>
        </w:rPr>
        <w:t xml:space="preserve">behaviors </w:t>
      </w:r>
      <w:r w:rsidR="00BA5CD3">
        <w:rPr>
          <w:color w:val="0D0D0D"/>
          <w:shd w:val="clear" w:color="auto" w:fill="FFFFFF"/>
        </w:rPr>
        <w:t xml:space="preserve">and perceptions </w:t>
      </w:r>
      <w:r w:rsidRPr="00F93F8C">
        <w:rPr>
          <w:color w:val="0D0D0D"/>
          <w:shd w:val="clear" w:color="auto" w:fill="FFFFFF"/>
        </w:rPr>
        <w:t>between individuals employed in traditional in-person work settings and those engaged in teleworking arrangements. Furthermore, the results differentiate between existing telework arrangements and the personality trait of enjoying working from home.</w:t>
      </w:r>
      <w:r>
        <w:rPr>
          <w:color w:val="0D0D0D"/>
          <w:shd w:val="clear" w:color="auto" w:fill="FFFFFF"/>
        </w:rPr>
        <w:t xml:space="preserve"> T</w:t>
      </w:r>
      <w:r w:rsidR="00CC12E5">
        <w:rPr>
          <w:color w:val="0D0D0D"/>
          <w:shd w:val="clear" w:color="auto" w:fill="FFFFFF"/>
        </w:rPr>
        <w:t xml:space="preserve">he </w:t>
      </w:r>
      <w:r w:rsidR="00AE5609">
        <w:rPr>
          <w:color w:val="0D0D0D"/>
          <w:shd w:val="clear" w:color="auto" w:fill="FFFFFF"/>
        </w:rPr>
        <w:t>ATE analysis</w:t>
      </w:r>
      <w:r w:rsidR="00AE5609" w:rsidRPr="000A6691">
        <w:rPr>
          <w:color w:val="0D0D0D"/>
          <w:shd w:val="clear" w:color="auto" w:fill="FFFFFF"/>
        </w:rPr>
        <w:t xml:space="preserve"> </w:t>
      </w:r>
      <w:r w:rsidR="00CC12E5" w:rsidRPr="000A6691">
        <w:rPr>
          <w:color w:val="0D0D0D"/>
          <w:shd w:val="clear" w:color="auto" w:fill="FFFFFF"/>
        </w:rPr>
        <w:t>demonstrate</w:t>
      </w:r>
      <w:r w:rsidR="00AE5609">
        <w:rPr>
          <w:color w:val="0D0D0D"/>
          <w:shd w:val="clear" w:color="auto" w:fill="FFFFFF"/>
        </w:rPr>
        <w:t>s</w:t>
      </w:r>
      <w:r w:rsidR="00CC12E5" w:rsidRPr="000A6691">
        <w:rPr>
          <w:color w:val="0D0D0D"/>
          <w:shd w:val="clear" w:color="auto" w:fill="FFFFFF"/>
        </w:rPr>
        <w:t xml:space="preserve"> a </w:t>
      </w:r>
      <w:r w:rsidR="00CC12E5">
        <w:rPr>
          <w:color w:val="0D0D0D"/>
          <w:shd w:val="clear" w:color="auto" w:fill="FFFFFF"/>
        </w:rPr>
        <w:t>substantial</w:t>
      </w:r>
      <w:r w:rsidR="00CC12E5" w:rsidRPr="000A6691">
        <w:rPr>
          <w:color w:val="0D0D0D"/>
          <w:shd w:val="clear" w:color="auto" w:fill="FFFFFF"/>
        </w:rPr>
        <w:t xml:space="preserve"> positive adoption effect (</w:t>
      </w:r>
      <w:r w:rsidR="00186644">
        <w:rPr>
          <w:color w:val="0D0D0D"/>
          <w:shd w:val="clear" w:color="auto" w:fill="FFFFFF"/>
        </w:rPr>
        <w:t xml:space="preserve">ATE of </w:t>
      </w:r>
      <w:r w:rsidR="008D4083">
        <w:rPr>
          <w:color w:val="0D0D0D"/>
          <w:shd w:val="clear" w:color="auto" w:fill="FFFFFF"/>
        </w:rPr>
        <w:t>18</w:t>
      </w:r>
      <w:r>
        <w:rPr>
          <w:color w:val="0D0D0D"/>
          <w:shd w:val="clear" w:color="auto" w:fill="FFFFFF"/>
        </w:rPr>
        <w:t>.1</w:t>
      </w:r>
      <w:r w:rsidR="00CC12E5" w:rsidRPr="000A6691">
        <w:rPr>
          <w:color w:val="0D0D0D"/>
          <w:shd w:val="clear" w:color="auto" w:fill="FFFFFF"/>
        </w:rPr>
        <w:t xml:space="preserve">%) among </w:t>
      </w:r>
      <w:r w:rsidR="00BA5CD3">
        <w:rPr>
          <w:color w:val="0D0D0D"/>
          <w:shd w:val="clear" w:color="auto" w:fill="FFFFFF"/>
        </w:rPr>
        <w:t xml:space="preserve">frequent </w:t>
      </w:r>
      <w:r w:rsidR="00A73FAB">
        <w:rPr>
          <w:color w:val="0D0D0D"/>
          <w:shd w:val="clear" w:color="auto" w:fill="FFFFFF"/>
        </w:rPr>
        <w:t xml:space="preserve">teleworkers </w:t>
      </w:r>
      <w:r w:rsidR="00BA5CD3">
        <w:rPr>
          <w:color w:val="0D0D0D"/>
          <w:shd w:val="clear" w:color="auto" w:fill="FFFFFF"/>
        </w:rPr>
        <w:lastRenderedPageBreak/>
        <w:t xml:space="preserve">(at least multiple times per week) relative to </w:t>
      </w:r>
      <w:r w:rsidR="00CC12E5" w:rsidRPr="000A6691">
        <w:rPr>
          <w:color w:val="0D0D0D"/>
          <w:shd w:val="clear" w:color="auto" w:fill="FFFFFF"/>
        </w:rPr>
        <w:t xml:space="preserve">individuals </w:t>
      </w:r>
      <w:r w:rsidR="00A73FAB">
        <w:rPr>
          <w:color w:val="0D0D0D"/>
          <w:shd w:val="clear" w:color="auto" w:fill="FFFFFF"/>
        </w:rPr>
        <w:t>who do not</w:t>
      </w:r>
      <w:r w:rsidR="00BD2CC2">
        <w:rPr>
          <w:color w:val="0D0D0D"/>
          <w:shd w:val="clear" w:color="auto" w:fill="FFFFFF"/>
        </w:rPr>
        <w:t xml:space="preserve"> or only occasional telework</w:t>
      </w:r>
      <w:r w:rsidR="00CF5649">
        <w:rPr>
          <w:color w:val="0D0D0D"/>
          <w:shd w:val="clear" w:color="auto" w:fill="FFFFFF"/>
        </w:rPr>
        <w:t>,</w:t>
      </w:r>
      <w:r w:rsidR="00BD2CC2">
        <w:rPr>
          <w:color w:val="0D0D0D"/>
          <w:shd w:val="clear" w:color="auto" w:fill="FFFFFF"/>
        </w:rPr>
        <w:t xml:space="preserve"> </w:t>
      </w:r>
      <w:r>
        <w:rPr>
          <w:color w:val="0D0D0D"/>
          <w:shd w:val="clear" w:color="auto" w:fill="FFFFFF"/>
        </w:rPr>
        <w:t>imply</w:t>
      </w:r>
      <w:r w:rsidR="00CF5649">
        <w:rPr>
          <w:color w:val="0D0D0D"/>
          <w:shd w:val="clear" w:color="auto" w:fill="FFFFFF"/>
        </w:rPr>
        <w:t>ing</w:t>
      </w:r>
      <w:r>
        <w:rPr>
          <w:color w:val="0D0D0D"/>
          <w:shd w:val="clear" w:color="auto" w:fill="FFFFFF"/>
        </w:rPr>
        <w:t xml:space="preserve"> that </w:t>
      </w:r>
      <w:r w:rsidRPr="00F93F8C">
        <w:rPr>
          <w:color w:val="0D0D0D"/>
          <w:shd w:val="clear" w:color="auto" w:fill="FFFFFF"/>
        </w:rPr>
        <w:t xml:space="preserve">those working </w:t>
      </w:r>
      <w:r w:rsidR="00CF5649">
        <w:rPr>
          <w:color w:val="0D0D0D"/>
          <w:shd w:val="clear" w:color="auto" w:fill="FFFFFF"/>
        </w:rPr>
        <w:t xml:space="preserve">more </w:t>
      </w:r>
      <w:r w:rsidRPr="00F93F8C">
        <w:rPr>
          <w:color w:val="0D0D0D"/>
          <w:shd w:val="clear" w:color="auto" w:fill="FFFFFF"/>
        </w:rPr>
        <w:t>in-person are less likely to use telemedicine</w:t>
      </w:r>
      <w:r w:rsidR="00CF5649">
        <w:rPr>
          <w:color w:val="0D0D0D"/>
          <w:shd w:val="clear" w:color="auto" w:fill="FFFFFF"/>
        </w:rPr>
        <w:t xml:space="preserve">. The results also reveal that in-person workers tend to </w:t>
      </w:r>
      <w:r w:rsidR="00BD2CC2">
        <w:rPr>
          <w:color w:val="0D0D0D"/>
          <w:shd w:val="clear" w:color="auto" w:fill="FFFFFF"/>
        </w:rPr>
        <w:t>cit</w:t>
      </w:r>
      <w:r w:rsidR="00CF5649">
        <w:rPr>
          <w:color w:val="0D0D0D"/>
          <w:shd w:val="clear" w:color="auto" w:fill="FFFFFF"/>
        </w:rPr>
        <w:t>e</w:t>
      </w:r>
      <w:r w:rsidR="00BD2CC2">
        <w:rPr>
          <w:color w:val="0D0D0D"/>
          <w:shd w:val="clear" w:color="auto" w:fill="FFFFFF"/>
        </w:rPr>
        <w:t xml:space="preserve"> </w:t>
      </w:r>
      <w:r w:rsidRPr="00F93F8C">
        <w:rPr>
          <w:color w:val="0D0D0D"/>
          <w:shd w:val="clear" w:color="auto" w:fill="FFFFFF"/>
        </w:rPr>
        <w:t>privacy concerns</w:t>
      </w:r>
      <w:r>
        <w:rPr>
          <w:color w:val="0D0D0D"/>
          <w:shd w:val="clear" w:color="auto" w:fill="FFFFFF"/>
        </w:rPr>
        <w:t xml:space="preserve"> (PO</w:t>
      </w:r>
      <w:r w:rsidR="00BD2CC2">
        <w:rPr>
          <w:color w:val="0D0D0D"/>
          <w:shd w:val="clear" w:color="auto" w:fill="FFFFFF"/>
        </w:rPr>
        <w:t>P)</w:t>
      </w:r>
      <w:r w:rsidRPr="00F93F8C">
        <w:rPr>
          <w:color w:val="0D0D0D"/>
          <w:shd w:val="clear" w:color="auto" w:fill="FFFFFF"/>
        </w:rPr>
        <w:t xml:space="preserve"> </w:t>
      </w:r>
      <w:r>
        <w:rPr>
          <w:color w:val="0D0D0D"/>
          <w:shd w:val="clear" w:color="auto" w:fill="FFFFFF"/>
        </w:rPr>
        <w:t xml:space="preserve">and </w:t>
      </w:r>
      <w:r w:rsidRPr="00F93F8C">
        <w:rPr>
          <w:color w:val="0D0D0D"/>
          <w:shd w:val="clear" w:color="auto" w:fill="FFFFFF"/>
        </w:rPr>
        <w:t xml:space="preserve">lack of </w:t>
      </w:r>
      <w:r w:rsidR="00BD2CC2">
        <w:rPr>
          <w:color w:val="0D0D0D"/>
          <w:shd w:val="clear" w:color="auto" w:fill="FFFFFF"/>
        </w:rPr>
        <w:t xml:space="preserve">telemedicine </w:t>
      </w:r>
      <w:r w:rsidRPr="00F93F8C">
        <w:rPr>
          <w:color w:val="0D0D0D"/>
          <w:shd w:val="clear" w:color="auto" w:fill="FFFFFF"/>
        </w:rPr>
        <w:t>convenience</w:t>
      </w:r>
      <w:r>
        <w:rPr>
          <w:color w:val="0D0D0D"/>
          <w:shd w:val="clear" w:color="auto" w:fill="FFFFFF"/>
        </w:rPr>
        <w:t xml:space="preserve"> </w:t>
      </w:r>
      <w:r w:rsidR="00BD2CC2">
        <w:rPr>
          <w:color w:val="0D0D0D"/>
          <w:shd w:val="clear" w:color="auto" w:fill="FFFFFF"/>
        </w:rPr>
        <w:t xml:space="preserve">relative to in-person convenience </w:t>
      </w:r>
      <w:r>
        <w:rPr>
          <w:color w:val="0D0D0D"/>
          <w:shd w:val="clear" w:color="auto" w:fill="FFFFFF"/>
        </w:rPr>
        <w:t>(IPC</w:t>
      </w:r>
      <w:r w:rsidR="00BD2CC2">
        <w:rPr>
          <w:color w:val="0D0D0D"/>
          <w:shd w:val="clear" w:color="auto" w:fill="FFFFFF"/>
        </w:rPr>
        <w:t xml:space="preserve">) as being the main </w:t>
      </w:r>
      <w:r w:rsidR="00CF5649">
        <w:rPr>
          <w:color w:val="0D0D0D"/>
          <w:shd w:val="clear" w:color="auto" w:fill="FFFFFF"/>
        </w:rPr>
        <w:t xml:space="preserve">telemedicine </w:t>
      </w:r>
      <w:r w:rsidR="00D863B3">
        <w:rPr>
          <w:color w:val="0D0D0D"/>
          <w:shd w:val="clear" w:color="auto" w:fill="FFFFFF"/>
        </w:rPr>
        <w:t xml:space="preserve">adoption </w:t>
      </w:r>
      <w:r w:rsidR="00BD2CC2">
        <w:rPr>
          <w:color w:val="0D0D0D"/>
          <w:shd w:val="clear" w:color="auto" w:fill="FFFFFF"/>
        </w:rPr>
        <w:t>deterrents</w:t>
      </w:r>
      <w:r>
        <w:rPr>
          <w:color w:val="0D0D0D"/>
          <w:shd w:val="clear" w:color="auto" w:fill="FFFFFF"/>
        </w:rPr>
        <w:t xml:space="preserve">. </w:t>
      </w:r>
      <w:r w:rsidR="00CF5649">
        <w:rPr>
          <w:color w:val="0D0D0D"/>
          <w:shd w:val="clear" w:color="auto" w:fill="FFFFFF"/>
        </w:rPr>
        <w:t xml:space="preserve">Such concerns are much less of an issue for frequent </w:t>
      </w:r>
      <w:r w:rsidRPr="00F93F8C">
        <w:rPr>
          <w:color w:val="0D0D0D"/>
          <w:shd w:val="clear" w:color="auto" w:fill="FFFFFF"/>
        </w:rPr>
        <w:t>telework</w:t>
      </w:r>
      <w:r w:rsidR="00CF5649">
        <w:rPr>
          <w:color w:val="0D0D0D"/>
          <w:shd w:val="clear" w:color="auto" w:fill="FFFFFF"/>
        </w:rPr>
        <w:t>ers</w:t>
      </w:r>
      <w:r w:rsidRPr="00F93F8C">
        <w:rPr>
          <w:color w:val="0D0D0D"/>
          <w:shd w:val="clear" w:color="auto" w:fill="FFFFFF"/>
        </w:rPr>
        <w:t xml:space="preserve"> </w:t>
      </w:r>
      <w:r w:rsidR="00CF5649">
        <w:rPr>
          <w:color w:val="0D0D0D"/>
          <w:shd w:val="clear" w:color="auto" w:fill="FFFFFF"/>
        </w:rPr>
        <w:t>who appear to</w:t>
      </w:r>
      <w:r w:rsidRPr="00F93F8C">
        <w:rPr>
          <w:color w:val="0D0D0D"/>
          <w:shd w:val="clear" w:color="auto" w:fill="FFFFFF"/>
        </w:rPr>
        <w:t xml:space="preserve"> leverage the </w:t>
      </w:r>
      <w:r>
        <w:rPr>
          <w:color w:val="0D0D0D"/>
          <w:shd w:val="clear" w:color="auto" w:fill="FFFFFF"/>
        </w:rPr>
        <w:t>comfort</w:t>
      </w:r>
      <w:r w:rsidRPr="00F93F8C">
        <w:rPr>
          <w:color w:val="0D0D0D"/>
          <w:shd w:val="clear" w:color="auto" w:fill="FFFFFF"/>
        </w:rPr>
        <w:t xml:space="preserve"> of their home environments for virtual healthcare consultations. </w:t>
      </w:r>
      <w:r w:rsidR="00CF5649">
        <w:rPr>
          <w:color w:val="0D0D0D"/>
          <w:shd w:val="clear" w:color="auto" w:fill="FFFFFF"/>
        </w:rPr>
        <w:t xml:space="preserve">Additionally, those with a high desire </w:t>
      </w:r>
      <w:r w:rsidR="00651AAB">
        <w:rPr>
          <w:color w:val="0D0D0D"/>
          <w:shd w:val="clear" w:color="auto" w:fill="FFFFFF"/>
        </w:rPr>
        <w:t>to work</w:t>
      </w:r>
      <w:r w:rsidR="00CF5649">
        <w:rPr>
          <w:color w:val="0D0D0D"/>
          <w:shd w:val="clear" w:color="auto" w:fill="FFFFFF"/>
        </w:rPr>
        <w:t xml:space="preserve"> from home (regardless of actual teleworking frequency) are less likely to cite </w:t>
      </w:r>
      <w:r w:rsidR="0091517C">
        <w:rPr>
          <w:color w:val="0D0D0D"/>
          <w:shd w:val="clear" w:color="auto" w:fill="FFFFFF"/>
        </w:rPr>
        <w:t>the privacy preference for physicians’ office</w:t>
      </w:r>
      <w:r w:rsidR="008D4083">
        <w:rPr>
          <w:color w:val="0D0D0D"/>
          <w:shd w:val="clear" w:color="auto" w:fill="FFFFFF"/>
        </w:rPr>
        <w:t>s</w:t>
      </w:r>
      <w:r w:rsidR="0091517C">
        <w:rPr>
          <w:color w:val="0D0D0D"/>
          <w:shd w:val="clear" w:color="auto" w:fill="FFFFFF"/>
        </w:rPr>
        <w:t xml:space="preserve"> </w:t>
      </w:r>
      <w:r w:rsidR="00CF5649">
        <w:rPr>
          <w:color w:val="0D0D0D"/>
          <w:shd w:val="clear" w:color="auto" w:fill="FFFFFF"/>
        </w:rPr>
        <w:t xml:space="preserve">and telemedicine security </w:t>
      </w:r>
      <w:r w:rsidR="0091517C">
        <w:rPr>
          <w:color w:val="0D0D0D"/>
          <w:shd w:val="clear" w:color="auto" w:fill="FFFFFF"/>
        </w:rPr>
        <w:t xml:space="preserve">as </w:t>
      </w:r>
      <w:r w:rsidR="00CF5649">
        <w:rPr>
          <w:color w:val="0D0D0D"/>
          <w:shd w:val="clear" w:color="auto" w:fill="FFFFFF"/>
        </w:rPr>
        <w:t xml:space="preserve">deterrents. </w:t>
      </w:r>
    </w:p>
    <w:p w14:paraId="0A79CB4E" w14:textId="582EA7AA" w:rsidR="00F93F8C" w:rsidRDefault="00F93F8C" w:rsidP="009D0CA2">
      <w:pPr>
        <w:spacing w:after="0" w:line="240" w:lineRule="auto"/>
        <w:ind w:firstLine="720"/>
        <w:jc w:val="both"/>
        <w:rPr>
          <w:color w:val="0D0D0D"/>
          <w:shd w:val="clear" w:color="auto" w:fill="FFFFFF"/>
        </w:rPr>
      </w:pPr>
      <w:r w:rsidRPr="00F93F8C">
        <w:rPr>
          <w:color w:val="0D0D0D"/>
          <w:shd w:val="clear" w:color="auto" w:fill="FFFFFF"/>
        </w:rPr>
        <w:t xml:space="preserve">Based on these findings, it </w:t>
      </w:r>
      <w:r w:rsidR="00CF5649">
        <w:rPr>
          <w:color w:val="0D0D0D"/>
          <w:shd w:val="clear" w:color="auto" w:fill="FFFFFF"/>
        </w:rPr>
        <w:t xml:space="preserve">appears that a lack of privacy at in-person work sites </w:t>
      </w:r>
      <w:r w:rsidR="0091517C">
        <w:rPr>
          <w:color w:val="0D0D0D"/>
          <w:shd w:val="clear" w:color="auto" w:fill="FFFFFF"/>
        </w:rPr>
        <w:t>(</w:t>
      </w:r>
      <w:r w:rsidR="00CF5649">
        <w:rPr>
          <w:color w:val="0D0D0D"/>
          <w:shd w:val="clear" w:color="auto" w:fill="FFFFFF"/>
        </w:rPr>
        <w:t xml:space="preserve">and </w:t>
      </w:r>
      <w:r w:rsidR="0091517C">
        <w:rPr>
          <w:color w:val="0D0D0D"/>
          <w:shd w:val="clear" w:color="auto" w:fill="FFFFFF"/>
        </w:rPr>
        <w:t xml:space="preserve">perhaps </w:t>
      </w:r>
      <w:r w:rsidR="00E87357">
        <w:rPr>
          <w:color w:val="0D0D0D"/>
          <w:shd w:val="clear" w:color="auto" w:fill="FFFFFF"/>
        </w:rPr>
        <w:t>even simply the act of being seen taking some time off for telemedicine visits in the presence of others</w:t>
      </w:r>
      <w:r w:rsidR="0091517C">
        <w:rPr>
          <w:color w:val="0D0D0D"/>
          <w:shd w:val="clear" w:color="auto" w:fill="FFFFFF"/>
        </w:rPr>
        <w:t>)</w:t>
      </w:r>
      <w:r w:rsidR="00E87357">
        <w:rPr>
          <w:color w:val="0D0D0D"/>
          <w:shd w:val="clear" w:color="auto" w:fill="FFFFFF"/>
        </w:rPr>
        <w:t xml:space="preserve"> are deterrents for in-person workers. It </w:t>
      </w:r>
      <w:r w:rsidRPr="00F93F8C">
        <w:rPr>
          <w:color w:val="0D0D0D"/>
          <w:shd w:val="clear" w:color="auto" w:fill="FFFFFF"/>
        </w:rPr>
        <w:t xml:space="preserve">would be beneficial </w:t>
      </w:r>
      <w:r>
        <w:rPr>
          <w:color w:val="0D0D0D"/>
          <w:shd w:val="clear" w:color="auto" w:fill="FFFFFF"/>
        </w:rPr>
        <w:t>for</w:t>
      </w:r>
      <w:r w:rsidRPr="00F93F8C">
        <w:rPr>
          <w:color w:val="0D0D0D"/>
          <w:shd w:val="clear" w:color="auto" w:fill="FFFFFF"/>
        </w:rPr>
        <w:t xml:space="preserve"> </w:t>
      </w:r>
      <w:r>
        <w:rPr>
          <w:color w:val="0D0D0D"/>
          <w:shd w:val="clear" w:color="auto" w:fill="FFFFFF"/>
        </w:rPr>
        <w:t>o</w:t>
      </w:r>
      <w:r w:rsidRPr="00F93F8C">
        <w:rPr>
          <w:color w:val="0D0D0D"/>
          <w:shd w:val="clear" w:color="auto" w:fill="FFFFFF"/>
        </w:rPr>
        <w:t xml:space="preserve">ffice environments </w:t>
      </w:r>
      <w:r>
        <w:rPr>
          <w:color w:val="0D0D0D"/>
          <w:shd w:val="clear" w:color="auto" w:fill="FFFFFF"/>
        </w:rPr>
        <w:t>to provide</w:t>
      </w:r>
      <w:r w:rsidRPr="00F93F8C">
        <w:rPr>
          <w:color w:val="0D0D0D"/>
          <w:shd w:val="clear" w:color="auto" w:fill="FFFFFF"/>
        </w:rPr>
        <w:t xml:space="preserve"> designated quiet rooms or soundproof booths, ensuring employees have the privacy needed for virtual healthcare consultations.</w:t>
      </w:r>
      <w:r w:rsidRPr="00F93F8C">
        <w:t xml:space="preserve"> </w:t>
      </w:r>
      <w:r w:rsidR="00E87357">
        <w:t xml:space="preserve">Alternatively, similar to the concept of “third workplaces” (that is, having a remote site that is not home and not the regular workplace), communities can consider setting up sites away from workplaces but close to employment centers for the exclusive purpose of telemedicine use. </w:t>
      </w:r>
      <w:r>
        <w:rPr>
          <w:color w:val="0D0D0D"/>
          <w:shd w:val="clear" w:color="auto" w:fill="FFFFFF"/>
        </w:rPr>
        <w:t>Also</w:t>
      </w:r>
      <w:r w:rsidRPr="00F93F8C">
        <w:rPr>
          <w:color w:val="0D0D0D"/>
          <w:shd w:val="clear" w:color="auto" w:fill="FFFFFF"/>
        </w:rPr>
        <w:t>, implementing policies that allow for short breaks or flexible scheduling for telemedicine appointments can empower employees to manage their healthcare needs without disrupting work schedules. Such measures could create a win-win situation, saving time and potential lost productivity for both employers and employees.</w:t>
      </w:r>
      <w:r w:rsidR="00136C57">
        <w:rPr>
          <w:color w:val="0D0D0D"/>
          <w:shd w:val="clear" w:color="auto" w:fill="FFFFFF"/>
        </w:rPr>
        <w:t xml:space="preserve"> </w:t>
      </w:r>
      <w:r w:rsidRPr="00F93F8C">
        <w:rPr>
          <w:color w:val="0D0D0D"/>
          <w:shd w:val="clear" w:color="auto" w:fill="FFFFFF"/>
        </w:rPr>
        <w:t xml:space="preserve">Furthermore, </w:t>
      </w:r>
      <w:r w:rsidR="001F563E">
        <w:rPr>
          <w:color w:val="0D0D0D"/>
          <w:shd w:val="clear" w:color="auto" w:fill="FFFFFF"/>
        </w:rPr>
        <w:t>w</w:t>
      </w:r>
      <w:r w:rsidRPr="00F93F8C">
        <w:rPr>
          <w:color w:val="0D0D0D"/>
          <w:shd w:val="clear" w:color="auto" w:fill="FFFFFF"/>
        </w:rPr>
        <w:t xml:space="preserve">hile the results indicate that teleworking setups facilitate increased telemedicine </w:t>
      </w:r>
      <w:r w:rsidR="001F563E">
        <w:rPr>
          <w:color w:val="0D0D0D"/>
          <w:shd w:val="clear" w:color="auto" w:fill="FFFFFF"/>
        </w:rPr>
        <w:t>uptake</w:t>
      </w:r>
      <w:r w:rsidRPr="00F93F8C">
        <w:rPr>
          <w:color w:val="0D0D0D"/>
          <w:shd w:val="clear" w:color="auto" w:fill="FFFFFF"/>
        </w:rPr>
        <w:t xml:space="preserve">, </w:t>
      </w:r>
      <w:r>
        <w:rPr>
          <w:color w:val="0D0D0D"/>
          <w:shd w:val="clear" w:color="auto" w:fill="FFFFFF"/>
        </w:rPr>
        <w:t xml:space="preserve">neglecting the compounding effect of </w:t>
      </w:r>
      <w:r w:rsidRPr="00F93F8C">
        <w:rPr>
          <w:color w:val="0D0D0D"/>
          <w:shd w:val="clear" w:color="auto" w:fill="FFFFFF"/>
        </w:rPr>
        <w:t>enjoying working from home</w:t>
      </w:r>
      <w:r>
        <w:rPr>
          <w:color w:val="0D0D0D"/>
          <w:shd w:val="clear" w:color="auto" w:fill="FFFFFF"/>
        </w:rPr>
        <w:t xml:space="preserve"> </w:t>
      </w:r>
      <w:r w:rsidRPr="00F93F8C">
        <w:rPr>
          <w:color w:val="0D0D0D"/>
          <w:shd w:val="clear" w:color="auto" w:fill="FFFFFF"/>
        </w:rPr>
        <w:t>could limit the potential reach and impact of virtual healthcare services.</w:t>
      </w:r>
      <w:r w:rsidRPr="00F93F8C">
        <w:t xml:space="preserve"> </w:t>
      </w:r>
      <w:r w:rsidRPr="00F93F8C">
        <w:rPr>
          <w:color w:val="0D0D0D"/>
          <w:shd w:val="clear" w:color="auto" w:fill="FFFFFF"/>
        </w:rPr>
        <w:t xml:space="preserve">To maximize the benefits of telemedicine, in-depth consumer studies </w:t>
      </w:r>
      <w:r w:rsidR="0091517C">
        <w:rPr>
          <w:color w:val="0D0D0D"/>
          <w:shd w:val="clear" w:color="auto" w:fill="FFFFFF"/>
        </w:rPr>
        <w:t xml:space="preserve">need to be undertaken </w:t>
      </w:r>
      <w:r w:rsidRPr="00F93F8C">
        <w:rPr>
          <w:color w:val="0D0D0D"/>
          <w:shd w:val="clear" w:color="auto" w:fill="FFFFFF"/>
        </w:rPr>
        <w:t>to explore the underlying factors and preferences that lead individuals to enjoy working from home</w:t>
      </w:r>
      <w:r w:rsidR="0091517C">
        <w:rPr>
          <w:color w:val="0D0D0D"/>
          <w:shd w:val="clear" w:color="auto" w:fill="FFFFFF"/>
        </w:rPr>
        <w:t xml:space="preserve">, which can assist in the design of </w:t>
      </w:r>
      <w:r w:rsidRPr="00F93F8C">
        <w:rPr>
          <w:color w:val="0D0D0D"/>
          <w:shd w:val="clear" w:color="auto" w:fill="FFFFFF"/>
        </w:rPr>
        <w:t xml:space="preserve">targeted strategies and </w:t>
      </w:r>
      <w:r w:rsidR="0091517C">
        <w:rPr>
          <w:color w:val="0D0D0D"/>
          <w:shd w:val="clear" w:color="auto" w:fill="FFFFFF"/>
        </w:rPr>
        <w:t xml:space="preserve">customized </w:t>
      </w:r>
      <w:r w:rsidRPr="00F93F8C">
        <w:rPr>
          <w:color w:val="0D0D0D"/>
          <w:shd w:val="clear" w:color="auto" w:fill="FFFFFF"/>
        </w:rPr>
        <w:t xml:space="preserve">telemedicine </w:t>
      </w:r>
      <w:r w:rsidR="0091517C">
        <w:rPr>
          <w:color w:val="0D0D0D"/>
          <w:shd w:val="clear" w:color="auto" w:fill="FFFFFF"/>
        </w:rPr>
        <w:t>provision</w:t>
      </w:r>
      <w:r w:rsidR="00B02094">
        <w:rPr>
          <w:color w:val="0D0D0D"/>
          <w:shd w:val="clear" w:color="auto" w:fill="FFFFFF"/>
        </w:rPr>
        <w:t>s</w:t>
      </w:r>
      <w:r w:rsidR="0091517C">
        <w:rPr>
          <w:color w:val="0D0D0D"/>
          <w:shd w:val="clear" w:color="auto" w:fill="FFFFFF"/>
        </w:rPr>
        <w:t xml:space="preserve"> </w:t>
      </w:r>
      <w:r w:rsidRPr="00F93F8C">
        <w:rPr>
          <w:color w:val="0D0D0D"/>
          <w:shd w:val="clear" w:color="auto" w:fill="FFFFFF"/>
        </w:rPr>
        <w:t>to appeal to a broader range of individuals, regardless of their work arrangements.</w:t>
      </w:r>
      <w:r w:rsidRPr="00F93F8C">
        <w:t xml:space="preserve"> </w:t>
      </w:r>
      <w:r w:rsidRPr="00F93F8C">
        <w:rPr>
          <w:color w:val="0D0D0D"/>
          <w:shd w:val="clear" w:color="auto" w:fill="FFFFFF"/>
        </w:rPr>
        <w:t>For instance, some individuals may enjoy working from home due to the flexibility it provides, while others may value the reduced commute time or the ability to create a personalized work environment. By catering to these specific preferences and addressing the unique needs of different consumer segments, telemedicine services can become more appealing and accessible to a wider population.</w:t>
      </w:r>
    </w:p>
    <w:p w14:paraId="2022E393" w14:textId="77777777" w:rsidR="003C4FC9" w:rsidRDefault="003C4FC9" w:rsidP="009D0CA2">
      <w:pPr>
        <w:spacing w:after="0" w:line="240" w:lineRule="auto"/>
        <w:ind w:firstLine="720"/>
        <w:jc w:val="both"/>
        <w:rPr>
          <w:color w:val="0D0D0D"/>
          <w:shd w:val="clear" w:color="auto" w:fill="FFFFFF"/>
        </w:rPr>
      </w:pPr>
    </w:p>
    <w:p w14:paraId="5CD29256" w14:textId="77777777" w:rsidR="00CC12E5" w:rsidRPr="00976867" w:rsidRDefault="00CC12E5" w:rsidP="009D0CA2">
      <w:pPr>
        <w:pStyle w:val="Heading2"/>
        <w:spacing w:after="0" w:line="240" w:lineRule="auto"/>
        <w:contextualSpacing w:val="0"/>
        <w:rPr>
          <w:shd w:val="clear" w:color="auto" w:fill="FFFFFF"/>
        </w:rPr>
      </w:pPr>
      <w:r w:rsidRPr="00976867">
        <w:rPr>
          <w:shd w:val="clear" w:color="auto" w:fill="FFFFFF"/>
        </w:rPr>
        <w:t xml:space="preserve">Transportation </w:t>
      </w:r>
      <w:r>
        <w:rPr>
          <w:shd w:val="clear" w:color="auto" w:fill="FFFFFF"/>
        </w:rPr>
        <w:t xml:space="preserve">and Urban Planning </w:t>
      </w:r>
      <w:r w:rsidRPr="00976867">
        <w:rPr>
          <w:shd w:val="clear" w:color="auto" w:fill="FFFFFF"/>
        </w:rPr>
        <w:t>Considerations</w:t>
      </w:r>
    </w:p>
    <w:p w14:paraId="6F7D855A" w14:textId="4E7C8752" w:rsidR="00FE6E2D" w:rsidRDefault="00CC12E5" w:rsidP="0069340B">
      <w:pPr>
        <w:pStyle w:val="NormalWeb"/>
        <w:tabs>
          <w:tab w:val="left" w:pos="720"/>
        </w:tabs>
        <w:spacing w:before="0" w:beforeAutospacing="0" w:after="0" w:afterAutospacing="0"/>
        <w:ind w:left="18"/>
        <w:jc w:val="both"/>
      </w:pPr>
      <w:r w:rsidRPr="00976867">
        <w:t>The most direct connection between telemedicine and transportation is the reduced need for physical travel to access medical services</w:t>
      </w:r>
      <w:r w:rsidR="00530825">
        <w:t xml:space="preserve">, </w:t>
      </w:r>
      <w:r w:rsidR="00530825" w:rsidRPr="00530825">
        <w:t>as well as the need for medical professionals to commute to their in-person workplace.</w:t>
      </w:r>
      <w:r w:rsidRPr="00976867">
        <w:t xml:space="preserve"> </w:t>
      </w:r>
      <w:r w:rsidR="00FE6E2D" w:rsidRPr="00FE6E2D">
        <w:t xml:space="preserve">Quantifying the potential decrease in vehicular trips is </w:t>
      </w:r>
      <w:r w:rsidR="00E87357">
        <w:t xml:space="preserve">important </w:t>
      </w:r>
      <w:r w:rsidR="00FE6E2D" w:rsidRPr="00FE6E2D">
        <w:t>for inform</w:t>
      </w:r>
      <w:r w:rsidR="00AE5609">
        <w:t>ing</w:t>
      </w:r>
      <w:r w:rsidR="00FE6E2D" w:rsidRPr="00FE6E2D">
        <w:t xml:space="preserve"> planning decisions, as even modest reductions can improve traffic conditions, especially in congested urban areas. This is particularly relevant </w:t>
      </w:r>
      <w:r w:rsidR="00E87357">
        <w:t xml:space="preserve">because of the </w:t>
      </w:r>
      <w:r w:rsidR="00FE6E2D" w:rsidRPr="00FE6E2D">
        <w:t>spatial and temporal characteristics</w:t>
      </w:r>
      <w:r w:rsidR="00E87357">
        <w:t xml:space="preserve"> of </w:t>
      </w:r>
      <w:r w:rsidR="00530825">
        <w:t>such trips. First,</w:t>
      </w:r>
      <w:r w:rsidR="001F563E">
        <w:t xml:space="preserve"> </w:t>
      </w:r>
      <w:r w:rsidR="00FE6E2D">
        <w:t>m</w:t>
      </w:r>
      <w:r w:rsidR="00FE6E2D" w:rsidRPr="00FE6E2D">
        <w:t xml:space="preserve">edical appointment trips </w:t>
      </w:r>
      <w:r w:rsidR="00530825">
        <w:t xml:space="preserve">and commutes by medical professionals </w:t>
      </w:r>
      <w:r w:rsidR="00FE6E2D" w:rsidRPr="00FE6E2D">
        <w:t>concentrate around locations such as hospitals, clinics, and medical centers</w:t>
      </w:r>
      <w:r w:rsidR="00E87357">
        <w:t xml:space="preserve">, which are </w:t>
      </w:r>
      <w:r w:rsidR="00136C57">
        <w:t>often</w:t>
      </w:r>
      <w:r w:rsidR="00FE6E2D" w:rsidRPr="00FE6E2D">
        <w:t xml:space="preserve"> located in urban areas or along major transportation corridors</w:t>
      </w:r>
      <w:r w:rsidR="0091517C">
        <w:t xml:space="preserve"> and</w:t>
      </w:r>
      <w:r w:rsidR="00FE6E2D" w:rsidRPr="00FE6E2D">
        <w:t xml:space="preserve"> can contribute to localized congestion.</w:t>
      </w:r>
      <w:r w:rsidR="0032637B" w:rsidRPr="0032637B">
        <w:t xml:space="preserve"> </w:t>
      </w:r>
      <w:r w:rsidR="00530825">
        <w:t>Second, m</w:t>
      </w:r>
      <w:r w:rsidR="0032637B" w:rsidRPr="0032637B">
        <w:t xml:space="preserve">edical appointment trips may </w:t>
      </w:r>
      <w:r w:rsidR="0032637B">
        <w:t xml:space="preserve">also </w:t>
      </w:r>
      <w:r w:rsidR="0032637B" w:rsidRPr="0032637B">
        <w:t xml:space="preserve">be combined with other trip purposes, such as commute trips, as </w:t>
      </w:r>
      <w:r w:rsidR="002141D9">
        <w:t xml:space="preserve">also suggested </w:t>
      </w:r>
      <w:r w:rsidR="0032637B" w:rsidRPr="0032637B">
        <w:t xml:space="preserve">by </w:t>
      </w:r>
      <w:r w:rsidR="002141D9">
        <w:t xml:space="preserve">the </w:t>
      </w:r>
      <w:r w:rsidR="0032637B" w:rsidRPr="0032637B">
        <w:t>lower telemedicine adoption rates among individuals working in in-person workplaces. This trip</w:t>
      </w:r>
      <w:r w:rsidR="00AE5609">
        <w:t>-</w:t>
      </w:r>
      <w:r w:rsidR="0032637B" w:rsidRPr="0032637B">
        <w:t>chaining behavior</w:t>
      </w:r>
      <w:r w:rsidR="00530825">
        <w:t xml:space="preserve">, coupled with commutes by medical professionals themselves, </w:t>
      </w:r>
      <w:r w:rsidR="0032637B" w:rsidRPr="0032637B">
        <w:t xml:space="preserve">can lead to higher volumes of medical-related trips during the morning and afternoon rush hours, exacerbating </w:t>
      </w:r>
      <w:r w:rsidR="002141D9">
        <w:t xml:space="preserve">peak-period </w:t>
      </w:r>
      <w:r w:rsidR="0032637B" w:rsidRPr="0032637B">
        <w:t>traffic congestion.</w:t>
      </w:r>
      <w:r w:rsidR="0032637B">
        <w:t xml:space="preserve"> </w:t>
      </w:r>
      <w:r w:rsidR="0032637B" w:rsidRPr="0032637B">
        <w:t xml:space="preserve">Moreover, </w:t>
      </w:r>
      <w:r w:rsidR="002141D9">
        <w:t>t</w:t>
      </w:r>
      <w:r w:rsidR="0032637B" w:rsidRPr="0032637B">
        <w:t xml:space="preserve">elemedicine </w:t>
      </w:r>
      <w:r w:rsidR="002141D9">
        <w:t xml:space="preserve">can </w:t>
      </w:r>
      <w:r w:rsidR="0032637B" w:rsidRPr="0032637B">
        <w:t xml:space="preserve">prove particularly advantageous </w:t>
      </w:r>
      <w:r w:rsidR="002141D9">
        <w:t xml:space="preserve">in reducing vehicle miles of travel </w:t>
      </w:r>
      <w:r w:rsidR="0032637B" w:rsidRPr="0032637B">
        <w:lastRenderedPageBreak/>
        <w:t>for individuals residing in rural or underserved areas, where accessing in-person healthcare may necessitate long-distance trips</w:t>
      </w:r>
      <w:r w:rsidR="0091517C">
        <w:t>.</w:t>
      </w:r>
    </w:p>
    <w:p w14:paraId="3B40E309" w14:textId="0D98D940" w:rsidR="00E20C3E" w:rsidRDefault="0032637B" w:rsidP="0069340B">
      <w:pPr>
        <w:pStyle w:val="NormalWeb"/>
        <w:tabs>
          <w:tab w:val="left" w:pos="720"/>
        </w:tabs>
        <w:spacing w:before="0" w:beforeAutospacing="0" w:after="0" w:afterAutospacing="0"/>
        <w:ind w:left="18"/>
        <w:jc w:val="both"/>
      </w:pPr>
      <w:r>
        <w:tab/>
      </w:r>
      <w:r w:rsidR="002141D9">
        <w:t>T</w:t>
      </w:r>
      <w:r w:rsidRPr="0032637B">
        <w:t>he reduced reliance on vehicle usage for medical trips</w:t>
      </w:r>
      <w:r w:rsidR="00136C57">
        <w:t xml:space="preserve"> </w:t>
      </w:r>
      <w:r w:rsidR="002141D9">
        <w:t xml:space="preserve">not only decreases trip-making and vehicle miles of travel, but also </w:t>
      </w:r>
      <w:r w:rsidRPr="0032637B">
        <w:t xml:space="preserve">presents opportunities to redirect investments from expanding parking facilities and road networks around healthcare centers to </w:t>
      </w:r>
      <w:r w:rsidR="002141D9">
        <w:t xml:space="preserve">other transportation infrastructure </w:t>
      </w:r>
      <w:r w:rsidRPr="0032637B">
        <w:t>improv</w:t>
      </w:r>
      <w:r w:rsidR="002141D9">
        <w:t xml:space="preserve">ements (such as investing more in </w:t>
      </w:r>
      <w:r w:rsidRPr="0032637B">
        <w:t>public transit and pedestrian facilities</w:t>
      </w:r>
      <w:r w:rsidR="002141D9">
        <w:t>)</w:t>
      </w:r>
      <w:r w:rsidRPr="0032637B">
        <w:t xml:space="preserve"> </w:t>
      </w:r>
      <w:r w:rsidR="00552D3C">
        <w:t>and</w:t>
      </w:r>
      <w:r w:rsidRPr="0032637B">
        <w:t xml:space="preserve"> initiatives that support the expansion of broadband infrastructure. This shift in investment priorities can contribute to creating more sustainable, accessible, and equitable transportation systems that cater to the changing needs of healthcare access</w:t>
      </w:r>
      <w:r w:rsidR="00552D3C">
        <w:t>. Additionally</w:t>
      </w:r>
      <w:r w:rsidR="00552D3C" w:rsidRPr="00552D3C">
        <w:t>, the decreased demand for driving due to increased telemedicine adoption can enhance the effectiveness of innovative transportation solutions, such as on-demand shuttles or ride-sharing programs that connect people to their healthcare providers. As the need for in-person visits diminishes, these alternative transportation modes can serve as efficient and cost-effective options for individuals who still require physical access to healthcare facilities.</w:t>
      </w:r>
    </w:p>
    <w:p w14:paraId="391DEADA" w14:textId="1DD90024" w:rsidR="00B922B4" w:rsidRDefault="00552D3C" w:rsidP="0069340B">
      <w:pPr>
        <w:pStyle w:val="NormalWeb"/>
        <w:tabs>
          <w:tab w:val="left" w:pos="720"/>
        </w:tabs>
        <w:spacing w:before="0" w:beforeAutospacing="0" w:after="0" w:afterAutospacing="0"/>
        <w:ind w:left="18"/>
        <w:jc w:val="both"/>
        <w:rPr>
          <w:color w:val="000000" w:themeColor="text1"/>
        </w:rPr>
      </w:pPr>
      <w:r>
        <w:tab/>
      </w:r>
      <w:r w:rsidR="00E20C3E">
        <w:t>An increase in t</w:t>
      </w:r>
      <w:r w:rsidR="00AE5609" w:rsidRPr="00AE5609">
        <w:t xml:space="preserve">elemedicine </w:t>
      </w:r>
      <w:r w:rsidR="00E20C3E">
        <w:t xml:space="preserve">use also has </w:t>
      </w:r>
      <w:r w:rsidR="00AE5609" w:rsidRPr="00AE5609">
        <w:t>significant implications for land use and urban planning. As virtual healthcare services gain traction, the demand for traditional physical healthcare facilities may gradually decline. This presents opportunities for repurposing or redeveloping existing healthcare infrastructure in innovative ways. One such approach involve</w:t>
      </w:r>
      <w:r w:rsidR="0091517C">
        <w:t>s</w:t>
      </w:r>
      <w:r w:rsidR="00AE5609" w:rsidRPr="00AE5609">
        <w:t xml:space="preserve"> replacing large, underutilized facilities with a network of mobile clinics strategically located to complement and support telemedicine services. These mobile clinics could provide essential on-site services, such as diagnostic testing, sample collection, or specialized treatments, while leveraging telemedicine for consultations and follow-up care. </w:t>
      </w:r>
      <w:r w:rsidRPr="00552D3C">
        <w:t xml:space="preserve">The strategic redevelopment of healthcare sites, particularly those located in </w:t>
      </w:r>
      <w:r w:rsidR="0091517C">
        <w:t xml:space="preserve">and around </w:t>
      </w:r>
      <w:r w:rsidRPr="00552D3C">
        <w:t xml:space="preserve">employment centers, can have a profound impact on alleviating localized congestion and parking demand. By reducing the need for medical-related travel to these areas, urban planners can create more livable and sustainable communities. However, to fully capitalize on these opportunities, urban planners must proactively monitor telemedicine adoption clusters and identify underutilized facilities. This approach </w:t>
      </w:r>
      <w:r w:rsidR="0091517C">
        <w:t xml:space="preserve">can </w:t>
      </w:r>
      <w:r w:rsidRPr="00552D3C">
        <w:t>inform strategic re-zoning and land use policies that align with the evolving healthcare landscape.</w:t>
      </w:r>
      <w:r>
        <w:t xml:space="preserve"> </w:t>
      </w:r>
      <w:r w:rsidRPr="00B630C2">
        <w:rPr>
          <w:color w:val="1F1F1F"/>
          <w:shd w:val="clear" w:color="auto" w:fill="FFFFFF"/>
        </w:rPr>
        <w:t>Moreover, the increased demand for robust telecommunications</w:t>
      </w:r>
      <w:r w:rsidRPr="00B41FDB">
        <w:rPr>
          <w:color w:val="000000" w:themeColor="text1"/>
        </w:rPr>
        <w:t xml:space="preserve"> infrastructure to support telemedicine services prompt</w:t>
      </w:r>
      <w:r w:rsidR="0091517C">
        <w:rPr>
          <w:color w:val="000000" w:themeColor="text1"/>
        </w:rPr>
        <w:t>s</w:t>
      </w:r>
      <w:r w:rsidRPr="00B41FDB">
        <w:rPr>
          <w:color w:val="000000" w:themeColor="text1"/>
        </w:rPr>
        <w:t xml:space="preserve"> the integration of digital connectivity considerations into urban design guidelines and zoning codes.</w:t>
      </w:r>
    </w:p>
    <w:p w14:paraId="00E1FC88" w14:textId="1D2B0757" w:rsidR="00CC12E5" w:rsidRDefault="00E20C3E" w:rsidP="0069340B">
      <w:pPr>
        <w:spacing w:after="0" w:line="240" w:lineRule="auto"/>
        <w:ind w:left="18" w:firstLine="720"/>
        <w:jc w:val="both"/>
      </w:pPr>
      <w:r>
        <w:t xml:space="preserve">Finally, </w:t>
      </w:r>
      <w:r w:rsidR="00CC12E5" w:rsidRPr="00976867">
        <w:t>widespread telemedicine adoption may lead to shifts in travel behavior patterns</w:t>
      </w:r>
      <w:r>
        <w:t xml:space="preserve"> that need to be monitored and forecasted over time.</w:t>
      </w:r>
      <w:r w:rsidR="004441BB">
        <w:t xml:space="preserve"> </w:t>
      </w:r>
      <w:r>
        <w:t xml:space="preserve">From a modeling standpoint, telemedicine adoption has an immediate bearing on activity generation, </w:t>
      </w:r>
      <w:r w:rsidR="00D37EA0">
        <w:t xml:space="preserve">and the spatial-temporal patterns and scheduling of medical trips. The telemedicine adoption </w:t>
      </w:r>
      <w:r w:rsidR="00A85CB6">
        <w:t xml:space="preserve">results </w:t>
      </w:r>
      <w:r w:rsidR="00D37EA0">
        <w:t xml:space="preserve">from the current paper may be </w:t>
      </w:r>
      <w:r w:rsidR="00D37EA0" w:rsidRPr="00F37C04">
        <w:t xml:space="preserve">embedded within </w:t>
      </w:r>
      <w:r w:rsidR="00A85CB6">
        <w:t xml:space="preserve">a </w:t>
      </w:r>
      <w:r w:rsidR="00D37EA0" w:rsidRPr="00F37C04">
        <w:t xml:space="preserve">larger agent-based activity-travel </w:t>
      </w:r>
      <w:r w:rsidR="00D37EA0">
        <w:t xml:space="preserve">system to examine the impact of changing </w:t>
      </w:r>
      <w:r w:rsidR="00A85CB6">
        <w:t xml:space="preserve">in-person </w:t>
      </w:r>
      <w:r w:rsidR="00D37EA0">
        <w:t xml:space="preserve">medical </w:t>
      </w:r>
      <w:r w:rsidR="00A85CB6">
        <w:t xml:space="preserve">activity participations </w:t>
      </w:r>
      <w:r w:rsidR="00D37EA0">
        <w:t xml:space="preserve">on overall individual activity-travel </w:t>
      </w:r>
      <w:r w:rsidR="00A85CB6">
        <w:t xml:space="preserve">patterns (and, thereby, on healthcare-related trip patterns at any geographic scale and by </w:t>
      </w:r>
      <w:r w:rsidR="0091517C">
        <w:t xml:space="preserve">any </w:t>
      </w:r>
      <w:r w:rsidR="00A85CB6">
        <w:t>specific demographic group).</w:t>
      </w:r>
      <w:r w:rsidR="00D37EA0">
        <w:t xml:space="preserve"> </w:t>
      </w:r>
      <w:r w:rsidR="00A85CB6">
        <w:t xml:space="preserve">Such efforts can be enhanced through </w:t>
      </w:r>
      <w:r w:rsidR="00CC12E5" w:rsidRPr="00976867">
        <w:t xml:space="preserve">targeted surveys </w:t>
      </w:r>
      <w:r w:rsidR="00A85CB6">
        <w:t>of</w:t>
      </w:r>
      <w:r w:rsidR="00CC12E5" w:rsidRPr="00976867">
        <w:t xml:space="preserve"> patients and healthcare providers </w:t>
      </w:r>
      <w:r w:rsidR="0091517C">
        <w:t xml:space="preserve">to </w:t>
      </w:r>
      <w:r w:rsidR="00CC12E5" w:rsidRPr="00976867">
        <w:t xml:space="preserve">gather </w:t>
      </w:r>
      <w:r w:rsidR="00CC12E5" w:rsidRPr="00976867">
        <w:rPr>
          <w:color w:val="0D0D0D"/>
          <w:shd w:val="clear" w:color="auto" w:fill="FFFFFF"/>
        </w:rPr>
        <w:t xml:space="preserve">granular information regarding appointment locations, </w:t>
      </w:r>
      <w:r w:rsidR="006B5186">
        <w:rPr>
          <w:color w:val="0D0D0D"/>
          <w:shd w:val="clear" w:color="auto" w:fill="FFFFFF"/>
        </w:rPr>
        <w:t xml:space="preserve">frequency and </w:t>
      </w:r>
      <w:r w:rsidR="00CC12E5" w:rsidRPr="00976867">
        <w:rPr>
          <w:color w:val="0D0D0D"/>
          <w:shd w:val="clear" w:color="auto" w:fill="FFFFFF"/>
        </w:rPr>
        <w:t>reasons for telemedicine consultations, travel distances from patients' residences (for non-telemedicine appointments), and the modes of transportation utilized (for non-telemedicine appointments).</w:t>
      </w:r>
      <w:r w:rsidR="00BB30B2">
        <w:rPr>
          <w:color w:val="0D0D0D"/>
          <w:shd w:val="clear" w:color="auto" w:fill="FFFFFF"/>
        </w:rPr>
        <w:t xml:space="preserve"> Such </w:t>
      </w:r>
      <w:r w:rsidR="00CC12E5" w:rsidRPr="00976867">
        <w:rPr>
          <w:color w:val="0D0D0D"/>
          <w:shd w:val="clear" w:color="auto" w:fill="FFFFFF"/>
        </w:rPr>
        <w:t xml:space="preserve">surveys should also encompass a range of factors, including sociodemographic characteristics and employment arrangements, which were identified as significant in our analysis. </w:t>
      </w:r>
      <w:r w:rsidR="00BB30B2">
        <w:rPr>
          <w:color w:val="0D0D0D"/>
          <w:shd w:val="clear" w:color="auto" w:fill="FFFFFF"/>
        </w:rPr>
        <w:t xml:space="preserve">More generally, </w:t>
      </w:r>
      <w:r w:rsidR="00BB30B2">
        <w:t>future activity-travel surveys need to be more intentional in collecting information on different types of tele-activities and not simply on trip-</w:t>
      </w:r>
      <w:r w:rsidR="00BB30B2">
        <w:lastRenderedPageBreak/>
        <w:t xml:space="preserve">making. </w:t>
      </w:r>
      <w:r w:rsidR="00CC12E5" w:rsidRPr="00976867">
        <w:t>By proactively integrating tele</w:t>
      </w:r>
      <w:r w:rsidR="00D658B2">
        <w:t>-</w:t>
      </w:r>
      <w:r w:rsidR="00BB30B2">
        <w:t>activity</w:t>
      </w:r>
      <w:r w:rsidR="00CC12E5" w:rsidRPr="00976867">
        <w:t xml:space="preserve"> trends into </w:t>
      </w:r>
      <w:r w:rsidR="00BB30B2">
        <w:t>travel demand models</w:t>
      </w:r>
      <w:r w:rsidR="00CC12E5" w:rsidRPr="00976867">
        <w:t>, transportation agencies can future-proof their forecasting capabilities</w:t>
      </w:r>
      <w:r w:rsidR="00BB30B2">
        <w:t xml:space="preserve"> and </w:t>
      </w:r>
      <w:r w:rsidR="00CC12E5" w:rsidRPr="00976867">
        <w:t xml:space="preserve">ensure that infrastructure investments </w:t>
      </w:r>
      <w:r w:rsidR="00BB30B2">
        <w:t>are</w:t>
      </w:r>
      <w:r w:rsidR="00CC12E5" w:rsidRPr="00976867">
        <w:t xml:space="preserve"> aligned with an evolving digital landscape.</w:t>
      </w:r>
    </w:p>
    <w:p w14:paraId="3434F2DC" w14:textId="77777777" w:rsidR="00BB30B2" w:rsidRPr="00976867" w:rsidRDefault="00BB30B2" w:rsidP="00363830">
      <w:pPr>
        <w:spacing w:after="0" w:line="240" w:lineRule="auto"/>
        <w:ind w:firstLine="720"/>
        <w:jc w:val="both"/>
        <w:rPr>
          <w:color w:val="0D0D0D"/>
          <w:shd w:val="clear" w:color="auto" w:fill="FFFFFF"/>
        </w:rPr>
      </w:pPr>
    </w:p>
    <w:p w14:paraId="51376C6C" w14:textId="7207F96E" w:rsidR="002D3EE2" w:rsidRPr="006F3050" w:rsidRDefault="002D3EE2" w:rsidP="00363830">
      <w:pPr>
        <w:pStyle w:val="Heading1"/>
        <w:spacing w:after="0" w:line="240" w:lineRule="auto"/>
        <w:contextualSpacing w:val="0"/>
        <w:rPr>
          <w:caps/>
        </w:rPr>
      </w:pPr>
      <w:r w:rsidRPr="006F3050">
        <w:rPr>
          <w:caps/>
        </w:rPr>
        <w:t>Conclusions and Limitations</w:t>
      </w:r>
    </w:p>
    <w:p w14:paraId="282019D8" w14:textId="1AC42FBF" w:rsidR="0026668B" w:rsidRDefault="00EF5882" w:rsidP="00363830">
      <w:pPr>
        <w:autoSpaceDE w:val="0"/>
        <w:autoSpaceDN w:val="0"/>
        <w:adjustRightInd w:val="0"/>
        <w:spacing w:after="0" w:line="240" w:lineRule="auto"/>
        <w:jc w:val="both"/>
        <w:rPr>
          <w:color w:val="000000" w:themeColor="text1"/>
        </w:rPr>
      </w:pPr>
      <w:r w:rsidRPr="00875829">
        <w:rPr>
          <w:color w:val="000000" w:themeColor="text1"/>
        </w:rPr>
        <w:t>The pandemic has acted as a catalyst for a significant shift in healthcare delivery methods</w:t>
      </w:r>
      <w:r w:rsidR="00530825">
        <w:rPr>
          <w:color w:val="000000" w:themeColor="text1"/>
        </w:rPr>
        <w:t xml:space="preserve"> toward telemedicine</w:t>
      </w:r>
      <w:r w:rsidRPr="00875829">
        <w:rPr>
          <w:color w:val="000000" w:themeColor="text1"/>
        </w:rPr>
        <w:t>. This shift has not only transformed patient-provider interactions</w:t>
      </w:r>
      <w:r w:rsidR="0091517C">
        <w:rPr>
          <w:color w:val="000000" w:themeColor="text1"/>
        </w:rPr>
        <w:t xml:space="preserve">, </w:t>
      </w:r>
      <w:r w:rsidRPr="00875829">
        <w:rPr>
          <w:color w:val="000000" w:themeColor="text1"/>
        </w:rPr>
        <w:t>but</w:t>
      </w:r>
      <w:r w:rsidR="0091517C">
        <w:rPr>
          <w:color w:val="000000" w:themeColor="text1"/>
        </w:rPr>
        <w:t xml:space="preserve"> </w:t>
      </w:r>
      <w:r w:rsidRPr="00875829">
        <w:rPr>
          <w:color w:val="000000" w:themeColor="text1"/>
        </w:rPr>
        <w:t xml:space="preserve">also brought to the forefront various socioeconomic and built-environmental factors that influence the adoption of telemedicine. </w:t>
      </w:r>
      <w:r w:rsidR="0026668B" w:rsidRPr="005E4F79">
        <w:t xml:space="preserve">In this study, we </w:t>
      </w:r>
      <w:r w:rsidR="0091517C">
        <w:t xml:space="preserve">have </w:t>
      </w:r>
      <w:r w:rsidR="0026668B" w:rsidRPr="005E4F79">
        <w:t>introduce</w:t>
      </w:r>
      <w:r w:rsidR="0091517C">
        <w:t>d</w:t>
      </w:r>
      <w:r w:rsidR="0026668B" w:rsidRPr="005E4F79">
        <w:t xml:space="preserve"> a new methodological</w:t>
      </w:r>
      <w:r w:rsidR="0026668B">
        <w:t xml:space="preserve"> </w:t>
      </w:r>
      <w:r w:rsidR="0026668B" w:rsidRPr="005E4F79">
        <w:t xml:space="preserve">framework </w:t>
      </w:r>
      <w:r w:rsidR="0026668B">
        <w:t xml:space="preserve">that </w:t>
      </w:r>
      <w:r w:rsidR="0026668B" w:rsidRPr="00B630C2">
        <w:rPr>
          <w:color w:val="000000" w:themeColor="text1"/>
        </w:rPr>
        <w:t xml:space="preserve">takes the form of a joint </w:t>
      </w:r>
      <w:r w:rsidR="009663F4">
        <w:rPr>
          <w:color w:val="000000" w:themeColor="text1"/>
        </w:rPr>
        <w:t>multiperiod</w:t>
      </w:r>
      <w:r w:rsidR="0026668B" w:rsidRPr="00B630C2">
        <w:rPr>
          <w:color w:val="000000" w:themeColor="text1"/>
        </w:rPr>
        <w:t xml:space="preserve"> </w:t>
      </w:r>
      <w:r w:rsidR="0026668B">
        <w:rPr>
          <w:color w:val="000000" w:themeColor="text1"/>
        </w:rPr>
        <w:t xml:space="preserve">and cross-sectional </w:t>
      </w:r>
      <w:r w:rsidR="0026668B" w:rsidRPr="00B630C2">
        <w:rPr>
          <w:color w:val="000000" w:themeColor="text1"/>
        </w:rPr>
        <w:t xml:space="preserve">MBP system </w:t>
      </w:r>
      <w:r w:rsidR="0026668B" w:rsidRPr="005E4F79">
        <w:t xml:space="preserve">to investigate telemedicine adoption trends </w:t>
      </w:r>
      <w:r w:rsidR="0026668B">
        <w:t>as well as the facilitat</w:t>
      </w:r>
      <w:r w:rsidR="0091517C">
        <w:t>o</w:t>
      </w:r>
      <w:r w:rsidR="0026668B">
        <w:t xml:space="preserve">rs and deterrents of telemedicine adoption. </w:t>
      </w:r>
      <w:r w:rsidR="0026668B" w:rsidRPr="00AE0984">
        <w:rPr>
          <w:rFonts w:asciiTheme="majorBidi" w:hAnsiTheme="majorBidi" w:cstheme="majorBidi"/>
          <w:bCs/>
          <w:lang w:val="la-Latn"/>
        </w:rPr>
        <w:t xml:space="preserve">The primary </w:t>
      </w:r>
      <w:r w:rsidR="0026668B">
        <w:rPr>
          <w:rFonts w:asciiTheme="majorBidi" w:hAnsiTheme="majorBidi" w:cstheme="majorBidi"/>
          <w:bCs/>
        </w:rPr>
        <w:t xml:space="preserve">data </w:t>
      </w:r>
      <w:r w:rsidR="0026668B" w:rsidRPr="00AE0984">
        <w:rPr>
          <w:rFonts w:asciiTheme="majorBidi" w:hAnsiTheme="majorBidi" w:cstheme="majorBidi"/>
          <w:bCs/>
          <w:lang w:val="la-Latn"/>
        </w:rPr>
        <w:t xml:space="preserve">used </w:t>
      </w:r>
      <w:r w:rsidR="0026668B">
        <w:rPr>
          <w:rFonts w:asciiTheme="majorBidi" w:hAnsiTheme="majorBidi" w:cstheme="majorBidi"/>
          <w:bCs/>
        </w:rPr>
        <w:t>in</w:t>
      </w:r>
      <w:r w:rsidR="0026668B" w:rsidRPr="00AE0984">
        <w:rPr>
          <w:rFonts w:asciiTheme="majorBidi" w:hAnsiTheme="majorBidi" w:cstheme="majorBidi"/>
          <w:bCs/>
          <w:lang w:val="la-Latn"/>
        </w:rPr>
        <w:t xml:space="preserve"> this study is </w:t>
      </w:r>
      <w:r w:rsidR="0026668B">
        <w:rPr>
          <w:rFonts w:asciiTheme="majorBidi" w:hAnsiTheme="majorBidi" w:cstheme="majorBidi"/>
          <w:bCs/>
        </w:rPr>
        <w:t xml:space="preserve">obtained from </w:t>
      </w:r>
      <w:r w:rsidR="00015E61">
        <w:rPr>
          <w:rFonts w:asciiTheme="majorBidi" w:hAnsiTheme="majorBidi" w:cstheme="majorBidi"/>
          <w:bCs/>
        </w:rPr>
        <w:t xml:space="preserve">the </w:t>
      </w:r>
      <w:r w:rsidR="0026668B" w:rsidRPr="00AE0984">
        <w:rPr>
          <w:rFonts w:asciiTheme="majorBidi" w:hAnsiTheme="majorBidi" w:cstheme="majorBidi"/>
          <w:bCs/>
          <w:lang w:val="la-Latn"/>
        </w:rPr>
        <w:t>COVID Future Survey</w:t>
      </w:r>
      <w:r w:rsidR="0026668B">
        <w:rPr>
          <w:rFonts w:asciiTheme="majorBidi" w:hAnsiTheme="majorBidi" w:cstheme="majorBidi"/>
          <w:bCs/>
        </w:rPr>
        <w:t xml:space="preserve"> undertaken in the timeframe of April 2020-November 2021, which was supplemented by population density </w:t>
      </w:r>
      <w:r w:rsidR="0026668B" w:rsidRPr="00087394">
        <w:rPr>
          <w:rFonts w:asciiTheme="majorBidi" w:hAnsiTheme="majorBidi" w:cstheme="majorBidi"/>
          <w:bCs/>
          <w:lang w:val="la-Latn"/>
        </w:rPr>
        <w:t xml:space="preserve">data </w:t>
      </w:r>
      <w:r w:rsidR="0026668B" w:rsidRPr="00AE0984">
        <w:rPr>
          <w:rFonts w:asciiTheme="majorBidi" w:hAnsiTheme="majorBidi" w:cstheme="majorBidi"/>
          <w:bCs/>
          <w:lang w:val="la-Latn"/>
        </w:rPr>
        <w:t>from the 2021 American Community Survey</w:t>
      </w:r>
      <w:r w:rsidR="0026668B">
        <w:rPr>
          <w:rFonts w:asciiTheme="majorBidi" w:hAnsiTheme="majorBidi" w:cstheme="majorBidi"/>
          <w:bCs/>
        </w:rPr>
        <w:t xml:space="preserve"> and the number of healthcare-related establishment data from the U.S. Census </w:t>
      </w:r>
      <w:r w:rsidR="0026668B" w:rsidRPr="008626C8">
        <w:rPr>
          <w:rFonts w:asciiTheme="majorBidi" w:hAnsiTheme="majorBidi" w:cstheme="majorBidi"/>
          <w:bCs/>
        </w:rPr>
        <w:t xml:space="preserve">Bureau </w:t>
      </w:r>
      <w:r w:rsidR="0026668B">
        <w:rPr>
          <w:rFonts w:asciiTheme="majorBidi" w:hAnsiTheme="majorBidi" w:cstheme="majorBidi"/>
          <w:bCs/>
        </w:rPr>
        <w:t xml:space="preserve">2021 </w:t>
      </w:r>
      <w:r w:rsidR="0026668B" w:rsidRPr="00032207">
        <w:rPr>
          <w:rFonts w:asciiTheme="majorBidi" w:hAnsiTheme="majorBidi" w:cstheme="majorBidi"/>
          <w:bCs/>
        </w:rPr>
        <w:t xml:space="preserve">County Business Patterns (CBP) </w:t>
      </w:r>
      <w:r w:rsidR="0026668B">
        <w:rPr>
          <w:rFonts w:asciiTheme="majorBidi" w:hAnsiTheme="majorBidi" w:cstheme="majorBidi"/>
          <w:bCs/>
        </w:rPr>
        <w:t xml:space="preserve">dataset.  </w:t>
      </w:r>
    </w:p>
    <w:p w14:paraId="334B4AE2" w14:textId="07AB08F4" w:rsidR="00EF5882" w:rsidRDefault="00EF5882" w:rsidP="00363830">
      <w:pPr>
        <w:spacing w:after="0" w:line="240" w:lineRule="auto"/>
        <w:ind w:firstLine="720"/>
        <w:jc w:val="both"/>
        <w:rPr>
          <w:color w:val="0D0D0D"/>
        </w:rPr>
      </w:pPr>
      <w:r w:rsidRPr="00EF5882">
        <w:rPr>
          <w:color w:val="0D0D0D"/>
        </w:rPr>
        <w:t xml:space="preserve">The findings </w:t>
      </w:r>
      <w:r w:rsidR="0026668B">
        <w:rPr>
          <w:color w:val="0D0D0D"/>
        </w:rPr>
        <w:t xml:space="preserve">from the </w:t>
      </w:r>
      <w:r w:rsidR="00A031F9">
        <w:rPr>
          <w:color w:val="0D0D0D"/>
        </w:rPr>
        <w:t>telemedic</w:t>
      </w:r>
      <w:r w:rsidR="00D658B2">
        <w:rPr>
          <w:color w:val="0D0D0D"/>
        </w:rPr>
        <w:t>i</w:t>
      </w:r>
      <w:r w:rsidR="00A031F9">
        <w:rPr>
          <w:color w:val="0D0D0D"/>
        </w:rPr>
        <w:t xml:space="preserve">ne adoption component of the </w:t>
      </w:r>
      <w:r w:rsidR="0026668B">
        <w:rPr>
          <w:color w:val="0D0D0D"/>
        </w:rPr>
        <w:t xml:space="preserve">study </w:t>
      </w:r>
      <w:r w:rsidRPr="00EF5882">
        <w:rPr>
          <w:color w:val="0D0D0D"/>
        </w:rPr>
        <w:t xml:space="preserve">underscore the impact of </w:t>
      </w:r>
      <w:r w:rsidR="0091517C">
        <w:rPr>
          <w:color w:val="0D0D0D"/>
        </w:rPr>
        <w:t>a multitude of demographic and place-based characteristics. T</w:t>
      </w:r>
      <w:r w:rsidRPr="00EF5882">
        <w:rPr>
          <w:color w:val="0D0D0D"/>
        </w:rPr>
        <w:t xml:space="preserve">he study identifies a generational digital divide, with older adults exhibiting lower telemedicine adoption rates, potentially due to technological barriers and a preference for traditional healthcare interactions. </w:t>
      </w:r>
      <w:r>
        <w:t xml:space="preserve">Additionally, </w:t>
      </w:r>
      <w:r>
        <w:rPr>
          <w:color w:val="0D0D0D"/>
        </w:rPr>
        <w:t>t</w:t>
      </w:r>
      <w:r w:rsidRPr="00EF5882">
        <w:rPr>
          <w:color w:val="0D0D0D"/>
        </w:rPr>
        <w:t xml:space="preserve">he </w:t>
      </w:r>
      <w:r>
        <w:rPr>
          <w:color w:val="0D0D0D"/>
        </w:rPr>
        <w:t xml:space="preserve">results reveal the </w:t>
      </w:r>
      <w:r w:rsidRPr="00EF5882">
        <w:rPr>
          <w:color w:val="0D0D0D"/>
        </w:rPr>
        <w:t xml:space="preserve">role of </w:t>
      </w:r>
      <w:r w:rsidR="00530825">
        <w:rPr>
          <w:color w:val="0D0D0D"/>
        </w:rPr>
        <w:t xml:space="preserve">the </w:t>
      </w:r>
      <w:r w:rsidR="0091517C">
        <w:rPr>
          <w:color w:val="0D0D0D"/>
        </w:rPr>
        <w:t>presenc</w:t>
      </w:r>
      <w:r w:rsidR="00D658B2">
        <w:rPr>
          <w:color w:val="0D0D0D"/>
        </w:rPr>
        <w:t>e</w:t>
      </w:r>
      <w:r w:rsidR="0091517C">
        <w:rPr>
          <w:color w:val="0D0D0D"/>
        </w:rPr>
        <w:t xml:space="preserve"> of children</w:t>
      </w:r>
      <w:r w:rsidR="00D658B2">
        <w:rPr>
          <w:color w:val="0D0D0D"/>
        </w:rPr>
        <w:t>,</w:t>
      </w:r>
      <w:r w:rsidR="0091517C">
        <w:rPr>
          <w:color w:val="0D0D0D"/>
        </w:rPr>
        <w:t xml:space="preserve"> income, </w:t>
      </w:r>
      <w:r w:rsidRPr="00EF5882">
        <w:rPr>
          <w:color w:val="0D0D0D"/>
        </w:rPr>
        <w:t>transportation access, employment status, and residential location characteristics</w:t>
      </w:r>
      <w:r>
        <w:rPr>
          <w:color w:val="0D0D0D"/>
        </w:rPr>
        <w:t xml:space="preserve">. </w:t>
      </w:r>
      <w:r w:rsidRPr="00EF5882">
        <w:rPr>
          <w:color w:val="0D0D0D"/>
        </w:rPr>
        <w:t xml:space="preserve">The sustained use of telemedicine </w:t>
      </w:r>
      <w:r>
        <w:rPr>
          <w:color w:val="0D0D0D"/>
        </w:rPr>
        <w:t>by individuals who do not have access to a vehicle or who live</w:t>
      </w:r>
      <w:r w:rsidRPr="00EF5882">
        <w:rPr>
          <w:color w:val="0D0D0D"/>
        </w:rPr>
        <w:t xml:space="preserve"> </w:t>
      </w:r>
      <w:r>
        <w:rPr>
          <w:color w:val="0D0D0D"/>
        </w:rPr>
        <w:t xml:space="preserve">in </w:t>
      </w:r>
      <w:r w:rsidRPr="00EF5882">
        <w:rPr>
          <w:color w:val="0D0D0D"/>
        </w:rPr>
        <w:t xml:space="preserve">areas with lower geographic accessibility to healthcare providers highlights </w:t>
      </w:r>
      <w:r w:rsidR="00A06FC7">
        <w:rPr>
          <w:color w:val="0D0D0D"/>
        </w:rPr>
        <w:t>a promising</w:t>
      </w:r>
      <w:r w:rsidRPr="00EF5882">
        <w:rPr>
          <w:color w:val="0D0D0D"/>
        </w:rPr>
        <w:t xml:space="preserve"> potential </w:t>
      </w:r>
      <w:r>
        <w:rPr>
          <w:color w:val="0D0D0D"/>
        </w:rPr>
        <w:t>to reduce</w:t>
      </w:r>
      <w:r w:rsidRPr="00EF5882">
        <w:rPr>
          <w:color w:val="0D0D0D"/>
        </w:rPr>
        <w:t xml:space="preserve"> disparities in healthcare access related to geographical barriers.</w:t>
      </w:r>
      <w:r>
        <w:rPr>
          <w:color w:val="0D0D0D"/>
        </w:rPr>
        <w:t xml:space="preserve"> Also, the shift to teleworking appears to strongly affect telemedicine adoption</w:t>
      </w:r>
      <w:r w:rsidR="0091517C">
        <w:rPr>
          <w:color w:val="0D0D0D"/>
        </w:rPr>
        <w:t xml:space="preserve"> with</w:t>
      </w:r>
      <w:r>
        <w:rPr>
          <w:color w:val="0D0D0D"/>
        </w:rPr>
        <w:t xml:space="preserve"> f</w:t>
      </w:r>
      <w:r w:rsidRPr="00EF5882">
        <w:rPr>
          <w:color w:val="0D0D0D"/>
        </w:rPr>
        <w:t xml:space="preserve">requent teleworkers </w:t>
      </w:r>
      <w:r w:rsidR="0091517C">
        <w:rPr>
          <w:color w:val="0D0D0D"/>
        </w:rPr>
        <w:t xml:space="preserve">more likely to embrace </w:t>
      </w:r>
      <w:r w:rsidRPr="00EF5882">
        <w:rPr>
          <w:color w:val="0D0D0D"/>
        </w:rPr>
        <w:t>telemedicine use.</w:t>
      </w:r>
    </w:p>
    <w:p w14:paraId="2FD09718" w14:textId="2041C616" w:rsidR="00251B13" w:rsidRPr="00251B13" w:rsidRDefault="00A06FC7" w:rsidP="0069340B">
      <w:pPr>
        <w:spacing w:after="0" w:line="240" w:lineRule="auto"/>
        <w:ind w:firstLine="720"/>
        <w:jc w:val="both"/>
        <w:rPr>
          <w:rFonts w:eastAsia="Times New Roman"/>
        </w:rPr>
      </w:pPr>
      <w:r w:rsidRPr="00A06FC7">
        <w:rPr>
          <w:color w:val="0D0D0D"/>
        </w:rPr>
        <w:t xml:space="preserve">The </w:t>
      </w:r>
      <w:r w:rsidR="00A031F9">
        <w:rPr>
          <w:color w:val="0D0D0D"/>
        </w:rPr>
        <w:t>results from the telemedicine facilitator/deterrent</w:t>
      </w:r>
      <w:r w:rsidRPr="00A06FC7">
        <w:rPr>
          <w:color w:val="0D0D0D"/>
        </w:rPr>
        <w:t xml:space="preserve"> analysis </w:t>
      </w:r>
      <w:r w:rsidR="00A031F9">
        <w:rPr>
          <w:color w:val="0D0D0D"/>
        </w:rPr>
        <w:t xml:space="preserve">component of the study </w:t>
      </w:r>
      <w:r w:rsidR="00EF5882" w:rsidRPr="00EF5882">
        <w:rPr>
          <w:color w:val="0D0D0D"/>
          <w:shd w:val="clear" w:color="auto" w:fill="FFFFFF"/>
        </w:rPr>
        <w:t xml:space="preserve">delineate the critical role of </w:t>
      </w:r>
      <w:r w:rsidR="00B41FDB">
        <w:rPr>
          <w:color w:val="0D0D0D"/>
          <w:shd w:val="clear" w:color="auto" w:fill="FFFFFF"/>
        </w:rPr>
        <w:t>accessibility</w:t>
      </w:r>
      <w:r w:rsidR="00EF5882" w:rsidRPr="00EF5882">
        <w:rPr>
          <w:color w:val="0D0D0D"/>
          <w:shd w:val="clear" w:color="auto" w:fill="FFFFFF"/>
        </w:rPr>
        <w:t>, lifestyle preferences,</w:t>
      </w:r>
      <w:r w:rsidR="00B41FDB">
        <w:rPr>
          <w:color w:val="0D0D0D"/>
          <w:shd w:val="clear" w:color="auto" w:fill="FFFFFF"/>
        </w:rPr>
        <w:t xml:space="preserve"> privacy and security issues, technological confidence, </w:t>
      </w:r>
      <w:r w:rsidR="00EF5882" w:rsidRPr="00EF5882">
        <w:rPr>
          <w:color w:val="0D0D0D"/>
          <w:shd w:val="clear" w:color="auto" w:fill="FFFFFF"/>
        </w:rPr>
        <w:t xml:space="preserve">and practical constraints in driving telemedicine adoption for </w:t>
      </w:r>
      <w:r w:rsidR="00EF5882" w:rsidRPr="00875829">
        <w:rPr>
          <w:color w:val="000000" w:themeColor="text1"/>
          <w:shd w:val="clear" w:color="auto" w:fill="FFFFFF"/>
        </w:rPr>
        <w:t>addressing access challenges.</w:t>
      </w:r>
      <w:r w:rsidR="00A031F9">
        <w:rPr>
          <w:color w:val="000000" w:themeColor="text1"/>
          <w:shd w:val="clear" w:color="auto" w:fill="FFFFFF"/>
        </w:rPr>
        <w:t xml:space="preserve"> The ATE analysis in the study provides important </w:t>
      </w:r>
      <w:r w:rsidR="00731CEA">
        <w:rPr>
          <w:color w:val="000000" w:themeColor="text1"/>
          <w:shd w:val="clear" w:color="auto" w:fill="FFFFFF"/>
        </w:rPr>
        <w:t xml:space="preserve">insights related to </w:t>
      </w:r>
      <w:r w:rsidR="00A031F9">
        <w:rPr>
          <w:color w:val="000000" w:themeColor="text1"/>
          <w:shd w:val="clear" w:color="auto" w:fill="FFFFFF"/>
        </w:rPr>
        <w:t xml:space="preserve">policy implications for </w:t>
      </w:r>
      <w:r w:rsidR="00586020">
        <w:rPr>
          <w:color w:val="000000" w:themeColor="text1"/>
        </w:rPr>
        <w:t>multiple sectors</w:t>
      </w:r>
      <w:r w:rsidR="00731CEA">
        <w:rPr>
          <w:color w:val="000000" w:themeColor="text1"/>
        </w:rPr>
        <w:t>,</w:t>
      </w:r>
      <w:r w:rsidR="00586020">
        <w:rPr>
          <w:color w:val="000000" w:themeColor="text1"/>
        </w:rPr>
        <w:t xml:space="preserve"> including public health, </w:t>
      </w:r>
      <w:r w:rsidR="00CC12E5" w:rsidRPr="00CC12E5">
        <w:rPr>
          <w:color w:val="000000" w:themeColor="text1"/>
        </w:rPr>
        <w:t xml:space="preserve">telecommunication, </w:t>
      </w:r>
      <w:r w:rsidR="00B02094">
        <w:rPr>
          <w:color w:val="000000" w:themeColor="text1"/>
        </w:rPr>
        <w:t>as well as</w:t>
      </w:r>
      <w:r w:rsidR="00731CEA">
        <w:rPr>
          <w:color w:val="000000" w:themeColor="text1"/>
        </w:rPr>
        <w:t xml:space="preserve"> </w:t>
      </w:r>
      <w:r w:rsidR="00CC12E5" w:rsidRPr="00CC12E5">
        <w:rPr>
          <w:color w:val="000000" w:themeColor="text1"/>
        </w:rPr>
        <w:t>transportation</w:t>
      </w:r>
      <w:r w:rsidR="00530825">
        <w:rPr>
          <w:color w:val="000000" w:themeColor="text1"/>
        </w:rPr>
        <w:t>,</w:t>
      </w:r>
      <w:r w:rsidR="00CC12E5" w:rsidRPr="00CC12E5">
        <w:rPr>
          <w:color w:val="000000" w:themeColor="text1"/>
        </w:rPr>
        <w:t xml:space="preserve"> </w:t>
      </w:r>
      <w:r w:rsidR="00586020">
        <w:rPr>
          <w:color w:val="000000" w:themeColor="text1"/>
        </w:rPr>
        <w:t>and urban planning</w:t>
      </w:r>
      <w:r w:rsidR="00CC12E5" w:rsidRPr="00CC12E5">
        <w:rPr>
          <w:color w:val="000000" w:themeColor="text1"/>
        </w:rPr>
        <w:t>.</w:t>
      </w:r>
      <w:r w:rsidR="00EF5882" w:rsidRPr="00875829">
        <w:rPr>
          <w:color w:val="000000" w:themeColor="text1"/>
        </w:rPr>
        <w:t xml:space="preserve"> </w:t>
      </w:r>
      <w:bookmarkStart w:id="75" w:name="_Hlk178870860"/>
      <w:r w:rsidR="00251B13">
        <w:rPr>
          <w:color w:val="000000" w:themeColor="text1"/>
        </w:rPr>
        <w:t>Interestingly, the results highlight how t</w:t>
      </w:r>
      <w:r w:rsidR="00251B13" w:rsidRPr="00251B13">
        <w:rPr>
          <w:rFonts w:eastAsia="Times New Roman"/>
        </w:rPr>
        <w:t>elemedicine adoption is intrinsically influenced by transportation systems and urban contexts,</w:t>
      </w:r>
      <w:r w:rsidR="00251B13">
        <w:rPr>
          <w:rFonts w:eastAsia="Times New Roman"/>
        </w:rPr>
        <w:t xml:space="preserve"> </w:t>
      </w:r>
      <w:r w:rsidR="00251B13" w:rsidRPr="00251B13">
        <w:rPr>
          <w:rFonts w:eastAsia="Times New Roman"/>
        </w:rPr>
        <w:t>while also playing a transformative role by changing the dynamics of urban mobility</w:t>
      </w:r>
      <w:r w:rsidR="00251B13">
        <w:rPr>
          <w:rFonts w:eastAsia="Times New Roman"/>
        </w:rPr>
        <w:t>.</w:t>
      </w:r>
      <w:bookmarkEnd w:id="75"/>
    </w:p>
    <w:p w14:paraId="2E6D19C1" w14:textId="34562D10" w:rsidR="00B41FDB" w:rsidRDefault="00731CEA" w:rsidP="00363830">
      <w:pPr>
        <w:spacing w:after="0" w:line="240" w:lineRule="auto"/>
        <w:ind w:firstLine="720"/>
        <w:jc w:val="both"/>
        <w:rPr>
          <w:color w:val="000000" w:themeColor="text1"/>
          <w:shd w:val="clear" w:color="auto" w:fill="FFFFFF"/>
        </w:rPr>
      </w:pPr>
      <w:r>
        <w:rPr>
          <w:color w:val="000000" w:themeColor="text1"/>
        </w:rPr>
        <w:t xml:space="preserve">The research in this study may be advanced in many ways. </w:t>
      </w:r>
      <w:r w:rsidR="00B41FDB" w:rsidRPr="00875829">
        <w:rPr>
          <w:color w:val="000000" w:themeColor="text1"/>
          <w:u w:val="single"/>
          <w:shd w:val="clear" w:color="auto" w:fill="FFFFFF"/>
        </w:rPr>
        <w:t>First</w:t>
      </w:r>
      <w:r w:rsidR="00B41FDB" w:rsidRPr="00B41FDB">
        <w:rPr>
          <w:color w:val="000000" w:themeColor="text1"/>
          <w:shd w:val="clear" w:color="auto" w:fill="FFFFFF"/>
        </w:rPr>
        <w:t xml:space="preserve">, </w:t>
      </w:r>
      <w:r w:rsidR="00A83A8A">
        <w:rPr>
          <w:color w:val="000000" w:themeColor="text1"/>
          <w:shd w:val="clear" w:color="auto" w:fill="FFFFFF"/>
        </w:rPr>
        <w:t xml:space="preserve">our </w:t>
      </w:r>
      <w:r w:rsidR="00B41FDB" w:rsidRPr="00B41FDB">
        <w:rPr>
          <w:color w:val="000000" w:themeColor="text1"/>
          <w:shd w:val="clear" w:color="auto" w:fill="FFFFFF"/>
        </w:rPr>
        <w:t xml:space="preserve">study scope </w:t>
      </w:r>
      <w:r w:rsidR="00A83A8A">
        <w:rPr>
          <w:color w:val="000000" w:themeColor="text1"/>
          <w:shd w:val="clear" w:color="auto" w:fill="FFFFFF"/>
        </w:rPr>
        <w:t>wa</w:t>
      </w:r>
      <w:r w:rsidR="00B41FDB" w:rsidRPr="00B41FDB">
        <w:rPr>
          <w:color w:val="000000" w:themeColor="text1"/>
          <w:shd w:val="clear" w:color="auto" w:fill="FFFFFF"/>
        </w:rPr>
        <w:t>s limited to adoption and d</w:t>
      </w:r>
      <w:r w:rsidR="00A83A8A">
        <w:rPr>
          <w:color w:val="000000" w:themeColor="text1"/>
          <w:shd w:val="clear" w:color="auto" w:fill="FFFFFF"/>
        </w:rPr>
        <w:t>id</w:t>
      </w:r>
      <w:r w:rsidR="00B41FDB" w:rsidRPr="00B41FDB">
        <w:rPr>
          <w:color w:val="000000" w:themeColor="text1"/>
          <w:shd w:val="clear" w:color="auto" w:fill="FFFFFF"/>
        </w:rPr>
        <w:t xml:space="preserve"> not extend to detailed aspects such as the frequency of telemedicine consultations, the nature of these visits (whether routine check-ups, illness-related, or specialty care), or the specific healthcare needs being met. </w:t>
      </w:r>
      <w:r w:rsidR="00433890">
        <w:rPr>
          <w:color w:val="000000" w:themeColor="text1"/>
          <w:shd w:val="clear" w:color="auto" w:fill="FFFFFF"/>
        </w:rPr>
        <w:t xml:space="preserve">Future research on these more detailed aspects can lead to a better understanding of </w:t>
      </w:r>
      <w:r w:rsidR="00B41FDB" w:rsidRPr="00B41FDB">
        <w:rPr>
          <w:color w:val="000000" w:themeColor="text1"/>
          <w:shd w:val="clear" w:color="auto" w:fill="FFFFFF"/>
        </w:rPr>
        <w:t xml:space="preserve">the nuanced ways in which telemedicine </w:t>
      </w:r>
      <w:r w:rsidR="00A83A8A">
        <w:rPr>
          <w:color w:val="000000" w:themeColor="text1"/>
          <w:shd w:val="clear" w:color="auto" w:fill="FFFFFF"/>
        </w:rPr>
        <w:t xml:space="preserve">can </w:t>
      </w:r>
      <w:r w:rsidR="00B41FDB" w:rsidRPr="00B41FDB">
        <w:rPr>
          <w:color w:val="000000" w:themeColor="text1"/>
          <w:shd w:val="clear" w:color="auto" w:fill="FFFFFF"/>
        </w:rPr>
        <w:t xml:space="preserve">serve diverse healthcare requirements. </w:t>
      </w:r>
      <w:r>
        <w:rPr>
          <w:color w:val="000000" w:themeColor="text1"/>
          <w:shd w:val="clear" w:color="auto" w:fill="FFFFFF"/>
        </w:rPr>
        <w:t xml:space="preserve">Similarly, from an activity-travel standpoint, </w:t>
      </w:r>
      <w:r w:rsidR="00433890">
        <w:rPr>
          <w:color w:val="000000" w:themeColor="text1"/>
          <w:shd w:val="clear" w:color="auto" w:fill="FFFFFF"/>
        </w:rPr>
        <w:t xml:space="preserve">additional research is needed to investigate </w:t>
      </w:r>
      <w:r>
        <w:rPr>
          <w:color w:val="000000" w:themeColor="text1"/>
          <w:shd w:val="clear" w:color="auto" w:fill="FFFFFF"/>
        </w:rPr>
        <w:t xml:space="preserve">the interactions between in-person </w:t>
      </w:r>
      <w:r w:rsidR="00433890">
        <w:rPr>
          <w:color w:val="000000" w:themeColor="text1"/>
          <w:shd w:val="clear" w:color="auto" w:fill="FFFFFF"/>
        </w:rPr>
        <w:t xml:space="preserve">visits </w:t>
      </w:r>
      <w:r>
        <w:rPr>
          <w:color w:val="000000" w:themeColor="text1"/>
          <w:shd w:val="clear" w:color="auto" w:fill="FFFFFF"/>
        </w:rPr>
        <w:t xml:space="preserve">and telemedicine adoption </w:t>
      </w:r>
      <w:r w:rsidR="00433890">
        <w:rPr>
          <w:color w:val="000000" w:themeColor="text1"/>
          <w:shd w:val="clear" w:color="auto" w:fill="FFFFFF"/>
        </w:rPr>
        <w:t xml:space="preserve">at the level of each generated medical episode, along with the spatial/temporal/scheduling dimensions of such episodes. This can lead to a fuller picture of the effects on travel patterns. </w:t>
      </w:r>
      <w:r w:rsidR="00B41FDB" w:rsidRPr="00875829">
        <w:rPr>
          <w:color w:val="000000" w:themeColor="text1"/>
          <w:u w:val="single"/>
          <w:shd w:val="clear" w:color="auto" w:fill="FFFFFF"/>
        </w:rPr>
        <w:t>Second</w:t>
      </w:r>
      <w:r w:rsidR="00B41FDB" w:rsidRPr="00B41FDB">
        <w:rPr>
          <w:color w:val="000000" w:themeColor="text1"/>
          <w:shd w:val="clear" w:color="auto" w:fill="FFFFFF"/>
        </w:rPr>
        <w:t xml:space="preserve">, </w:t>
      </w:r>
      <w:r>
        <w:rPr>
          <w:color w:val="000000" w:themeColor="text1"/>
          <w:shd w:val="clear" w:color="auto" w:fill="FFFFFF"/>
        </w:rPr>
        <w:t xml:space="preserve">for families with children, </w:t>
      </w:r>
      <w:r w:rsidR="00B41FDB" w:rsidRPr="00B41FDB">
        <w:rPr>
          <w:color w:val="000000" w:themeColor="text1"/>
          <w:shd w:val="clear" w:color="auto" w:fill="FFFFFF"/>
        </w:rPr>
        <w:t xml:space="preserve">the analysis does not differentiate between telemedicine consultations conducted for the respondents themselves and those for their children. This distinction is </w:t>
      </w:r>
      <w:r>
        <w:rPr>
          <w:color w:val="000000" w:themeColor="text1"/>
          <w:shd w:val="clear" w:color="auto" w:fill="FFFFFF"/>
        </w:rPr>
        <w:t>important</w:t>
      </w:r>
      <w:r w:rsidR="00B41FDB" w:rsidRPr="00B41FDB">
        <w:rPr>
          <w:color w:val="000000" w:themeColor="text1"/>
          <w:shd w:val="clear" w:color="auto" w:fill="FFFFFF"/>
        </w:rPr>
        <w:t xml:space="preserve"> for accurately capturing telemedicine adoption rates and understanding its role in family healthcare management</w:t>
      </w:r>
      <w:r w:rsidR="00433890">
        <w:rPr>
          <w:color w:val="000000" w:themeColor="text1"/>
          <w:shd w:val="clear" w:color="auto" w:fill="FFFFFF"/>
        </w:rPr>
        <w:t xml:space="preserve"> as well as family travel patterns</w:t>
      </w:r>
      <w:r w:rsidR="00B41FDB" w:rsidRPr="00B41FDB">
        <w:rPr>
          <w:color w:val="000000" w:themeColor="text1"/>
          <w:shd w:val="clear" w:color="auto" w:fill="FFFFFF"/>
        </w:rPr>
        <w:t xml:space="preserve">. </w:t>
      </w:r>
      <w:r w:rsidR="00B41FDB" w:rsidRPr="00875829">
        <w:rPr>
          <w:color w:val="000000" w:themeColor="text1"/>
          <w:u w:val="single"/>
          <w:shd w:val="clear" w:color="auto" w:fill="FFFFFF"/>
        </w:rPr>
        <w:t>Third</w:t>
      </w:r>
      <w:r w:rsidR="00B41FDB" w:rsidRPr="00B41FDB">
        <w:rPr>
          <w:color w:val="000000" w:themeColor="text1"/>
          <w:shd w:val="clear" w:color="auto" w:fill="FFFFFF"/>
        </w:rPr>
        <w:t xml:space="preserve">, the dataset used in this study limited our analysis to </w:t>
      </w:r>
      <w:r w:rsidR="00B41FDB" w:rsidRPr="00B41FDB">
        <w:rPr>
          <w:color w:val="000000" w:themeColor="text1"/>
          <w:shd w:val="clear" w:color="auto" w:fill="FFFFFF"/>
        </w:rPr>
        <w:lastRenderedPageBreak/>
        <w:t xml:space="preserve">individual telemedicine adoption behaviors rather than </w:t>
      </w:r>
      <w:r w:rsidR="001F563E">
        <w:rPr>
          <w:color w:val="000000" w:themeColor="text1"/>
          <w:shd w:val="clear" w:color="auto" w:fill="FFFFFF"/>
        </w:rPr>
        <w:t xml:space="preserve">to </w:t>
      </w:r>
      <w:r w:rsidR="00B41FDB" w:rsidRPr="00B41FDB">
        <w:rPr>
          <w:color w:val="000000" w:themeColor="text1"/>
          <w:shd w:val="clear" w:color="auto" w:fill="FFFFFF"/>
        </w:rPr>
        <w:t>household</w:t>
      </w:r>
      <w:r w:rsidR="001F563E">
        <w:rPr>
          <w:color w:val="000000" w:themeColor="text1"/>
          <w:shd w:val="clear" w:color="auto" w:fill="FFFFFF"/>
        </w:rPr>
        <w:t xml:space="preserve"> behaviors</w:t>
      </w:r>
      <w:r w:rsidR="00B41FDB" w:rsidRPr="00B41FDB">
        <w:rPr>
          <w:color w:val="000000" w:themeColor="text1"/>
          <w:shd w:val="clear" w:color="auto" w:fill="FFFFFF"/>
        </w:rPr>
        <w:t xml:space="preserve">. Consequently, the results do not capture </w:t>
      </w:r>
      <w:r w:rsidR="001F563E">
        <w:rPr>
          <w:color w:val="000000" w:themeColor="text1"/>
          <w:shd w:val="clear" w:color="auto" w:fill="FFFFFF"/>
        </w:rPr>
        <w:t xml:space="preserve">telemedicine-related use interactions among </w:t>
      </w:r>
      <w:r w:rsidR="00B41FDB" w:rsidRPr="00B41FDB">
        <w:rPr>
          <w:color w:val="000000" w:themeColor="text1"/>
          <w:shd w:val="clear" w:color="auto" w:fill="FFFFFF"/>
        </w:rPr>
        <w:t>multiple household members, which c</w:t>
      </w:r>
      <w:r w:rsidR="001F563E">
        <w:rPr>
          <w:color w:val="000000" w:themeColor="text1"/>
          <w:shd w:val="clear" w:color="auto" w:fill="FFFFFF"/>
        </w:rPr>
        <w:t>an</w:t>
      </w:r>
      <w:r w:rsidR="00B41FDB" w:rsidRPr="00B41FDB">
        <w:rPr>
          <w:color w:val="000000" w:themeColor="text1"/>
          <w:shd w:val="clear" w:color="auto" w:fill="FFFFFF"/>
        </w:rPr>
        <w:t xml:space="preserve"> offer a more comprehensive view of its impact on household healthcare access and </w:t>
      </w:r>
      <w:r w:rsidR="00433890">
        <w:rPr>
          <w:color w:val="000000" w:themeColor="text1"/>
          <w:shd w:val="clear" w:color="auto" w:fill="FFFFFF"/>
        </w:rPr>
        <w:t xml:space="preserve">activity-travel </w:t>
      </w:r>
      <w:r w:rsidR="00B41FDB" w:rsidRPr="00B41FDB">
        <w:rPr>
          <w:color w:val="000000" w:themeColor="text1"/>
          <w:shd w:val="clear" w:color="auto" w:fill="FFFFFF"/>
        </w:rPr>
        <w:t>decision-making.</w:t>
      </w:r>
      <w:r w:rsidR="00586020">
        <w:rPr>
          <w:color w:val="000000" w:themeColor="text1"/>
          <w:shd w:val="clear" w:color="auto" w:fill="FFFFFF"/>
        </w:rPr>
        <w:t xml:space="preserve"> </w:t>
      </w:r>
    </w:p>
    <w:p w14:paraId="4C7B6680" w14:textId="3908A676" w:rsidR="00433890" w:rsidRPr="00B02094" w:rsidRDefault="00433890" w:rsidP="00363830">
      <w:pPr>
        <w:spacing w:after="0" w:line="240" w:lineRule="auto"/>
        <w:ind w:firstLine="720"/>
        <w:jc w:val="both"/>
        <w:rPr>
          <w:color w:val="000000" w:themeColor="text1"/>
        </w:rPr>
      </w:pPr>
      <w:r>
        <w:rPr>
          <w:color w:val="000000" w:themeColor="text1"/>
          <w:shd w:val="clear" w:color="auto" w:fill="FFFFFF"/>
        </w:rPr>
        <w:t xml:space="preserve">In conclusion, </w:t>
      </w:r>
      <w:r w:rsidR="00920625">
        <w:rPr>
          <w:color w:val="000000" w:themeColor="text1"/>
        </w:rPr>
        <w:t xml:space="preserve">telemedicine has substantial potential to transform the health and urban landscapes of our cities and rural areas, and </w:t>
      </w:r>
      <w:r w:rsidR="00DC59B6">
        <w:rPr>
          <w:color w:val="000000" w:themeColor="text1"/>
        </w:rPr>
        <w:t xml:space="preserve">help build </w:t>
      </w:r>
      <w:r w:rsidR="00920625" w:rsidRPr="00CC12E5">
        <w:rPr>
          <w:color w:val="000000" w:themeColor="text1"/>
        </w:rPr>
        <w:t xml:space="preserve">resilient, inclusive, and sustainable healthcare </w:t>
      </w:r>
      <w:r w:rsidR="00920625">
        <w:rPr>
          <w:color w:val="000000" w:themeColor="text1"/>
        </w:rPr>
        <w:t xml:space="preserve">and transportation </w:t>
      </w:r>
      <w:r w:rsidR="00920625" w:rsidRPr="00CC12E5">
        <w:rPr>
          <w:color w:val="000000" w:themeColor="text1"/>
        </w:rPr>
        <w:t>system</w:t>
      </w:r>
      <w:r w:rsidR="00920625">
        <w:rPr>
          <w:color w:val="000000" w:themeColor="text1"/>
        </w:rPr>
        <w:t>s. The current research contribut</w:t>
      </w:r>
      <w:r w:rsidR="00DC59B6">
        <w:rPr>
          <w:color w:val="000000" w:themeColor="text1"/>
        </w:rPr>
        <w:t>es to the field in</w:t>
      </w:r>
      <w:r w:rsidR="00920625">
        <w:rPr>
          <w:color w:val="000000" w:themeColor="text1"/>
        </w:rPr>
        <w:t xml:space="preserve"> this direction. </w:t>
      </w:r>
    </w:p>
    <w:p w14:paraId="766BAFF5" w14:textId="77777777" w:rsidR="00B41FDB" w:rsidRPr="00B41FDB" w:rsidRDefault="00B41FDB" w:rsidP="00363830">
      <w:pPr>
        <w:spacing w:after="0" w:line="240" w:lineRule="auto"/>
        <w:jc w:val="both"/>
        <w:rPr>
          <w:rFonts w:ascii="Arial" w:hAnsi="Arial" w:cs="Arial"/>
          <w:color w:val="1F1F1F"/>
          <w:shd w:val="clear" w:color="auto" w:fill="FFFFFF"/>
        </w:rPr>
      </w:pPr>
    </w:p>
    <w:p w14:paraId="01712B01" w14:textId="1A603094" w:rsidR="002D3EE2" w:rsidRPr="006F3050" w:rsidRDefault="002D3EE2" w:rsidP="005F0224">
      <w:pPr>
        <w:pStyle w:val="Heading1"/>
        <w:numPr>
          <w:ilvl w:val="0"/>
          <w:numId w:val="0"/>
        </w:numPr>
        <w:spacing w:after="0" w:line="240" w:lineRule="auto"/>
        <w:ind w:left="360" w:hanging="360"/>
        <w:contextualSpacing w:val="0"/>
        <w:rPr>
          <w:caps/>
        </w:rPr>
      </w:pPr>
      <w:r w:rsidRPr="006F3050">
        <w:rPr>
          <w:caps/>
        </w:rPr>
        <w:t>Acknowledg</w:t>
      </w:r>
      <w:r w:rsidR="006F3050">
        <w:rPr>
          <w:caps/>
        </w:rPr>
        <w:t>E</w:t>
      </w:r>
      <w:r w:rsidRPr="006F3050">
        <w:rPr>
          <w:caps/>
        </w:rPr>
        <w:t>ments</w:t>
      </w:r>
    </w:p>
    <w:p w14:paraId="093439AF" w14:textId="28281D8E" w:rsidR="00B41FDB" w:rsidRDefault="006B7F82" w:rsidP="00363830">
      <w:pPr>
        <w:spacing w:after="0" w:line="240" w:lineRule="auto"/>
        <w:jc w:val="both"/>
      </w:pPr>
      <w:r w:rsidRPr="00351D1D">
        <w:t>This research was partially supported by the U.S. Department of Transportation through the Center for Understanding Future Travel Behavior and Demand (TBD) (Grant No. 69A3552344815 and No. 69A3552348320).</w:t>
      </w:r>
      <w:r w:rsidR="00363830">
        <w:t xml:space="preserve"> </w:t>
      </w:r>
      <w:r w:rsidR="00A11245">
        <w:t>The authors are grateful to Lisa Macias for her help in formatting this document, and to two anonymous reviewers who provided useful comments and suggestions on an earlier version of this paper.</w:t>
      </w:r>
    </w:p>
    <w:p w14:paraId="515715C2" w14:textId="77777777" w:rsidR="008858C9" w:rsidRDefault="008858C9" w:rsidP="00363830">
      <w:pPr>
        <w:spacing w:after="0" w:line="240" w:lineRule="auto"/>
        <w:jc w:val="both"/>
      </w:pPr>
    </w:p>
    <w:p w14:paraId="7F711E53" w14:textId="686AA8AB" w:rsidR="002D3EE2" w:rsidRPr="006F3050" w:rsidRDefault="002D3EE2" w:rsidP="00657CB2">
      <w:pPr>
        <w:pStyle w:val="Heading1"/>
        <w:numPr>
          <w:ilvl w:val="0"/>
          <w:numId w:val="0"/>
        </w:numPr>
        <w:spacing w:after="0" w:line="240" w:lineRule="auto"/>
        <w:contextualSpacing w:val="0"/>
        <w:rPr>
          <w:caps/>
        </w:rPr>
      </w:pPr>
      <w:bookmarkStart w:id="76" w:name="_Hlk167906626"/>
      <w:r w:rsidRPr="006F3050">
        <w:rPr>
          <w:caps/>
        </w:rPr>
        <w:t>References</w:t>
      </w:r>
    </w:p>
    <w:p w14:paraId="225BEA96" w14:textId="77777777" w:rsidR="00D863B3" w:rsidRPr="0097541F" w:rsidRDefault="00D863B3" w:rsidP="00657CB2">
      <w:pPr>
        <w:pStyle w:val="Bibliography"/>
        <w:spacing w:after="0" w:line="240" w:lineRule="auto"/>
        <w:ind w:left="360" w:hanging="360"/>
        <w:jc w:val="both"/>
        <w:rPr>
          <w:color w:val="000000" w:themeColor="text1"/>
        </w:rPr>
      </w:pPr>
      <w:bookmarkStart w:id="77" w:name="_Hlk166102925"/>
      <w:bookmarkEnd w:id="76"/>
      <w:r w:rsidRPr="0097541F">
        <w:rPr>
          <w:color w:val="000000" w:themeColor="text1"/>
        </w:rPr>
        <w:t>Adams, R. B., Nelson, V. R., and Holtz, B. E. (2021). Barriers for Telemedicine Use Among Nonusers at the Beginning of the Pandemic. Telemedicine Reports, 2(1), 211–216. https://doi.org/10.1089/tmr.2021.0022</w:t>
      </w:r>
    </w:p>
    <w:p w14:paraId="3B434BB1"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Adepoju, O. E., Chae, M., Ojinnaka, C. O., Shetty, S., and Angelocci, T. (2022). Utilization Gaps During the COVID-19 Pandemic: Racial and Ethnic Disparities in Telemedicine Uptake in Federally Qualified Health Center Clinics. Journal of General Internal Medicine, 37(5), 1191–1197. https://doi.org/10.1007/s11606-021-07304-4</w:t>
      </w:r>
    </w:p>
    <w:p w14:paraId="1FBB9EE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Alsharawy, A., Spoon, R., Smith, A., and Ball, S. (2021). Gender Differences in Fear and Risk Perception During the COVID-19 Pandemic. Frontiers in Psychology, 12. https://www.frontiersin.org/journals/psychology/articles/10.3389/fpsyg.2021.689467</w:t>
      </w:r>
    </w:p>
    <w:p w14:paraId="7BCC5A2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Anderson, B., Carr, K., and Donahue, C. (2022). Telehealth Now a Permanent Fixture for U.S. Healthcare Delivery. Chartis. https://www.chartis.com/insights/telehealth-now-permanent-fixture-us-healthcare-delivery</w:t>
      </w:r>
    </w:p>
    <w:p w14:paraId="69AAD677"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Ashman, J. J., Santo, L., and Okeyode, T. (2023). Characteristics of Office-based Physician Visits by Age, 2019 [National Health Statistics Report]. https://www.cdc.gov/nchs/data/nhsr/nhsr184.pdf</w:t>
      </w:r>
    </w:p>
    <w:p w14:paraId="59F286D8"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Bajgain, B., Rabi, S., Ahmed, S., Kiryanova, V., Fairie, P., and Santana, M. J. (2023). Patient-reported experiences and outcomes of virtual care during COVID-19: A systematic review. Journal of Patient-Reported Outcomes, 7(1), Article 1. https://doi.org/10.1186/s41687-023-00659-8</w:t>
      </w:r>
    </w:p>
    <w:p w14:paraId="482BF0B9"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Bazargan, M., Cobb, S., and Assari, S. (2021). Discrimination and Medical Mistrust in a Racially and Ethnically Diverse Sample of California Adults. Annals of Family Medicine, 19(1), 4–15. https://doi.org/10.1370/afm.2632</w:t>
      </w:r>
    </w:p>
    <w:p w14:paraId="58BEC465"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Bernardo, C., Paleti, R., Hoklas, M., and Bhat, C. (2015). An empirical investigation into the time-use and activity patterns of dual-earner couples with and without young children. Transportation Research Part A: Policy and Practice, 76, 71–91.</w:t>
      </w:r>
    </w:p>
    <w:p w14:paraId="298132B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Bhat, C. R. (2014). The Composite Marginal Likelihood (CML) Inference Approach with Applications to Discrete and Mixed Dependent Variable Models. Foundations and Trends® in Econometrics, 7(1), 1–117. https://doi.org/10.1561/0800000022</w:t>
      </w:r>
    </w:p>
    <w:p w14:paraId="5C82FF5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lastRenderedPageBreak/>
        <w:t>Bhat, C. R. (2018). New matrix-based methods for the analytic evaluation of the multivariate cumulative normal distribution function. Transportation Research Part B: Methodological, 109, 238–256.</w:t>
      </w:r>
    </w:p>
    <w:p w14:paraId="288A0E7C"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Burns, S. K., Krishnamurti, T., Doan, T. T., Hanmer, J., Hoberman, A., Kahn, J. M., Schweiberger, K., and Ray, K. N. (2024). Parent Perceptions of Telemedicine for Acute Pediatric Respiratory Tract Infections: Sequential Mixed Methods Study. JMIR Pediatrics and Parenting, 7(1), e49170. https://doi.org/10.2196/49170</w:t>
      </w:r>
    </w:p>
    <w:p w14:paraId="535A842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Campos-Castillo, C., and Anthony, D. (2021). Racial and ethnic differences in self-reported telehealth use during the COVID-19 pandemic: A secondary analysis of a US survey of internet users from late March. Journal of the American Medical Informatics Association: JAMIA, 28(1), 119–125. https://doi.org/10.1093/jamia/ocaa221</w:t>
      </w:r>
    </w:p>
    <w:p w14:paraId="528C0B6E"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Chandrasekaran, R. (2023). Telemedicine in the Post-Pandemic Period: Understanding Patterns of Use and the Influence of Socioeconomic Demographics, Health Status, and Social Determinants. Telemedicine and E-Health. https://doi.org/10.1089/tmj.2023.0277</w:t>
      </w:r>
    </w:p>
    <w:p w14:paraId="619F573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Chauhan, R. S., Bhagat-Conway, M. W., Capasso Da Silva, D., Salon, D., Shamshiripour, A., Rahimi, E., Khoeini, S., Mohammadian, A., Derrible, S., and Pendyala, R. (2021). A database of travel-related behaviors and attitudes before, during, and after COVID-19 in the United States. Scientific Data, 8(1), Article 1. https://doi.org/10.1038/s41597-021-01020-8</w:t>
      </w:r>
    </w:p>
    <w:p w14:paraId="38E10A0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Chen, K. L., Brozen, M., Rollman, J. E., Ward, T., Norris, K. C., Gregory, K. D., and Zimmerman, F. J. (2021). How is the COVID-19 pandemic shaping transportation access to health care? Transportation Research Interdisciplinary Perspectives, 10, 100338. https://doi.org/10.1016/j.trip.2021.100338</w:t>
      </w:r>
    </w:p>
    <w:p w14:paraId="2C49B755"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Chen, K., Zhang, C., Gurley, A., Akkem, S., and Jackson, H. (2023). Patient Characteristics Associated with Telehealth Scheduling and Completion in Primary Care at a Large, Urban Public Healthcare System. Journal of Urban Health, 100(3), 468–477. https://doi.org/10.1007/s11524-023-00744-9</w:t>
      </w:r>
    </w:p>
    <w:p w14:paraId="230B1218"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Choi, N. G., DiNitto, D. M., Marti, C. N., and Choi, B. Y. (2022). Telehealth Use Among Older Adults During COVID-19: Associations With Sociodemographic and Health Characteristics, Technology Device Ownership, and Technology Learning. Journal of Applied Gerontology, 41(3), 600–609. https://doi.org/10.1177/07334648211047347</w:t>
      </w:r>
    </w:p>
    <w:p w14:paraId="7AC1F0DE"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Chu, C., Cram, P., Pang, A., Stamenova, V., Tadrous, M., and Bhatia, R. S. (2021). Rural Telemedicine Use Before and During the COVID-19 Pandemic: Repeated Cross-sectional Study. Journal of Medical Internet Research, 23(4), e26960. https://doi.org/10.2196/26960</w:t>
      </w:r>
    </w:p>
    <w:p w14:paraId="7D425FC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Chumbler, N. R., Chen, M., Harrison, A., and Surbhi, S. (2023). Racial and Socioeconomic Characteristics Associated with the use of Telehealth Services Among Adults With Ambulatory Sensitive Conditions. Health Services Research and Managerial Epidemiology, 10, 23333928231154334. https://doi.org/10.1177/23333928231154334</w:t>
      </w:r>
    </w:p>
    <w:p w14:paraId="7661E55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Connected Nation. (2023). Mind the Gap: Closing the Digital Divide through affordability, access, and adoption. connectednation.org/DigitalDivide2023</w:t>
      </w:r>
    </w:p>
    <w:p w14:paraId="24A8C29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de Palma, A., Vosough, S., and Liao, F. (2022). An overview of effects of COVID-19 on mobility and lifestyle: 18 months since the outbreak. Transportation Research Part A: Policy and Practice, 159, 372–397. https://doi.org/10.1016/j.tra.2022.03.024</w:t>
      </w:r>
    </w:p>
    <w:p w14:paraId="793D7E9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Der-Martirosian, C., Chu, K., Steers, W. N., Wyte-Lake, T., Balut, M. D., Dobalian, A., Heyworth, L., Paige, N. M., and Leung, L. (2022). Examining telehealth use among primary care patients, providers, and clinics during the COVID-19 pandemic. BMC Primary Care, 23(1), 155. https://doi.org/10.1186/s12875-022-01738-3</w:t>
      </w:r>
    </w:p>
    <w:p w14:paraId="472EEE27"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lastRenderedPageBreak/>
        <w:t>Dias, F. F., Lavieri, P. S., Sharda, S., Khoeini, S., Bhat, C. R., Pendyala, R. M., Pinjari, A. R., Ramadurai, G., and Srinivasan, K. K. (2020). A comparison of online and in-person activity engagement: The case of shopping and eating meals. Transportation Research Part C: Emerging Technologies, 114, 643–656.</w:t>
      </w:r>
    </w:p>
    <w:p w14:paraId="6E733318"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Douthit, N., Kiv, S., Dwolatzky, T., and Biswas, S. (2015). Exposing some important barriers to health care access in the rural USA. Public Health, 129(6), 611–620. https://doi.org/10.1016/j.puhe.2015.04.001</w:t>
      </w:r>
    </w:p>
    <w:p w14:paraId="547C134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Drake, C., Lian, T., Cameron, B., Medynskaya, K., Bosworth, H. B., and Shah, K. (2022). Understanding telemedicine’s “new normal”: Variations in telemedicine use by specialty line and patient demographics. Telemedicine and E-Health, 28(1), 51–59.</w:t>
      </w:r>
    </w:p>
    <w:p w14:paraId="36FBA86A"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Eberly, L. A., Kallan, M. J., Julien, H. M., Haynes, N., Khatana, S. A. M., Nathan, A. S., Snider, C., Chokshi, N. P., Eneanya, N. D., Takvorian, S. U., Anastos-Wallen, R., Chaiyachati, K., Ambrose, M., O’Quinn, R., Seigerman, M., Goldberg, L. R., Leri, D., Choi, K., Gitelman, Y., et al. (2020). Patient Characteristics Associated With Telemedicine Access for Primary and Specialty Ambulatory Care During the COVID-19 Pandemic. JAMA Network Open, 3(12), e2031640. https://doi.org/10.1001/jamanetworkopen.2020.31640</w:t>
      </w:r>
    </w:p>
    <w:p w14:paraId="6F78B16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Estrada, L. V., Levasseur, J. L., Maxim, A., Benavidez, G. A., and Pollack Porter, K. M. (2022). Structural Racism, Place, and COVID-19: A Narrative Review Describing How We Prepare for an Endemic COVID-19 Future. Health Equity, 6(1), 356–366. https://doi.org/10.1089/heq.2021.0190</w:t>
      </w:r>
    </w:p>
    <w:p w14:paraId="043A1CBA"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Ezeamii, V. C., Okobi, O. E., Wambai-Sani, H., Perera, G. S., Zaynieva, S., Okonkwo, C. C., Ohaiba, M. M., William-Enemali, P. C., Obodo, O. R., and Obiefuna, N. G. (2024). Revolutionizing Healthcare: How Telemedicine Is Improving Patient Outcomes and Expanding Access to Care. Cureus, 16(7), e63881. https://doi.org/10.7759/cureus.63881</w:t>
      </w:r>
    </w:p>
    <w:p w14:paraId="446CC57D"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Festini, S. B., Hertzog, C., McDonough, I. M., and Park, D. C. (2019). What makes us busy? Predictors of perceived busyness across the adult lifespan. The Journal of General Psychology, 146(2), 111–133. https://doi.org/10.1080/00221309.2018.1540396</w:t>
      </w:r>
    </w:p>
    <w:p w14:paraId="1BE135E9"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Figliozzi, M., and Unnikrishnan, A. (2021). Exploring the impact of socio-demographic characteristics, health concerns, and product type on home delivery rates and expenditures during a strict COVID-19 lockdown period: A case study from Portland, OR. Transportation Research Part A: Policy and Practice, 153, 1–19.</w:t>
      </w:r>
    </w:p>
    <w:p w14:paraId="29DDFBE5"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Fischer, S. H., Predmore, Z., Roth, E., Uscher-Pines, L., Baird, M., and Breslau, J. (2022). Use Of And Willingness To Use Video Telehealth Through The COVID-19 Pandemic. Health Affairs (Project Hope), 41(11), 1645–1651. https://doi.org/10.1377/hlthaff.2022.00118</w:t>
      </w:r>
    </w:p>
    <w:p w14:paraId="44154846"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Fischer, S. H., Ray, K. N., Mehrotra, A., Bloom, E. L., and Uscher-Pines, L. (2020). Prevalence and Characteristics of Telehealth Utilization in the United States. JAMA Network Open, 3(10), e2022302. https://doi.org/10.1001/jamanetworkopen.2020.22302</w:t>
      </w:r>
    </w:p>
    <w:p w14:paraId="7F82753A"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Freed, G. (2021). Virtual Visits for Kids. Mott Poll Report, 38(4). https://mottpoll.org/reports/virtual-visits-kids</w:t>
      </w:r>
    </w:p>
    <w:p w14:paraId="4AD81D11"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Ftouni, R., AlJardali, B., Hamdanieh, M., Ftouni, L., and Salem, N. (2022). Challenges of  Telemedicine during the COVID-19 pandemic: A systematic review. BMC Medical Informatics and Decision Making, 22(1), 207. https://doi.org/10.1186/s12911-022-01952-0</w:t>
      </w:r>
    </w:p>
    <w:p w14:paraId="5FDFFDB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Gallagher Student Health and Special Risk. (2019). Understanding the issue: Telemedicine Access, Utilization Trends and Challenges in Student Health Insurance. https://www.gallagherstudent.com/news/article/student-health-telemedicine-access</w:t>
      </w:r>
    </w:p>
    <w:p w14:paraId="2F14A4C7"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lastRenderedPageBreak/>
        <w:t>Get Government Grants and Help. (2024). Free Government Tablet 2024—Online  Application For Low Income. https://www.linkedin.com/pulse/free-government-tablet-2024-online-application-yvy4c/</w:t>
      </w:r>
    </w:p>
    <w:p w14:paraId="46023D96"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Gusdorf, R. E., Shah, K. P., Triana, A. J., McCoy, A. B., Pabla, B., Scoville, E., Dalal, R., Beaulieu, D. B., Schwartz, D. A., Horst, S. N., and Griffith, M. L. (2023). A patient education intervention improved rates of successful video visits during rapid implementation of telehealth. Journal of Telemedicine and Telecare, 29(8), 607–612. https://doi.org/10.1177/1357633X211008786</w:t>
      </w:r>
    </w:p>
    <w:p w14:paraId="5F016E6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Haddad, A. J., Mondal, A., and Bhat, C. R. (2023). Eat-in or eat-out? A joint model to analyze the new landscape of dinner meal preferences. Transportation Research Part C: Emerging Technologies, 147, 104016.</w:t>
      </w:r>
    </w:p>
    <w:p w14:paraId="54F5F149"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Haleem, A., Javaid, M., Singh, R. P., and Suman, R. (2021). Telemedicine for healthcare: Capabilities, features, barriers, and applications. Sensors International, 2, 100117. https://doi.org/10.1016/j.sintl.2021.100117</w:t>
      </w:r>
    </w:p>
    <w:p w14:paraId="7A36655E"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Hollowell, A., Swartz, J., Myers, E., Erkanli, A., Hu, C., Shin, A., and Bentley-Edwards, K. (2022). Telemedicine Services in Higher Education: A Review of College and University Websites. Journal of American College Health : J of ACH, 1–6. https://doi.org/10.1080/07448481.2022.2047703</w:t>
      </w:r>
    </w:p>
    <w:p w14:paraId="13DBBDEA"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Hossain, M., Dean, E. B., and Kaliski, D. (2022). Using Administrative Data to Examine Telemedicine Usage Among Medicaid Beneficiaries During the Coronavirus Disease 2019 Pandemic. Medical Care, 60(7), 488–495. https://doi.org/10.1097/MLR.0000000000001723</w:t>
      </w:r>
    </w:p>
    <w:p w14:paraId="701169BC"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Huber, C. R., and Kuncel, N. R. (2016). Does College Teach Critical Thinking? A Meta-Analysis. Review of Educational Research, 86(2), 431–468. https://doi.org/10.3102/0034654315605917</w:t>
      </w:r>
    </w:p>
    <w:p w14:paraId="6712462F" w14:textId="77777777" w:rsidR="00D863B3" w:rsidRPr="0097541F" w:rsidRDefault="00D863B3" w:rsidP="00657CB2">
      <w:pPr>
        <w:pStyle w:val="Bibliography"/>
        <w:keepLines/>
        <w:spacing w:after="0" w:line="240" w:lineRule="auto"/>
        <w:ind w:left="360" w:hanging="360"/>
        <w:jc w:val="both"/>
        <w:rPr>
          <w:color w:val="000000" w:themeColor="text1"/>
        </w:rPr>
      </w:pPr>
      <w:r w:rsidRPr="0097541F">
        <w:rPr>
          <w:color w:val="000000" w:themeColor="text1"/>
        </w:rPr>
        <w:t>Iasiello, J. A., Rajan, A., Zervos, E., Parikh, A. A., and Snyder, R. A. (2023). Racial Differences in Patient-Reported Access to Telehealth: An Important and Unmeasured Social Determinant of Health | JCO Oncology Practice. JCO Oncol Practoce, 19(12). https://doi.org/10.1200/OP.23.00006</w:t>
      </w:r>
    </w:p>
    <w:p w14:paraId="431B60B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Infutor. (2021). U.S. car owners as of 2021, by gender [Dataset]. https://www.statista.com/statistics/1041215/us-car-owners-by-sex/</w:t>
      </w:r>
    </w:p>
    <w:p w14:paraId="0C5994E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Jaffe, D. H., Lee, L., Huynh, S., and Haskell, T. P. (2020). Health Inequalities in the Use of Telehealth in the United States in the Lens of COVID-19. Population Health Management, 23(5), 368–377. https://doi.org/10.1089/pop.2020.0186</w:t>
      </w:r>
    </w:p>
    <w:p w14:paraId="63B1847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Jang, M., and Vorderstrasse, A. (2019). Socioeconomic Status and Racial or Ethnic Differences in Participation: Web-Based Survey. JMIR Research Protocols, 8(4), e11865. https://doi.org/10.2196/11865</w:t>
      </w:r>
    </w:p>
    <w:p w14:paraId="2C344F7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Kim, W., and Wang, X. C. (2021). To be online or in-store: Analysis of retail, grocery, and food shopping in New York city. Transportation Research Part C: Emerging Technologies, 126, 103052.</w:t>
      </w:r>
    </w:p>
    <w:p w14:paraId="6DD9F1A1"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Ko, J. S., El-Toukhy, S., Quintero, S. M., Wilkerson, M. J., Nápoles, A. M., Stewart, A. L., and Strassle, P. D. (2023). Disparities in telehealth access, not willingness to use services, likely explain rural telehealth disparities. The Journal of Rural Health, 39(3), 617–624. https://doi.org/10.1111/jrh.12759</w:t>
      </w:r>
    </w:p>
    <w:p w14:paraId="5D17A66C"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Luo, J., Tong, L., Crotty, B. H., Somai, M., Taylor, B., Osinski, K., and George, B. (2021). Telemedicine Adoption during the COVID-19 Pandemic: Gaps and Inequalities. Applied Clinical Informatics, 12(4), 836–844. https://doi.org/10.1055/s-0041-1733848</w:t>
      </w:r>
    </w:p>
    <w:p w14:paraId="6F585DAA"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lastRenderedPageBreak/>
        <w:t>MacSwain, K. L. H., Sherry, S. B., Stewart, S. H., Watt, M. C., Hadjistavropoulos, H. D., and Graham, A. R. (2009). Gender differences in health anxiety: An investigation of the interpersonal model of health anxiety. Personality and Individual Differences, 47(8), 938–943. https://doi.org/10.1016/j.paid.2009.07.020</w:t>
      </w:r>
    </w:p>
    <w:p w14:paraId="2C0E3A3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Murphy, H. (2020, April 17). We All Live in Bubbles Now. How Safe Is Yours? The New York Times. https://www.nytimes.com/2020/04/17/health/cheating-on-an-isolation-bubble-coronavirus.html</w:t>
      </w:r>
    </w:p>
    <w:p w14:paraId="38DB585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Nittari, G., Savva, D., Tomassoni, D., Tayebati, S. K., and Amenta, F. (2022). Telemedicine in the COVID-19 Era: A Narrative Review Based on Current Evidence. International Journal of Environmental Research and Public Health, 19(9), Article 9. https://doi.org/10.3390/ijerph19095101</w:t>
      </w:r>
    </w:p>
    <w:p w14:paraId="51D8188E"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Nouri, S., Khoong, E. C., Lyles, C. R., and Karliner, L. (2020). Addressing equity in telemedicine for chronic disease management during the Covid-19 pandemic. NEJM Catalyst Innovations in Care Delivery, 1(3).</w:t>
      </w:r>
    </w:p>
    <w:p w14:paraId="6A32E676"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Osobase, R. (2023). Evaluating U.S. Household T aluating U.S. Household Telemedicine Use in Primar elemedicine Use in Primary Care Settings [Walden University]. https://scholarworks.waldenu.edu/cgi/viewcontent.cgi?article=13072andcontext=dissertations</w:t>
      </w:r>
    </w:p>
    <w:p w14:paraId="3DC025C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Park, J.-H., Lee, M. J., Tsai, M.-H., Shih, H.-J., and Chang, J. (2023). Rural, Regional, Racial Disparities in Telemedicine Use During the COVID-19 Pandemic Among US Adults: 2021 National Health Interview Survey (NHIS). Patient Preference and Adherence, 17, 3477–3487. https://doi.org/10.2147/PPA.S439437</w:t>
      </w:r>
    </w:p>
    <w:p w14:paraId="0F75B56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Patel, S. Y., Mehrotra, A., Huskamp, H. A., Uscher-Pines, L., Ganguli, I., and Barnett, M. L. (2021). Variation In Telemedicine Use And Outpatient Care During The COVID-19 Pandemic In The United States. Health Affairs (Project Hope), 40(2), 349–358. https://doi.org/10.1377/hlthaff.2020.01786</w:t>
      </w:r>
    </w:p>
    <w:p w14:paraId="31BE260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Pierce, R. P., and Stevermer, J. J. (2023). Disparities in the use of telehealth at the onset of the COVID-19 public health emergency. Journal of Telemedicine and Telecare, 29(1), 3–9. https://doi.org/10.1177/1357633X20963893</w:t>
      </w:r>
    </w:p>
    <w:p w14:paraId="66C50DE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Pogorzelska, K., and Chlabicz, S. (2022). Patient Satisfaction with Telemedicine during the COVID-19 Pandemic—A Systematic Review. International Journal of Environmental Research and Public Health, 19(10), Article 10. https://doi.org/10.3390/ijerph19106113</w:t>
      </w:r>
    </w:p>
    <w:p w14:paraId="30B2C4A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Powell, W., Richmond, J., Mohottige, D., Yen, I., Joslyn, A., and Corbie-Smith, G. (2019). Medical Mistrust, Racism, and Delays in Preventive Health Screening Among African-American Men. Behavioral Medicine, 45(2), 102–117. https://doi.org/10.1080/08964289.2019.1585327</w:t>
      </w:r>
    </w:p>
    <w:p w14:paraId="552E6EC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Rajan, X. (2024). Free Tablets From Government: Eligibility, Programs, and Alternatives. https://www.linkedin.com/pulse/free-tablets-from-government-eligibility-programs-alternatives-x-foomc/</w:t>
      </w:r>
    </w:p>
    <w:p w14:paraId="715C2EF7"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Rodriguez, J. A., Betancourt, J. R., Sequist, T. D., and Ganguli, I. (2021). Differences in the use of telephone and video telemedicine visits during the COVID-19 pandemic. The American Journal of Managed Care, 27(1), 21–26. https://doi.org/10.37765/ajmc.2021.88573</w:t>
      </w:r>
    </w:p>
    <w:p w14:paraId="7882AAC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Rowe Ferrara, M., and Chapman, S. A. (2024). Rural Patients’ Experiences with Synchronous Video Telehealth in the United States: A Scoping Review. Telemedicine Journal and E-Health: The Official Journal of the American Telemedicine Association. https://doi.org/10.1089/tmj.2023.0410</w:t>
      </w:r>
    </w:p>
    <w:p w14:paraId="47DF31B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lastRenderedPageBreak/>
        <w:t>Salon, D., Bhagat-Conway, M. W., Chauhan, R., Magassy, T., Mirtich, L., Rahimi, E., Costello, A., Derrible, S., Mohammadian, K., and Pendyala, R. (2022). COVID Future Wave 3 Survey Data v1.1.0 (Version V1) [Dataset]. ASU Library Research Data Repository. https://doi.org/10.48349/ASU/9O5TIA</w:t>
      </w:r>
    </w:p>
    <w:p w14:paraId="58824E8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Scheiner, J., and Holz-Rau, C. (2012). Gender structures in car availability in car deficient households. Research in Transportation Economics, 34(1), 16–26. https://doi.org/10.1016/j.retrec.2011.12.006</w:t>
      </w:r>
    </w:p>
    <w:p w14:paraId="1A0C9613"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Schifeling, C. H., Shanbhag, P., Johnson, A., Atwater, R. C., Koljack, C., Parnes, B. L., Vejar, M. M., Farro, S. A., Phimphasone-Brady, P., and Lum, H. D. (2020). Disparities in Video and Telephone Visits Among Older Adults During the COVID-19 Pandemic: Cross-Sectional Analysis. JMIR Aging, 3(2), e23176. https://doi.org/10.2196/23176</w:t>
      </w:r>
    </w:p>
    <w:p w14:paraId="6FE60D5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Sharma, P., Kamath, C., Brockman, T. A., Roche, A., Sinicrope, P., Jiang, R., Decker, P. A., Pazdernik, V., and Patten, C. (2024). Demographics and Social Factors Associated With Persistent Nonuse of Video Appointments at a Multisite Health Care Institution: Cross-Sectional Study. JMIR Formative Research, 8, e50572. https://doi.org/10.2196/50572</w:t>
      </w:r>
    </w:p>
    <w:p w14:paraId="679BF7BC"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Shaver, J. (2022). The State of Telehealth Before and After the COVID-19 Pandemic. Primary Care: Clinics in Office Practice, 49(4), 517–530. https://doi.org/10.1016/j.pop.2022.04.002</w:t>
      </w:r>
    </w:p>
    <w:p w14:paraId="657BDBC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Smith, W. G. (2008). Does gender influence online survey participation? A record-linkage analysis of university faculty online survey response behavior. Online Submission.</w:t>
      </w:r>
    </w:p>
    <w:p w14:paraId="5BAC7F58"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Solon, G., Haider, S. J., and Wooldridge, J. M. (2015). What are we weighting for? Journal of Human Resources, 50(2), 301–316.</w:t>
      </w:r>
    </w:p>
    <w:p w14:paraId="039E496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The White House. (2024). FACT SHEET: President Biden Issues Executive Order and Announces New Actions to Advance Women’s Health Research and Innovation. The White House. https://www.whitehouse.gov/briefing-room/statements-releases/2024/03/18/fact-sheet-president-biden-issues-executive-order-and-announces-new-actions-to-advance-womens-health-research-and-innovation/</w:t>
      </w:r>
    </w:p>
    <w:p w14:paraId="6A73E177"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Tully, L., Case, L., Arthurs, N., Sorensen, J., Marcin, J. P., and O’Malley, G. (2021). Barriers and Facilitators for Implementing Paediatric Telemedicine: Rapid Review of User Perspectives. Frontiers in Pediatrics, 9. https://www.frontiersin.org/articles/10.3389/fped.2021.630365</w:t>
      </w:r>
    </w:p>
    <w:p w14:paraId="7A9D90A2"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U.S. Census Bureau. (2021). County Business Patterns [Dataset]. https://www.census.gov/programs-surveys/cbp.html</w:t>
      </w:r>
    </w:p>
    <w:p w14:paraId="09C2811B"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Vaidya, V., Patil, V., Oswal, J., Narula, A., Khare, Y., Patil, P., Deshpande, R., Lunge, S., Dasgupta, S., Dahiphale, R., Kulkarni, R., Mahajan, A., Chelluri, S., and Teli, A. (2024). Healthcare in the Modern Era: Launching a Telemedicine-Based OPD Consultation in Rural Pune (Process, Results, and Challenges). Cureus, 16(5), e60310. https://doi.org/10.7759/cureus.60310</w:t>
      </w:r>
    </w:p>
    <w:p w14:paraId="05DF8BCE"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Velasquez, D., and Mehrotra, A. (2020). Ensuring the growth of telehealth during COVID-19 does not exacerbate disparities in care. Health Affairs Forefront.</w:t>
      </w:r>
    </w:p>
    <w:p w14:paraId="6C030AA4"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Vogels, E. (2021). Digital divide persists even as Americans with lower incomes make gains in tech adoption. https://www.pewresearch.org/short-reads/2021/06/22/digital-divide-persists-even-as-americans-with-lower-incomes-make-gains-in-tech-adoption/</w:t>
      </w:r>
    </w:p>
    <w:p w14:paraId="4BBC273E"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Weber, E., Miller, S. J., Astha, V., Janevic, T., and Benn, E. (2020). Characteristics of telehealth users in NYC for COVID-related care during the coronavirus pandemic. Journal of the American Medical Informatics Association: JAMIA, 27(12), 1949–1954. https://doi.org/10.1093/jamia/ocaa216</w:t>
      </w:r>
    </w:p>
    <w:p w14:paraId="0C3A647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lastRenderedPageBreak/>
        <w:t>Whaley, C. M., Pera, M. F., Cantor, J., Chang, J., Velasco, J., Hagg, H. K., Sood, N., and Bravata, D. M. (2020). Changes in Health Services Use Among Commercially Insured US Populations During the COVID-19 Pandemic. JAMA Network Open, 3(11), e2024984. https://doi.org/10.1001/jamanetworkopen.2020.24984</w:t>
      </w:r>
    </w:p>
    <w:p w14:paraId="372E0FFD"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White-Williams, C., Liu, X., Shang, D., and Santiago, J. (2023). Use of Telehealth Among Racial and Ethnic Minority Groups in the United States Before and During the COVID-19 Pandemic. Public Health Reports, 138(1), 149–156. https://doi.org/10.1177/00333549221123575</w:t>
      </w:r>
    </w:p>
    <w:p w14:paraId="7D282B0F"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Wooldridge, J. M. (1995). Selection corrections for panel data models under conditional mean independence assumptions. Journal of Econometrics, 68(1), 115–132.</w:t>
      </w:r>
    </w:p>
    <w:p w14:paraId="0908C99A"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Wu, M.-J., Zhao, K., and Fils-Aime, F. (2022). Response rates of online surveys in published research: A meta-analysis. Computers in Human Behavior Reports, 7, 100206. https://doi.org/10.1016/j.chbr.2022.100206</w:t>
      </w:r>
    </w:p>
    <w:p w14:paraId="312AC2D5"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Xu, P., Hudnall, M., Zhao, S., Raja, U., Parton, J., and Lewis, D. (2022). Pandemic-Triggered Adoption of Telehealth in Underserved Communities: Descriptive Study of Pre- and Postshutdown Trends. Journal of Medical Internet Research, 24(7), e38602. https://doi.org/10.2196/38602</w:t>
      </w:r>
    </w:p>
    <w:p w14:paraId="50812D76" w14:textId="77777777" w:rsidR="00D863B3" w:rsidRPr="0097541F" w:rsidRDefault="00D863B3" w:rsidP="00657CB2">
      <w:pPr>
        <w:pStyle w:val="Bibliography"/>
        <w:spacing w:after="0" w:line="240" w:lineRule="auto"/>
        <w:ind w:left="360" w:hanging="360"/>
        <w:jc w:val="both"/>
        <w:rPr>
          <w:color w:val="000000" w:themeColor="text1"/>
        </w:rPr>
      </w:pPr>
      <w:r w:rsidRPr="0097541F">
        <w:rPr>
          <w:color w:val="000000" w:themeColor="text1"/>
        </w:rPr>
        <w:t>Zhang, D., Shi, L., Han, X., Li, Y., Jalajel, N. A., Patel, S., Chen, Z., Chen, L., Wen, M., Li, H., Chen, B., Li, J., and Su, D. (2021). Disparities in telehealth utilization during the COVID-19 pandemic: Findings from a nationally representative survey in the United States. Journal of Telemedicine and Telecare, 30(1), 90–97. https://doi.org/10.1177/1357633X211051677</w:t>
      </w:r>
    </w:p>
    <w:p w14:paraId="06BE0AE7" w14:textId="7145C865" w:rsidR="00A60B3C" w:rsidRDefault="00A60B3C" w:rsidP="00657CB2">
      <w:pPr>
        <w:pStyle w:val="Bibliography"/>
        <w:spacing w:after="0" w:line="240" w:lineRule="auto"/>
      </w:pPr>
    </w:p>
    <w:p w14:paraId="1311D7C8" w14:textId="21807CD0" w:rsidR="008858C9" w:rsidRDefault="008858C9" w:rsidP="00363830">
      <w:pPr>
        <w:spacing w:after="0" w:line="240" w:lineRule="auto"/>
        <w:ind w:left="360" w:hanging="360"/>
        <w:jc w:val="both"/>
      </w:pPr>
    </w:p>
    <w:bookmarkEnd w:id="77"/>
    <w:p w14:paraId="1BCD82FF" w14:textId="002E80DA" w:rsidR="002D4722" w:rsidRDefault="002D4722" w:rsidP="00B630C2">
      <w:pPr>
        <w:spacing w:after="0"/>
        <w:jc w:val="both"/>
        <w:sectPr w:rsidR="002D4722" w:rsidSect="009D0CA2">
          <w:footerReference w:type="default" r:id="rId110"/>
          <w:pgSz w:w="12240" w:h="15840" w:code="1"/>
          <w:pgMar w:top="1440" w:right="1440" w:bottom="1440" w:left="1440" w:header="720" w:footer="720" w:gutter="0"/>
          <w:pgNumType w:start="1"/>
          <w:cols w:space="720"/>
          <w:docGrid w:linePitch="360"/>
        </w:sectPr>
      </w:pPr>
    </w:p>
    <w:p w14:paraId="79E7BAE7" w14:textId="2FE0248D" w:rsidR="005030E9" w:rsidRDefault="005030E9" w:rsidP="005030E9">
      <w:pPr>
        <w:jc w:val="both"/>
        <w:rPr>
          <w:b/>
          <w:bCs/>
        </w:rPr>
      </w:pPr>
      <w:bookmarkStart w:id="78" w:name="_Hlk165545952"/>
    </w:p>
    <w:p w14:paraId="3A49D36D" w14:textId="4A518C5E" w:rsidR="0069340B" w:rsidRDefault="0069340B" w:rsidP="00C37174">
      <w:pPr>
        <w:pStyle w:val="Caption"/>
        <w:keepNext/>
        <w:spacing w:after="120"/>
        <w:jc w:val="left"/>
      </w:pPr>
      <w:bookmarkStart w:id="79" w:name="_Ref178944934"/>
      <w:r>
        <w:t xml:space="preserve">Table </w:t>
      </w:r>
      <w:r w:rsidR="00C425C0">
        <w:fldChar w:fldCharType="begin"/>
      </w:r>
      <w:r w:rsidR="00C425C0">
        <w:instrText xml:space="preserve"> SEQ Table \* ARABIC </w:instrText>
      </w:r>
      <w:r w:rsidR="00C425C0">
        <w:fldChar w:fldCharType="separate"/>
      </w:r>
      <w:r w:rsidR="008A3DCE">
        <w:rPr>
          <w:noProof/>
        </w:rPr>
        <w:t>1</w:t>
      </w:r>
      <w:r w:rsidR="00C425C0">
        <w:rPr>
          <w:noProof/>
        </w:rPr>
        <w:fldChar w:fldCharType="end"/>
      </w:r>
      <w:bookmarkEnd w:id="79"/>
      <w:r>
        <w:t xml:space="preserve">. </w:t>
      </w:r>
      <w:r w:rsidRPr="0069340B">
        <w:t>Descriptive Statistics for Telemedicine Adoption (N=2,041)</w:t>
      </w:r>
    </w:p>
    <w:tbl>
      <w:tblPr>
        <w:tblW w:w="4998" w:type="pct"/>
        <w:tblLayout w:type="fixed"/>
        <w:tblLook w:val="04A0" w:firstRow="1" w:lastRow="0" w:firstColumn="1" w:lastColumn="0" w:noHBand="0" w:noVBand="1"/>
      </w:tblPr>
      <w:tblGrid>
        <w:gridCol w:w="2653"/>
        <w:gridCol w:w="2671"/>
        <w:gridCol w:w="2096"/>
        <w:gridCol w:w="1906"/>
      </w:tblGrid>
      <w:tr w:rsidR="005030E9" w:rsidRPr="00A71CCE" w14:paraId="6549F832" w14:textId="77777777" w:rsidTr="00565BCE">
        <w:trPr>
          <w:trHeight w:val="288"/>
        </w:trPr>
        <w:tc>
          <w:tcPr>
            <w:tcW w:w="1422" w:type="pct"/>
            <w:vMerge w:val="restart"/>
            <w:tcBorders>
              <w:top w:val="double" w:sz="4" w:space="0" w:color="auto"/>
              <w:left w:val="double" w:sz="4" w:space="0" w:color="auto"/>
              <w:right w:val="single" w:sz="4" w:space="0" w:color="auto"/>
            </w:tcBorders>
            <w:shd w:val="clear" w:color="auto" w:fill="auto"/>
            <w:noWrap/>
            <w:vAlign w:val="center"/>
          </w:tcPr>
          <w:p w14:paraId="49FA2807" w14:textId="756A1408" w:rsidR="005030E9" w:rsidRPr="00A71CCE" w:rsidRDefault="00C817CF" w:rsidP="009101D8">
            <w:pPr>
              <w:spacing w:after="0"/>
              <w:jc w:val="both"/>
              <w:rPr>
                <w:b/>
                <w:bCs/>
                <w:color w:val="000000"/>
                <w:sz w:val="22"/>
                <w:szCs w:val="22"/>
              </w:rPr>
            </w:pPr>
            <w:r>
              <w:rPr>
                <w:b/>
                <w:bCs/>
                <w:color w:val="000000"/>
                <w:sz w:val="22"/>
                <w:szCs w:val="22"/>
              </w:rPr>
              <w:t>Before-</w:t>
            </w:r>
            <w:r w:rsidR="006312A4">
              <w:rPr>
                <w:b/>
                <w:bCs/>
                <w:color w:val="000000"/>
                <w:sz w:val="22"/>
                <w:szCs w:val="22"/>
              </w:rPr>
              <w:t>COVID</w:t>
            </w:r>
            <w:r w:rsidR="005030E9" w:rsidRPr="00A71CCE">
              <w:rPr>
                <w:b/>
                <w:bCs/>
                <w:color w:val="000000"/>
                <w:sz w:val="22"/>
                <w:szCs w:val="22"/>
              </w:rPr>
              <w:t xml:space="preserve"> Adoption</w:t>
            </w:r>
          </w:p>
        </w:tc>
        <w:tc>
          <w:tcPr>
            <w:tcW w:w="1432" w:type="pct"/>
            <w:vMerge w:val="restart"/>
            <w:tcBorders>
              <w:top w:val="double" w:sz="4" w:space="0" w:color="auto"/>
              <w:left w:val="nil"/>
              <w:right w:val="double" w:sz="4" w:space="0" w:color="auto"/>
            </w:tcBorders>
            <w:shd w:val="clear" w:color="auto" w:fill="auto"/>
            <w:noWrap/>
            <w:vAlign w:val="center"/>
          </w:tcPr>
          <w:p w14:paraId="1CDE74FA" w14:textId="3524855C" w:rsidR="005030E9" w:rsidRPr="00A71CCE" w:rsidRDefault="00F8247A" w:rsidP="009101D8">
            <w:pPr>
              <w:spacing w:after="0"/>
              <w:jc w:val="both"/>
              <w:rPr>
                <w:b/>
                <w:bCs/>
                <w:color w:val="000000"/>
                <w:sz w:val="22"/>
                <w:szCs w:val="22"/>
              </w:rPr>
            </w:pPr>
            <w:r>
              <w:rPr>
                <w:b/>
                <w:bCs/>
                <w:color w:val="000000"/>
                <w:sz w:val="22"/>
                <w:szCs w:val="22"/>
              </w:rPr>
              <w:t>During-</w:t>
            </w:r>
            <w:r w:rsidR="006312A4">
              <w:rPr>
                <w:b/>
                <w:bCs/>
                <w:color w:val="000000"/>
                <w:sz w:val="22"/>
                <w:szCs w:val="22"/>
              </w:rPr>
              <w:t>COVID</w:t>
            </w:r>
            <w:r w:rsidR="005030E9" w:rsidRPr="00A71CCE">
              <w:rPr>
                <w:b/>
                <w:bCs/>
                <w:color w:val="000000"/>
                <w:sz w:val="22"/>
                <w:szCs w:val="22"/>
              </w:rPr>
              <w:t xml:space="preserve"> Adoption</w:t>
            </w:r>
          </w:p>
        </w:tc>
        <w:tc>
          <w:tcPr>
            <w:tcW w:w="2146" w:type="pct"/>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1D3A6BE5" w14:textId="734F9D4B" w:rsidR="005030E9" w:rsidRPr="00A71CCE" w:rsidRDefault="006312A4" w:rsidP="00565BCE">
            <w:pPr>
              <w:spacing w:after="0"/>
              <w:jc w:val="center"/>
              <w:rPr>
                <w:b/>
                <w:bCs/>
                <w:color w:val="000000"/>
                <w:sz w:val="22"/>
                <w:szCs w:val="22"/>
              </w:rPr>
            </w:pPr>
            <w:r>
              <w:rPr>
                <w:b/>
                <w:bCs/>
                <w:color w:val="000000"/>
                <w:sz w:val="22"/>
                <w:szCs w:val="22"/>
              </w:rPr>
              <w:t>After-COVID</w:t>
            </w:r>
            <w:r w:rsidR="005030E9" w:rsidRPr="00A71CCE">
              <w:rPr>
                <w:b/>
                <w:bCs/>
                <w:color w:val="000000"/>
                <w:sz w:val="22"/>
                <w:szCs w:val="22"/>
              </w:rPr>
              <w:t xml:space="preserve"> Adoption</w:t>
            </w:r>
          </w:p>
        </w:tc>
      </w:tr>
      <w:tr w:rsidR="005030E9" w:rsidRPr="00A71CCE" w14:paraId="0CA2EAAE" w14:textId="77777777" w:rsidTr="00565BCE">
        <w:trPr>
          <w:trHeight w:val="288"/>
        </w:trPr>
        <w:tc>
          <w:tcPr>
            <w:tcW w:w="1422" w:type="pct"/>
            <w:vMerge/>
            <w:tcBorders>
              <w:left w:val="double" w:sz="4" w:space="0" w:color="auto"/>
              <w:bottom w:val="double" w:sz="4" w:space="0" w:color="auto"/>
              <w:right w:val="single" w:sz="4" w:space="0" w:color="auto"/>
            </w:tcBorders>
            <w:shd w:val="clear" w:color="auto" w:fill="auto"/>
            <w:noWrap/>
            <w:vAlign w:val="bottom"/>
            <w:hideMark/>
          </w:tcPr>
          <w:p w14:paraId="61C3855B" w14:textId="77777777" w:rsidR="005030E9" w:rsidRPr="00A71CCE" w:rsidRDefault="005030E9" w:rsidP="009101D8">
            <w:pPr>
              <w:spacing w:after="0"/>
              <w:jc w:val="both"/>
              <w:rPr>
                <w:color w:val="000000"/>
                <w:sz w:val="22"/>
                <w:szCs w:val="22"/>
              </w:rPr>
            </w:pPr>
          </w:p>
        </w:tc>
        <w:tc>
          <w:tcPr>
            <w:tcW w:w="1432" w:type="pct"/>
            <w:vMerge/>
            <w:tcBorders>
              <w:left w:val="nil"/>
              <w:bottom w:val="double" w:sz="4" w:space="0" w:color="auto"/>
              <w:right w:val="double" w:sz="4" w:space="0" w:color="auto"/>
            </w:tcBorders>
            <w:shd w:val="clear" w:color="auto" w:fill="auto"/>
            <w:noWrap/>
            <w:vAlign w:val="bottom"/>
            <w:hideMark/>
          </w:tcPr>
          <w:p w14:paraId="24DFE32E" w14:textId="77777777" w:rsidR="005030E9" w:rsidRPr="00A71CCE" w:rsidRDefault="005030E9" w:rsidP="009101D8">
            <w:pPr>
              <w:spacing w:after="0"/>
              <w:jc w:val="both"/>
              <w:rPr>
                <w:color w:val="000000"/>
                <w:sz w:val="22"/>
                <w:szCs w:val="22"/>
              </w:rPr>
            </w:pPr>
          </w:p>
        </w:tc>
        <w:tc>
          <w:tcPr>
            <w:tcW w:w="1124" w:type="pct"/>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C1B1D80" w14:textId="77777777" w:rsidR="005030E9" w:rsidRPr="00A71CCE" w:rsidRDefault="005030E9" w:rsidP="009101D8">
            <w:pPr>
              <w:spacing w:after="0"/>
              <w:jc w:val="center"/>
              <w:rPr>
                <w:b/>
                <w:bCs/>
                <w:color w:val="000000"/>
                <w:sz w:val="22"/>
                <w:szCs w:val="22"/>
              </w:rPr>
            </w:pPr>
            <w:r w:rsidRPr="00A71CCE">
              <w:rPr>
                <w:b/>
                <w:bCs/>
                <w:color w:val="000000"/>
                <w:sz w:val="22"/>
                <w:szCs w:val="22"/>
              </w:rPr>
              <w:t>Yes</w:t>
            </w:r>
          </w:p>
        </w:tc>
        <w:tc>
          <w:tcPr>
            <w:tcW w:w="1022" w:type="pct"/>
            <w:tcBorders>
              <w:top w:val="single" w:sz="4" w:space="0" w:color="auto"/>
              <w:left w:val="nil"/>
              <w:bottom w:val="double" w:sz="4" w:space="0" w:color="auto"/>
              <w:right w:val="double" w:sz="4" w:space="0" w:color="auto"/>
            </w:tcBorders>
            <w:shd w:val="clear" w:color="auto" w:fill="auto"/>
            <w:noWrap/>
            <w:vAlign w:val="center"/>
            <w:hideMark/>
          </w:tcPr>
          <w:p w14:paraId="77477D68" w14:textId="77777777" w:rsidR="005030E9" w:rsidRPr="00A71CCE" w:rsidRDefault="005030E9" w:rsidP="009101D8">
            <w:pPr>
              <w:spacing w:after="0"/>
              <w:jc w:val="center"/>
              <w:rPr>
                <w:b/>
                <w:bCs/>
                <w:color w:val="000000"/>
                <w:sz w:val="22"/>
                <w:szCs w:val="22"/>
              </w:rPr>
            </w:pPr>
            <w:r w:rsidRPr="00A71CCE">
              <w:rPr>
                <w:b/>
                <w:bCs/>
                <w:color w:val="000000"/>
                <w:sz w:val="22"/>
                <w:szCs w:val="22"/>
              </w:rPr>
              <w:t>No</w:t>
            </w:r>
          </w:p>
        </w:tc>
      </w:tr>
      <w:tr w:rsidR="005030E9" w:rsidRPr="00A71CCE" w14:paraId="353CE797" w14:textId="77777777" w:rsidTr="00565BCE">
        <w:trPr>
          <w:trHeight w:val="576"/>
        </w:trPr>
        <w:tc>
          <w:tcPr>
            <w:tcW w:w="1422" w:type="pct"/>
            <w:vMerge w:val="restart"/>
            <w:tcBorders>
              <w:top w:val="double" w:sz="4" w:space="0" w:color="auto"/>
              <w:left w:val="double" w:sz="4" w:space="0" w:color="auto"/>
              <w:right w:val="single" w:sz="4" w:space="0" w:color="auto"/>
            </w:tcBorders>
            <w:shd w:val="clear" w:color="auto" w:fill="auto"/>
            <w:noWrap/>
            <w:vAlign w:val="center"/>
            <w:hideMark/>
          </w:tcPr>
          <w:p w14:paraId="6111DE44" w14:textId="77777777" w:rsidR="005030E9" w:rsidRPr="00A71CCE" w:rsidRDefault="005030E9" w:rsidP="009101D8">
            <w:pPr>
              <w:spacing w:after="0"/>
              <w:jc w:val="both"/>
              <w:rPr>
                <w:color w:val="000000"/>
                <w:sz w:val="22"/>
                <w:szCs w:val="22"/>
              </w:rPr>
            </w:pPr>
            <w:r w:rsidRPr="00A71CCE">
              <w:rPr>
                <w:b/>
                <w:bCs/>
                <w:color w:val="000000"/>
                <w:sz w:val="22"/>
                <w:szCs w:val="22"/>
              </w:rPr>
              <w:t xml:space="preserve">Yes  </w:t>
            </w:r>
            <w:r w:rsidRPr="00A71CCE">
              <w:rPr>
                <w:color w:val="000000"/>
                <w:sz w:val="22"/>
                <w:szCs w:val="22"/>
              </w:rPr>
              <w:t>(234; 11.47%)</w:t>
            </w:r>
          </w:p>
          <w:p w14:paraId="0588B45E" w14:textId="77777777" w:rsidR="005030E9" w:rsidRPr="00A71CCE" w:rsidRDefault="005030E9" w:rsidP="009101D8">
            <w:pPr>
              <w:spacing w:after="0"/>
              <w:jc w:val="both"/>
              <w:rPr>
                <w:b/>
                <w:bCs/>
                <w:color w:val="000000"/>
                <w:sz w:val="22"/>
                <w:szCs w:val="22"/>
              </w:rPr>
            </w:pPr>
          </w:p>
        </w:tc>
        <w:tc>
          <w:tcPr>
            <w:tcW w:w="1432" w:type="pct"/>
            <w:tcBorders>
              <w:top w:val="double" w:sz="4" w:space="0" w:color="auto"/>
              <w:left w:val="nil"/>
              <w:bottom w:val="dotted" w:sz="4" w:space="0" w:color="auto"/>
              <w:right w:val="double" w:sz="4" w:space="0" w:color="auto"/>
            </w:tcBorders>
            <w:shd w:val="clear" w:color="auto" w:fill="auto"/>
            <w:noWrap/>
            <w:vAlign w:val="center"/>
            <w:hideMark/>
          </w:tcPr>
          <w:p w14:paraId="687C2F92" w14:textId="77777777" w:rsidR="005030E9" w:rsidRPr="00A71CCE" w:rsidRDefault="005030E9" w:rsidP="009101D8">
            <w:pPr>
              <w:spacing w:after="0"/>
              <w:jc w:val="both"/>
              <w:rPr>
                <w:b/>
                <w:bCs/>
                <w:color w:val="000000"/>
                <w:sz w:val="22"/>
                <w:szCs w:val="22"/>
              </w:rPr>
            </w:pPr>
            <w:r w:rsidRPr="00A71CCE">
              <w:rPr>
                <w:b/>
                <w:bCs/>
                <w:color w:val="000000"/>
                <w:sz w:val="22"/>
                <w:szCs w:val="22"/>
              </w:rPr>
              <w:t xml:space="preserve">Yes </w:t>
            </w:r>
            <w:r w:rsidRPr="00A71CCE">
              <w:rPr>
                <w:color w:val="000000"/>
                <w:sz w:val="22"/>
                <w:szCs w:val="22"/>
              </w:rPr>
              <w:t>(146; 62.39%)</w:t>
            </w:r>
          </w:p>
        </w:tc>
        <w:tc>
          <w:tcPr>
            <w:tcW w:w="1124" w:type="pct"/>
            <w:tcBorders>
              <w:top w:val="double" w:sz="4" w:space="0" w:color="auto"/>
              <w:left w:val="double" w:sz="4" w:space="0" w:color="auto"/>
              <w:bottom w:val="dotted" w:sz="4" w:space="0" w:color="auto"/>
              <w:right w:val="single" w:sz="4" w:space="0" w:color="auto"/>
            </w:tcBorders>
            <w:shd w:val="clear" w:color="auto" w:fill="auto"/>
            <w:noWrap/>
            <w:vAlign w:val="bottom"/>
            <w:hideMark/>
          </w:tcPr>
          <w:p w14:paraId="7F39E16E" w14:textId="77777777" w:rsidR="005030E9" w:rsidRPr="00A71CCE" w:rsidRDefault="005030E9" w:rsidP="009101D8">
            <w:pPr>
              <w:spacing w:after="0"/>
              <w:ind w:right="440"/>
              <w:jc w:val="right"/>
              <w:rPr>
                <w:color w:val="000000"/>
                <w:sz w:val="22"/>
                <w:szCs w:val="22"/>
              </w:rPr>
            </w:pPr>
            <w:r w:rsidRPr="00A71CCE">
              <w:rPr>
                <w:color w:val="000000"/>
                <w:sz w:val="22"/>
                <w:szCs w:val="22"/>
              </w:rPr>
              <w:t>115</w:t>
            </w:r>
          </w:p>
          <w:p w14:paraId="6A8A40A7" w14:textId="77777777" w:rsidR="005030E9" w:rsidRPr="00A71CCE" w:rsidRDefault="005030E9" w:rsidP="009101D8">
            <w:pPr>
              <w:spacing w:after="0"/>
              <w:ind w:right="440"/>
              <w:jc w:val="right"/>
              <w:rPr>
                <w:color w:val="000000"/>
                <w:sz w:val="22"/>
                <w:szCs w:val="22"/>
              </w:rPr>
            </w:pPr>
            <w:r w:rsidRPr="00A71CCE">
              <w:rPr>
                <w:i/>
                <w:iCs/>
                <w:color w:val="000000"/>
                <w:sz w:val="22"/>
                <w:szCs w:val="22"/>
              </w:rPr>
              <w:t>78.77%</w:t>
            </w:r>
          </w:p>
        </w:tc>
        <w:tc>
          <w:tcPr>
            <w:tcW w:w="1022" w:type="pct"/>
            <w:tcBorders>
              <w:top w:val="double" w:sz="4" w:space="0" w:color="auto"/>
              <w:left w:val="nil"/>
              <w:bottom w:val="dotted" w:sz="4" w:space="0" w:color="auto"/>
              <w:right w:val="double" w:sz="4" w:space="0" w:color="auto"/>
            </w:tcBorders>
            <w:shd w:val="clear" w:color="auto" w:fill="auto"/>
            <w:noWrap/>
            <w:vAlign w:val="bottom"/>
            <w:hideMark/>
          </w:tcPr>
          <w:p w14:paraId="54DF4512" w14:textId="77777777" w:rsidR="005030E9" w:rsidRPr="00A71CCE" w:rsidRDefault="005030E9" w:rsidP="009101D8">
            <w:pPr>
              <w:spacing w:after="0"/>
              <w:ind w:right="440"/>
              <w:jc w:val="right"/>
              <w:rPr>
                <w:color w:val="000000"/>
                <w:sz w:val="22"/>
                <w:szCs w:val="22"/>
              </w:rPr>
            </w:pPr>
            <w:r w:rsidRPr="00A71CCE">
              <w:rPr>
                <w:color w:val="000000"/>
                <w:sz w:val="22"/>
                <w:szCs w:val="22"/>
              </w:rPr>
              <w:t>31</w:t>
            </w:r>
          </w:p>
          <w:p w14:paraId="1469ADCA" w14:textId="77777777" w:rsidR="005030E9" w:rsidRPr="00A71CCE" w:rsidRDefault="005030E9" w:rsidP="009101D8">
            <w:pPr>
              <w:spacing w:after="0"/>
              <w:ind w:right="440"/>
              <w:jc w:val="right"/>
              <w:rPr>
                <w:color w:val="000000"/>
                <w:sz w:val="22"/>
                <w:szCs w:val="22"/>
              </w:rPr>
            </w:pPr>
            <w:r w:rsidRPr="00A71CCE">
              <w:rPr>
                <w:i/>
                <w:iCs/>
                <w:color w:val="000000"/>
                <w:sz w:val="22"/>
                <w:szCs w:val="22"/>
              </w:rPr>
              <w:t>21.23%</w:t>
            </w:r>
          </w:p>
        </w:tc>
      </w:tr>
      <w:tr w:rsidR="005030E9" w:rsidRPr="00A71CCE" w14:paraId="35130386" w14:textId="77777777" w:rsidTr="00565BCE">
        <w:trPr>
          <w:trHeight w:val="576"/>
        </w:trPr>
        <w:tc>
          <w:tcPr>
            <w:tcW w:w="1422" w:type="pct"/>
            <w:vMerge/>
            <w:tcBorders>
              <w:left w:val="double" w:sz="4" w:space="0" w:color="auto"/>
              <w:bottom w:val="single" w:sz="4" w:space="0" w:color="auto"/>
              <w:right w:val="single" w:sz="4" w:space="0" w:color="auto"/>
            </w:tcBorders>
            <w:shd w:val="clear" w:color="auto" w:fill="auto"/>
            <w:noWrap/>
            <w:vAlign w:val="center"/>
            <w:hideMark/>
          </w:tcPr>
          <w:p w14:paraId="7C8D5116" w14:textId="77777777" w:rsidR="005030E9" w:rsidRPr="00A71CCE" w:rsidRDefault="005030E9" w:rsidP="009101D8">
            <w:pPr>
              <w:spacing w:after="0"/>
              <w:jc w:val="both"/>
              <w:rPr>
                <w:b/>
                <w:bCs/>
                <w:color w:val="000000"/>
                <w:sz w:val="22"/>
                <w:szCs w:val="22"/>
              </w:rPr>
            </w:pPr>
          </w:p>
        </w:tc>
        <w:tc>
          <w:tcPr>
            <w:tcW w:w="1432" w:type="pct"/>
            <w:tcBorders>
              <w:top w:val="dotted" w:sz="4" w:space="0" w:color="auto"/>
              <w:left w:val="nil"/>
              <w:bottom w:val="single" w:sz="4" w:space="0" w:color="auto"/>
              <w:right w:val="double" w:sz="4" w:space="0" w:color="auto"/>
            </w:tcBorders>
            <w:shd w:val="clear" w:color="auto" w:fill="auto"/>
            <w:noWrap/>
            <w:vAlign w:val="center"/>
            <w:hideMark/>
          </w:tcPr>
          <w:p w14:paraId="546CB2E6" w14:textId="77777777" w:rsidR="005030E9" w:rsidRPr="00A71CCE" w:rsidRDefault="005030E9" w:rsidP="009101D8">
            <w:pPr>
              <w:spacing w:after="0"/>
              <w:jc w:val="both"/>
              <w:rPr>
                <w:b/>
                <w:bCs/>
                <w:color w:val="000000"/>
                <w:sz w:val="22"/>
                <w:szCs w:val="22"/>
              </w:rPr>
            </w:pPr>
            <w:r w:rsidRPr="00A71CCE">
              <w:rPr>
                <w:b/>
                <w:bCs/>
                <w:color w:val="000000"/>
                <w:sz w:val="22"/>
                <w:szCs w:val="22"/>
              </w:rPr>
              <w:t xml:space="preserve">No  </w:t>
            </w:r>
            <w:r w:rsidRPr="00A71CCE">
              <w:rPr>
                <w:color w:val="000000"/>
                <w:sz w:val="22"/>
                <w:szCs w:val="22"/>
              </w:rPr>
              <w:t>(88; 37.61%)</w:t>
            </w:r>
          </w:p>
        </w:tc>
        <w:tc>
          <w:tcPr>
            <w:tcW w:w="1124" w:type="pct"/>
            <w:tcBorders>
              <w:top w:val="dotted" w:sz="4" w:space="0" w:color="auto"/>
              <w:left w:val="double" w:sz="4" w:space="0" w:color="auto"/>
              <w:bottom w:val="single" w:sz="4" w:space="0" w:color="auto"/>
              <w:right w:val="single" w:sz="4" w:space="0" w:color="auto"/>
            </w:tcBorders>
            <w:shd w:val="clear" w:color="auto" w:fill="auto"/>
            <w:noWrap/>
            <w:vAlign w:val="bottom"/>
            <w:hideMark/>
          </w:tcPr>
          <w:p w14:paraId="69180FC6" w14:textId="77777777" w:rsidR="005030E9" w:rsidRPr="00A71CCE" w:rsidRDefault="005030E9" w:rsidP="009101D8">
            <w:pPr>
              <w:spacing w:after="0"/>
              <w:ind w:right="440"/>
              <w:jc w:val="right"/>
              <w:rPr>
                <w:color w:val="000000"/>
                <w:sz w:val="22"/>
                <w:szCs w:val="22"/>
              </w:rPr>
            </w:pPr>
            <w:r w:rsidRPr="00A71CCE">
              <w:rPr>
                <w:color w:val="000000"/>
                <w:sz w:val="22"/>
                <w:szCs w:val="22"/>
              </w:rPr>
              <w:t>34</w:t>
            </w:r>
          </w:p>
          <w:p w14:paraId="5B22002F" w14:textId="77777777" w:rsidR="005030E9" w:rsidRPr="00A71CCE" w:rsidRDefault="005030E9" w:rsidP="009101D8">
            <w:pPr>
              <w:spacing w:after="0"/>
              <w:ind w:right="440"/>
              <w:jc w:val="right"/>
              <w:rPr>
                <w:color w:val="000000"/>
                <w:sz w:val="22"/>
                <w:szCs w:val="22"/>
              </w:rPr>
            </w:pPr>
            <w:r w:rsidRPr="00A71CCE">
              <w:rPr>
                <w:i/>
                <w:iCs/>
                <w:color w:val="000000"/>
                <w:sz w:val="22"/>
                <w:szCs w:val="22"/>
              </w:rPr>
              <w:t>38.64%</w:t>
            </w:r>
          </w:p>
        </w:tc>
        <w:tc>
          <w:tcPr>
            <w:tcW w:w="1022" w:type="pct"/>
            <w:tcBorders>
              <w:top w:val="dotted" w:sz="4" w:space="0" w:color="auto"/>
              <w:left w:val="nil"/>
              <w:bottom w:val="single" w:sz="4" w:space="0" w:color="auto"/>
              <w:right w:val="double" w:sz="4" w:space="0" w:color="auto"/>
            </w:tcBorders>
            <w:shd w:val="clear" w:color="auto" w:fill="auto"/>
            <w:noWrap/>
            <w:vAlign w:val="bottom"/>
            <w:hideMark/>
          </w:tcPr>
          <w:p w14:paraId="426E026F" w14:textId="77777777" w:rsidR="005030E9" w:rsidRPr="00A71CCE" w:rsidRDefault="005030E9" w:rsidP="009101D8">
            <w:pPr>
              <w:spacing w:after="0"/>
              <w:ind w:right="440"/>
              <w:jc w:val="right"/>
              <w:rPr>
                <w:color w:val="000000"/>
                <w:sz w:val="22"/>
                <w:szCs w:val="22"/>
              </w:rPr>
            </w:pPr>
            <w:r w:rsidRPr="00A71CCE">
              <w:rPr>
                <w:color w:val="000000"/>
                <w:sz w:val="22"/>
                <w:szCs w:val="22"/>
              </w:rPr>
              <w:t>54</w:t>
            </w:r>
          </w:p>
          <w:p w14:paraId="116043BA" w14:textId="77777777" w:rsidR="005030E9" w:rsidRPr="00A71CCE" w:rsidRDefault="005030E9" w:rsidP="009101D8">
            <w:pPr>
              <w:spacing w:after="0"/>
              <w:ind w:right="440"/>
              <w:jc w:val="right"/>
              <w:rPr>
                <w:color w:val="000000"/>
                <w:sz w:val="22"/>
                <w:szCs w:val="22"/>
              </w:rPr>
            </w:pPr>
            <w:r w:rsidRPr="00A71CCE">
              <w:rPr>
                <w:i/>
                <w:iCs/>
                <w:color w:val="000000"/>
                <w:sz w:val="22"/>
                <w:szCs w:val="22"/>
              </w:rPr>
              <w:t>61.36%</w:t>
            </w:r>
          </w:p>
        </w:tc>
      </w:tr>
      <w:tr w:rsidR="005030E9" w:rsidRPr="00A71CCE" w14:paraId="7543996F" w14:textId="77777777" w:rsidTr="00565BCE">
        <w:trPr>
          <w:trHeight w:val="576"/>
        </w:trPr>
        <w:tc>
          <w:tcPr>
            <w:tcW w:w="1422" w:type="pct"/>
            <w:vMerge w:val="restart"/>
            <w:tcBorders>
              <w:top w:val="nil"/>
              <w:left w:val="double" w:sz="4" w:space="0" w:color="auto"/>
              <w:right w:val="single" w:sz="4" w:space="0" w:color="auto"/>
            </w:tcBorders>
            <w:shd w:val="clear" w:color="auto" w:fill="auto"/>
            <w:noWrap/>
            <w:vAlign w:val="center"/>
            <w:hideMark/>
          </w:tcPr>
          <w:p w14:paraId="357AF410" w14:textId="77777777" w:rsidR="005030E9" w:rsidRPr="00A71CCE" w:rsidRDefault="005030E9" w:rsidP="009101D8">
            <w:pPr>
              <w:spacing w:after="0"/>
              <w:jc w:val="both"/>
              <w:rPr>
                <w:b/>
                <w:bCs/>
                <w:color w:val="000000"/>
                <w:sz w:val="22"/>
                <w:szCs w:val="22"/>
              </w:rPr>
            </w:pPr>
            <w:r w:rsidRPr="00A71CCE">
              <w:rPr>
                <w:b/>
                <w:bCs/>
                <w:color w:val="000000"/>
                <w:sz w:val="22"/>
                <w:szCs w:val="22"/>
              </w:rPr>
              <w:t xml:space="preserve">No  </w:t>
            </w:r>
            <w:r w:rsidRPr="00A71CCE">
              <w:rPr>
                <w:color w:val="000000"/>
                <w:sz w:val="22"/>
                <w:szCs w:val="22"/>
              </w:rPr>
              <w:t>(1807; 88.53%)</w:t>
            </w:r>
          </w:p>
          <w:p w14:paraId="48F1CF1F" w14:textId="77777777" w:rsidR="005030E9" w:rsidRPr="00A71CCE" w:rsidRDefault="005030E9" w:rsidP="009101D8">
            <w:pPr>
              <w:spacing w:after="0"/>
              <w:jc w:val="both"/>
              <w:rPr>
                <w:b/>
                <w:bCs/>
                <w:color w:val="000000"/>
                <w:sz w:val="22"/>
                <w:szCs w:val="22"/>
              </w:rPr>
            </w:pPr>
            <w:r w:rsidRPr="00A71CCE">
              <w:rPr>
                <w:b/>
                <w:bCs/>
                <w:color w:val="000000"/>
                <w:sz w:val="22"/>
                <w:szCs w:val="22"/>
              </w:rPr>
              <w:t> </w:t>
            </w:r>
          </w:p>
        </w:tc>
        <w:tc>
          <w:tcPr>
            <w:tcW w:w="1432" w:type="pct"/>
            <w:tcBorders>
              <w:top w:val="single" w:sz="4" w:space="0" w:color="auto"/>
              <w:left w:val="nil"/>
              <w:bottom w:val="dotted" w:sz="4" w:space="0" w:color="auto"/>
              <w:right w:val="double" w:sz="4" w:space="0" w:color="auto"/>
            </w:tcBorders>
            <w:shd w:val="clear" w:color="auto" w:fill="auto"/>
            <w:noWrap/>
            <w:vAlign w:val="center"/>
            <w:hideMark/>
          </w:tcPr>
          <w:p w14:paraId="7FA3B2C6" w14:textId="77777777" w:rsidR="005030E9" w:rsidRPr="00A71CCE" w:rsidRDefault="005030E9" w:rsidP="009101D8">
            <w:pPr>
              <w:spacing w:after="0"/>
              <w:jc w:val="both"/>
              <w:rPr>
                <w:b/>
                <w:bCs/>
                <w:color w:val="000000"/>
                <w:sz w:val="22"/>
                <w:szCs w:val="22"/>
              </w:rPr>
            </w:pPr>
            <w:r w:rsidRPr="00A71CCE">
              <w:rPr>
                <w:b/>
                <w:bCs/>
                <w:color w:val="000000"/>
                <w:sz w:val="22"/>
                <w:szCs w:val="22"/>
              </w:rPr>
              <w:t xml:space="preserve">Yes </w:t>
            </w:r>
            <w:r w:rsidRPr="00A71CCE">
              <w:rPr>
                <w:color w:val="000000"/>
                <w:sz w:val="22"/>
                <w:szCs w:val="22"/>
              </w:rPr>
              <w:t>(724; 40.07%)</w:t>
            </w:r>
          </w:p>
        </w:tc>
        <w:tc>
          <w:tcPr>
            <w:tcW w:w="1124" w:type="pct"/>
            <w:tcBorders>
              <w:top w:val="single" w:sz="4" w:space="0" w:color="auto"/>
              <w:left w:val="double" w:sz="4" w:space="0" w:color="auto"/>
              <w:bottom w:val="dotted" w:sz="4" w:space="0" w:color="auto"/>
              <w:right w:val="single" w:sz="4" w:space="0" w:color="auto"/>
            </w:tcBorders>
            <w:shd w:val="clear" w:color="auto" w:fill="auto"/>
            <w:noWrap/>
            <w:vAlign w:val="bottom"/>
            <w:hideMark/>
          </w:tcPr>
          <w:p w14:paraId="460E3FF4" w14:textId="77777777" w:rsidR="005030E9" w:rsidRPr="00A71CCE" w:rsidRDefault="005030E9" w:rsidP="009101D8">
            <w:pPr>
              <w:spacing w:after="0"/>
              <w:ind w:right="440"/>
              <w:jc w:val="right"/>
              <w:rPr>
                <w:color w:val="000000"/>
                <w:sz w:val="22"/>
                <w:szCs w:val="22"/>
              </w:rPr>
            </w:pPr>
            <w:r w:rsidRPr="00A71CCE">
              <w:rPr>
                <w:color w:val="000000"/>
                <w:sz w:val="22"/>
                <w:szCs w:val="22"/>
              </w:rPr>
              <w:t>427</w:t>
            </w:r>
          </w:p>
          <w:p w14:paraId="2BB84E61" w14:textId="77777777" w:rsidR="005030E9" w:rsidRPr="00A71CCE" w:rsidRDefault="005030E9" w:rsidP="009101D8">
            <w:pPr>
              <w:spacing w:after="0"/>
              <w:ind w:right="440"/>
              <w:jc w:val="right"/>
              <w:rPr>
                <w:color w:val="000000"/>
                <w:sz w:val="22"/>
                <w:szCs w:val="22"/>
              </w:rPr>
            </w:pPr>
            <w:r w:rsidRPr="00A71CCE">
              <w:rPr>
                <w:i/>
                <w:iCs/>
                <w:color w:val="000000"/>
                <w:sz w:val="22"/>
                <w:szCs w:val="22"/>
              </w:rPr>
              <w:t>58.98%</w:t>
            </w:r>
          </w:p>
        </w:tc>
        <w:tc>
          <w:tcPr>
            <w:tcW w:w="1022" w:type="pct"/>
            <w:tcBorders>
              <w:top w:val="single" w:sz="4" w:space="0" w:color="auto"/>
              <w:left w:val="nil"/>
              <w:bottom w:val="dotted" w:sz="4" w:space="0" w:color="auto"/>
              <w:right w:val="double" w:sz="4" w:space="0" w:color="auto"/>
            </w:tcBorders>
            <w:shd w:val="clear" w:color="auto" w:fill="auto"/>
            <w:noWrap/>
            <w:vAlign w:val="bottom"/>
            <w:hideMark/>
          </w:tcPr>
          <w:p w14:paraId="58A3B7CD" w14:textId="77777777" w:rsidR="005030E9" w:rsidRPr="00A71CCE" w:rsidRDefault="005030E9" w:rsidP="009101D8">
            <w:pPr>
              <w:spacing w:after="0"/>
              <w:ind w:right="440"/>
              <w:jc w:val="right"/>
              <w:rPr>
                <w:color w:val="000000"/>
                <w:sz w:val="22"/>
                <w:szCs w:val="22"/>
              </w:rPr>
            </w:pPr>
            <w:r w:rsidRPr="00A71CCE">
              <w:rPr>
                <w:color w:val="000000"/>
                <w:sz w:val="22"/>
                <w:szCs w:val="22"/>
              </w:rPr>
              <w:t>297</w:t>
            </w:r>
          </w:p>
          <w:p w14:paraId="1BCF2823" w14:textId="77777777" w:rsidR="005030E9" w:rsidRPr="00A71CCE" w:rsidRDefault="005030E9" w:rsidP="009101D8">
            <w:pPr>
              <w:spacing w:after="0"/>
              <w:ind w:right="440"/>
              <w:jc w:val="right"/>
              <w:rPr>
                <w:color w:val="000000"/>
                <w:sz w:val="22"/>
                <w:szCs w:val="22"/>
              </w:rPr>
            </w:pPr>
            <w:r w:rsidRPr="00A71CCE">
              <w:rPr>
                <w:i/>
                <w:iCs/>
                <w:color w:val="000000"/>
                <w:sz w:val="22"/>
                <w:szCs w:val="22"/>
              </w:rPr>
              <w:t>41.02%</w:t>
            </w:r>
          </w:p>
        </w:tc>
      </w:tr>
      <w:tr w:rsidR="005030E9" w:rsidRPr="00A71CCE" w14:paraId="5035E2AC" w14:textId="77777777" w:rsidTr="00565BCE">
        <w:trPr>
          <w:trHeight w:val="576"/>
        </w:trPr>
        <w:tc>
          <w:tcPr>
            <w:tcW w:w="1422" w:type="pct"/>
            <w:vMerge/>
            <w:tcBorders>
              <w:left w:val="double" w:sz="4" w:space="0" w:color="auto"/>
              <w:bottom w:val="double" w:sz="4" w:space="0" w:color="auto"/>
              <w:right w:val="single" w:sz="4" w:space="0" w:color="auto"/>
            </w:tcBorders>
            <w:shd w:val="clear" w:color="auto" w:fill="auto"/>
            <w:noWrap/>
            <w:vAlign w:val="bottom"/>
            <w:hideMark/>
          </w:tcPr>
          <w:p w14:paraId="3D62258B" w14:textId="77777777" w:rsidR="005030E9" w:rsidRPr="00A71CCE" w:rsidRDefault="005030E9" w:rsidP="009101D8">
            <w:pPr>
              <w:spacing w:after="0"/>
              <w:jc w:val="both"/>
              <w:rPr>
                <w:b/>
                <w:bCs/>
                <w:color w:val="000000"/>
                <w:sz w:val="22"/>
                <w:szCs w:val="22"/>
              </w:rPr>
            </w:pPr>
          </w:p>
        </w:tc>
        <w:tc>
          <w:tcPr>
            <w:tcW w:w="1432" w:type="pct"/>
            <w:tcBorders>
              <w:top w:val="dotted" w:sz="4" w:space="0" w:color="auto"/>
              <w:left w:val="nil"/>
              <w:bottom w:val="double" w:sz="4" w:space="0" w:color="auto"/>
              <w:right w:val="double" w:sz="4" w:space="0" w:color="auto"/>
            </w:tcBorders>
            <w:shd w:val="clear" w:color="auto" w:fill="auto"/>
            <w:noWrap/>
            <w:vAlign w:val="center"/>
            <w:hideMark/>
          </w:tcPr>
          <w:p w14:paraId="794726D3" w14:textId="77777777" w:rsidR="005030E9" w:rsidRPr="00A71CCE" w:rsidRDefault="005030E9" w:rsidP="009101D8">
            <w:pPr>
              <w:spacing w:after="0"/>
              <w:jc w:val="both"/>
              <w:rPr>
                <w:b/>
                <w:bCs/>
                <w:color w:val="000000"/>
                <w:sz w:val="22"/>
                <w:szCs w:val="22"/>
              </w:rPr>
            </w:pPr>
            <w:r w:rsidRPr="00A71CCE">
              <w:rPr>
                <w:b/>
                <w:bCs/>
                <w:color w:val="000000"/>
                <w:sz w:val="22"/>
                <w:szCs w:val="22"/>
              </w:rPr>
              <w:t xml:space="preserve">No  </w:t>
            </w:r>
            <w:r w:rsidRPr="00A71CCE">
              <w:rPr>
                <w:color w:val="000000"/>
                <w:sz w:val="22"/>
                <w:szCs w:val="22"/>
              </w:rPr>
              <w:t>(1083; 59.93%)</w:t>
            </w:r>
          </w:p>
        </w:tc>
        <w:tc>
          <w:tcPr>
            <w:tcW w:w="1124" w:type="pct"/>
            <w:tcBorders>
              <w:top w:val="dotted" w:sz="4" w:space="0" w:color="auto"/>
              <w:left w:val="double" w:sz="4" w:space="0" w:color="auto"/>
              <w:bottom w:val="double" w:sz="4" w:space="0" w:color="auto"/>
              <w:right w:val="single" w:sz="4" w:space="0" w:color="auto"/>
            </w:tcBorders>
            <w:shd w:val="clear" w:color="auto" w:fill="auto"/>
            <w:noWrap/>
            <w:vAlign w:val="bottom"/>
            <w:hideMark/>
          </w:tcPr>
          <w:p w14:paraId="39A96AFB" w14:textId="77777777" w:rsidR="005030E9" w:rsidRPr="00A71CCE" w:rsidRDefault="005030E9" w:rsidP="009101D8">
            <w:pPr>
              <w:spacing w:after="0"/>
              <w:ind w:right="440"/>
              <w:jc w:val="right"/>
              <w:rPr>
                <w:color w:val="000000"/>
                <w:sz w:val="22"/>
                <w:szCs w:val="22"/>
              </w:rPr>
            </w:pPr>
            <w:r w:rsidRPr="00A71CCE">
              <w:rPr>
                <w:color w:val="000000"/>
                <w:sz w:val="22"/>
                <w:szCs w:val="22"/>
              </w:rPr>
              <w:t>154</w:t>
            </w:r>
          </w:p>
          <w:p w14:paraId="337A029D" w14:textId="77777777" w:rsidR="005030E9" w:rsidRPr="00A71CCE" w:rsidRDefault="005030E9" w:rsidP="009101D8">
            <w:pPr>
              <w:spacing w:after="0"/>
              <w:ind w:right="440"/>
              <w:jc w:val="right"/>
              <w:rPr>
                <w:color w:val="000000"/>
                <w:sz w:val="22"/>
                <w:szCs w:val="22"/>
              </w:rPr>
            </w:pPr>
            <w:r w:rsidRPr="00A71CCE">
              <w:rPr>
                <w:i/>
                <w:iCs/>
                <w:color w:val="000000"/>
                <w:sz w:val="22"/>
                <w:szCs w:val="22"/>
              </w:rPr>
              <w:t>14.22%</w:t>
            </w:r>
          </w:p>
        </w:tc>
        <w:tc>
          <w:tcPr>
            <w:tcW w:w="1022" w:type="pct"/>
            <w:tcBorders>
              <w:top w:val="dotted" w:sz="4" w:space="0" w:color="auto"/>
              <w:left w:val="nil"/>
              <w:bottom w:val="double" w:sz="4" w:space="0" w:color="auto"/>
              <w:right w:val="double" w:sz="4" w:space="0" w:color="auto"/>
            </w:tcBorders>
            <w:shd w:val="clear" w:color="auto" w:fill="auto"/>
            <w:noWrap/>
            <w:vAlign w:val="bottom"/>
            <w:hideMark/>
          </w:tcPr>
          <w:p w14:paraId="6AC31C4C" w14:textId="77777777" w:rsidR="005030E9" w:rsidRPr="00A71CCE" w:rsidRDefault="005030E9" w:rsidP="009101D8">
            <w:pPr>
              <w:spacing w:after="0"/>
              <w:ind w:right="440"/>
              <w:jc w:val="right"/>
              <w:rPr>
                <w:color w:val="000000"/>
                <w:sz w:val="22"/>
                <w:szCs w:val="22"/>
              </w:rPr>
            </w:pPr>
            <w:r w:rsidRPr="00A71CCE">
              <w:rPr>
                <w:color w:val="000000"/>
                <w:sz w:val="22"/>
                <w:szCs w:val="22"/>
              </w:rPr>
              <w:t>929</w:t>
            </w:r>
          </w:p>
          <w:p w14:paraId="5A217297" w14:textId="77777777" w:rsidR="005030E9" w:rsidRPr="00A71CCE" w:rsidRDefault="005030E9" w:rsidP="009101D8">
            <w:pPr>
              <w:spacing w:after="0"/>
              <w:ind w:right="440"/>
              <w:jc w:val="right"/>
              <w:rPr>
                <w:color w:val="000000"/>
                <w:sz w:val="22"/>
                <w:szCs w:val="22"/>
              </w:rPr>
            </w:pPr>
            <w:r w:rsidRPr="00A71CCE">
              <w:rPr>
                <w:i/>
                <w:iCs/>
                <w:color w:val="000000"/>
                <w:sz w:val="22"/>
                <w:szCs w:val="22"/>
              </w:rPr>
              <w:t>85.78%</w:t>
            </w:r>
          </w:p>
        </w:tc>
      </w:tr>
      <w:tr w:rsidR="005030E9" w:rsidRPr="00A71CCE" w14:paraId="7830B974" w14:textId="77777777" w:rsidTr="00565BCE">
        <w:trPr>
          <w:trHeight w:val="576"/>
        </w:trPr>
        <w:tc>
          <w:tcPr>
            <w:tcW w:w="2854"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E45B5D4" w14:textId="77777777" w:rsidR="005030E9" w:rsidRPr="00A71CCE" w:rsidRDefault="005030E9" w:rsidP="009101D8">
            <w:pPr>
              <w:spacing w:after="0"/>
              <w:jc w:val="both"/>
              <w:rPr>
                <w:b/>
                <w:bCs/>
                <w:color w:val="000000"/>
                <w:sz w:val="22"/>
                <w:szCs w:val="22"/>
              </w:rPr>
            </w:pPr>
            <w:r w:rsidRPr="00A71CCE">
              <w:rPr>
                <w:b/>
                <w:bCs/>
                <w:color w:val="000000"/>
                <w:sz w:val="22"/>
                <w:szCs w:val="22"/>
              </w:rPr>
              <w:t xml:space="preserve"> Total </w:t>
            </w:r>
            <w:r w:rsidRPr="00A71CCE">
              <w:rPr>
                <w:color w:val="000000"/>
                <w:sz w:val="22"/>
                <w:szCs w:val="22"/>
              </w:rPr>
              <w:t>(2041; 100%)</w:t>
            </w:r>
          </w:p>
        </w:tc>
        <w:tc>
          <w:tcPr>
            <w:tcW w:w="1124" w:type="pct"/>
            <w:tcBorders>
              <w:top w:val="double" w:sz="4" w:space="0" w:color="auto"/>
              <w:left w:val="double" w:sz="4" w:space="0" w:color="auto"/>
              <w:bottom w:val="double" w:sz="4" w:space="0" w:color="auto"/>
              <w:right w:val="single" w:sz="4" w:space="0" w:color="auto"/>
            </w:tcBorders>
            <w:shd w:val="clear" w:color="auto" w:fill="auto"/>
            <w:noWrap/>
            <w:vAlign w:val="bottom"/>
            <w:hideMark/>
          </w:tcPr>
          <w:p w14:paraId="135D5B96" w14:textId="77777777" w:rsidR="005030E9" w:rsidRPr="00A71CCE" w:rsidRDefault="005030E9" w:rsidP="009101D8">
            <w:pPr>
              <w:spacing w:after="0"/>
              <w:ind w:right="440"/>
              <w:jc w:val="right"/>
              <w:rPr>
                <w:color w:val="000000"/>
                <w:sz w:val="22"/>
                <w:szCs w:val="22"/>
              </w:rPr>
            </w:pPr>
            <w:r w:rsidRPr="00A71CCE">
              <w:rPr>
                <w:color w:val="000000"/>
                <w:sz w:val="22"/>
                <w:szCs w:val="22"/>
              </w:rPr>
              <w:t>730</w:t>
            </w:r>
          </w:p>
          <w:p w14:paraId="7F8F4D99" w14:textId="77777777" w:rsidR="005030E9" w:rsidRPr="00A71CCE" w:rsidRDefault="005030E9" w:rsidP="009101D8">
            <w:pPr>
              <w:spacing w:after="0"/>
              <w:ind w:right="440"/>
              <w:jc w:val="right"/>
              <w:rPr>
                <w:color w:val="000000"/>
                <w:sz w:val="22"/>
                <w:szCs w:val="22"/>
              </w:rPr>
            </w:pPr>
            <w:r w:rsidRPr="00A71CCE">
              <w:rPr>
                <w:i/>
                <w:iCs/>
                <w:color w:val="000000"/>
                <w:sz w:val="22"/>
                <w:szCs w:val="22"/>
              </w:rPr>
              <w:t>35.77%</w:t>
            </w:r>
          </w:p>
        </w:tc>
        <w:tc>
          <w:tcPr>
            <w:tcW w:w="1022" w:type="pct"/>
            <w:tcBorders>
              <w:top w:val="double" w:sz="4" w:space="0" w:color="auto"/>
              <w:left w:val="nil"/>
              <w:bottom w:val="double" w:sz="4" w:space="0" w:color="auto"/>
              <w:right w:val="double" w:sz="4" w:space="0" w:color="auto"/>
            </w:tcBorders>
            <w:shd w:val="clear" w:color="auto" w:fill="auto"/>
            <w:noWrap/>
            <w:vAlign w:val="bottom"/>
            <w:hideMark/>
          </w:tcPr>
          <w:p w14:paraId="37A0EB0E" w14:textId="77777777" w:rsidR="005030E9" w:rsidRPr="00A71CCE" w:rsidRDefault="005030E9" w:rsidP="009101D8">
            <w:pPr>
              <w:spacing w:after="0"/>
              <w:ind w:right="440"/>
              <w:jc w:val="right"/>
              <w:rPr>
                <w:color w:val="000000"/>
                <w:sz w:val="22"/>
                <w:szCs w:val="22"/>
              </w:rPr>
            </w:pPr>
            <w:r w:rsidRPr="00A71CCE">
              <w:rPr>
                <w:color w:val="000000"/>
                <w:sz w:val="22"/>
                <w:szCs w:val="22"/>
              </w:rPr>
              <w:t>1311</w:t>
            </w:r>
          </w:p>
          <w:p w14:paraId="33665752" w14:textId="77777777" w:rsidR="005030E9" w:rsidRPr="00A71CCE" w:rsidRDefault="005030E9" w:rsidP="009101D8">
            <w:pPr>
              <w:spacing w:after="0"/>
              <w:ind w:right="440"/>
              <w:jc w:val="right"/>
              <w:rPr>
                <w:color w:val="000000"/>
                <w:sz w:val="22"/>
                <w:szCs w:val="22"/>
              </w:rPr>
            </w:pPr>
            <w:r w:rsidRPr="00A71CCE">
              <w:rPr>
                <w:i/>
                <w:iCs/>
                <w:color w:val="000000"/>
                <w:sz w:val="22"/>
                <w:szCs w:val="22"/>
              </w:rPr>
              <w:t>64.23%</w:t>
            </w:r>
          </w:p>
        </w:tc>
      </w:tr>
    </w:tbl>
    <w:p w14:paraId="31E00334" w14:textId="74D02972" w:rsidR="00B66A9F" w:rsidRDefault="00B66A9F" w:rsidP="00F56DAF">
      <w:pPr>
        <w:spacing w:line="240" w:lineRule="auto"/>
        <w:jc w:val="both"/>
        <w:rPr>
          <w:b/>
          <w:bCs/>
        </w:rPr>
      </w:pPr>
    </w:p>
    <w:p w14:paraId="70D2E64F" w14:textId="77777777" w:rsidR="00B66A9F" w:rsidRDefault="00B66A9F">
      <w:pPr>
        <w:rPr>
          <w:b/>
          <w:bCs/>
        </w:rPr>
      </w:pPr>
      <w:r>
        <w:rPr>
          <w:b/>
          <w:bCs/>
        </w:rPr>
        <w:br w:type="page"/>
      </w:r>
    </w:p>
    <w:p w14:paraId="06876BEC" w14:textId="68FE28DF" w:rsidR="0069340B" w:rsidRDefault="0069340B" w:rsidP="00C37174">
      <w:pPr>
        <w:pStyle w:val="Caption"/>
        <w:keepNext/>
        <w:spacing w:after="120"/>
        <w:jc w:val="left"/>
      </w:pPr>
      <w:bookmarkStart w:id="80" w:name="_Ref178944975"/>
      <w:r>
        <w:lastRenderedPageBreak/>
        <w:t xml:space="preserve">Table </w:t>
      </w:r>
      <w:r w:rsidR="00C425C0">
        <w:fldChar w:fldCharType="begin"/>
      </w:r>
      <w:r w:rsidR="00C425C0">
        <w:instrText xml:space="preserve"> SEQ Table \* ARABIC </w:instrText>
      </w:r>
      <w:r w:rsidR="00C425C0">
        <w:fldChar w:fldCharType="separate"/>
      </w:r>
      <w:r w:rsidR="008A3DCE">
        <w:rPr>
          <w:noProof/>
        </w:rPr>
        <w:t>2</w:t>
      </w:r>
      <w:r w:rsidR="00C425C0">
        <w:rPr>
          <w:noProof/>
        </w:rPr>
        <w:fldChar w:fldCharType="end"/>
      </w:r>
      <w:bookmarkEnd w:id="80"/>
      <w:r>
        <w:t xml:space="preserve">. </w:t>
      </w:r>
      <w:r w:rsidRPr="00721623">
        <w:t xml:space="preserve">Descriptive Statistics </w:t>
      </w:r>
      <w:r>
        <w:t>for the Reasons Associated with Adopting or Not Adopting Telemedicine (N=</w:t>
      </w:r>
      <w:bookmarkStart w:id="81" w:name="_Hlk164176041"/>
      <w:r>
        <w:t>2335</w:t>
      </w:r>
      <w:bookmarkEnd w:id="81"/>
      <w:r>
        <w:t>)</w:t>
      </w:r>
    </w:p>
    <w:tbl>
      <w:tblPr>
        <w:tblW w:w="94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35"/>
        <w:gridCol w:w="2790"/>
        <w:gridCol w:w="1296"/>
        <w:gridCol w:w="1301"/>
      </w:tblGrid>
      <w:tr w:rsidR="00B66A9F" w:rsidRPr="00A71CCE" w14:paraId="458CC5F2" w14:textId="77777777" w:rsidTr="0069340B">
        <w:trPr>
          <w:trHeight w:val="432"/>
          <w:tblHeader/>
        </w:trPr>
        <w:tc>
          <w:tcPr>
            <w:tcW w:w="4035" w:type="dxa"/>
            <w:tcBorders>
              <w:top w:val="double" w:sz="4" w:space="0" w:color="auto"/>
              <w:bottom w:val="double" w:sz="4" w:space="0" w:color="auto"/>
              <w:right w:val="double" w:sz="4" w:space="0" w:color="auto"/>
            </w:tcBorders>
            <w:shd w:val="clear" w:color="auto" w:fill="auto"/>
            <w:noWrap/>
            <w:vAlign w:val="center"/>
            <w:hideMark/>
          </w:tcPr>
          <w:p w14:paraId="62208B3E" w14:textId="77777777" w:rsidR="00B66A9F" w:rsidRPr="00A71CCE" w:rsidRDefault="00B66A9F" w:rsidP="009101D8">
            <w:pPr>
              <w:spacing w:after="0"/>
              <w:jc w:val="both"/>
              <w:rPr>
                <w:b/>
                <w:bCs/>
                <w:color w:val="000000"/>
                <w:sz w:val="22"/>
                <w:szCs w:val="22"/>
              </w:rPr>
            </w:pPr>
            <w:r w:rsidRPr="00A71CCE">
              <w:rPr>
                <w:b/>
                <w:bCs/>
                <w:color w:val="000000"/>
                <w:sz w:val="22"/>
                <w:szCs w:val="22"/>
              </w:rPr>
              <w:t>Reasons</w:t>
            </w:r>
          </w:p>
        </w:tc>
        <w:tc>
          <w:tcPr>
            <w:tcW w:w="2790" w:type="dxa"/>
            <w:tcBorders>
              <w:top w:val="double" w:sz="4" w:space="0" w:color="auto"/>
              <w:bottom w:val="double" w:sz="4" w:space="0" w:color="auto"/>
              <w:right w:val="double" w:sz="4" w:space="0" w:color="auto"/>
            </w:tcBorders>
            <w:vAlign w:val="center"/>
          </w:tcPr>
          <w:p w14:paraId="158AC768" w14:textId="77777777" w:rsidR="00B66A9F" w:rsidRPr="00A71CCE" w:rsidRDefault="00B66A9F" w:rsidP="009101D8">
            <w:pPr>
              <w:spacing w:after="0"/>
              <w:jc w:val="both"/>
              <w:rPr>
                <w:b/>
                <w:bCs/>
                <w:color w:val="000000"/>
                <w:sz w:val="22"/>
                <w:szCs w:val="22"/>
              </w:rPr>
            </w:pPr>
            <w:r w:rsidRPr="00A71CCE">
              <w:rPr>
                <w:sz w:val="22"/>
                <w:szCs w:val="22"/>
              </w:rPr>
              <w:t>S</w:t>
            </w:r>
            <w:r w:rsidRPr="00A71CCE">
              <w:rPr>
                <w:b/>
                <w:bCs/>
                <w:color w:val="000000"/>
                <w:sz w:val="22"/>
                <w:szCs w:val="22"/>
              </w:rPr>
              <w:t>hort Labels</w:t>
            </w:r>
          </w:p>
        </w:tc>
        <w:tc>
          <w:tcPr>
            <w:tcW w:w="1296" w:type="dxa"/>
            <w:tcBorders>
              <w:top w:val="double" w:sz="4" w:space="0" w:color="auto"/>
              <w:left w:val="double" w:sz="4" w:space="0" w:color="auto"/>
              <w:bottom w:val="double" w:sz="4" w:space="0" w:color="auto"/>
            </w:tcBorders>
            <w:shd w:val="clear" w:color="auto" w:fill="auto"/>
            <w:noWrap/>
            <w:vAlign w:val="center"/>
            <w:hideMark/>
          </w:tcPr>
          <w:p w14:paraId="08109A41" w14:textId="77777777" w:rsidR="00B66A9F" w:rsidRPr="00A71CCE" w:rsidRDefault="00B66A9F" w:rsidP="009101D8">
            <w:pPr>
              <w:spacing w:after="0"/>
              <w:jc w:val="center"/>
              <w:rPr>
                <w:b/>
                <w:bCs/>
                <w:color w:val="000000"/>
                <w:sz w:val="22"/>
                <w:szCs w:val="22"/>
              </w:rPr>
            </w:pPr>
            <w:r w:rsidRPr="00A71CCE">
              <w:rPr>
                <w:b/>
                <w:bCs/>
                <w:color w:val="000000"/>
                <w:sz w:val="22"/>
                <w:szCs w:val="22"/>
              </w:rPr>
              <w:t>Frequency</w:t>
            </w:r>
          </w:p>
        </w:tc>
        <w:tc>
          <w:tcPr>
            <w:tcW w:w="1301" w:type="dxa"/>
            <w:tcBorders>
              <w:top w:val="double" w:sz="4" w:space="0" w:color="auto"/>
              <w:bottom w:val="double" w:sz="4" w:space="0" w:color="auto"/>
            </w:tcBorders>
            <w:shd w:val="clear" w:color="auto" w:fill="auto"/>
            <w:noWrap/>
            <w:vAlign w:val="center"/>
            <w:hideMark/>
          </w:tcPr>
          <w:p w14:paraId="7FFA6F4C" w14:textId="77777777" w:rsidR="00B66A9F" w:rsidRPr="00A71CCE" w:rsidRDefault="00B66A9F" w:rsidP="009101D8">
            <w:pPr>
              <w:spacing w:after="0"/>
              <w:jc w:val="center"/>
              <w:rPr>
                <w:b/>
                <w:bCs/>
                <w:color w:val="000000"/>
                <w:sz w:val="22"/>
                <w:szCs w:val="22"/>
              </w:rPr>
            </w:pPr>
            <w:r w:rsidRPr="00A71CCE">
              <w:rPr>
                <w:b/>
                <w:bCs/>
                <w:color w:val="000000"/>
                <w:sz w:val="22"/>
                <w:szCs w:val="22"/>
              </w:rPr>
              <w:t>Rel. Frequency</w:t>
            </w:r>
          </w:p>
        </w:tc>
      </w:tr>
      <w:tr w:rsidR="00B66A9F" w:rsidRPr="00A71CCE" w14:paraId="4D0A13F8" w14:textId="77777777" w:rsidTr="00565BCE">
        <w:trPr>
          <w:trHeight w:val="432"/>
        </w:trPr>
        <w:tc>
          <w:tcPr>
            <w:tcW w:w="9422" w:type="dxa"/>
            <w:gridSpan w:val="4"/>
            <w:tcBorders>
              <w:top w:val="double" w:sz="4" w:space="0" w:color="auto"/>
              <w:bottom w:val="double" w:sz="4" w:space="0" w:color="auto"/>
            </w:tcBorders>
            <w:vAlign w:val="center"/>
          </w:tcPr>
          <w:p w14:paraId="4492C12F" w14:textId="2FE6CDD0" w:rsidR="00B66A9F" w:rsidRPr="00A71CCE" w:rsidRDefault="00B66A9F" w:rsidP="00B66A9F">
            <w:pPr>
              <w:spacing w:after="0"/>
              <w:rPr>
                <w:b/>
                <w:bCs/>
                <w:color w:val="000000"/>
                <w:sz w:val="22"/>
                <w:szCs w:val="22"/>
              </w:rPr>
            </w:pPr>
            <w:r w:rsidRPr="00A71CCE">
              <w:rPr>
                <w:b/>
                <w:bCs/>
                <w:color w:val="000000"/>
                <w:sz w:val="22"/>
                <w:szCs w:val="22"/>
              </w:rPr>
              <w:t>Reasons for adopting telemedicine</w:t>
            </w:r>
            <w:r w:rsidR="00ED7316">
              <w:rPr>
                <w:b/>
                <w:bCs/>
                <w:color w:val="000000"/>
                <w:sz w:val="22"/>
                <w:szCs w:val="22"/>
              </w:rPr>
              <w:t>/ Telemedicine adoption facilitators</w:t>
            </w:r>
            <w:r w:rsidRPr="00A71CCE">
              <w:rPr>
                <w:b/>
                <w:bCs/>
                <w:color w:val="000000"/>
                <w:sz w:val="22"/>
                <w:szCs w:val="22"/>
              </w:rPr>
              <w:t xml:space="preserve"> (N=80</w:t>
            </w:r>
            <w:r w:rsidR="00E27ED8">
              <w:rPr>
                <w:b/>
                <w:bCs/>
                <w:color w:val="000000"/>
                <w:sz w:val="22"/>
                <w:szCs w:val="22"/>
              </w:rPr>
              <w:t>2</w:t>
            </w:r>
            <w:r w:rsidRPr="00A71CCE">
              <w:rPr>
                <w:b/>
                <w:bCs/>
                <w:color w:val="000000"/>
                <w:sz w:val="22"/>
                <w:szCs w:val="22"/>
              </w:rPr>
              <w:t>)</w:t>
            </w:r>
          </w:p>
        </w:tc>
      </w:tr>
      <w:tr w:rsidR="00B66A9F" w:rsidRPr="00A71CCE" w14:paraId="68588F16" w14:textId="77777777" w:rsidTr="0069340B">
        <w:trPr>
          <w:trHeight w:val="432"/>
        </w:trPr>
        <w:tc>
          <w:tcPr>
            <w:tcW w:w="4035" w:type="dxa"/>
            <w:tcBorders>
              <w:top w:val="double" w:sz="4" w:space="0" w:color="auto"/>
              <w:bottom w:val="single" w:sz="4" w:space="0" w:color="auto"/>
              <w:right w:val="double" w:sz="4" w:space="0" w:color="auto"/>
            </w:tcBorders>
            <w:shd w:val="clear" w:color="auto" w:fill="auto"/>
            <w:noWrap/>
            <w:vAlign w:val="center"/>
            <w:hideMark/>
          </w:tcPr>
          <w:p w14:paraId="16AD0084" w14:textId="77777777" w:rsidR="00B66A9F" w:rsidRPr="00A71CCE" w:rsidRDefault="00B66A9F" w:rsidP="009101D8">
            <w:pPr>
              <w:spacing w:after="0"/>
              <w:rPr>
                <w:color w:val="000000"/>
                <w:sz w:val="22"/>
                <w:szCs w:val="22"/>
              </w:rPr>
            </w:pPr>
            <w:r w:rsidRPr="00A71CCE">
              <w:rPr>
                <w:color w:val="000000"/>
                <w:sz w:val="22"/>
                <w:szCs w:val="22"/>
              </w:rPr>
              <w:t>Getting to medical appointments is difficult for me</w:t>
            </w:r>
          </w:p>
        </w:tc>
        <w:tc>
          <w:tcPr>
            <w:tcW w:w="2790" w:type="dxa"/>
            <w:tcBorders>
              <w:top w:val="double" w:sz="4" w:space="0" w:color="auto"/>
              <w:right w:val="double" w:sz="4" w:space="0" w:color="auto"/>
            </w:tcBorders>
            <w:vAlign w:val="center"/>
          </w:tcPr>
          <w:p w14:paraId="05F97F41" w14:textId="77777777" w:rsidR="00B66A9F" w:rsidRPr="00A71CCE" w:rsidRDefault="00B66A9F" w:rsidP="009101D8">
            <w:pPr>
              <w:spacing w:after="0"/>
              <w:rPr>
                <w:color w:val="000000"/>
                <w:sz w:val="22"/>
                <w:szCs w:val="22"/>
              </w:rPr>
            </w:pPr>
            <w:r w:rsidRPr="00A71CCE">
              <w:rPr>
                <w:color w:val="000000"/>
                <w:sz w:val="22"/>
                <w:szCs w:val="22"/>
              </w:rPr>
              <w:t>Difficulty in-person accessibility (DIPA)</w:t>
            </w:r>
          </w:p>
        </w:tc>
        <w:tc>
          <w:tcPr>
            <w:tcW w:w="1296" w:type="dxa"/>
            <w:tcBorders>
              <w:top w:val="double" w:sz="4" w:space="0" w:color="auto"/>
              <w:left w:val="double" w:sz="4" w:space="0" w:color="auto"/>
            </w:tcBorders>
            <w:shd w:val="clear" w:color="auto" w:fill="auto"/>
            <w:noWrap/>
            <w:vAlign w:val="center"/>
            <w:hideMark/>
          </w:tcPr>
          <w:p w14:paraId="4F939609" w14:textId="77777777" w:rsidR="00B66A9F" w:rsidRPr="00A71CCE" w:rsidRDefault="00B66A9F" w:rsidP="009101D8">
            <w:pPr>
              <w:spacing w:after="0"/>
              <w:jc w:val="right"/>
              <w:rPr>
                <w:color w:val="000000"/>
                <w:sz w:val="22"/>
                <w:szCs w:val="22"/>
              </w:rPr>
            </w:pPr>
            <w:r w:rsidRPr="00A71CCE">
              <w:rPr>
                <w:color w:val="000000"/>
                <w:sz w:val="22"/>
                <w:szCs w:val="22"/>
              </w:rPr>
              <w:t>122</w:t>
            </w:r>
          </w:p>
        </w:tc>
        <w:tc>
          <w:tcPr>
            <w:tcW w:w="1301" w:type="dxa"/>
            <w:tcBorders>
              <w:top w:val="double" w:sz="4" w:space="0" w:color="auto"/>
            </w:tcBorders>
            <w:shd w:val="clear" w:color="auto" w:fill="auto"/>
            <w:noWrap/>
            <w:vAlign w:val="center"/>
            <w:hideMark/>
          </w:tcPr>
          <w:p w14:paraId="6BEFC4AA" w14:textId="77777777" w:rsidR="00B66A9F" w:rsidRPr="00A71CCE" w:rsidRDefault="00B66A9F" w:rsidP="009101D8">
            <w:pPr>
              <w:spacing w:after="0"/>
              <w:jc w:val="right"/>
              <w:rPr>
                <w:color w:val="000000"/>
                <w:sz w:val="22"/>
                <w:szCs w:val="22"/>
              </w:rPr>
            </w:pPr>
            <w:r w:rsidRPr="00A71CCE">
              <w:rPr>
                <w:color w:val="000000"/>
                <w:sz w:val="22"/>
                <w:szCs w:val="22"/>
              </w:rPr>
              <w:t>15.21%</w:t>
            </w:r>
          </w:p>
        </w:tc>
      </w:tr>
      <w:tr w:rsidR="00B66A9F" w:rsidRPr="00A71CCE" w14:paraId="4C76D3A9"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28763D66" w14:textId="77777777" w:rsidR="00B66A9F" w:rsidRPr="00A71CCE" w:rsidRDefault="00B66A9F" w:rsidP="009101D8">
            <w:pPr>
              <w:spacing w:after="0"/>
              <w:rPr>
                <w:color w:val="000000"/>
                <w:sz w:val="22"/>
                <w:szCs w:val="22"/>
              </w:rPr>
            </w:pPr>
            <w:r w:rsidRPr="00A71CCE">
              <w:rPr>
                <w:color w:val="000000"/>
                <w:sz w:val="22"/>
                <w:szCs w:val="22"/>
              </w:rPr>
              <w:t>Telemedicine is more convenient for me</w:t>
            </w:r>
          </w:p>
        </w:tc>
        <w:tc>
          <w:tcPr>
            <w:tcW w:w="2790" w:type="dxa"/>
            <w:tcBorders>
              <w:right w:val="double" w:sz="4" w:space="0" w:color="auto"/>
            </w:tcBorders>
            <w:vAlign w:val="center"/>
          </w:tcPr>
          <w:p w14:paraId="5B1E35F0" w14:textId="77777777" w:rsidR="00B66A9F" w:rsidRPr="00A71CCE" w:rsidRDefault="00B66A9F" w:rsidP="009101D8">
            <w:pPr>
              <w:spacing w:after="0"/>
              <w:rPr>
                <w:color w:val="000000"/>
                <w:sz w:val="22"/>
                <w:szCs w:val="22"/>
              </w:rPr>
            </w:pPr>
            <w:r w:rsidRPr="00A71CCE">
              <w:rPr>
                <w:color w:val="000000"/>
                <w:sz w:val="22"/>
                <w:szCs w:val="22"/>
              </w:rPr>
              <w:t>Telemedicine convenience (TC)</w:t>
            </w:r>
          </w:p>
        </w:tc>
        <w:tc>
          <w:tcPr>
            <w:tcW w:w="1296" w:type="dxa"/>
            <w:tcBorders>
              <w:left w:val="double" w:sz="4" w:space="0" w:color="auto"/>
            </w:tcBorders>
            <w:shd w:val="clear" w:color="auto" w:fill="auto"/>
            <w:noWrap/>
            <w:vAlign w:val="center"/>
            <w:hideMark/>
          </w:tcPr>
          <w:p w14:paraId="310827C2" w14:textId="77777777" w:rsidR="00B66A9F" w:rsidRPr="00A71CCE" w:rsidRDefault="00B66A9F" w:rsidP="009101D8">
            <w:pPr>
              <w:spacing w:after="0"/>
              <w:jc w:val="right"/>
              <w:rPr>
                <w:color w:val="000000"/>
                <w:sz w:val="22"/>
                <w:szCs w:val="22"/>
              </w:rPr>
            </w:pPr>
            <w:r w:rsidRPr="00A71CCE">
              <w:rPr>
                <w:color w:val="000000"/>
                <w:sz w:val="22"/>
                <w:szCs w:val="22"/>
              </w:rPr>
              <w:t>591</w:t>
            </w:r>
          </w:p>
        </w:tc>
        <w:tc>
          <w:tcPr>
            <w:tcW w:w="1301" w:type="dxa"/>
            <w:shd w:val="clear" w:color="auto" w:fill="auto"/>
            <w:noWrap/>
            <w:vAlign w:val="center"/>
            <w:hideMark/>
          </w:tcPr>
          <w:p w14:paraId="20EA02B6" w14:textId="77777777" w:rsidR="00B66A9F" w:rsidRPr="00A71CCE" w:rsidRDefault="00B66A9F" w:rsidP="009101D8">
            <w:pPr>
              <w:spacing w:after="0"/>
              <w:jc w:val="right"/>
              <w:rPr>
                <w:color w:val="000000"/>
                <w:sz w:val="22"/>
                <w:szCs w:val="22"/>
              </w:rPr>
            </w:pPr>
            <w:r w:rsidRPr="00A71CCE">
              <w:rPr>
                <w:color w:val="000000"/>
                <w:sz w:val="22"/>
                <w:szCs w:val="22"/>
              </w:rPr>
              <w:t>73.69%</w:t>
            </w:r>
          </w:p>
        </w:tc>
      </w:tr>
      <w:tr w:rsidR="00B66A9F" w:rsidRPr="00A71CCE" w14:paraId="076BB4AF"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05A2E88B" w14:textId="77777777" w:rsidR="00B66A9F" w:rsidRPr="00A71CCE" w:rsidRDefault="00B66A9F" w:rsidP="009101D8">
            <w:pPr>
              <w:spacing w:after="0"/>
              <w:rPr>
                <w:color w:val="000000"/>
                <w:sz w:val="22"/>
                <w:szCs w:val="22"/>
              </w:rPr>
            </w:pPr>
            <w:r w:rsidRPr="00A71CCE">
              <w:rPr>
                <w:color w:val="000000"/>
                <w:sz w:val="22"/>
                <w:szCs w:val="22"/>
              </w:rPr>
              <w:t>I like the privacy offered by telemedicine</w:t>
            </w:r>
          </w:p>
        </w:tc>
        <w:tc>
          <w:tcPr>
            <w:tcW w:w="2790" w:type="dxa"/>
            <w:tcBorders>
              <w:right w:val="double" w:sz="4" w:space="0" w:color="auto"/>
            </w:tcBorders>
            <w:vAlign w:val="center"/>
          </w:tcPr>
          <w:p w14:paraId="55BFD06C" w14:textId="77777777" w:rsidR="00B66A9F" w:rsidRPr="00A71CCE" w:rsidRDefault="00B66A9F" w:rsidP="009101D8">
            <w:pPr>
              <w:spacing w:after="0"/>
              <w:rPr>
                <w:color w:val="000000"/>
                <w:sz w:val="22"/>
                <w:szCs w:val="22"/>
              </w:rPr>
            </w:pPr>
            <w:r w:rsidRPr="00A71CCE">
              <w:rPr>
                <w:color w:val="000000"/>
                <w:sz w:val="22"/>
                <w:szCs w:val="22"/>
              </w:rPr>
              <w:t>Telemedicine privacy (TP)</w:t>
            </w:r>
          </w:p>
        </w:tc>
        <w:tc>
          <w:tcPr>
            <w:tcW w:w="1296" w:type="dxa"/>
            <w:tcBorders>
              <w:left w:val="double" w:sz="4" w:space="0" w:color="auto"/>
            </w:tcBorders>
            <w:shd w:val="clear" w:color="auto" w:fill="auto"/>
            <w:noWrap/>
            <w:vAlign w:val="center"/>
            <w:hideMark/>
          </w:tcPr>
          <w:p w14:paraId="3AAB945B" w14:textId="77777777" w:rsidR="00B66A9F" w:rsidRPr="00A71CCE" w:rsidRDefault="00B66A9F" w:rsidP="009101D8">
            <w:pPr>
              <w:spacing w:after="0"/>
              <w:jc w:val="right"/>
              <w:rPr>
                <w:color w:val="000000"/>
                <w:sz w:val="22"/>
                <w:szCs w:val="22"/>
              </w:rPr>
            </w:pPr>
            <w:r w:rsidRPr="00A71CCE">
              <w:rPr>
                <w:color w:val="000000"/>
                <w:sz w:val="22"/>
                <w:szCs w:val="22"/>
              </w:rPr>
              <w:t>138</w:t>
            </w:r>
          </w:p>
        </w:tc>
        <w:tc>
          <w:tcPr>
            <w:tcW w:w="1301" w:type="dxa"/>
            <w:shd w:val="clear" w:color="auto" w:fill="auto"/>
            <w:noWrap/>
            <w:vAlign w:val="center"/>
            <w:hideMark/>
          </w:tcPr>
          <w:p w14:paraId="636727B8" w14:textId="77777777" w:rsidR="00B66A9F" w:rsidRPr="00A71CCE" w:rsidRDefault="00B66A9F" w:rsidP="009101D8">
            <w:pPr>
              <w:spacing w:after="0"/>
              <w:jc w:val="right"/>
              <w:rPr>
                <w:color w:val="000000"/>
                <w:sz w:val="22"/>
                <w:szCs w:val="22"/>
              </w:rPr>
            </w:pPr>
            <w:r w:rsidRPr="00A71CCE">
              <w:rPr>
                <w:color w:val="000000"/>
                <w:sz w:val="22"/>
                <w:szCs w:val="22"/>
              </w:rPr>
              <w:t>17.21%</w:t>
            </w:r>
          </w:p>
        </w:tc>
      </w:tr>
      <w:tr w:rsidR="00B66A9F" w:rsidRPr="00A71CCE" w14:paraId="39E50ACF"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49FF5432" w14:textId="77777777" w:rsidR="00B66A9F" w:rsidRPr="00A71CCE" w:rsidRDefault="00B66A9F" w:rsidP="009101D8">
            <w:pPr>
              <w:spacing w:after="0"/>
              <w:rPr>
                <w:color w:val="000000"/>
                <w:sz w:val="22"/>
                <w:szCs w:val="22"/>
              </w:rPr>
            </w:pPr>
            <w:r w:rsidRPr="00A71CCE">
              <w:rPr>
                <w:color w:val="000000"/>
                <w:sz w:val="22"/>
                <w:szCs w:val="22"/>
              </w:rPr>
              <w:t>I do not have to wait as long</w:t>
            </w:r>
          </w:p>
        </w:tc>
        <w:tc>
          <w:tcPr>
            <w:tcW w:w="2790" w:type="dxa"/>
            <w:tcBorders>
              <w:right w:val="double" w:sz="4" w:space="0" w:color="auto"/>
            </w:tcBorders>
            <w:vAlign w:val="center"/>
          </w:tcPr>
          <w:p w14:paraId="634DEBF6" w14:textId="77777777" w:rsidR="00B66A9F" w:rsidRPr="00A71CCE" w:rsidRDefault="00B66A9F" w:rsidP="009101D8">
            <w:pPr>
              <w:spacing w:after="0"/>
              <w:rPr>
                <w:color w:val="000000"/>
                <w:sz w:val="22"/>
                <w:szCs w:val="22"/>
              </w:rPr>
            </w:pPr>
            <w:r w:rsidRPr="00A71CCE">
              <w:rPr>
                <w:color w:val="000000"/>
                <w:sz w:val="22"/>
                <w:szCs w:val="22"/>
              </w:rPr>
              <w:t>Time-savings (TS)</w:t>
            </w:r>
          </w:p>
        </w:tc>
        <w:tc>
          <w:tcPr>
            <w:tcW w:w="1296" w:type="dxa"/>
            <w:tcBorders>
              <w:left w:val="double" w:sz="4" w:space="0" w:color="auto"/>
            </w:tcBorders>
            <w:shd w:val="clear" w:color="auto" w:fill="auto"/>
            <w:noWrap/>
            <w:vAlign w:val="center"/>
            <w:hideMark/>
          </w:tcPr>
          <w:p w14:paraId="3F62287D" w14:textId="77777777" w:rsidR="00B66A9F" w:rsidRPr="00A71CCE" w:rsidRDefault="00B66A9F" w:rsidP="009101D8">
            <w:pPr>
              <w:spacing w:after="0"/>
              <w:jc w:val="right"/>
              <w:rPr>
                <w:color w:val="000000"/>
                <w:sz w:val="22"/>
                <w:szCs w:val="22"/>
              </w:rPr>
            </w:pPr>
            <w:r w:rsidRPr="00A71CCE">
              <w:rPr>
                <w:color w:val="000000"/>
                <w:sz w:val="22"/>
                <w:szCs w:val="22"/>
              </w:rPr>
              <w:t>375</w:t>
            </w:r>
          </w:p>
        </w:tc>
        <w:tc>
          <w:tcPr>
            <w:tcW w:w="1301" w:type="dxa"/>
            <w:shd w:val="clear" w:color="auto" w:fill="auto"/>
            <w:noWrap/>
            <w:vAlign w:val="center"/>
            <w:hideMark/>
          </w:tcPr>
          <w:p w14:paraId="33B8215F" w14:textId="77777777" w:rsidR="00B66A9F" w:rsidRPr="00A71CCE" w:rsidRDefault="00B66A9F" w:rsidP="009101D8">
            <w:pPr>
              <w:spacing w:after="0"/>
              <w:jc w:val="right"/>
              <w:rPr>
                <w:color w:val="000000"/>
                <w:sz w:val="22"/>
                <w:szCs w:val="22"/>
              </w:rPr>
            </w:pPr>
            <w:r w:rsidRPr="00A71CCE">
              <w:rPr>
                <w:color w:val="000000"/>
                <w:sz w:val="22"/>
                <w:szCs w:val="22"/>
              </w:rPr>
              <w:t>46.76%</w:t>
            </w:r>
          </w:p>
        </w:tc>
      </w:tr>
      <w:tr w:rsidR="00B66A9F" w:rsidRPr="00A71CCE" w14:paraId="7447377D"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22DC841D" w14:textId="77777777" w:rsidR="00B66A9F" w:rsidRPr="00A71CCE" w:rsidRDefault="00B66A9F" w:rsidP="009101D8">
            <w:pPr>
              <w:spacing w:after="0"/>
              <w:rPr>
                <w:color w:val="000000"/>
                <w:sz w:val="22"/>
                <w:szCs w:val="22"/>
              </w:rPr>
            </w:pPr>
            <w:r w:rsidRPr="00A71CCE">
              <w:rPr>
                <w:color w:val="000000"/>
                <w:sz w:val="22"/>
                <w:szCs w:val="22"/>
              </w:rPr>
              <w:t>My home is more comfortable than a healthcare provider's office</w:t>
            </w:r>
          </w:p>
        </w:tc>
        <w:tc>
          <w:tcPr>
            <w:tcW w:w="2790" w:type="dxa"/>
            <w:tcBorders>
              <w:right w:val="double" w:sz="4" w:space="0" w:color="auto"/>
            </w:tcBorders>
            <w:vAlign w:val="center"/>
          </w:tcPr>
          <w:p w14:paraId="00C50902" w14:textId="77777777" w:rsidR="00B66A9F" w:rsidRPr="00A71CCE" w:rsidRDefault="00B66A9F" w:rsidP="009101D8">
            <w:pPr>
              <w:spacing w:after="0"/>
              <w:rPr>
                <w:color w:val="000000"/>
                <w:sz w:val="22"/>
                <w:szCs w:val="22"/>
              </w:rPr>
            </w:pPr>
            <w:r w:rsidRPr="00A71CCE">
              <w:rPr>
                <w:color w:val="000000"/>
                <w:sz w:val="22"/>
                <w:szCs w:val="22"/>
              </w:rPr>
              <w:t>Comfort of home (CH)</w:t>
            </w:r>
          </w:p>
        </w:tc>
        <w:tc>
          <w:tcPr>
            <w:tcW w:w="1296" w:type="dxa"/>
            <w:tcBorders>
              <w:left w:val="double" w:sz="4" w:space="0" w:color="auto"/>
            </w:tcBorders>
            <w:shd w:val="clear" w:color="auto" w:fill="auto"/>
            <w:noWrap/>
            <w:vAlign w:val="center"/>
            <w:hideMark/>
          </w:tcPr>
          <w:p w14:paraId="21F7353F" w14:textId="77777777" w:rsidR="00B66A9F" w:rsidRPr="00A71CCE" w:rsidRDefault="00B66A9F" w:rsidP="009101D8">
            <w:pPr>
              <w:spacing w:after="0"/>
              <w:jc w:val="right"/>
              <w:rPr>
                <w:color w:val="000000"/>
                <w:sz w:val="22"/>
                <w:szCs w:val="22"/>
              </w:rPr>
            </w:pPr>
            <w:r w:rsidRPr="00A71CCE">
              <w:rPr>
                <w:color w:val="000000"/>
                <w:sz w:val="22"/>
                <w:szCs w:val="22"/>
              </w:rPr>
              <w:t>337</w:t>
            </w:r>
          </w:p>
        </w:tc>
        <w:tc>
          <w:tcPr>
            <w:tcW w:w="1301" w:type="dxa"/>
            <w:shd w:val="clear" w:color="auto" w:fill="auto"/>
            <w:noWrap/>
            <w:vAlign w:val="center"/>
            <w:hideMark/>
          </w:tcPr>
          <w:p w14:paraId="23C2691D" w14:textId="77777777" w:rsidR="00B66A9F" w:rsidRPr="00A71CCE" w:rsidRDefault="00B66A9F" w:rsidP="009101D8">
            <w:pPr>
              <w:spacing w:after="0"/>
              <w:jc w:val="right"/>
              <w:rPr>
                <w:color w:val="000000"/>
                <w:sz w:val="22"/>
                <w:szCs w:val="22"/>
              </w:rPr>
            </w:pPr>
            <w:r w:rsidRPr="00A71CCE">
              <w:rPr>
                <w:color w:val="000000"/>
                <w:sz w:val="22"/>
                <w:szCs w:val="22"/>
              </w:rPr>
              <w:t>42.02%</w:t>
            </w:r>
          </w:p>
        </w:tc>
      </w:tr>
      <w:tr w:rsidR="00B66A9F" w:rsidRPr="00A71CCE" w14:paraId="08130663"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6B28B693" w14:textId="77777777" w:rsidR="00B66A9F" w:rsidRPr="00A71CCE" w:rsidRDefault="00B66A9F" w:rsidP="009101D8">
            <w:pPr>
              <w:spacing w:after="0"/>
              <w:rPr>
                <w:color w:val="000000"/>
                <w:sz w:val="22"/>
                <w:szCs w:val="22"/>
              </w:rPr>
            </w:pPr>
            <w:r w:rsidRPr="00A71CCE">
              <w:rPr>
                <w:color w:val="000000"/>
                <w:sz w:val="22"/>
                <w:szCs w:val="22"/>
              </w:rPr>
              <w:t>I do not have to risk getting sick from others in a healthcare provider's office</w:t>
            </w:r>
          </w:p>
        </w:tc>
        <w:tc>
          <w:tcPr>
            <w:tcW w:w="2790" w:type="dxa"/>
            <w:tcBorders>
              <w:right w:val="double" w:sz="4" w:space="0" w:color="auto"/>
            </w:tcBorders>
            <w:vAlign w:val="center"/>
          </w:tcPr>
          <w:p w14:paraId="13F106E3" w14:textId="77777777" w:rsidR="00B66A9F" w:rsidRPr="00A71CCE" w:rsidRDefault="00B66A9F" w:rsidP="009101D8">
            <w:pPr>
              <w:spacing w:after="0"/>
              <w:rPr>
                <w:color w:val="000000"/>
                <w:sz w:val="22"/>
                <w:szCs w:val="22"/>
              </w:rPr>
            </w:pPr>
            <w:r w:rsidRPr="00A71CCE">
              <w:rPr>
                <w:color w:val="000000"/>
                <w:sz w:val="22"/>
                <w:szCs w:val="22"/>
              </w:rPr>
              <w:t>Lower contagion risk (LCR)</w:t>
            </w:r>
          </w:p>
        </w:tc>
        <w:tc>
          <w:tcPr>
            <w:tcW w:w="1296" w:type="dxa"/>
            <w:tcBorders>
              <w:left w:val="double" w:sz="4" w:space="0" w:color="auto"/>
            </w:tcBorders>
            <w:shd w:val="clear" w:color="auto" w:fill="auto"/>
            <w:noWrap/>
            <w:vAlign w:val="center"/>
            <w:hideMark/>
          </w:tcPr>
          <w:p w14:paraId="20A1F215" w14:textId="77777777" w:rsidR="00B66A9F" w:rsidRPr="00A71CCE" w:rsidRDefault="00B66A9F" w:rsidP="009101D8">
            <w:pPr>
              <w:spacing w:after="0"/>
              <w:jc w:val="right"/>
              <w:rPr>
                <w:color w:val="000000"/>
                <w:sz w:val="22"/>
                <w:szCs w:val="22"/>
              </w:rPr>
            </w:pPr>
            <w:r w:rsidRPr="00A71CCE">
              <w:rPr>
                <w:color w:val="000000"/>
                <w:sz w:val="22"/>
                <w:szCs w:val="22"/>
              </w:rPr>
              <w:t>365</w:t>
            </w:r>
          </w:p>
        </w:tc>
        <w:tc>
          <w:tcPr>
            <w:tcW w:w="1301" w:type="dxa"/>
            <w:shd w:val="clear" w:color="auto" w:fill="auto"/>
            <w:noWrap/>
            <w:vAlign w:val="center"/>
            <w:hideMark/>
          </w:tcPr>
          <w:p w14:paraId="7FD0CB45" w14:textId="77777777" w:rsidR="00B66A9F" w:rsidRPr="00A71CCE" w:rsidRDefault="00B66A9F" w:rsidP="009101D8">
            <w:pPr>
              <w:spacing w:after="0"/>
              <w:jc w:val="right"/>
              <w:rPr>
                <w:color w:val="000000"/>
                <w:sz w:val="22"/>
                <w:szCs w:val="22"/>
              </w:rPr>
            </w:pPr>
            <w:r w:rsidRPr="00A71CCE">
              <w:rPr>
                <w:color w:val="000000"/>
                <w:sz w:val="22"/>
                <w:szCs w:val="22"/>
              </w:rPr>
              <w:t>45.51%</w:t>
            </w:r>
          </w:p>
        </w:tc>
      </w:tr>
      <w:tr w:rsidR="00B66A9F" w:rsidRPr="00A71CCE" w14:paraId="1539AE17"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5CE8C23B" w14:textId="77777777" w:rsidR="00B66A9F" w:rsidRPr="00A71CCE" w:rsidRDefault="00B66A9F" w:rsidP="009101D8">
            <w:pPr>
              <w:spacing w:after="0"/>
              <w:rPr>
                <w:color w:val="000000"/>
                <w:sz w:val="22"/>
                <w:szCs w:val="22"/>
              </w:rPr>
            </w:pPr>
            <w:r w:rsidRPr="00A71CCE">
              <w:rPr>
                <w:color w:val="000000"/>
                <w:sz w:val="22"/>
                <w:szCs w:val="22"/>
              </w:rPr>
              <w:t>Telemedicine is cheaper</w:t>
            </w:r>
          </w:p>
        </w:tc>
        <w:tc>
          <w:tcPr>
            <w:tcW w:w="2790" w:type="dxa"/>
            <w:tcBorders>
              <w:right w:val="double" w:sz="4" w:space="0" w:color="auto"/>
            </w:tcBorders>
            <w:vAlign w:val="center"/>
          </w:tcPr>
          <w:p w14:paraId="68702919" w14:textId="77777777" w:rsidR="00B66A9F" w:rsidRPr="00A71CCE" w:rsidRDefault="00B66A9F" w:rsidP="009101D8">
            <w:pPr>
              <w:spacing w:after="0"/>
              <w:rPr>
                <w:color w:val="000000"/>
                <w:sz w:val="22"/>
                <w:szCs w:val="22"/>
              </w:rPr>
            </w:pPr>
            <w:r w:rsidRPr="00A71CCE">
              <w:rPr>
                <w:color w:val="000000"/>
                <w:sz w:val="22"/>
                <w:szCs w:val="22"/>
              </w:rPr>
              <w:t>Less expensive (LE)</w:t>
            </w:r>
          </w:p>
        </w:tc>
        <w:tc>
          <w:tcPr>
            <w:tcW w:w="1296" w:type="dxa"/>
            <w:tcBorders>
              <w:left w:val="double" w:sz="4" w:space="0" w:color="auto"/>
            </w:tcBorders>
            <w:shd w:val="clear" w:color="auto" w:fill="auto"/>
            <w:noWrap/>
            <w:vAlign w:val="center"/>
            <w:hideMark/>
          </w:tcPr>
          <w:p w14:paraId="31E591DA" w14:textId="77777777" w:rsidR="00B66A9F" w:rsidRPr="00A71CCE" w:rsidRDefault="00B66A9F" w:rsidP="009101D8">
            <w:pPr>
              <w:spacing w:after="0"/>
              <w:jc w:val="right"/>
              <w:rPr>
                <w:color w:val="000000"/>
                <w:sz w:val="22"/>
                <w:szCs w:val="22"/>
              </w:rPr>
            </w:pPr>
            <w:r w:rsidRPr="00A71CCE">
              <w:rPr>
                <w:color w:val="000000"/>
                <w:sz w:val="22"/>
                <w:szCs w:val="22"/>
              </w:rPr>
              <w:t>122</w:t>
            </w:r>
          </w:p>
        </w:tc>
        <w:tc>
          <w:tcPr>
            <w:tcW w:w="1301" w:type="dxa"/>
            <w:shd w:val="clear" w:color="auto" w:fill="auto"/>
            <w:noWrap/>
            <w:vAlign w:val="center"/>
            <w:hideMark/>
          </w:tcPr>
          <w:p w14:paraId="4F193601" w14:textId="77777777" w:rsidR="00B66A9F" w:rsidRPr="00A71CCE" w:rsidRDefault="00B66A9F" w:rsidP="009101D8">
            <w:pPr>
              <w:spacing w:after="0"/>
              <w:jc w:val="right"/>
              <w:rPr>
                <w:color w:val="000000"/>
                <w:sz w:val="22"/>
                <w:szCs w:val="22"/>
              </w:rPr>
            </w:pPr>
            <w:r w:rsidRPr="00A71CCE">
              <w:rPr>
                <w:color w:val="000000"/>
                <w:sz w:val="22"/>
                <w:szCs w:val="22"/>
              </w:rPr>
              <w:t>15.21%</w:t>
            </w:r>
          </w:p>
        </w:tc>
      </w:tr>
      <w:tr w:rsidR="00B66A9F" w:rsidRPr="00A71CCE" w14:paraId="03E90351" w14:textId="77777777" w:rsidTr="0069340B">
        <w:trPr>
          <w:trHeight w:val="432"/>
        </w:trPr>
        <w:tc>
          <w:tcPr>
            <w:tcW w:w="4035" w:type="dxa"/>
            <w:tcBorders>
              <w:top w:val="single" w:sz="4" w:space="0" w:color="auto"/>
              <w:bottom w:val="single" w:sz="4" w:space="0" w:color="auto"/>
              <w:right w:val="double" w:sz="4" w:space="0" w:color="auto"/>
            </w:tcBorders>
            <w:shd w:val="clear" w:color="auto" w:fill="auto"/>
            <w:noWrap/>
            <w:vAlign w:val="center"/>
            <w:hideMark/>
          </w:tcPr>
          <w:p w14:paraId="60D86725" w14:textId="77777777" w:rsidR="00B66A9F" w:rsidRPr="00A71CCE" w:rsidRDefault="00B66A9F" w:rsidP="009101D8">
            <w:pPr>
              <w:spacing w:after="0"/>
              <w:rPr>
                <w:color w:val="000000"/>
                <w:sz w:val="22"/>
                <w:szCs w:val="22"/>
              </w:rPr>
            </w:pPr>
            <w:r w:rsidRPr="00A71CCE">
              <w:rPr>
                <w:color w:val="000000"/>
                <w:sz w:val="22"/>
                <w:szCs w:val="22"/>
              </w:rPr>
              <w:t>I can go see healthcare providers more often</w:t>
            </w:r>
          </w:p>
        </w:tc>
        <w:tc>
          <w:tcPr>
            <w:tcW w:w="2790" w:type="dxa"/>
            <w:tcBorders>
              <w:right w:val="double" w:sz="4" w:space="0" w:color="auto"/>
            </w:tcBorders>
            <w:vAlign w:val="center"/>
          </w:tcPr>
          <w:p w14:paraId="68F9D885" w14:textId="77777777" w:rsidR="00B66A9F" w:rsidRPr="00A71CCE" w:rsidRDefault="00B66A9F" w:rsidP="009101D8">
            <w:pPr>
              <w:spacing w:after="0"/>
              <w:rPr>
                <w:color w:val="000000"/>
                <w:sz w:val="22"/>
                <w:szCs w:val="22"/>
              </w:rPr>
            </w:pPr>
            <w:r w:rsidRPr="00A71CCE">
              <w:rPr>
                <w:color w:val="000000"/>
                <w:sz w:val="22"/>
                <w:szCs w:val="22"/>
              </w:rPr>
              <w:t>Frequent consultation opportunities (FCO)</w:t>
            </w:r>
          </w:p>
        </w:tc>
        <w:tc>
          <w:tcPr>
            <w:tcW w:w="1296" w:type="dxa"/>
            <w:tcBorders>
              <w:left w:val="double" w:sz="4" w:space="0" w:color="auto"/>
            </w:tcBorders>
            <w:shd w:val="clear" w:color="auto" w:fill="auto"/>
            <w:noWrap/>
            <w:vAlign w:val="center"/>
            <w:hideMark/>
          </w:tcPr>
          <w:p w14:paraId="53F45D9A" w14:textId="77777777" w:rsidR="00B66A9F" w:rsidRPr="00A71CCE" w:rsidRDefault="00B66A9F" w:rsidP="009101D8">
            <w:pPr>
              <w:spacing w:after="0"/>
              <w:jc w:val="right"/>
              <w:rPr>
                <w:color w:val="000000"/>
                <w:sz w:val="22"/>
                <w:szCs w:val="22"/>
              </w:rPr>
            </w:pPr>
            <w:r w:rsidRPr="00A71CCE">
              <w:rPr>
                <w:color w:val="000000"/>
                <w:sz w:val="22"/>
                <w:szCs w:val="22"/>
              </w:rPr>
              <w:t>110</w:t>
            </w:r>
          </w:p>
        </w:tc>
        <w:tc>
          <w:tcPr>
            <w:tcW w:w="1301" w:type="dxa"/>
            <w:shd w:val="clear" w:color="auto" w:fill="auto"/>
            <w:noWrap/>
            <w:vAlign w:val="center"/>
            <w:hideMark/>
          </w:tcPr>
          <w:p w14:paraId="60B7BD60" w14:textId="77777777" w:rsidR="00B66A9F" w:rsidRPr="00A71CCE" w:rsidRDefault="00B66A9F" w:rsidP="009101D8">
            <w:pPr>
              <w:spacing w:after="0"/>
              <w:jc w:val="right"/>
              <w:rPr>
                <w:color w:val="000000"/>
                <w:sz w:val="22"/>
                <w:szCs w:val="22"/>
              </w:rPr>
            </w:pPr>
            <w:r w:rsidRPr="00A71CCE">
              <w:rPr>
                <w:color w:val="000000"/>
                <w:sz w:val="22"/>
                <w:szCs w:val="22"/>
              </w:rPr>
              <w:t>13.72%</w:t>
            </w:r>
          </w:p>
        </w:tc>
      </w:tr>
      <w:tr w:rsidR="00B66A9F" w:rsidRPr="00A71CCE" w14:paraId="53D91F56" w14:textId="77777777" w:rsidTr="0069340B">
        <w:trPr>
          <w:trHeight w:val="432"/>
        </w:trPr>
        <w:tc>
          <w:tcPr>
            <w:tcW w:w="4035" w:type="dxa"/>
            <w:tcBorders>
              <w:top w:val="single" w:sz="4" w:space="0" w:color="auto"/>
              <w:bottom w:val="double" w:sz="4" w:space="0" w:color="auto"/>
              <w:right w:val="double" w:sz="4" w:space="0" w:color="auto"/>
            </w:tcBorders>
            <w:shd w:val="clear" w:color="auto" w:fill="auto"/>
            <w:noWrap/>
            <w:vAlign w:val="center"/>
            <w:hideMark/>
          </w:tcPr>
          <w:p w14:paraId="1D30DC12" w14:textId="77777777" w:rsidR="00B66A9F" w:rsidRPr="00A71CCE" w:rsidRDefault="00B66A9F" w:rsidP="009101D8">
            <w:pPr>
              <w:spacing w:after="0"/>
              <w:rPr>
                <w:color w:val="000000"/>
                <w:sz w:val="22"/>
                <w:szCs w:val="22"/>
              </w:rPr>
            </w:pPr>
            <w:r w:rsidRPr="00A71CCE">
              <w:rPr>
                <w:color w:val="000000"/>
                <w:sz w:val="22"/>
                <w:szCs w:val="22"/>
              </w:rPr>
              <w:t>I have a wider choice of healthcare providers</w:t>
            </w:r>
          </w:p>
        </w:tc>
        <w:tc>
          <w:tcPr>
            <w:tcW w:w="2790" w:type="dxa"/>
            <w:tcBorders>
              <w:right w:val="double" w:sz="4" w:space="0" w:color="auto"/>
            </w:tcBorders>
            <w:vAlign w:val="center"/>
          </w:tcPr>
          <w:p w14:paraId="7677675E" w14:textId="77777777" w:rsidR="00B66A9F" w:rsidRPr="00A71CCE" w:rsidRDefault="00B66A9F" w:rsidP="009101D8">
            <w:pPr>
              <w:spacing w:after="0"/>
              <w:rPr>
                <w:color w:val="000000"/>
                <w:sz w:val="22"/>
                <w:szCs w:val="22"/>
              </w:rPr>
            </w:pPr>
            <w:r w:rsidRPr="00A71CCE">
              <w:rPr>
                <w:color w:val="000000"/>
                <w:sz w:val="22"/>
                <w:szCs w:val="22"/>
              </w:rPr>
              <w:t>Wider provider choice (WPO)</w:t>
            </w:r>
          </w:p>
        </w:tc>
        <w:tc>
          <w:tcPr>
            <w:tcW w:w="1296" w:type="dxa"/>
            <w:tcBorders>
              <w:left w:val="double" w:sz="4" w:space="0" w:color="auto"/>
            </w:tcBorders>
            <w:shd w:val="clear" w:color="auto" w:fill="auto"/>
            <w:noWrap/>
            <w:vAlign w:val="center"/>
            <w:hideMark/>
          </w:tcPr>
          <w:p w14:paraId="5DC57044" w14:textId="77777777" w:rsidR="00B66A9F" w:rsidRPr="00A71CCE" w:rsidRDefault="00B66A9F" w:rsidP="009101D8">
            <w:pPr>
              <w:spacing w:after="0"/>
              <w:jc w:val="right"/>
              <w:rPr>
                <w:color w:val="000000"/>
                <w:sz w:val="22"/>
                <w:szCs w:val="22"/>
              </w:rPr>
            </w:pPr>
            <w:r w:rsidRPr="00A71CCE">
              <w:rPr>
                <w:color w:val="000000"/>
                <w:sz w:val="22"/>
                <w:szCs w:val="22"/>
              </w:rPr>
              <w:t>60</w:t>
            </w:r>
          </w:p>
        </w:tc>
        <w:tc>
          <w:tcPr>
            <w:tcW w:w="1301" w:type="dxa"/>
            <w:shd w:val="clear" w:color="auto" w:fill="auto"/>
            <w:noWrap/>
            <w:vAlign w:val="center"/>
            <w:hideMark/>
          </w:tcPr>
          <w:p w14:paraId="7A70C8ED" w14:textId="77777777" w:rsidR="00B66A9F" w:rsidRPr="00A71CCE" w:rsidRDefault="00B66A9F" w:rsidP="009101D8">
            <w:pPr>
              <w:spacing w:after="0"/>
              <w:jc w:val="right"/>
              <w:rPr>
                <w:color w:val="000000"/>
                <w:sz w:val="22"/>
                <w:szCs w:val="22"/>
              </w:rPr>
            </w:pPr>
            <w:r w:rsidRPr="00A71CCE">
              <w:rPr>
                <w:color w:val="000000"/>
                <w:sz w:val="22"/>
                <w:szCs w:val="22"/>
              </w:rPr>
              <w:t>7.48%</w:t>
            </w:r>
          </w:p>
        </w:tc>
      </w:tr>
      <w:tr w:rsidR="00B66A9F" w:rsidRPr="00A71CCE" w14:paraId="09F05EFE" w14:textId="77777777" w:rsidTr="00565BCE">
        <w:trPr>
          <w:trHeight w:val="432"/>
        </w:trPr>
        <w:tc>
          <w:tcPr>
            <w:tcW w:w="9422" w:type="dxa"/>
            <w:gridSpan w:val="4"/>
            <w:tcBorders>
              <w:top w:val="double" w:sz="4" w:space="0" w:color="auto"/>
              <w:bottom w:val="double" w:sz="4" w:space="0" w:color="auto"/>
            </w:tcBorders>
            <w:vAlign w:val="center"/>
          </w:tcPr>
          <w:p w14:paraId="4B940E2B" w14:textId="3C6D9652" w:rsidR="00B66A9F" w:rsidRPr="00A71CCE" w:rsidRDefault="00B66A9F" w:rsidP="00B66A9F">
            <w:pPr>
              <w:spacing w:after="0"/>
              <w:rPr>
                <w:b/>
                <w:bCs/>
                <w:color w:val="000000"/>
                <w:sz w:val="22"/>
                <w:szCs w:val="22"/>
              </w:rPr>
            </w:pPr>
            <w:r w:rsidRPr="00A71CCE">
              <w:rPr>
                <w:b/>
                <w:bCs/>
                <w:color w:val="000000"/>
                <w:sz w:val="22"/>
                <w:szCs w:val="22"/>
              </w:rPr>
              <w:t>Reasons for not adopting telemedicine</w:t>
            </w:r>
            <w:r w:rsidR="00ED7316">
              <w:rPr>
                <w:b/>
                <w:bCs/>
                <w:color w:val="000000"/>
                <w:sz w:val="22"/>
                <w:szCs w:val="22"/>
              </w:rPr>
              <w:t>/ Telemedicine adoption deterrents</w:t>
            </w:r>
            <w:r w:rsidRPr="00A71CCE">
              <w:rPr>
                <w:b/>
                <w:bCs/>
                <w:color w:val="000000"/>
                <w:sz w:val="22"/>
                <w:szCs w:val="22"/>
              </w:rPr>
              <w:t xml:space="preserve"> (N=1533)</w:t>
            </w:r>
          </w:p>
        </w:tc>
      </w:tr>
      <w:tr w:rsidR="00B66A9F" w:rsidRPr="00A71CCE" w14:paraId="777E3755" w14:textId="77777777" w:rsidTr="0069340B">
        <w:trPr>
          <w:trHeight w:val="432"/>
        </w:trPr>
        <w:tc>
          <w:tcPr>
            <w:tcW w:w="4035" w:type="dxa"/>
            <w:tcBorders>
              <w:top w:val="double" w:sz="4" w:space="0" w:color="auto"/>
              <w:right w:val="double" w:sz="4" w:space="0" w:color="auto"/>
            </w:tcBorders>
            <w:shd w:val="clear" w:color="auto" w:fill="auto"/>
            <w:noWrap/>
            <w:vAlign w:val="center"/>
            <w:hideMark/>
          </w:tcPr>
          <w:p w14:paraId="6578E1CE" w14:textId="77777777" w:rsidR="00B66A9F" w:rsidRPr="00A71CCE" w:rsidRDefault="00B66A9F" w:rsidP="009101D8">
            <w:pPr>
              <w:spacing w:after="0"/>
              <w:rPr>
                <w:color w:val="000000"/>
                <w:sz w:val="22"/>
                <w:szCs w:val="22"/>
              </w:rPr>
            </w:pPr>
            <w:r w:rsidRPr="00A71CCE">
              <w:rPr>
                <w:color w:val="000000"/>
                <w:sz w:val="22"/>
                <w:szCs w:val="22"/>
              </w:rPr>
              <w:t>The quality of care is worse</w:t>
            </w:r>
          </w:p>
        </w:tc>
        <w:tc>
          <w:tcPr>
            <w:tcW w:w="2790" w:type="dxa"/>
            <w:tcBorders>
              <w:top w:val="double" w:sz="4" w:space="0" w:color="auto"/>
              <w:right w:val="double" w:sz="4" w:space="0" w:color="auto"/>
            </w:tcBorders>
            <w:vAlign w:val="center"/>
          </w:tcPr>
          <w:p w14:paraId="697B8A21" w14:textId="77777777" w:rsidR="00B66A9F" w:rsidRPr="00A71CCE" w:rsidRDefault="00B66A9F" w:rsidP="009101D8">
            <w:pPr>
              <w:spacing w:after="0"/>
              <w:rPr>
                <w:color w:val="000000"/>
                <w:sz w:val="22"/>
                <w:szCs w:val="22"/>
              </w:rPr>
            </w:pPr>
            <w:r w:rsidRPr="00A71CCE">
              <w:rPr>
                <w:color w:val="000000"/>
                <w:sz w:val="22"/>
                <w:szCs w:val="22"/>
              </w:rPr>
              <w:t>Poor telemedicine quality (PTQ)</w:t>
            </w:r>
          </w:p>
        </w:tc>
        <w:tc>
          <w:tcPr>
            <w:tcW w:w="1296" w:type="dxa"/>
            <w:tcBorders>
              <w:top w:val="double" w:sz="4" w:space="0" w:color="auto"/>
              <w:left w:val="double" w:sz="4" w:space="0" w:color="auto"/>
            </w:tcBorders>
            <w:shd w:val="clear" w:color="auto" w:fill="auto"/>
            <w:noWrap/>
            <w:vAlign w:val="center"/>
            <w:hideMark/>
          </w:tcPr>
          <w:p w14:paraId="436EFC37" w14:textId="77777777" w:rsidR="00B66A9F" w:rsidRPr="00A71CCE" w:rsidRDefault="00B66A9F" w:rsidP="009101D8">
            <w:pPr>
              <w:spacing w:after="0"/>
              <w:jc w:val="right"/>
              <w:rPr>
                <w:color w:val="000000"/>
                <w:sz w:val="22"/>
                <w:szCs w:val="22"/>
              </w:rPr>
            </w:pPr>
            <w:r w:rsidRPr="00A71CCE">
              <w:rPr>
                <w:color w:val="000000"/>
                <w:sz w:val="22"/>
                <w:szCs w:val="22"/>
              </w:rPr>
              <w:t>220</w:t>
            </w:r>
          </w:p>
        </w:tc>
        <w:tc>
          <w:tcPr>
            <w:tcW w:w="1301" w:type="dxa"/>
            <w:tcBorders>
              <w:top w:val="double" w:sz="4" w:space="0" w:color="auto"/>
            </w:tcBorders>
            <w:shd w:val="clear" w:color="auto" w:fill="auto"/>
            <w:noWrap/>
            <w:vAlign w:val="center"/>
            <w:hideMark/>
          </w:tcPr>
          <w:p w14:paraId="13CE96DC" w14:textId="77777777" w:rsidR="00B66A9F" w:rsidRPr="00A71CCE" w:rsidRDefault="00B66A9F" w:rsidP="009101D8">
            <w:pPr>
              <w:spacing w:after="0"/>
              <w:jc w:val="right"/>
              <w:rPr>
                <w:color w:val="000000"/>
                <w:sz w:val="22"/>
                <w:szCs w:val="22"/>
              </w:rPr>
            </w:pPr>
            <w:r w:rsidRPr="00A71CCE">
              <w:rPr>
                <w:color w:val="000000"/>
                <w:sz w:val="22"/>
                <w:szCs w:val="22"/>
              </w:rPr>
              <w:t>14.35%</w:t>
            </w:r>
          </w:p>
        </w:tc>
      </w:tr>
      <w:tr w:rsidR="00B66A9F" w:rsidRPr="00A71CCE" w14:paraId="472FCD08" w14:textId="77777777" w:rsidTr="0069340B">
        <w:trPr>
          <w:trHeight w:val="432"/>
        </w:trPr>
        <w:tc>
          <w:tcPr>
            <w:tcW w:w="4035" w:type="dxa"/>
            <w:tcBorders>
              <w:right w:val="double" w:sz="4" w:space="0" w:color="auto"/>
            </w:tcBorders>
            <w:shd w:val="clear" w:color="auto" w:fill="auto"/>
            <w:noWrap/>
            <w:vAlign w:val="center"/>
            <w:hideMark/>
          </w:tcPr>
          <w:p w14:paraId="401DA7AC" w14:textId="77777777" w:rsidR="00B66A9F" w:rsidRPr="00A71CCE" w:rsidRDefault="00B66A9F" w:rsidP="009101D8">
            <w:pPr>
              <w:spacing w:after="0"/>
              <w:rPr>
                <w:color w:val="000000"/>
                <w:sz w:val="22"/>
                <w:szCs w:val="22"/>
              </w:rPr>
            </w:pPr>
            <w:r w:rsidRPr="00A71CCE">
              <w:rPr>
                <w:color w:val="000000"/>
                <w:sz w:val="22"/>
                <w:szCs w:val="22"/>
              </w:rPr>
              <w:t>Most of my medical appointments require in-person tests or procedures</w:t>
            </w:r>
          </w:p>
        </w:tc>
        <w:tc>
          <w:tcPr>
            <w:tcW w:w="2790" w:type="dxa"/>
            <w:tcBorders>
              <w:right w:val="double" w:sz="4" w:space="0" w:color="auto"/>
            </w:tcBorders>
            <w:vAlign w:val="center"/>
          </w:tcPr>
          <w:p w14:paraId="4CB64B9F" w14:textId="77777777" w:rsidR="00B66A9F" w:rsidRPr="00A71CCE" w:rsidRDefault="00B66A9F" w:rsidP="009101D8">
            <w:pPr>
              <w:spacing w:after="0"/>
              <w:rPr>
                <w:color w:val="000000"/>
                <w:sz w:val="22"/>
                <w:szCs w:val="22"/>
              </w:rPr>
            </w:pPr>
            <w:r w:rsidRPr="00A71CCE">
              <w:rPr>
                <w:color w:val="000000"/>
                <w:sz w:val="22"/>
                <w:szCs w:val="22"/>
              </w:rPr>
              <w:t>Need in-person tests (NIPT)</w:t>
            </w:r>
          </w:p>
        </w:tc>
        <w:tc>
          <w:tcPr>
            <w:tcW w:w="1296" w:type="dxa"/>
            <w:tcBorders>
              <w:left w:val="double" w:sz="4" w:space="0" w:color="auto"/>
            </w:tcBorders>
            <w:shd w:val="clear" w:color="auto" w:fill="auto"/>
            <w:noWrap/>
            <w:vAlign w:val="center"/>
            <w:hideMark/>
          </w:tcPr>
          <w:p w14:paraId="08800050" w14:textId="77777777" w:rsidR="00B66A9F" w:rsidRPr="00A71CCE" w:rsidRDefault="00B66A9F" w:rsidP="009101D8">
            <w:pPr>
              <w:spacing w:after="0"/>
              <w:jc w:val="right"/>
              <w:rPr>
                <w:color w:val="000000"/>
                <w:sz w:val="22"/>
                <w:szCs w:val="22"/>
              </w:rPr>
            </w:pPr>
            <w:r w:rsidRPr="00A71CCE">
              <w:rPr>
                <w:color w:val="000000"/>
                <w:sz w:val="22"/>
                <w:szCs w:val="22"/>
              </w:rPr>
              <w:t>552</w:t>
            </w:r>
          </w:p>
        </w:tc>
        <w:tc>
          <w:tcPr>
            <w:tcW w:w="1301" w:type="dxa"/>
            <w:shd w:val="clear" w:color="auto" w:fill="auto"/>
            <w:noWrap/>
            <w:vAlign w:val="center"/>
            <w:hideMark/>
          </w:tcPr>
          <w:p w14:paraId="31989F9B" w14:textId="77777777" w:rsidR="00B66A9F" w:rsidRPr="00A71CCE" w:rsidRDefault="00B66A9F" w:rsidP="009101D8">
            <w:pPr>
              <w:spacing w:after="0"/>
              <w:jc w:val="right"/>
              <w:rPr>
                <w:color w:val="000000"/>
                <w:sz w:val="22"/>
                <w:szCs w:val="22"/>
              </w:rPr>
            </w:pPr>
            <w:r w:rsidRPr="00A71CCE">
              <w:rPr>
                <w:color w:val="000000"/>
                <w:sz w:val="22"/>
                <w:szCs w:val="22"/>
              </w:rPr>
              <w:t>35.36%</w:t>
            </w:r>
          </w:p>
        </w:tc>
      </w:tr>
      <w:tr w:rsidR="00B66A9F" w:rsidRPr="00A71CCE" w14:paraId="1A8CC2D1" w14:textId="77777777" w:rsidTr="0069340B">
        <w:trPr>
          <w:trHeight w:val="432"/>
        </w:trPr>
        <w:tc>
          <w:tcPr>
            <w:tcW w:w="4035" w:type="dxa"/>
            <w:tcBorders>
              <w:right w:val="double" w:sz="4" w:space="0" w:color="auto"/>
            </w:tcBorders>
            <w:shd w:val="clear" w:color="auto" w:fill="auto"/>
            <w:noWrap/>
            <w:vAlign w:val="center"/>
            <w:hideMark/>
          </w:tcPr>
          <w:p w14:paraId="0FD98FF0" w14:textId="77777777" w:rsidR="00B66A9F" w:rsidRPr="00A71CCE" w:rsidRDefault="00B66A9F" w:rsidP="009101D8">
            <w:pPr>
              <w:spacing w:after="0"/>
              <w:rPr>
                <w:color w:val="000000"/>
                <w:sz w:val="22"/>
                <w:szCs w:val="22"/>
              </w:rPr>
            </w:pPr>
            <w:r w:rsidRPr="00A71CCE">
              <w:rPr>
                <w:color w:val="000000"/>
                <w:sz w:val="22"/>
                <w:szCs w:val="22"/>
              </w:rPr>
              <w:t>I do not expect my healthcare provider to offer telemedicine</w:t>
            </w:r>
          </w:p>
        </w:tc>
        <w:tc>
          <w:tcPr>
            <w:tcW w:w="2790" w:type="dxa"/>
            <w:tcBorders>
              <w:right w:val="double" w:sz="4" w:space="0" w:color="auto"/>
            </w:tcBorders>
            <w:vAlign w:val="center"/>
          </w:tcPr>
          <w:p w14:paraId="2873B079" w14:textId="77777777" w:rsidR="00B66A9F" w:rsidRPr="00A71CCE" w:rsidRDefault="00B66A9F" w:rsidP="009101D8">
            <w:pPr>
              <w:spacing w:after="0"/>
              <w:rPr>
                <w:color w:val="000000"/>
                <w:sz w:val="22"/>
                <w:szCs w:val="22"/>
              </w:rPr>
            </w:pPr>
            <w:r w:rsidRPr="00A71CCE">
              <w:rPr>
                <w:color w:val="000000"/>
                <w:sz w:val="22"/>
                <w:szCs w:val="22"/>
              </w:rPr>
              <w:t>Telemedicine not available (TNA)</w:t>
            </w:r>
          </w:p>
        </w:tc>
        <w:tc>
          <w:tcPr>
            <w:tcW w:w="1296" w:type="dxa"/>
            <w:tcBorders>
              <w:left w:val="double" w:sz="4" w:space="0" w:color="auto"/>
            </w:tcBorders>
            <w:shd w:val="clear" w:color="auto" w:fill="auto"/>
            <w:noWrap/>
            <w:vAlign w:val="center"/>
            <w:hideMark/>
          </w:tcPr>
          <w:p w14:paraId="7945D3F7" w14:textId="77777777" w:rsidR="00B66A9F" w:rsidRPr="00A71CCE" w:rsidRDefault="00B66A9F" w:rsidP="009101D8">
            <w:pPr>
              <w:spacing w:after="0"/>
              <w:jc w:val="right"/>
              <w:rPr>
                <w:color w:val="000000"/>
                <w:sz w:val="22"/>
                <w:szCs w:val="22"/>
              </w:rPr>
            </w:pPr>
            <w:r w:rsidRPr="00A71CCE">
              <w:rPr>
                <w:color w:val="000000"/>
                <w:sz w:val="22"/>
                <w:szCs w:val="22"/>
              </w:rPr>
              <w:t>105</w:t>
            </w:r>
          </w:p>
        </w:tc>
        <w:tc>
          <w:tcPr>
            <w:tcW w:w="1301" w:type="dxa"/>
            <w:shd w:val="clear" w:color="auto" w:fill="auto"/>
            <w:noWrap/>
            <w:vAlign w:val="center"/>
            <w:hideMark/>
          </w:tcPr>
          <w:p w14:paraId="06E1ABE9" w14:textId="77777777" w:rsidR="00B66A9F" w:rsidRPr="00A71CCE" w:rsidRDefault="00B66A9F" w:rsidP="009101D8">
            <w:pPr>
              <w:spacing w:after="0"/>
              <w:jc w:val="right"/>
              <w:rPr>
                <w:color w:val="000000"/>
                <w:sz w:val="22"/>
                <w:szCs w:val="22"/>
              </w:rPr>
            </w:pPr>
            <w:r w:rsidRPr="00A71CCE">
              <w:rPr>
                <w:color w:val="000000"/>
                <w:sz w:val="22"/>
                <w:szCs w:val="22"/>
              </w:rPr>
              <w:t>6.85%</w:t>
            </w:r>
          </w:p>
        </w:tc>
      </w:tr>
      <w:tr w:rsidR="00B66A9F" w:rsidRPr="00A71CCE" w14:paraId="34F7AB98" w14:textId="77777777" w:rsidTr="0069340B">
        <w:trPr>
          <w:trHeight w:val="432"/>
        </w:trPr>
        <w:tc>
          <w:tcPr>
            <w:tcW w:w="4035" w:type="dxa"/>
            <w:tcBorders>
              <w:right w:val="double" w:sz="4" w:space="0" w:color="auto"/>
            </w:tcBorders>
            <w:shd w:val="clear" w:color="auto" w:fill="auto"/>
            <w:noWrap/>
            <w:vAlign w:val="center"/>
            <w:hideMark/>
          </w:tcPr>
          <w:p w14:paraId="251A961B" w14:textId="77777777" w:rsidR="00B66A9F" w:rsidRPr="00A71CCE" w:rsidRDefault="00B66A9F" w:rsidP="009101D8">
            <w:pPr>
              <w:spacing w:after="0"/>
              <w:rPr>
                <w:color w:val="000000"/>
                <w:sz w:val="22"/>
                <w:szCs w:val="22"/>
              </w:rPr>
            </w:pPr>
            <w:r w:rsidRPr="00A71CCE">
              <w:rPr>
                <w:color w:val="000000"/>
                <w:sz w:val="22"/>
                <w:szCs w:val="22"/>
              </w:rPr>
              <w:t>I like the privacy of a healthcare provider's office</w:t>
            </w:r>
          </w:p>
        </w:tc>
        <w:tc>
          <w:tcPr>
            <w:tcW w:w="2790" w:type="dxa"/>
            <w:tcBorders>
              <w:right w:val="double" w:sz="4" w:space="0" w:color="auto"/>
            </w:tcBorders>
            <w:vAlign w:val="center"/>
          </w:tcPr>
          <w:p w14:paraId="07FD5CE8" w14:textId="77777777" w:rsidR="00B66A9F" w:rsidRPr="00A71CCE" w:rsidRDefault="00B66A9F" w:rsidP="009101D8">
            <w:pPr>
              <w:spacing w:after="0"/>
              <w:rPr>
                <w:color w:val="000000"/>
                <w:sz w:val="22"/>
                <w:szCs w:val="22"/>
              </w:rPr>
            </w:pPr>
            <w:r w:rsidRPr="00A71CCE">
              <w:rPr>
                <w:color w:val="000000"/>
                <w:sz w:val="22"/>
                <w:szCs w:val="22"/>
              </w:rPr>
              <w:t>Provider’s office privacy (POP)</w:t>
            </w:r>
          </w:p>
        </w:tc>
        <w:tc>
          <w:tcPr>
            <w:tcW w:w="1296" w:type="dxa"/>
            <w:tcBorders>
              <w:left w:val="double" w:sz="4" w:space="0" w:color="auto"/>
            </w:tcBorders>
            <w:shd w:val="clear" w:color="auto" w:fill="auto"/>
            <w:noWrap/>
            <w:vAlign w:val="center"/>
            <w:hideMark/>
          </w:tcPr>
          <w:p w14:paraId="1DE1F49E" w14:textId="77777777" w:rsidR="00B66A9F" w:rsidRPr="00A71CCE" w:rsidRDefault="00B66A9F" w:rsidP="009101D8">
            <w:pPr>
              <w:spacing w:after="0"/>
              <w:jc w:val="right"/>
              <w:rPr>
                <w:color w:val="000000"/>
                <w:sz w:val="22"/>
                <w:szCs w:val="22"/>
              </w:rPr>
            </w:pPr>
            <w:r w:rsidRPr="00A71CCE">
              <w:rPr>
                <w:color w:val="000000"/>
                <w:sz w:val="22"/>
                <w:szCs w:val="22"/>
              </w:rPr>
              <w:t>363</w:t>
            </w:r>
          </w:p>
        </w:tc>
        <w:tc>
          <w:tcPr>
            <w:tcW w:w="1301" w:type="dxa"/>
            <w:shd w:val="clear" w:color="auto" w:fill="auto"/>
            <w:noWrap/>
            <w:vAlign w:val="center"/>
            <w:hideMark/>
          </w:tcPr>
          <w:p w14:paraId="00721E0E" w14:textId="77777777" w:rsidR="00B66A9F" w:rsidRPr="00A71CCE" w:rsidRDefault="00B66A9F" w:rsidP="009101D8">
            <w:pPr>
              <w:spacing w:after="0"/>
              <w:jc w:val="right"/>
              <w:rPr>
                <w:color w:val="000000"/>
                <w:sz w:val="22"/>
                <w:szCs w:val="22"/>
              </w:rPr>
            </w:pPr>
            <w:r w:rsidRPr="00A71CCE">
              <w:rPr>
                <w:color w:val="000000"/>
                <w:sz w:val="22"/>
                <w:szCs w:val="22"/>
              </w:rPr>
              <w:t>23.68%</w:t>
            </w:r>
          </w:p>
        </w:tc>
      </w:tr>
      <w:tr w:rsidR="00B66A9F" w:rsidRPr="00A71CCE" w14:paraId="28CB3D14" w14:textId="77777777" w:rsidTr="0069340B">
        <w:trPr>
          <w:trHeight w:val="432"/>
        </w:trPr>
        <w:tc>
          <w:tcPr>
            <w:tcW w:w="4035" w:type="dxa"/>
            <w:tcBorders>
              <w:right w:val="double" w:sz="4" w:space="0" w:color="auto"/>
            </w:tcBorders>
            <w:shd w:val="clear" w:color="auto" w:fill="auto"/>
            <w:noWrap/>
            <w:vAlign w:val="center"/>
            <w:hideMark/>
          </w:tcPr>
          <w:p w14:paraId="1C7EBC04" w14:textId="77777777" w:rsidR="00B66A9F" w:rsidRPr="00A71CCE" w:rsidRDefault="00B66A9F" w:rsidP="009101D8">
            <w:pPr>
              <w:spacing w:after="0"/>
              <w:rPr>
                <w:color w:val="000000"/>
                <w:sz w:val="22"/>
                <w:szCs w:val="22"/>
              </w:rPr>
            </w:pPr>
            <w:r w:rsidRPr="00A71CCE">
              <w:rPr>
                <w:color w:val="000000"/>
                <w:sz w:val="22"/>
                <w:szCs w:val="22"/>
              </w:rPr>
              <w:t>I have a wider choice of in-person healthcare providers</w:t>
            </w:r>
          </w:p>
        </w:tc>
        <w:tc>
          <w:tcPr>
            <w:tcW w:w="2790" w:type="dxa"/>
            <w:tcBorders>
              <w:right w:val="double" w:sz="4" w:space="0" w:color="auto"/>
            </w:tcBorders>
            <w:vAlign w:val="center"/>
          </w:tcPr>
          <w:p w14:paraId="44FFA39B" w14:textId="77777777" w:rsidR="00B66A9F" w:rsidRPr="00A71CCE" w:rsidRDefault="00B66A9F" w:rsidP="009101D8">
            <w:pPr>
              <w:spacing w:after="0"/>
              <w:rPr>
                <w:color w:val="000000"/>
                <w:sz w:val="22"/>
                <w:szCs w:val="22"/>
              </w:rPr>
            </w:pPr>
            <w:r w:rsidRPr="00A71CCE">
              <w:rPr>
                <w:color w:val="000000"/>
                <w:sz w:val="22"/>
                <w:szCs w:val="22"/>
              </w:rPr>
              <w:t>Wider provider choice (WPO)</w:t>
            </w:r>
          </w:p>
        </w:tc>
        <w:tc>
          <w:tcPr>
            <w:tcW w:w="1296" w:type="dxa"/>
            <w:tcBorders>
              <w:left w:val="double" w:sz="4" w:space="0" w:color="auto"/>
            </w:tcBorders>
            <w:shd w:val="clear" w:color="auto" w:fill="auto"/>
            <w:noWrap/>
            <w:vAlign w:val="center"/>
            <w:hideMark/>
          </w:tcPr>
          <w:p w14:paraId="1E3451B5" w14:textId="77777777" w:rsidR="00B66A9F" w:rsidRPr="00A71CCE" w:rsidRDefault="00B66A9F" w:rsidP="009101D8">
            <w:pPr>
              <w:spacing w:after="0"/>
              <w:jc w:val="right"/>
              <w:rPr>
                <w:color w:val="000000"/>
                <w:sz w:val="22"/>
                <w:szCs w:val="22"/>
              </w:rPr>
            </w:pPr>
            <w:r w:rsidRPr="00A71CCE">
              <w:rPr>
                <w:color w:val="000000"/>
                <w:sz w:val="22"/>
                <w:szCs w:val="22"/>
              </w:rPr>
              <w:t>58</w:t>
            </w:r>
          </w:p>
        </w:tc>
        <w:tc>
          <w:tcPr>
            <w:tcW w:w="1301" w:type="dxa"/>
            <w:shd w:val="clear" w:color="auto" w:fill="auto"/>
            <w:noWrap/>
            <w:vAlign w:val="center"/>
            <w:hideMark/>
          </w:tcPr>
          <w:p w14:paraId="582F4732" w14:textId="77777777" w:rsidR="00B66A9F" w:rsidRPr="00A71CCE" w:rsidRDefault="00B66A9F" w:rsidP="009101D8">
            <w:pPr>
              <w:spacing w:after="0"/>
              <w:jc w:val="right"/>
              <w:rPr>
                <w:color w:val="000000"/>
                <w:sz w:val="22"/>
                <w:szCs w:val="22"/>
              </w:rPr>
            </w:pPr>
            <w:r w:rsidRPr="00A71CCE">
              <w:rPr>
                <w:color w:val="000000"/>
                <w:sz w:val="22"/>
                <w:szCs w:val="22"/>
              </w:rPr>
              <w:t>3.78%</w:t>
            </w:r>
          </w:p>
        </w:tc>
      </w:tr>
      <w:tr w:rsidR="00B66A9F" w:rsidRPr="00A71CCE" w14:paraId="45D10C5F" w14:textId="77777777" w:rsidTr="0069340B">
        <w:trPr>
          <w:trHeight w:val="432"/>
        </w:trPr>
        <w:tc>
          <w:tcPr>
            <w:tcW w:w="4035" w:type="dxa"/>
            <w:tcBorders>
              <w:right w:val="double" w:sz="4" w:space="0" w:color="auto"/>
            </w:tcBorders>
            <w:shd w:val="clear" w:color="auto" w:fill="auto"/>
            <w:noWrap/>
            <w:vAlign w:val="center"/>
            <w:hideMark/>
          </w:tcPr>
          <w:p w14:paraId="17F30208" w14:textId="77777777" w:rsidR="00B66A9F" w:rsidRPr="00A71CCE" w:rsidRDefault="00B66A9F" w:rsidP="009101D8">
            <w:pPr>
              <w:spacing w:after="0"/>
              <w:rPr>
                <w:color w:val="000000"/>
                <w:sz w:val="22"/>
                <w:szCs w:val="22"/>
              </w:rPr>
            </w:pPr>
            <w:r w:rsidRPr="00A71CCE">
              <w:rPr>
                <w:color w:val="000000"/>
                <w:sz w:val="22"/>
                <w:szCs w:val="22"/>
              </w:rPr>
              <w:t>My insurance does not cover telemedicine</w:t>
            </w:r>
          </w:p>
        </w:tc>
        <w:tc>
          <w:tcPr>
            <w:tcW w:w="2790" w:type="dxa"/>
            <w:tcBorders>
              <w:right w:val="double" w:sz="4" w:space="0" w:color="auto"/>
            </w:tcBorders>
            <w:vAlign w:val="center"/>
          </w:tcPr>
          <w:p w14:paraId="60A1B79C" w14:textId="77777777" w:rsidR="00B66A9F" w:rsidRPr="00A71CCE" w:rsidRDefault="00B66A9F" w:rsidP="009101D8">
            <w:pPr>
              <w:spacing w:after="0"/>
              <w:rPr>
                <w:color w:val="000000"/>
                <w:sz w:val="22"/>
                <w:szCs w:val="22"/>
              </w:rPr>
            </w:pPr>
            <w:r w:rsidRPr="00A71CCE">
              <w:rPr>
                <w:color w:val="000000"/>
                <w:sz w:val="22"/>
                <w:szCs w:val="22"/>
              </w:rPr>
              <w:t>Insurance</w:t>
            </w:r>
          </w:p>
        </w:tc>
        <w:tc>
          <w:tcPr>
            <w:tcW w:w="1296" w:type="dxa"/>
            <w:tcBorders>
              <w:left w:val="double" w:sz="4" w:space="0" w:color="auto"/>
            </w:tcBorders>
            <w:shd w:val="clear" w:color="auto" w:fill="auto"/>
            <w:noWrap/>
            <w:vAlign w:val="center"/>
            <w:hideMark/>
          </w:tcPr>
          <w:p w14:paraId="370DB92F" w14:textId="77777777" w:rsidR="00B66A9F" w:rsidRPr="00A71CCE" w:rsidRDefault="00B66A9F" w:rsidP="009101D8">
            <w:pPr>
              <w:spacing w:after="0"/>
              <w:jc w:val="right"/>
              <w:rPr>
                <w:color w:val="000000"/>
                <w:sz w:val="22"/>
                <w:szCs w:val="22"/>
              </w:rPr>
            </w:pPr>
            <w:r w:rsidRPr="00A71CCE">
              <w:rPr>
                <w:color w:val="000000"/>
                <w:sz w:val="22"/>
                <w:szCs w:val="22"/>
              </w:rPr>
              <w:t>22</w:t>
            </w:r>
          </w:p>
        </w:tc>
        <w:tc>
          <w:tcPr>
            <w:tcW w:w="1301" w:type="dxa"/>
            <w:shd w:val="clear" w:color="auto" w:fill="auto"/>
            <w:noWrap/>
            <w:vAlign w:val="center"/>
            <w:hideMark/>
          </w:tcPr>
          <w:p w14:paraId="24860DED" w14:textId="77777777" w:rsidR="00B66A9F" w:rsidRPr="00A71CCE" w:rsidRDefault="00B66A9F" w:rsidP="009101D8">
            <w:pPr>
              <w:spacing w:after="0"/>
              <w:jc w:val="right"/>
              <w:rPr>
                <w:color w:val="000000"/>
                <w:sz w:val="22"/>
                <w:szCs w:val="22"/>
              </w:rPr>
            </w:pPr>
            <w:r w:rsidRPr="00A71CCE">
              <w:rPr>
                <w:color w:val="000000"/>
                <w:sz w:val="22"/>
                <w:szCs w:val="22"/>
              </w:rPr>
              <w:t>1.44%</w:t>
            </w:r>
          </w:p>
        </w:tc>
      </w:tr>
      <w:tr w:rsidR="00B66A9F" w:rsidRPr="00A71CCE" w14:paraId="33939763" w14:textId="77777777" w:rsidTr="0069340B">
        <w:trPr>
          <w:trHeight w:val="432"/>
        </w:trPr>
        <w:tc>
          <w:tcPr>
            <w:tcW w:w="4035" w:type="dxa"/>
            <w:tcBorders>
              <w:right w:val="double" w:sz="4" w:space="0" w:color="auto"/>
            </w:tcBorders>
            <w:shd w:val="clear" w:color="auto" w:fill="auto"/>
            <w:noWrap/>
            <w:vAlign w:val="center"/>
            <w:hideMark/>
          </w:tcPr>
          <w:p w14:paraId="7FD47917" w14:textId="77777777" w:rsidR="00B66A9F" w:rsidRPr="00A71CCE" w:rsidRDefault="00B66A9F" w:rsidP="009101D8">
            <w:pPr>
              <w:spacing w:after="0"/>
              <w:rPr>
                <w:color w:val="000000"/>
                <w:sz w:val="22"/>
                <w:szCs w:val="22"/>
              </w:rPr>
            </w:pPr>
            <w:r w:rsidRPr="00A71CCE">
              <w:rPr>
                <w:color w:val="000000"/>
                <w:sz w:val="22"/>
                <w:szCs w:val="22"/>
              </w:rPr>
              <w:t>In-person appointments are more convenient</w:t>
            </w:r>
          </w:p>
        </w:tc>
        <w:tc>
          <w:tcPr>
            <w:tcW w:w="2790" w:type="dxa"/>
            <w:tcBorders>
              <w:right w:val="double" w:sz="4" w:space="0" w:color="auto"/>
            </w:tcBorders>
            <w:vAlign w:val="center"/>
          </w:tcPr>
          <w:p w14:paraId="15366CBB" w14:textId="77777777" w:rsidR="00B66A9F" w:rsidRPr="00A71CCE" w:rsidRDefault="00B66A9F" w:rsidP="009101D8">
            <w:pPr>
              <w:spacing w:after="0"/>
              <w:rPr>
                <w:color w:val="000000"/>
                <w:sz w:val="22"/>
                <w:szCs w:val="22"/>
              </w:rPr>
            </w:pPr>
            <w:r w:rsidRPr="00A71CCE">
              <w:rPr>
                <w:color w:val="000000"/>
                <w:sz w:val="22"/>
                <w:szCs w:val="22"/>
              </w:rPr>
              <w:t>In-person convenience (IPC)</w:t>
            </w:r>
          </w:p>
        </w:tc>
        <w:tc>
          <w:tcPr>
            <w:tcW w:w="1296" w:type="dxa"/>
            <w:tcBorders>
              <w:left w:val="double" w:sz="4" w:space="0" w:color="auto"/>
            </w:tcBorders>
            <w:shd w:val="clear" w:color="auto" w:fill="auto"/>
            <w:noWrap/>
            <w:vAlign w:val="center"/>
            <w:hideMark/>
          </w:tcPr>
          <w:p w14:paraId="63F601B2" w14:textId="77777777" w:rsidR="00B66A9F" w:rsidRPr="00A71CCE" w:rsidRDefault="00B66A9F" w:rsidP="009101D8">
            <w:pPr>
              <w:spacing w:after="0"/>
              <w:jc w:val="right"/>
              <w:rPr>
                <w:color w:val="000000"/>
                <w:sz w:val="22"/>
                <w:szCs w:val="22"/>
              </w:rPr>
            </w:pPr>
            <w:r w:rsidRPr="00A71CCE">
              <w:rPr>
                <w:color w:val="000000"/>
                <w:sz w:val="22"/>
                <w:szCs w:val="22"/>
              </w:rPr>
              <w:t>403</w:t>
            </w:r>
          </w:p>
        </w:tc>
        <w:tc>
          <w:tcPr>
            <w:tcW w:w="1301" w:type="dxa"/>
            <w:shd w:val="clear" w:color="auto" w:fill="auto"/>
            <w:noWrap/>
            <w:vAlign w:val="center"/>
            <w:hideMark/>
          </w:tcPr>
          <w:p w14:paraId="6FABF99B" w14:textId="77777777" w:rsidR="00B66A9F" w:rsidRPr="00A71CCE" w:rsidRDefault="00B66A9F" w:rsidP="009101D8">
            <w:pPr>
              <w:spacing w:after="0"/>
              <w:jc w:val="right"/>
              <w:rPr>
                <w:color w:val="000000"/>
                <w:sz w:val="22"/>
                <w:szCs w:val="22"/>
              </w:rPr>
            </w:pPr>
            <w:r w:rsidRPr="00A71CCE">
              <w:rPr>
                <w:color w:val="000000"/>
                <w:sz w:val="22"/>
                <w:szCs w:val="22"/>
              </w:rPr>
              <w:t>26.29%</w:t>
            </w:r>
          </w:p>
        </w:tc>
      </w:tr>
      <w:tr w:rsidR="00B66A9F" w:rsidRPr="00A71CCE" w14:paraId="160454C8" w14:textId="77777777" w:rsidTr="0069340B">
        <w:trPr>
          <w:trHeight w:val="432"/>
        </w:trPr>
        <w:tc>
          <w:tcPr>
            <w:tcW w:w="4035" w:type="dxa"/>
            <w:tcBorders>
              <w:right w:val="double" w:sz="4" w:space="0" w:color="auto"/>
            </w:tcBorders>
            <w:shd w:val="clear" w:color="auto" w:fill="auto"/>
            <w:noWrap/>
            <w:vAlign w:val="center"/>
            <w:hideMark/>
          </w:tcPr>
          <w:p w14:paraId="40236FFB" w14:textId="77777777" w:rsidR="00B66A9F" w:rsidRPr="00A71CCE" w:rsidRDefault="00B66A9F" w:rsidP="009101D8">
            <w:pPr>
              <w:spacing w:after="0"/>
              <w:rPr>
                <w:color w:val="000000"/>
                <w:sz w:val="22"/>
                <w:szCs w:val="22"/>
              </w:rPr>
            </w:pPr>
            <w:r w:rsidRPr="00A71CCE">
              <w:rPr>
                <w:color w:val="000000"/>
                <w:sz w:val="22"/>
                <w:szCs w:val="22"/>
              </w:rPr>
              <w:t>I am not confident using technology to access my appointments</w:t>
            </w:r>
          </w:p>
        </w:tc>
        <w:tc>
          <w:tcPr>
            <w:tcW w:w="2790" w:type="dxa"/>
            <w:tcBorders>
              <w:right w:val="double" w:sz="4" w:space="0" w:color="auto"/>
            </w:tcBorders>
            <w:vAlign w:val="center"/>
          </w:tcPr>
          <w:p w14:paraId="2A8BC0CF" w14:textId="77777777" w:rsidR="00B66A9F" w:rsidRPr="00A71CCE" w:rsidRDefault="00B66A9F" w:rsidP="009101D8">
            <w:pPr>
              <w:spacing w:after="0"/>
              <w:rPr>
                <w:color w:val="000000"/>
                <w:sz w:val="22"/>
                <w:szCs w:val="22"/>
              </w:rPr>
            </w:pPr>
            <w:r w:rsidRPr="00A71CCE">
              <w:rPr>
                <w:color w:val="000000"/>
                <w:sz w:val="22"/>
                <w:szCs w:val="22"/>
              </w:rPr>
              <w:t>Not. Tech. Confident (NTC)</w:t>
            </w:r>
          </w:p>
        </w:tc>
        <w:tc>
          <w:tcPr>
            <w:tcW w:w="1296" w:type="dxa"/>
            <w:tcBorders>
              <w:left w:val="double" w:sz="4" w:space="0" w:color="auto"/>
            </w:tcBorders>
            <w:shd w:val="clear" w:color="auto" w:fill="auto"/>
            <w:noWrap/>
            <w:vAlign w:val="center"/>
            <w:hideMark/>
          </w:tcPr>
          <w:p w14:paraId="4E7089C2" w14:textId="77777777" w:rsidR="00B66A9F" w:rsidRPr="00A71CCE" w:rsidRDefault="00B66A9F" w:rsidP="009101D8">
            <w:pPr>
              <w:spacing w:after="0"/>
              <w:jc w:val="right"/>
              <w:rPr>
                <w:color w:val="000000"/>
                <w:sz w:val="22"/>
                <w:szCs w:val="22"/>
              </w:rPr>
            </w:pPr>
            <w:r w:rsidRPr="00A71CCE">
              <w:rPr>
                <w:color w:val="000000"/>
                <w:sz w:val="22"/>
                <w:szCs w:val="22"/>
              </w:rPr>
              <w:t>169</w:t>
            </w:r>
          </w:p>
        </w:tc>
        <w:tc>
          <w:tcPr>
            <w:tcW w:w="1301" w:type="dxa"/>
            <w:shd w:val="clear" w:color="auto" w:fill="auto"/>
            <w:noWrap/>
            <w:vAlign w:val="center"/>
            <w:hideMark/>
          </w:tcPr>
          <w:p w14:paraId="4E61B908" w14:textId="77777777" w:rsidR="00B66A9F" w:rsidRPr="00A71CCE" w:rsidRDefault="00B66A9F" w:rsidP="009101D8">
            <w:pPr>
              <w:spacing w:after="0"/>
              <w:jc w:val="right"/>
              <w:rPr>
                <w:color w:val="000000"/>
                <w:sz w:val="22"/>
                <w:szCs w:val="22"/>
              </w:rPr>
            </w:pPr>
            <w:r w:rsidRPr="00A71CCE">
              <w:rPr>
                <w:color w:val="000000"/>
                <w:sz w:val="22"/>
                <w:szCs w:val="22"/>
              </w:rPr>
              <w:t>11.02%</w:t>
            </w:r>
          </w:p>
        </w:tc>
      </w:tr>
      <w:tr w:rsidR="00B66A9F" w:rsidRPr="00A71CCE" w14:paraId="63E338CE" w14:textId="77777777" w:rsidTr="0069340B">
        <w:trPr>
          <w:trHeight w:val="432"/>
        </w:trPr>
        <w:tc>
          <w:tcPr>
            <w:tcW w:w="4035" w:type="dxa"/>
            <w:tcBorders>
              <w:bottom w:val="double" w:sz="4" w:space="0" w:color="auto"/>
              <w:right w:val="double" w:sz="4" w:space="0" w:color="auto"/>
            </w:tcBorders>
            <w:shd w:val="clear" w:color="auto" w:fill="auto"/>
            <w:noWrap/>
            <w:vAlign w:val="center"/>
            <w:hideMark/>
          </w:tcPr>
          <w:p w14:paraId="3F352D36" w14:textId="77777777" w:rsidR="00B66A9F" w:rsidRPr="00A71CCE" w:rsidRDefault="00B66A9F" w:rsidP="009101D8">
            <w:pPr>
              <w:spacing w:after="0"/>
              <w:rPr>
                <w:color w:val="000000"/>
                <w:sz w:val="22"/>
                <w:szCs w:val="22"/>
              </w:rPr>
            </w:pPr>
            <w:r w:rsidRPr="00A71CCE">
              <w:rPr>
                <w:color w:val="000000"/>
                <w:sz w:val="22"/>
                <w:szCs w:val="22"/>
              </w:rPr>
              <w:t>I am concerned about security with telemedicine</w:t>
            </w:r>
          </w:p>
        </w:tc>
        <w:tc>
          <w:tcPr>
            <w:tcW w:w="2790" w:type="dxa"/>
            <w:tcBorders>
              <w:right w:val="double" w:sz="4" w:space="0" w:color="auto"/>
            </w:tcBorders>
            <w:vAlign w:val="center"/>
          </w:tcPr>
          <w:p w14:paraId="76143F10" w14:textId="77777777" w:rsidR="00B66A9F" w:rsidRPr="00A71CCE" w:rsidRDefault="00B66A9F" w:rsidP="009101D8">
            <w:pPr>
              <w:spacing w:after="0"/>
              <w:rPr>
                <w:color w:val="000000"/>
                <w:sz w:val="22"/>
                <w:szCs w:val="22"/>
              </w:rPr>
            </w:pPr>
            <w:r w:rsidRPr="00A71CCE">
              <w:rPr>
                <w:color w:val="000000"/>
                <w:sz w:val="22"/>
                <w:szCs w:val="22"/>
              </w:rPr>
              <w:t>Telemedicine security concern (TSC)</w:t>
            </w:r>
          </w:p>
        </w:tc>
        <w:tc>
          <w:tcPr>
            <w:tcW w:w="1296" w:type="dxa"/>
            <w:tcBorders>
              <w:left w:val="double" w:sz="4" w:space="0" w:color="auto"/>
            </w:tcBorders>
            <w:shd w:val="clear" w:color="auto" w:fill="auto"/>
            <w:noWrap/>
            <w:vAlign w:val="center"/>
            <w:hideMark/>
          </w:tcPr>
          <w:p w14:paraId="01C44FD6" w14:textId="77777777" w:rsidR="00B66A9F" w:rsidRPr="00A71CCE" w:rsidRDefault="00B66A9F" w:rsidP="009101D8">
            <w:pPr>
              <w:spacing w:after="0"/>
              <w:jc w:val="right"/>
              <w:rPr>
                <w:color w:val="000000"/>
                <w:sz w:val="22"/>
                <w:szCs w:val="22"/>
              </w:rPr>
            </w:pPr>
            <w:r w:rsidRPr="00A71CCE">
              <w:rPr>
                <w:color w:val="000000"/>
                <w:sz w:val="22"/>
                <w:szCs w:val="22"/>
              </w:rPr>
              <w:t>116</w:t>
            </w:r>
          </w:p>
        </w:tc>
        <w:tc>
          <w:tcPr>
            <w:tcW w:w="1301" w:type="dxa"/>
            <w:shd w:val="clear" w:color="auto" w:fill="auto"/>
            <w:noWrap/>
            <w:vAlign w:val="center"/>
            <w:hideMark/>
          </w:tcPr>
          <w:p w14:paraId="63378481" w14:textId="77777777" w:rsidR="00B66A9F" w:rsidRPr="00A71CCE" w:rsidRDefault="00B66A9F" w:rsidP="009101D8">
            <w:pPr>
              <w:spacing w:after="0"/>
              <w:jc w:val="right"/>
              <w:rPr>
                <w:color w:val="000000"/>
                <w:sz w:val="22"/>
                <w:szCs w:val="22"/>
              </w:rPr>
            </w:pPr>
            <w:r w:rsidRPr="00A71CCE">
              <w:rPr>
                <w:color w:val="000000"/>
                <w:sz w:val="22"/>
                <w:szCs w:val="22"/>
              </w:rPr>
              <w:t>7.57%</w:t>
            </w:r>
          </w:p>
        </w:tc>
      </w:tr>
    </w:tbl>
    <w:p w14:paraId="1F0735EB" w14:textId="2F5BC97A" w:rsidR="008F5ED8" w:rsidRDefault="008F5ED8" w:rsidP="00B66A9F">
      <w:pPr>
        <w:jc w:val="both"/>
      </w:pPr>
    </w:p>
    <w:p w14:paraId="6F4D20CA" w14:textId="77777777" w:rsidR="008F5ED8" w:rsidRDefault="008F5ED8">
      <w:r>
        <w:br w:type="page"/>
      </w:r>
    </w:p>
    <w:p w14:paraId="5A7C25F0" w14:textId="065A9D2C" w:rsidR="0069340B" w:rsidRDefault="0069340B" w:rsidP="00C37174">
      <w:pPr>
        <w:pStyle w:val="Caption"/>
        <w:keepNext/>
        <w:spacing w:after="120"/>
        <w:jc w:val="left"/>
      </w:pPr>
      <w:bookmarkStart w:id="82" w:name="_Ref178945033"/>
      <w:bookmarkStart w:id="83" w:name="_Hlk178948131"/>
      <w:r>
        <w:lastRenderedPageBreak/>
        <w:t xml:space="preserve">Table </w:t>
      </w:r>
      <w:r w:rsidR="00C425C0">
        <w:fldChar w:fldCharType="begin"/>
      </w:r>
      <w:r w:rsidR="00C425C0">
        <w:instrText xml:space="preserve"> SEQ Table \* ARABIC </w:instrText>
      </w:r>
      <w:r w:rsidR="00C425C0">
        <w:fldChar w:fldCharType="separate"/>
      </w:r>
      <w:r w:rsidR="008A3DCE">
        <w:rPr>
          <w:noProof/>
        </w:rPr>
        <w:t>3</w:t>
      </w:r>
      <w:r w:rsidR="00C425C0">
        <w:rPr>
          <w:noProof/>
        </w:rPr>
        <w:fldChar w:fldCharType="end"/>
      </w:r>
      <w:bookmarkEnd w:id="82"/>
      <w:r>
        <w:t xml:space="preserve">. </w:t>
      </w:r>
      <w:r w:rsidRPr="009B2F97">
        <w:t>Sample Distribution of Exogenous Variables</w:t>
      </w:r>
    </w:p>
    <w:tbl>
      <w:tblPr>
        <w:tblW w:w="9770" w:type="dxa"/>
        <w:tblCellMar>
          <w:left w:w="58" w:type="dxa"/>
          <w:right w:w="58" w:type="dxa"/>
        </w:tblCellMar>
        <w:tblLook w:val="04A0" w:firstRow="1" w:lastRow="0" w:firstColumn="1" w:lastColumn="0" w:noHBand="0" w:noVBand="1"/>
      </w:tblPr>
      <w:tblGrid>
        <w:gridCol w:w="2955"/>
        <w:gridCol w:w="974"/>
        <w:gridCol w:w="960"/>
        <w:gridCol w:w="2926"/>
        <w:gridCol w:w="990"/>
        <w:gridCol w:w="965"/>
      </w:tblGrid>
      <w:tr w:rsidR="00651AAB" w:rsidRPr="003870EA" w14:paraId="335B48B2" w14:textId="77777777" w:rsidTr="00E72F8F">
        <w:trPr>
          <w:trHeight w:val="20"/>
          <w:tblHeader/>
        </w:trPr>
        <w:tc>
          <w:tcPr>
            <w:tcW w:w="2955" w:type="dxa"/>
            <w:tcBorders>
              <w:top w:val="double" w:sz="4" w:space="0" w:color="auto"/>
              <w:left w:val="double" w:sz="4" w:space="0" w:color="auto"/>
              <w:bottom w:val="double" w:sz="4" w:space="0" w:color="auto"/>
              <w:right w:val="nil"/>
            </w:tcBorders>
            <w:shd w:val="clear" w:color="auto" w:fill="auto"/>
            <w:noWrap/>
            <w:vAlign w:val="center"/>
            <w:hideMark/>
          </w:tcPr>
          <w:bookmarkEnd w:id="83"/>
          <w:p w14:paraId="0DE9C7F1" w14:textId="77777777" w:rsidR="00651AAB" w:rsidRPr="00107EE9" w:rsidRDefault="00651AAB" w:rsidP="00E72F8F">
            <w:pPr>
              <w:spacing w:after="0" w:line="240" w:lineRule="auto"/>
              <w:rPr>
                <w:rFonts w:eastAsia="Times New Roman"/>
                <w:b/>
                <w:bCs/>
                <w:color w:val="000000"/>
                <w:sz w:val="22"/>
                <w:szCs w:val="22"/>
              </w:rPr>
            </w:pPr>
            <w:r w:rsidRPr="00107EE9">
              <w:rPr>
                <w:rFonts w:eastAsia="Times New Roman"/>
                <w:b/>
                <w:bCs/>
                <w:color w:val="000000"/>
                <w:sz w:val="22"/>
                <w:szCs w:val="22"/>
              </w:rPr>
              <w:t>Variable</w:t>
            </w:r>
          </w:p>
        </w:tc>
        <w:tc>
          <w:tcPr>
            <w:tcW w:w="974" w:type="dxa"/>
            <w:tcBorders>
              <w:top w:val="double" w:sz="4" w:space="0" w:color="auto"/>
              <w:left w:val="nil"/>
              <w:bottom w:val="double" w:sz="4" w:space="0" w:color="auto"/>
              <w:right w:val="nil"/>
            </w:tcBorders>
            <w:shd w:val="clear" w:color="auto" w:fill="auto"/>
            <w:noWrap/>
            <w:vAlign w:val="center"/>
            <w:hideMark/>
          </w:tcPr>
          <w:p w14:paraId="5CA818A7" w14:textId="77777777" w:rsidR="00651AAB" w:rsidRPr="00107EE9" w:rsidRDefault="00651AAB" w:rsidP="00E72F8F">
            <w:pPr>
              <w:spacing w:after="0" w:line="240" w:lineRule="auto"/>
              <w:jc w:val="center"/>
              <w:rPr>
                <w:rFonts w:eastAsia="Times New Roman"/>
                <w:b/>
                <w:bCs/>
                <w:color w:val="000000"/>
                <w:sz w:val="22"/>
                <w:szCs w:val="22"/>
              </w:rPr>
            </w:pPr>
            <w:r w:rsidRPr="00107EE9">
              <w:rPr>
                <w:rFonts w:eastAsia="Times New Roman"/>
                <w:b/>
                <w:bCs/>
                <w:color w:val="000000"/>
                <w:sz w:val="22"/>
                <w:szCs w:val="22"/>
              </w:rPr>
              <w:t>% in sample</w:t>
            </w:r>
          </w:p>
        </w:tc>
        <w:tc>
          <w:tcPr>
            <w:tcW w:w="960" w:type="dxa"/>
            <w:tcBorders>
              <w:top w:val="double" w:sz="4" w:space="0" w:color="auto"/>
              <w:left w:val="nil"/>
              <w:bottom w:val="double" w:sz="4" w:space="0" w:color="auto"/>
              <w:right w:val="nil"/>
            </w:tcBorders>
            <w:shd w:val="clear" w:color="auto" w:fill="auto"/>
            <w:noWrap/>
            <w:vAlign w:val="center"/>
            <w:hideMark/>
          </w:tcPr>
          <w:p w14:paraId="37C6B009" w14:textId="77777777" w:rsidR="00651AAB" w:rsidRPr="00107EE9" w:rsidRDefault="00651AAB" w:rsidP="00E72F8F">
            <w:pPr>
              <w:spacing w:after="0" w:line="240" w:lineRule="auto"/>
              <w:jc w:val="center"/>
              <w:rPr>
                <w:rFonts w:eastAsia="Times New Roman"/>
                <w:b/>
                <w:bCs/>
                <w:color w:val="000000"/>
                <w:sz w:val="22"/>
                <w:szCs w:val="22"/>
              </w:rPr>
            </w:pPr>
            <w:r w:rsidRPr="00107EE9">
              <w:rPr>
                <w:rFonts w:eastAsia="Times New Roman"/>
                <w:b/>
                <w:bCs/>
                <w:color w:val="000000"/>
                <w:sz w:val="22"/>
                <w:szCs w:val="22"/>
              </w:rPr>
              <w:t>% in ACS</w:t>
            </w:r>
          </w:p>
        </w:tc>
        <w:tc>
          <w:tcPr>
            <w:tcW w:w="2926" w:type="dxa"/>
            <w:tcBorders>
              <w:top w:val="double" w:sz="4" w:space="0" w:color="auto"/>
              <w:left w:val="single" w:sz="4" w:space="0" w:color="auto"/>
              <w:bottom w:val="double" w:sz="4" w:space="0" w:color="auto"/>
              <w:right w:val="nil"/>
            </w:tcBorders>
            <w:shd w:val="clear" w:color="auto" w:fill="auto"/>
            <w:noWrap/>
            <w:vAlign w:val="center"/>
            <w:hideMark/>
          </w:tcPr>
          <w:p w14:paraId="5C5C1C4A" w14:textId="77777777" w:rsidR="00651AAB" w:rsidRPr="00107EE9" w:rsidRDefault="00651AAB" w:rsidP="00E72F8F">
            <w:pPr>
              <w:spacing w:after="0" w:line="240" w:lineRule="auto"/>
              <w:jc w:val="center"/>
              <w:rPr>
                <w:rFonts w:eastAsia="Times New Roman"/>
                <w:b/>
                <w:bCs/>
                <w:color w:val="000000"/>
                <w:sz w:val="22"/>
                <w:szCs w:val="22"/>
              </w:rPr>
            </w:pPr>
            <w:r w:rsidRPr="00107EE9">
              <w:rPr>
                <w:rFonts w:eastAsia="Times New Roman"/>
                <w:b/>
                <w:bCs/>
                <w:color w:val="000000"/>
                <w:sz w:val="22"/>
                <w:szCs w:val="22"/>
              </w:rPr>
              <w:t>Variable</w:t>
            </w:r>
          </w:p>
        </w:tc>
        <w:tc>
          <w:tcPr>
            <w:tcW w:w="990" w:type="dxa"/>
            <w:tcBorders>
              <w:top w:val="double" w:sz="4" w:space="0" w:color="auto"/>
              <w:left w:val="nil"/>
              <w:bottom w:val="double" w:sz="4" w:space="0" w:color="auto"/>
              <w:right w:val="nil"/>
            </w:tcBorders>
            <w:shd w:val="clear" w:color="auto" w:fill="auto"/>
            <w:noWrap/>
            <w:vAlign w:val="center"/>
            <w:hideMark/>
          </w:tcPr>
          <w:p w14:paraId="54B6269D" w14:textId="77777777" w:rsidR="00651AAB" w:rsidRPr="00107EE9" w:rsidRDefault="00651AAB" w:rsidP="00E72F8F">
            <w:pPr>
              <w:spacing w:after="0" w:line="240" w:lineRule="auto"/>
              <w:jc w:val="center"/>
              <w:rPr>
                <w:rFonts w:eastAsia="Times New Roman"/>
                <w:b/>
                <w:bCs/>
                <w:color w:val="000000"/>
                <w:sz w:val="22"/>
                <w:szCs w:val="22"/>
              </w:rPr>
            </w:pPr>
            <w:r w:rsidRPr="00107EE9">
              <w:rPr>
                <w:rFonts w:eastAsia="Times New Roman"/>
                <w:b/>
                <w:bCs/>
                <w:color w:val="000000"/>
                <w:sz w:val="22"/>
                <w:szCs w:val="22"/>
              </w:rPr>
              <w:t>% in sample</w:t>
            </w:r>
          </w:p>
        </w:tc>
        <w:tc>
          <w:tcPr>
            <w:tcW w:w="965" w:type="dxa"/>
            <w:tcBorders>
              <w:top w:val="double" w:sz="4" w:space="0" w:color="auto"/>
              <w:left w:val="nil"/>
              <w:bottom w:val="double" w:sz="4" w:space="0" w:color="auto"/>
              <w:right w:val="double" w:sz="4" w:space="0" w:color="auto"/>
            </w:tcBorders>
            <w:shd w:val="clear" w:color="auto" w:fill="auto"/>
            <w:noWrap/>
            <w:vAlign w:val="center"/>
            <w:hideMark/>
          </w:tcPr>
          <w:p w14:paraId="6AF425CE" w14:textId="77777777" w:rsidR="00651AAB" w:rsidRPr="00107EE9" w:rsidRDefault="00651AAB" w:rsidP="00E72F8F">
            <w:pPr>
              <w:spacing w:after="0" w:line="240" w:lineRule="auto"/>
              <w:jc w:val="center"/>
              <w:rPr>
                <w:rFonts w:eastAsia="Times New Roman"/>
                <w:b/>
                <w:bCs/>
                <w:color w:val="000000"/>
                <w:sz w:val="22"/>
                <w:szCs w:val="22"/>
              </w:rPr>
            </w:pPr>
            <w:r w:rsidRPr="00107EE9">
              <w:rPr>
                <w:rFonts w:eastAsia="Times New Roman"/>
                <w:b/>
                <w:bCs/>
                <w:color w:val="000000"/>
                <w:sz w:val="22"/>
                <w:szCs w:val="22"/>
              </w:rPr>
              <w:t>% in ACS</w:t>
            </w:r>
          </w:p>
        </w:tc>
      </w:tr>
      <w:tr w:rsidR="00651AAB" w:rsidRPr="003870EA" w14:paraId="48CB51D1" w14:textId="77777777" w:rsidTr="00E72F8F">
        <w:trPr>
          <w:trHeight w:val="20"/>
        </w:trPr>
        <w:tc>
          <w:tcPr>
            <w:tcW w:w="4889" w:type="dxa"/>
            <w:gridSpan w:val="3"/>
            <w:tcBorders>
              <w:top w:val="double" w:sz="4" w:space="0" w:color="auto"/>
              <w:left w:val="double" w:sz="4" w:space="0" w:color="auto"/>
              <w:bottom w:val="dotted" w:sz="4" w:space="0" w:color="auto"/>
              <w:right w:val="nil"/>
            </w:tcBorders>
            <w:shd w:val="clear" w:color="auto" w:fill="auto"/>
            <w:noWrap/>
            <w:vAlign w:val="center"/>
          </w:tcPr>
          <w:p w14:paraId="5000AE0E" w14:textId="77777777" w:rsidR="00651AAB" w:rsidRPr="00107EE9" w:rsidRDefault="00651AAB" w:rsidP="00E72F8F">
            <w:pPr>
              <w:tabs>
                <w:tab w:val="decimal" w:pos="365"/>
              </w:tabs>
              <w:spacing w:after="0" w:line="240" w:lineRule="auto"/>
              <w:jc w:val="both"/>
              <w:rPr>
                <w:rFonts w:eastAsia="Times New Roman"/>
                <w:b/>
                <w:bCs/>
                <w:color w:val="000000"/>
                <w:sz w:val="22"/>
                <w:szCs w:val="22"/>
              </w:rPr>
            </w:pPr>
            <w:bookmarkStart w:id="84" w:name="_Hlk178778425"/>
            <w:r w:rsidRPr="00107EE9">
              <w:rPr>
                <w:rFonts w:eastAsia="Times New Roman"/>
                <w:b/>
                <w:bCs/>
                <w:color w:val="000000"/>
                <w:sz w:val="22"/>
                <w:szCs w:val="22"/>
              </w:rPr>
              <w:t>Individual/Household Sociodemographics</w:t>
            </w:r>
            <w:bookmarkEnd w:id="84"/>
          </w:p>
        </w:tc>
        <w:tc>
          <w:tcPr>
            <w:tcW w:w="4881" w:type="dxa"/>
            <w:gridSpan w:val="3"/>
            <w:tcBorders>
              <w:top w:val="double" w:sz="4" w:space="0" w:color="auto"/>
              <w:left w:val="single" w:sz="4" w:space="0" w:color="auto"/>
              <w:bottom w:val="dotted" w:sz="4" w:space="0" w:color="auto"/>
              <w:right w:val="double" w:sz="4" w:space="0" w:color="auto"/>
            </w:tcBorders>
            <w:shd w:val="clear" w:color="auto" w:fill="auto"/>
            <w:noWrap/>
            <w:vAlign w:val="center"/>
          </w:tcPr>
          <w:p w14:paraId="45221D50" w14:textId="77777777" w:rsidR="00651AAB" w:rsidRPr="00107EE9" w:rsidRDefault="00651AAB" w:rsidP="00E72F8F">
            <w:pPr>
              <w:tabs>
                <w:tab w:val="decimal" w:pos="368"/>
              </w:tabs>
              <w:spacing w:after="0" w:line="240" w:lineRule="auto"/>
              <w:jc w:val="both"/>
              <w:rPr>
                <w:rFonts w:eastAsia="Times New Roman"/>
                <w:b/>
                <w:bCs/>
                <w:color w:val="000000"/>
                <w:sz w:val="22"/>
                <w:szCs w:val="22"/>
              </w:rPr>
            </w:pPr>
            <w:r w:rsidRPr="003870EA">
              <w:rPr>
                <w:rFonts w:eastAsia="Times New Roman"/>
                <w:b/>
                <w:bCs/>
                <w:color w:val="000000"/>
                <w:sz w:val="22"/>
                <w:szCs w:val="22"/>
              </w:rPr>
              <w:t>Employment Characteristics</w:t>
            </w:r>
          </w:p>
        </w:tc>
      </w:tr>
      <w:tr w:rsidR="00651AAB" w:rsidRPr="003870EA" w14:paraId="683456CF" w14:textId="77777777" w:rsidTr="00E72F8F">
        <w:trPr>
          <w:trHeight w:val="20"/>
        </w:trPr>
        <w:tc>
          <w:tcPr>
            <w:tcW w:w="2955" w:type="dxa"/>
            <w:tcBorders>
              <w:top w:val="dotted" w:sz="4" w:space="0" w:color="auto"/>
              <w:left w:val="double" w:sz="4" w:space="0" w:color="auto"/>
              <w:right w:val="nil"/>
            </w:tcBorders>
            <w:shd w:val="clear" w:color="auto" w:fill="auto"/>
            <w:noWrap/>
            <w:vAlign w:val="center"/>
          </w:tcPr>
          <w:p w14:paraId="3B0E8AE7" w14:textId="77777777" w:rsidR="00651AAB" w:rsidRPr="00107EE9" w:rsidRDefault="00651AAB" w:rsidP="00E72F8F">
            <w:pPr>
              <w:spacing w:after="0" w:line="240" w:lineRule="auto"/>
              <w:jc w:val="both"/>
              <w:rPr>
                <w:rFonts w:eastAsia="Times New Roman"/>
                <w:b/>
                <w:bCs/>
                <w:i/>
                <w:iCs/>
                <w:color w:val="000000"/>
                <w:sz w:val="22"/>
                <w:szCs w:val="22"/>
              </w:rPr>
            </w:pPr>
            <w:r w:rsidRPr="00107EE9">
              <w:rPr>
                <w:rFonts w:eastAsia="Times New Roman"/>
                <w:b/>
                <w:bCs/>
                <w:i/>
                <w:iCs/>
                <w:color w:val="000000"/>
                <w:sz w:val="22"/>
                <w:szCs w:val="22"/>
              </w:rPr>
              <w:t>Gender</w:t>
            </w:r>
          </w:p>
        </w:tc>
        <w:tc>
          <w:tcPr>
            <w:tcW w:w="974" w:type="dxa"/>
            <w:tcBorders>
              <w:top w:val="dotted" w:sz="4" w:space="0" w:color="auto"/>
              <w:left w:val="nil"/>
              <w:right w:val="nil"/>
            </w:tcBorders>
            <w:shd w:val="clear" w:color="auto" w:fill="auto"/>
            <w:noWrap/>
            <w:vAlign w:val="center"/>
          </w:tcPr>
          <w:p w14:paraId="37F3A0CD" w14:textId="77777777" w:rsidR="00651AAB" w:rsidRPr="00107EE9" w:rsidRDefault="00651AAB" w:rsidP="00E72F8F">
            <w:pPr>
              <w:tabs>
                <w:tab w:val="decimal" w:pos="435"/>
              </w:tabs>
              <w:spacing w:after="0" w:line="240" w:lineRule="auto"/>
              <w:jc w:val="both"/>
              <w:rPr>
                <w:rFonts w:eastAsia="Times New Roman"/>
                <w:b/>
                <w:bCs/>
                <w:color w:val="000000"/>
                <w:sz w:val="22"/>
                <w:szCs w:val="22"/>
              </w:rPr>
            </w:pPr>
          </w:p>
        </w:tc>
        <w:tc>
          <w:tcPr>
            <w:tcW w:w="960" w:type="dxa"/>
            <w:tcBorders>
              <w:top w:val="dotted" w:sz="4" w:space="0" w:color="auto"/>
              <w:left w:val="nil"/>
              <w:right w:val="nil"/>
            </w:tcBorders>
            <w:shd w:val="clear" w:color="auto" w:fill="auto"/>
            <w:noWrap/>
            <w:vAlign w:val="center"/>
          </w:tcPr>
          <w:p w14:paraId="186CACFF" w14:textId="77777777" w:rsidR="00651AAB" w:rsidRPr="00107EE9" w:rsidRDefault="00651AAB" w:rsidP="00E72F8F">
            <w:pPr>
              <w:tabs>
                <w:tab w:val="decimal" w:pos="365"/>
              </w:tabs>
              <w:spacing w:after="0" w:line="240" w:lineRule="auto"/>
              <w:jc w:val="both"/>
              <w:rPr>
                <w:rFonts w:eastAsia="Times New Roman"/>
                <w:b/>
                <w:bCs/>
                <w:color w:val="000000"/>
                <w:sz w:val="22"/>
                <w:szCs w:val="22"/>
              </w:rPr>
            </w:pPr>
          </w:p>
        </w:tc>
        <w:tc>
          <w:tcPr>
            <w:tcW w:w="2926" w:type="dxa"/>
            <w:tcBorders>
              <w:left w:val="single" w:sz="4" w:space="0" w:color="auto"/>
              <w:right w:val="nil"/>
            </w:tcBorders>
            <w:shd w:val="clear" w:color="auto" w:fill="auto"/>
            <w:noWrap/>
            <w:vAlign w:val="center"/>
          </w:tcPr>
          <w:p w14:paraId="1C3561EB" w14:textId="77777777" w:rsidR="00651AAB" w:rsidRPr="00107EE9" w:rsidRDefault="00651AAB" w:rsidP="00E72F8F">
            <w:pPr>
              <w:spacing w:after="0" w:line="240" w:lineRule="auto"/>
              <w:jc w:val="both"/>
              <w:rPr>
                <w:rFonts w:eastAsia="Times New Roman"/>
                <w:b/>
                <w:bCs/>
                <w:i/>
                <w:iCs/>
                <w:color w:val="000000"/>
                <w:sz w:val="22"/>
                <w:szCs w:val="22"/>
              </w:rPr>
            </w:pPr>
            <w:r w:rsidRPr="00107EE9">
              <w:rPr>
                <w:rFonts w:eastAsia="Times New Roman"/>
                <w:b/>
                <w:bCs/>
                <w:i/>
                <w:iCs/>
                <w:color w:val="000000"/>
                <w:sz w:val="22"/>
                <w:szCs w:val="22"/>
              </w:rPr>
              <w:t>Employment Status</w:t>
            </w:r>
          </w:p>
        </w:tc>
        <w:tc>
          <w:tcPr>
            <w:tcW w:w="990" w:type="dxa"/>
            <w:tcBorders>
              <w:left w:val="nil"/>
              <w:right w:val="nil"/>
            </w:tcBorders>
            <w:shd w:val="clear" w:color="auto" w:fill="auto"/>
            <w:noWrap/>
            <w:vAlign w:val="center"/>
          </w:tcPr>
          <w:p w14:paraId="46FA3F73" w14:textId="77777777" w:rsidR="00651AAB" w:rsidRPr="00107EE9" w:rsidRDefault="00651AAB" w:rsidP="00E72F8F">
            <w:pPr>
              <w:tabs>
                <w:tab w:val="decimal" w:pos="341"/>
              </w:tabs>
              <w:spacing w:after="0" w:line="240" w:lineRule="auto"/>
              <w:jc w:val="both"/>
              <w:rPr>
                <w:rFonts w:eastAsia="Times New Roman"/>
                <w:b/>
                <w:bCs/>
                <w:color w:val="000000"/>
                <w:sz w:val="22"/>
                <w:szCs w:val="22"/>
              </w:rPr>
            </w:pPr>
          </w:p>
        </w:tc>
        <w:tc>
          <w:tcPr>
            <w:tcW w:w="965" w:type="dxa"/>
            <w:tcBorders>
              <w:left w:val="nil"/>
              <w:right w:val="double" w:sz="4" w:space="0" w:color="auto"/>
            </w:tcBorders>
            <w:shd w:val="clear" w:color="auto" w:fill="auto"/>
            <w:noWrap/>
            <w:vAlign w:val="center"/>
          </w:tcPr>
          <w:p w14:paraId="0960F8C5" w14:textId="77777777" w:rsidR="00651AAB" w:rsidRPr="00107EE9" w:rsidRDefault="00651AAB" w:rsidP="00E72F8F">
            <w:pPr>
              <w:tabs>
                <w:tab w:val="decimal" w:pos="368"/>
              </w:tabs>
              <w:spacing w:after="0" w:line="240" w:lineRule="auto"/>
              <w:jc w:val="both"/>
              <w:rPr>
                <w:rFonts w:eastAsia="Times New Roman"/>
                <w:b/>
                <w:bCs/>
                <w:color w:val="000000"/>
                <w:sz w:val="22"/>
                <w:szCs w:val="22"/>
              </w:rPr>
            </w:pPr>
          </w:p>
        </w:tc>
      </w:tr>
      <w:tr w:rsidR="00651AAB" w:rsidRPr="003870EA" w14:paraId="67771B41" w14:textId="77777777" w:rsidTr="00E72F8F">
        <w:trPr>
          <w:trHeight w:val="20"/>
        </w:trPr>
        <w:tc>
          <w:tcPr>
            <w:tcW w:w="2955" w:type="dxa"/>
            <w:tcBorders>
              <w:left w:val="double" w:sz="4" w:space="0" w:color="auto"/>
            </w:tcBorders>
            <w:shd w:val="clear" w:color="auto" w:fill="auto"/>
            <w:noWrap/>
            <w:vAlign w:val="center"/>
          </w:tcPr>
          <w:p w14:paraId="3AF33AB6" w14:textId="77777777" w:rsidR="00651AAB" w:rsidRPr="00107EE9" w:rsidRDefault="00651AAB" w:rsidP="00E72F8F">
            <w:pPr>
              <w:spacing w:after="0" w:line="240" w:lineRule="auto"/>
              <w:jc w:val="both"/>
              <w:rPr>
                <w:rFonts w:eastAsia="Times New Roman"/>
                <w:b/>
                <w:bCs/>
                <w:color w:val="000000"/>
                <w:sz w:val="22"/>
                <w:szCs w:val="22"/>
              </w:rPr>
            </w:pPr>
            <w:r w:rsidRPr="00107EE9">
              <w:rPr>
                <w:rFonts w:eastAsia="Times New Roman"/>
                <w:color w:val="000000"/>
                <w:sz w:val="22"/>
                <w:szCs w:val="22"/>
              </w:rPr>
              <w:t xml:space="preserve">    Men</w:t>
            </w:r>
          </w:p>
        </w:tc>
        <w:tc>
          <w:tcPr>
            <w:tcW w:w="974" w:type="dxa"/>
            <w:shd w:val="clear" w:color="auto" w:fill="auto"/>
            <w:noWrap/>
            <w:vAlign w:val="center"/>
          </w:tcPr>
          <w:p w14:paraId="20202718" w14:textId="77777777" w:rsidR="00651AAB" w:rsidRPr="00107EE9" w:rsidRDefault="00651AAB" w:rsidP="00E72F8F">
            <w:pPr>
              <w:tabs>
                <w:tab w:val="decimal" w:pos="435"/>
              </w:tabs>
              <w:spacing w:after="0" w:line="240" w:lineRule="auto"/>
              <w:jc w:val="both"/>
              <w:rPr>
                <w:rFonts w:eastAsia="Times New Roman"/>
                <w:b/>
                <w:bCs/>
                <w:color w:val="000000"/>
                <w:sz w:val="22"/>
                <w:szCs w:val="22"/>
              </w:rPr>
            </w:pPr>
            <w:r w:rsidRPr="00107EE9">
              <w:rPr>
                <w:rFonts w:eastAsia="Times New Roman"/>
                <w:color w:val="000000"/>
                <w:sz w:val="22"/>
                <w:szCs w:val="22"/>
              </w:rPr>
              <w:t>36.5</w:t>
            </w:r>
          </w:p>
        </w:tc>
        <w:tc>
          <w:tcPr>
            <w:tcW w:w="960" w:type="dxa"/>
            <w:tcBorders>
              <w:right w:val="single" w:sz="4" w:space="0" w:color="auto"/>
            </w:tcBorders>
            <w:shd w:val="clear" w:color="auto" w:fill="auto"/>
            <w:noWrap/>
            <w:vAlign w:val="center"/>
          </w:tcPr>
          <w:p w14:paraId="0C88886E"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48.9</w:t>
            </w:r>
          </w:p>
        </w:tc>
        <w:tc>
          <w:tcPr>
            <w:tcW w:w="2926" w:type="dxa"/>
            <w:tcBorders>
              <w:left w:val="single" w:sz="4" w:space="0" w:color="auto"/>
            </w:tcBorders>
            <w:shd w:val="clear" w:color="auto" w:fill="auto"/>
            <w:noWrap/>
            <w:vAlign w:val="center"/>
          </w:tcPr>
          <w:p w14:paraId="6CE6AD17" w14:textId="77777777" w:rsidR="00651AAB" w:rsidRPr="00107EE9" w:rsidRDefault="00651AAB" w:rsidP="00E72F8F">
            <w:pPr>
              <w:spacing w:after="0" w:line="240" w:lineRule="auto"/>
              <w:jc w:val="both"/>
              <w:rPr>
                <w:rFonts w:eastAsia="Times New Roman"/>
                <w:b/>
                <w:bCs/>
                <w:color w:val="000000"/>
                <w:sz w:val="22"/>
                <w:szCs w:val="22"/>
              </w:rPr>
            </w:pPr>
            <w:r w:rsidRPr="00107EE9">
              <w:rPr>
                <w:rFonts w:eastAsia="Times New Roman"/>
                <w:color w:val="000000"/>
                <w:sz w:val="22"/>
                <w:szCs w:val="22"/>
              </w:rPr>
              <w:t xml:space="preserve">    Not employed</w:t>
            </w:r>
          </w:p>
        </w:tc>
        <w:tc>
          <w:tcPr>
            <w:tcW w:w="990" w:type="dxa"/>
            <w:shd w:val="clear" w:color="auto" w:fill="auto"/>
            <w:noWrap/>
            <w:vAlign w:val="center"/>
          </w:tcPr>
          <w:p w14:paraId="688B2FFB"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48.7</w:t>
            </w:r>
          </w:p>
        </w:tc>
        <w:tc>
          <w:tcPr>
            <w:tcW w:w="965" w:type="dxa"/>
            <w:tcBorders>
              <w:right w:val="double" w:sz="4" w:space="0" w:color="auto"/>
            </w:tcBorders>
            <w:shd w:val="clear" w:color="auto" w:fill="auto"/>
            <w:noWrap/>
            <w:vAlign w:val="center"/>
          </w:tcPr>
          <w:p w14:paraId="3EBCAE4A"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22.7</w:t>
            </w:r>
          </w:p>
        </w:tc>
      </w:tr>
      <w:tr w:rsidR="00651AAB" w:rsidRPr="003870EA" w14:paraId="3CCB1859" w14:textId="77777777" w:rsidTr="00E72F8F">
        <w:trPr>
          <w:trHeight w:val="20"/>
        </w:trPr>
        <w:tc>
          <w:tcPr>
            <w:tcW w:w="2955" w:type="dxa"/>
            <w:tcBorders>
              <w:left w:val="double" w:sz="4" w:space="0" w:color="auto"/>
            </w:tcBorders>
            <w:shd w:val="clear" w:color="auto" w:fill="auto"/>
            <w:noWrap/>
            <w:vAlign w:val="center"/>
          </w:tcPr>
          <w:p w14:paraId="5F5D8CAA" w14:textId="77777777" w:rsidR="00651AAB" w:rsidRPr="00107EE9" w:rsidRDefault="00651AAB" w:rsidP="00E72F8F">
            <w:pPr>
              <w:spacing w:after="0" w:line="240" w:lineRule="auto"/>
              <w:jc w:val="both"/>
              <w:rPr>
                <w:rFonts w:eastAsia="Times New Roman"/>
                <w:b/>
                <w:bCs/>
                <w:color w:val="000000"/>
                <w:sz w:val="22"/>
                <w:szCs w:val="22"/>
              </w:rPr>
            </w:pPr>
            <w:r w:rsidRPr="00107EE9">
              <w:rPr>
                <w:rFonts w:eastAsia="Times New Roman"/>
                <w:color w:val="000000"/>
                <w:sz w:val="22"/>
                <w:szCs w:val="22"/>
              </w:rPr>
              <w:t xml:space="preserve">    Women</w:t>
            </w:r>
          </w:p>
        </w:tc>
        <w:tc>
          <w:tcPr>
            <w:tcW w:w="974" w:type="dxa"/>
            <w:shd w:val="clear" w:color="auto" w:fill="auto"/>
            <w:noWrap/>
            <w:vAlign w:val="center"/>
          </w:tcPr>
          <w:p w14:paraId="22EA3FDC" w14:textId="77777777" w:rsidR="00651AAB" w:rsidRPr="00107EE9" w:rsidRDefault="00651AAB" w:rsidP="00E72F8F">
            <w:pPr>
              <w:tabs>
                <w:tab w:val="decimal" w:pos="435"/>
              </w:tabs>
              <w:spacing w:after="0" w:line="240" w:lineRule="auto"/>
              <w:jc w:val="both"/>
              <w:rPr>
                <w:rFonts w:eastAsia="Times New Roman"/>
                <w:b/>
                <w:bCs/>
                <w:color w:val="000000"/>
                <w:sz w:val="22"/>
                <w:szCs w:val="22"/>
              </w:rPr>
            </w:pPr>
            <w:r w:rsidRPr="00107EE9">
              <w:rPr>
                <w:rFonts w:eastAsia="Times New Roman"/>
                <w:color w:val="000000"/>
                <w:sz w:val="22"/>
                <w:szCs w:val="22"/>
              </w:rPr>
              <w:t>63.5</w:t>
            </w:r>
          </w:p>
        </w:tc>
        <w:tc>
          <w:tcPr>
            <w:tcW w:w="960" w:type="dxa"/>
            <w:tcBorders>
              <w:right w:val="single" w:sz="4" w:space="0" w:color="auto"/>
            </w:tcBorders>
            <w:shd w:val="clear" w:color="auto" w:fill="auto"/>
            <w:noWrap/>
            <w:vAlign w:val="center"/>
          </w:tcPr>
          <w:p w14:paraId="0FA09632"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51.1</w:t>
            </w:r>
          </w:p>
        </w:tc>
        <w:tc>
          <w:tcPr>
            <w:tcW w:w="2926" w:type="dxa"/>
            <w:tcBorders>
              <w:left w:val="single" w:sz="4" w:space="0" w:color="auto"/>
            </w:tcBorders>
            <w:shd w:val="clear" w:color="auto" w:fill="auto"/>
            <w:noWrap/>
            <w:vAlign w:val="center"/>
          </w:tcPr>
          <w:p w14:paraId="1EAEA347"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Employed part-time</w:t>
            </w:r>
          </w:p>
        </w:tc>
        <w:tc>
          <w:tcPr>
            <w:tcW w:w="990" w:type="dxa"/>
            <w:shd w:val="clear" w:color="auto" w:fill="auto"/>
            <w:noWrap/>
            <w:vAlign w:val="center"/>
          </w:tcPr>
          <w:p w14:paraId="2CBAAD97"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11.3</w:t>
            </w:r>
          </w:p>
        </w:tc>
        <w:tc>
          <w:tcPr>
            <w:tcW w:w="965" w:type="dxa"/>
            <w:tcBorders>
              <w:right w:val="double" w:sz="4" w:space="0" w:color="auto"/>
            </w:tcBorders>
            <w:shd w:val="clear" w:color="auto" w:fill="auto"/>
            <w:noWrap/>
            <w:vAlign w:val="center"/>
          </w:tcPr>
          <w:p w14:paraId="10A248AF"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17.0</w:t>
            </w:r>
          </w:p>
        </w:tc>
      </w:tr>
      <w:tr w:rsidR="00651AAB" w:rsidRPr="003870EA" w14:paraId="044F62D6" w14:textId="77777777" w:rsidTr="00E72F8F">
        <w:trPr>
          <w:trHeight w:val="20"/>
        </w:trPr>
        <w:tc>
          <w:tcPr>
            <w:tcW w:w="2955" w:type="dxa"/>
            <w:tcBorders>
              <w:left w:val="double" w:sz="4" w:space="0" w:color="auto"/>
            </w:tcBorders>
            <w:shd w:val="clear" w:color="auto" w:fill="auto"/>
            <w:noWrap/>
            <w:vAlign w:val="center"/>
          </w:tcPr>
          <w:p w14:paraId="5671DFB4" w14:textId="77777777" w:rsidR="00651AAB" w:rsidRPr="00107EE9" w:rsidRDefault="00651AAB" w:rsidP="00E72F8F">
            <w:pPr>
              <w:spacing w:after="0" w:line="240" w:lineRule="auto"/>
              <w:jc w:val="both"/>
              <w:rPr>
                <w:rFonts w:eastAsia="Times New Roman"/>
                <w:b/>
                <w:bCs/>
                <w:i/>
                <w:iCs/>
                <w:color w:val="000000"/>
                <w:sz w:val="22"/>
                <w:szCs w:val="22"/>
              </w:rPr>
            </w:pPr>
            <w:r w:rsidRPr="00107EE9">
              <w:rPr>
                <w:rFonts w:eastAsia="Times New Roman"/>
                <w:b/>
                <w:bCs/>
                <w:i/>
                <w:iCs/>
                <w:color w:val="000000"/>
                <w:sz w:val="22"/>
                <w:szCs w:val="22"/>
              </w:rPr>
              <w:t>Lifecycle variables</w:t>
            </w:r>
          </w:p>
        </w:tc>
        <w:tc>
          <w:tcPr>
            <w:tcW w:w="974" w:type="dxa"/>
            <w:shd w:val="clear" w:color="auto" w:fill="auto"/>
            <w:noWrap/>
            <w:vAlign w:val="center"/>
          </w:tcPr>
          <w:p w14:paraId="699FE045"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0" w:type="dxa"/>
            <w:tcBorders>
              <w:right w:val="single" w:sz="4" w:space="0" w:color="auto"/>
            </w:tcBorders>
            <w:shd w:val="clear" w:color="auto" w:fill="auto"/>
            <w:noWrap/>
            <w:vAlign w:val="center"/>
          </w:tcPr>
          <w:p w14:paraId="356B95C7" w14:textId="77777777" w:rsidR="00651AAB" w:rsidRPr="00107EE9" w:rsidRDefault="00651AAB" w:rsidP="00E72F8F">
            <w:pPr>
              <w:tabs>
                <w:tab w:val="decimal" w:pos="365"/>
              </w:tabs>
              <w:spacing w:after="0" w:line="240" w:lineRule="auto"/>
              <w:jc w:val="both"/>
              <w:rPr>
                <w:rFonts w:eastAsia="Times New Roman"/>
                <w:color w:val="000000"/>
                <w:sz w:val="22"/>
                <w:szCs w:val="22"/>
              </w:rPr>
            </w:pPr>
          </w:p>
        </w:tc>
        <w:tc>
          <w:tcPr>
            <w:tcW w:w="2926" w:type="dxa"/>
            <w:tcBorders>
              <w:left w:val="single" w:sz="4" w:space="0" w:color="auto"/>
            </w:tcBorders>
            <w:shd w:val="clear" w:color="auto" w:fill="auto"/>
            <w:noWrap/>
            <w:vAlign w:val="center"/>
          </w:tcPr>
          <w:p w14:paraId="7B5DBD8B" w14:textId="77777777" w:rsidR="00651AAB" w:rsidRPr="00107EE9" w:rsidRDefault="00651AAB" w:rsidP="00E72F8F">
            <w:pPr>
              <w:spacing w:after="0" w:line="240" w:lineRule="auto"/>
              <w:jc w:val="both"/>
              <w:rPr>
                <w:rFonts w:eastAsia="Times New Roman"/>
                <w:b/>
                <w:bCs/>
                <w:color w:val="000000"/>
                <w:sz w:val="22"/>
                <w:szCs w:val="22"/>
              </w:rPr>
            </w:pPr>
            <w:r w:rsidRPr="00107EE9">
              <w:rPr>
                <w:rFonts w:eastAsia="Times New Roman"/>
                <w:color w:val="000000"/>
                <w:sz w:val="22"/>
                <w:szCs w:val="22"/>
              </w:rPr>
              <w:t xml:space="preserve">    Employed full-time</w:t>
            </w:r>
          </w:p>
        </w:tc>
        <w:tc>
          <w:tcPr>
            <w:tcW w:w="990" w:type="dxa"/>
            <w:shd w:val="clear" w:color="auto" w:fill="auto"/>
            <w:noWrap/>
            <w:vAlign w:val="center"/>
          </w:tcPr>
          <w:p w14:paraId="563D7DEC"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40.0</w:t>
            </w:r>
          </w:p>
        </w:tc>
        <w:tc>
          <w:tcPr>
            <w:tcW w:w="965" w:type="dxa"/>
            <w:tcBorders>
              <w:right w:val="double" w:sz="4" w:space="0" w:color="auto"/>
            </w:tcBorders>
            <w:shd w:val="clear" w:color="auto" w:fill="auto"/>
            <w:noWrap/>
            <w:vAlign w:val="center"/>
          </w:tcPr>
          <w:p w14:paraId="1014AD77"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60.3</w:t>
            </w:r>
          </w:p>
        </w:tc>
      </w:tr>
      <w:tr w:rsidR="00651AAB" w:rsidRPr="003870EA" w14:paraId="7105451A" w14:textId="77777777" w:rsidTr="00E72F8F">
        <w:trPr>
          <w:trHeight w:val="20"/>
        </w:trPr>
        <w:tc>
          <w:tcPr>
            <w:tcW w:w="2955" w:type="dxa"/>
            <w:tcBorders>
              <w:left w:val="double" w:sz="4" w:space="0" w:color="auto"/>
            </w:tcBorders>
            <w:shd w:val="clear" w:color="auto" w:fill="auto"/>
            <w:noWrap/>
            <w:vAlign w:val="center"/>
          </w:tcPr>
          <w:p w14:paraId="748F4C7C" w14:textId="77777777" w:rsidR="00651AAB" w:rsidRPr="00107EE9" w:rsidRDefault="00651AAB" w:rsidP="00E72F8F">
            <w:pPr>
              <w:spacing w:after="0" w:line="240" w:lineRule="auto"/>
              <w:jc w:val="both"/>
              <w:rPr>
                <w:rFonts w:eastAsia="Times New Roman"/>
                <w:b/>
                <w:bCs/>
                <w:color w:val="000000"/>
                <w:sz w:val="22"/>
                <w:szCs w:val="22"/>
              </w:rPr>
            </w:pPr>
            <w:r w:rsidRPr="00107EE9">
              <w:rPr>
                <w:rFonts w:eastAsia="Times New Roman"/>
                <w:color w:val="000000"/>
                <w:sz w:val="22"/>
                <w:szCs w:val="22"/>
              </w:rPr>
              <w:t xml:space="preserve">    Single</w:t>
            </w:r>
          </w:p>
        </w:tc>
        <w:tc>
          <w:tcPr>
            <w:tcW w:w="974" w:type="dxa"/>
            <w:shd w:val="clear" w:color="auto" w:fill="auto"/>
            <w:noWrap/>
            <w:vAlign w:val="center"/>
          </w:tcPr>
          <w:p w14:paraId="38761959"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21.8</w:t>
            </w:r>
          </w:p>
        </w:tc>
        <w:tc>
          <w:tcPr>
            <w:tcW w:w="960" w:type="dxa"/>
            <w:tcBorders>
              <w:right w:val="single" w:sz="4" w:space="0" w:color="auto"/>
            </w:tcBorders>
            <w:shd w:val="clear" w:color="auto" w:fill="auto"/>
            <w:noWrap/>
            <w:vAlign w:val="center"/>
          </w:tcPr>
          <w:p w14:paraId="25B73F2E"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28.1</w:t>
            </w:r>
          </w:p>
        </w:tc>
        <w:tc>
          <w:tcPr>
            <w:tcW w:w="2926" w:type="dxa"/>
            <w:tcBorders>
              <w:left w:val="single" w:sz="4" w:space="0" w:color="auto"/>
            </w:tcBorders>
            <w:shd w:val="clear" w:color="auto" w:fill="auto"/>
            <w:noWrap/>
            <w:vAlign w:val="center"/>
          </w:tcPr>
          <w:p w14:paraId="01FF8502" w14:textId="77777777" w:rsidR="00651AAB" w:rsidRPr="00107EE9" w:rsidRDefault="00651AAB" w:rsidP="00E72F8F">
            <w:pPr>
              <w:spacing w:after="0" w:line="240" w:lineRule="auto"/>
              <w:jc w:val="both"/>
              <w:rPr>
                <w:rFonts w:eastAsia="Times New Roman"/>
                <w:b/>
                <w:bCs/>
                <w:color w:val="000000"/>
                <w:sz w:val="22"/>
                <w:szCs w:val="22"/>
              </w:rPr>
            </w:pPr>
            <w:r w:rsidRPr="003870EA">
              <w:rPr>
                <w:rFonts w:eastAsia="Times New Roman"/>
                <w:b/>
                <w:bCs/>
                <w:i/>
                <w:iCs/>
                <w:color w:val="000000"/>
                <w:sz w:val="22"/>
                <w:szCs w:val="22"/>
              </w:rPr>
              <w:t>Telework arrangements</w:t>
            </w:r>
          </w:p>
        </w:tc>
        <w:tc>
          <w:tcPr>
            <w:tcW w:w="990" w:type="dxa"/>
            <w:shd w:val="clear" w:color="auto" w:fill="auto"/>
            <w:noWrap/>
            <w:vAlign w:val="center"/>
          </w:tcPr>
          <w:p w14:paraId="429E412B"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tcBorders>
              <w:right w:val="double" w:sz="4" w:space="0" w:color="auto"/>
            </w:tcBorders>
            <w:shd w:val="clear" w:color="auto" w:fill="auto"/>
            <w:noWrap/>
            <w:vAlign w:val="center"/>
          </w:tcPr>
          <w:p w14:paraId="4C36E53D" w14:textId="77777777" w:rsidR="00651AAB" w:rsidRPr="00107EE9" w:rsidRDefault="00651AAB" w:rsidP="00E72F8F">
            <w:pPr>
              <w:tabs>
                <w:tab w:val="decimal" w:pos="368"/>
              </w:tabs>
              <w:spacing w:after="0" w:line="240" w:lineRule="auto"/>
              <w:jc w:val="both"/>
              <w:rPr>
                <w:rFonts w:eastAsia="Times New Roman"/>
                <w:color w:val="000000"/>
                <w:sz w:val="22"/>
                <w:szCs w:val="22"/>
              </w:rPr>
            </w:pPr>
          </w:p>
        </w:tc>
      </w:tr>
      <w:tr w:rsidR="00651AAB" w:rsidRPr="003870EA" w14:paraId="06F846DF" w14:textId="77777777" w:rsidTr="00E72F8F">
        <w:trPr>
          <w:trHeight w:val="20"/>
        </w:trPr>
        <w:tc>
          <w:tcPr>
            <w:tcW w:w="2955" w:type="dxa"/>
            <w:tcBorders>
              <w:left w:val="double" w:sz="4" w:space="0" w:color="auto"/>
            </w:tcBorders>
            <w:shd w:val="clear" w:color="auto" w:fill="auto"/>
            <w:noWrap/>
            <w:vAlign w:val="center"/>
          </w:tcPr>
          <w:p w14:paraId="7238DE85"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Single parent</w:t>
            </w:r>
          </w:p>
        </w:tc>
        <w:tc>
          <w:tcPr>
            <w:tcW w:w="974" w:type="dxa"/>
            <w:shd w:val="clear" w:color="auto" w:fill="auto"/>
            <w:noWrap/>
            <w:vAlign w:val="center"/>
          </w:tcPr>
          <w:p w14:paraId="0ABD79B3"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3.9</w:t>
            </w:r>
          </w:p>
        </w:tc>
        <w:tc>
          <w:tcPr>
            <w:tcW w:w="960" w:type="dxa"/>
            <w:tcBorders>
              <w:right w:val="single" w:sz="4" w:space="0" w:color="auto"/>
            </w:tcBorders>
            <w:shd w:val="clear" w:color="auto" w:fill="auto"/>
            <w:noWrap/>
            <w:vAlign w:val="center"/>
          </w:tcPr>
          <w:p w14:paraId="21F2725D"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8.4</w:t>
            </w:r>
          </w:p>
        </w:tc>
        <w:tc>
          <w:tcPr>
            <w:tcW w:w="2926" w:type="dxa"/>
            <w:tcBorders>
              <w:left w:val="single" w:sz="4" w:space="0" w:color="auto"/>
            </w:tcBorders>
            <w:shd w:val="clear" w:color="auto" w:fill="auto"/>
            <w:noWrap/>
            <w:vAlign w:val="center"/>
          </w:tcPr>
          <w:p w14:paraId="6D1A254F" w14:textId="77777777" w:rsidR="00651AAB" w:rsidRPr="00107EE9" w:rsidRDefault="00651AAB" w:rsidP="00E72F8F">
            <w:pPr>
              <w:spacing w:after="0" w:line="240" w:lineRule="auto"/>
              <w:jc w:val="both"/>
              <w:rPr>
                <w:rFonts w:eastAsia="Times New Roman"/>
                <w:i/>
                <w:iCs/>
                <w:color w:val="000000"/>
                <w:sz w:val="22"/>
                <w:szCs w:val="22"/>
              </w:rPr>
            </w:pPr>
            <w:r w:rsidRPr="003870EA">
              <w:rPr>
                <w:rFonts w:eastAsia="Times New Roman"/>
                <w:color w:val="000000"/>
                <w:sz w:val="22"/>
                <w:szCs w:val="22"/>
              </w:rPr>
              <w:t xml:space="preserve">    Telework daily</w:t>
            </w:r>
          </w:p>
        </w:tc>
        <w:tc>
          <w:tcPr>
            <w:tcW w:w="990" w:type="dxa"/>
            <w:shd w:val="clear" w:color="auto" w:fill="auto"/>
            <w:noWrap/>
            <w:vAlign w:val="center"/>
          </w:tcPr>
          <w:p w14:paraId="1F164B80"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14.9</w:t>
            </w:r>
          </w:p>
        </w:tc>
        <w:tc>
          <w:tcPr>
            <w:tcW w:w="965" w:type="dxa"/>
            <w:tcBorders>
              <w:right w:val="double" w:sz="4" w:space="0" w:color="auto"/>
            </w:tcBorders>
            <w:shd w:val="clear" w:color="auto" w:fill="auto"/>
            <w:noWrap/>
            <w:vAlign w:val="center"/>
          </w:tcPr>
          <w:p w14:paraId="355B3475"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5B70D516" w14:textId="77777777" w:rsidTr="00E72F8F">
        <w:trPr>
          <w:trHeight w:val="20"/>
        </w:trPr>
        <w:tc>
          <w:tcPr>
            <w:tcW w:w="2955" w:type="dxa"/>
            <w:tcBorders>
              <w:left w:val="double" w:sz="4" w:space="0" w:color="auto"/>
            </w:tcBorders>
            <w:shd w:val="clear" w:color="auto" w:fill="auto"/>
            <w:noWrap/>
            <w:vAlign w:val="center"/>
          </w:tcPr>
          <w:p w14:paraId="7DC38EBB"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Couple no children</w:t>
            </w:r>
          </w:p>
        </w:tc>
        <w:tc>
          <w:tcPr>
            <w:tcW w:w="974" w:type="dxa"/>
            <w:shd w:val="clear" w:color="auto" w:fill="auto"/>
            <w:noWrap/>
            <w:vAlign w:val="center"/>
          </w:tcPr>
          <w:p w14:paraId="5247A534"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45.5</w:t>
            </w:r>
          </w:p>
        </w:tc>
        <w:tc>
          <w:tcPr>
            <w:tcW w:w="960" w:type="dxa"/>
            <w:tcBorders>
              <w:right w:val="single" w:sz="4" w:space="0" w:color="auto"/>
            </w:tcBorders>
            <w:shd w:val="clear" w:color="auto" w:fill="auto"/>
            <w:noWrap/>
            <w:vAlign w:val="center"/>
          </w:tcPr>
          <w:p w14:paraId="21998CBE"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29.2</w:t>
            </w:r>
          </w:p>
        </w:tc>
        <w:tc>
          <w:tcPr>
            <w:tcW w:w="2926" w:type="dxa"/>
            <w:tcBorders>
              <w:left w:val="single" w:sz="4" w:space="0" w:color="auto"/>
            </w:tcBorders>
            <w:shd w:val="clear" w:color="auto" w:fill="auto"/>
            <w:noWrap/>
            <w:vAlign w:val="center"/>
          </w:tcPr>
          <w:p w14:paraId="1AB90821" w14:textId="77777777" w:rsidR="00651AAB" w:rsidRPr="00107EE9" w:rsidRDefault="00651AAB" w:rsidP="00E72F8F">
            <w:pPr>
              <w:spacing w:after="0" w:line="240" w:lineRule="auto"/>
              <w:jc w:val="both"/>
              <w:rPr>
                <w:rFonts w:eastAsia="Times New Roman"/>
                <w:color w:val="000000"/>
                <w:sz w:val="22"/>
                <w:szCs w:val="22"/>
              </w:rPr>
            </w:pPr>
            <w:r w:rsidRPr="003870EA">
              <w:rPr>
                <w:rFonts w:eastAsia="Times New Roman"/>
                <w:color w:val="000000"/>
                <w:sz w:val="22"/>
                <w:szCs w:val="22"/>
              </w:rPr>
              <w:t xml:space="preserve">    Telework multiple times per</w:t>
            </w:r>
          </w:p>
        </w:tc>
        <w:tc>
          <w:tcPr>
            <w:tcW w:w="990" w:type="dxa"/>
            <w:vMerge w:val="restart"/>
            <w:shd w:val="clear" w:color="auto" w:fill="auto"/>
            <w:noWrap/>
            <w:vAlign w:val="center"/>
          </w:tcPr>
          <w:p w14:paraId="477988D1"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34.7</w:t>
            </w:r>
          </w:p>
        </w:tc>
        <w:tc>
          <w:tcPr>
            <w:tcW w:w="965" w:type="dxa"/>
            <w:vMerge w:val="restart"/>
            <w:tcBorders>
              <w:right w:val="double" w:sz="4" w:space="0" w:color="auto"/>
            </w:tcBorders>
            <w:shd w:val="clear" w:color="auto" w:fill="auto"/>
            <w:noWrap/>
            <w:vAlign w:val="center"/>
          </w:tcPr>
          <w:p w14:paraId="1C82A7EC"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3D9E4A0C" w14:textId="77777777" w:rsidTr="00E72F8F">
        <w:trPr>
          <w:trHeight w:val="20"/>
        </w:trPr>
        <w:tc>
          <w:tcPr>
            <w:tcW w:w="2955" w:type="dxa"/>
            <w:tcBorders>
              <w:left w:val="double" w:sz="4" w:space="0" w:color="auto"/>
              <w:bottom w:val="nil"/>
            </w:tcBorders>
            <w:shd w:val="clear" w:color="auto" w:fill="auto"/>
            <w:noWrap/>
            <w:vAlign w:val="center"/>
          </w:tcPr>
          <w:p w14:paraId="12AB8A5B" w14:textId="77777777" w:rsidR="00651AAB" w:rsidRPr="00107EE9" w:rsidRDefault="00651AAB" w:rsidP="00E72F8F">
            <w:pPr>
              <w:tabs>
                <w:tab w:val="decimal" w:pos="435"/>
              </w:tabs>
              <w:spacing w:after="0" w:line="240" w:lineRule="auto"/>
              <w:jc w:val="both"/>
              <w:rPr>
                <w:rFonts w:eastAsia="Times New Roman"/>
                <w:b/>
                <w:bCs/>
                <w:i/>
                <w:iCs/>
                <w:color w:val="000000"/>
                <w:sz w:val="22"/>
                <w:szCs w:val="22"/>
              </w:rPr>
            </w:pPr>
            <w:r w:rsidRPr="00107EE9">
              <w:rPr>
                <w:rFonts w:eastAsia="Times New Roman"/>
                <w:color w:val="000000"/>
                <w:sz w:val="22"/>
                <w:szCs w:val="22"/>
              </w:rPr>
              <w:t xml:space="preserve">    Couple with children</w:t>
            </w:r>
          </w:p>
        </w:tc>
        <w:tc>
          <w:tcPr>
            <w:tcW w:w="974" w:type="dxa"/>
            <w:tcBorders>
              <w:left w:val="nil"/>
              <w:bottom w:val="nil"/>
            </w:tcBorders>
            <w:shd w:val="clear" w:color="auto" w:fill="auto"/>
            <w:vAlign w:val="center"/>
          </w:tcPr>
          <w:p w14:paraId="59E784F9" w14:textId="77777777" w:rsidR="00651AAB" w:rsidRPr="00107EE9" w:rsidRDefault="00651AAB" w:rsidP="00E72F8F">
            <w:pPr>
              <w:tabs>
                <w:tab w:val="decimal" w:pos="435"/>
              </w:tabs>
              <w:spacing w:after="0" w:line="240" w:lineRule="auto"/>
              <w:jc w:val="both"/>
              <w:rPr>
                <w:rFonts w:eastAsia="Times New Roman"/>
                <w:b/>
                <w:bCs/>
                <w:i/>
                <w:iCs/>
                <w:color w:val="000000"/>
                <w:sz w:val="22"/>
                <w:szCs w:val="22"/>
              </w:rPr>
            </w:pPr>
            <w:r w:rsidRPr="00107EE9">
              <w:rPr>
                <w:rFonts w:eastAsia="Times New Roman"/>
                <w:color w:val="000000"/>
                <w:sz w:val="22"/>
                <w:szCs w:val="22"/>
              </w:rPr>
              <w:t>17.0</w:t>
            </w:r>
          </w:p>
        </w:tc>
        <w:tc>
          <w:tcPr>
            <w:tcW w:w="960" w:type="dxa"/>
            <w:tcBorders>
              <w:left w:val="nil"/>
              <w:bottom w:val="nil"/>
              <w:right w:val="nil"/>
            </w:tcBorders>
            <w:shd w:val="clear" w:color="auto" w:fill="auto"/>
            <w:vAlign w:val="center"/>
          </w:tcPr>
          <w:p w14:paraId="21E51BFA" w14:textId="77777777" w:rsidR="00651AAB" w:rsidRPr="00107EE9" w:rsidRDefault="00651AAB" w:rsidP="00E72F8F">
            <w:pPr>
              <w:tabs>
                <w:tab w:val="decimal" w:pos="327"/>
              </w:tabs>
              <w:spacing w:after="0" w:line="240" w:lineRule="auto"/>
              <w:jc w:val="both"/>
              <w:rPr>
                <w:rFonts w:eastAsia="Times New Roman"/>
                <w:b/>
                <w:bCs/>
                <w:i/>
                <w:iCs/>
                <w:color w:val="000000"/>
                <w:sz w:val="22"/>
                <w:szCs w:val="22"/>
              </w:rPr>
            </w:pPr>
            <w:r w:rsidRPr="00107EE9">
              <w:rPr>
                <w:rFonts w:eastAsia="Times New Roman"/>
                <w:color w:val="000000"/>
                <w:sz w:val="22"/>
                <w:szCs w:val="22"/>
              </w:rPr>
              <w:t xml:space="preserve">   18.3</w:t>
            </w:r>
          </w:p>
        </w:tc>
        <w:tc>
          <w:tcPr>
            <w:tcW w:w="2926" w:type="dxa"/>
            <w:tcBorders>
              <w:left w:val="single" w:sz="4" w:space="0" w:color="auto"/>
              <w:bottom w:val="nil"/>
            </w:tcBorders>
            <w:shd w:val="clear" w:color="auto" w:fill="auto"/>
            <w:noWrap/>
            <w:vAlign w:val="center"/>
          </w:tcPr>
          <w:p w14:paraId="6D6EFF4A" w14:textId="77777777" w:rsidR="00651AAB" w:rsidRPr="00107EE9" w:rsidRDefault="00651AAB" w:rsidP="00E72F8F">
            <w:pPr>
              <w:spacing w:after="0" w:line="240" w:lineRule="auto"/>
              <w:jc w:val="both"/>
              <w:rPr>
                <w:rFonts w:eastAsia="Times New Roman"/>
                <w:b/>
                <w:bCs/>
                <w:i/>
                <w:iCs/>
                <w:color w:val="000000"/>
                <w:sz w:val="22"/>
                <w:szCs w:val="22"/>
              </w:rPr>
            </w:pPr>
            <w:r w:rsidRPr="003870EA">
              <w:rPr>
                <w:rFonts w:eastAsia="Times New Roman"/>
                <w:color w:val="000000"/>
                <w:sz w:val="22"/>
                <w:szCs w:val="22"/>
              </w:rPr>
              <w:t xml:space="preserve">    </w:t>
            </w:r>
            <w:r>
              <w:rPr>
                <w:rFonts w:eastAsia="Times New Roman"/>
                <w:color w:val="000000"/>
                <w:sz w:val="22"/>
              </w:rPr>
              <w:t xml:space="preserve">   </w:t>
            </w:r>
            <w:r w:rsidRPr="003870EA">
              <w:rPr>
                <w:rFonts w:eastAsia="Times New Roman"/>
                <w:color w:val="000000"/>
                <w:sz w:val="22"/>
                <w:szCs w:val="22"/>
              </w:rPr>
              <w:t>week</w:t>
            </w:r>
          </w:p>
        </w:tc>
        <w:tc>
          <w:tcPr>
            <w:tcW w:w="990" w:type="dxa"/>
            <w:vMerge/>
            <w:tcBorders>
              <w:bottom w:val="nil"/>
            </w:tcBorders>
            <w:shd w:val="clear" w:color="auto" w:fill="auto"/>
            <w:noWrap/>
            <w:vAlign w:val="center"/>
          </w:tcPr>
          <w:p w14:paraId="56449FEF"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bottom w:val="nil"/>
              <w:right w:val="double" w:sz="4" w:space="0" w:color="auto"/>
            </w:tcBorders>
            <w:shd w:val="clear" w:color="auto" w:fill="auto"/>
            <w:noWrap/>
            <w:vAlign w:val="center"/>
          </w:tcPr>
          <w:p w14:paraId="21B87CF3"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r>
      <w:tr w:rsidR="00651AAB" w:rsidRPr="003870EA" w14:paraId="5FB04B18"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7C8B8B0B"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Related adults</w:t>
            </w:r>
          </w:p>
        </w:tc>
        <w:tc>
          <w:tcPr>
            <w:tcW w:w="974" w:type="dxa"/>
            <w:tcBorders>
              <w:top w:val="nil"/>
              <w:left w:val="nil"/>
              <w:bottom w:val="nil"/>
              <w:right w:val="nil"/>
            </w:tcBorders>
            <w:shd w:val="clear" w:color="auto" w:fill="auto"/>
            <w:noWrap/>
            <w:vAlign w:val="center"/>
          </w:tcPr>
          <w:p w14:paraId="1062194A"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8.1</w:t>
            </w:r>
          </w:p>
        </w:tc>
        <w:tc>
          <w:tcPr>
            <w:tcW w:w="960" w:type="dxa"/>
            <w:tcBorders>
              <w:top w:val="nil"/>
              <w:left w:val="nil"/>
              <w:bottom w:val="nil"/>
              <w:right w:val="nil"/>
            </w:tcBorders>
            <w:shd w:val="clear" w:color="auto" w:fill="auto"/>
            <w:noWrap/>
            <w:vAlign w:val="center"/>
          </w:tcPr>
          <w:p w14:paraId="1E70DBC4"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9.1</w:t>
            </w:r>
          </w:p>
        </w:tc>
        <w:tc>
          <w:tcPr>
            <w:tcW w:w="2926" w:type="dxa"/>
            <w:tcBorders>
              <w:top w:val="nil"/>
              <w:left w:val="single" w:sz="4" w:space="0" w:color="auto"/>
              <w:bottom w:val="nil"/>
              <w:right w:val="nil"/>
            </w:tcBorders>
            <w:shd w:val="clear" w:color="auto" w:fill="auto"/>
            <w:noWrap/>
            <w:vAlign w:val="center"/>
          </w:tcPr>
          <w:p w14:paraId="6AABA44D" w14:textId="77777777" w:rsidR="00651AAB" w:rsidRPr="00107EE9" w:rsidRDefault="00651AAB" w:rsidP="00E72F8F">
            <w:pPr>
              <w:spacing w:after="0" w:line="240" w:lineRule="auto"/>
              <w:jc w:val="both"/>
              <w:rPr>
                <w:rFonts w:eastAsia="Times New Roman"/>
                <w:color w:val="000000"/>
                <w:sz w:val="22"/>
                <w:szCs w:val="22"/>
              </w:rPr>
            </w:pPr>
            <w:r w:rsidRPr="003870EA">
              <w:rPr>
                <w:rFonts w:eastAsia="Times New Roman"/>
                <w:color w:val="000000"/>
                <w:sz w:val="22"/>
                <w:szCs w:val="22"/>
              </w:rPr>
              <w:t xml:space="preserve">    No telework or telework less</w:t>
            </w:r>
          </w:p>
        </w:tc>
        <w:tc>
          <w:tcPr>
            <w:tcW w:w="990" w:type="dxa"/>
            <w:vMerge w:val="restart"/>
            <w:tcBorders>
              <w:top w:val="nil"/>
              <w:left w:val="nil"/>
              <w:right w:val="nil"/>
            </w:tcBorders>
            <w:shd w:val="clear" w:color="auto" w:fill="auto"/>
            <w:noWrap/>
            <w:vAlign w:val="center"/>
          </w:tcPr>
          <w:p w14:paraId="55CAFD5B"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50.4</w:t>
            </w:r>
          </w:p>
        </w:tc>
        <w:tc>
          <w:tcPr>
            <w:tcW w:w="965" w:type="dxa"/>
            <w:vMerge w:val="restart"/>
            <w:tcBorders>
              <w:top w:val="nil"/>
              <w:left w:val="nil"/>
              <w:right w:val="double" w:sz="4" w:space="0" w:color="auto"/>
            </w:tcBorders>
            <w:shd w:val="clear" w:color="auto" w:fill="auto"/>
            <w:noWrap/>
            <w:vAlign w:val="center"/>
          </w:tcPr>
          <w:p w14:paraId="67666EAA"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44D5F07E" w14:textId="77777777" w:rsidTr="00E72F8F">
        <w:trPr>
          <w:trHeight w:val="20"/>
        </w:trPr>
        <w:tc>
          <w:tcPr>
            <w:tcW w:w="2955" w:type="dxa"/>
            <w:tcBorders>
              <w:top w:val="nil"/>
              <w:left w:val="double" w:sz="4" w:space="0" w:color="auto"/>
              <w:right w:val="nil"/>
            </w:tcBorders>
            <w:shd w:val="clear" w:color="auto" w:fill="auto"/>
            <w:noWrap/>
            <w:vAlign w:val="center"/>
          </w:tcPr>
          <w:p w14:paraId="093DC1AC"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Roommates</w:t>
            </w:r>
          </w:p>
        </w:tc>
        <w:tc>
          <w:tcPr>
            <w:tcW w:w="974" w:type="dxa"/>
            <w:tcBorders>
              <w:top w:val="nil"/>
              <w:left w:val="nil"/>
              <w:right w:val="nil"/>
            </w:tcBorders>
            <w:shd w:val="clear" w:color="auto" w:fill="auto"/>
            <w:noWrap/>
            <w:vAlign w:val="center"/>
          </w:tcPr>
          <w:p w14:paraId="213B90D1"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3.7</w:t>
            </w:r>
          </w:p>
        </w:tc>
        <w:tc>
          <w:tcPr>
            <w:tcW w:w="960" w:type="dxa"/>
            <w:tcBorders>
              <w:top w:val="nil"/>
              <w:left w:val="nil"/>
              <w:right w:val="nil"/>
            </w:tcBorders>
            <w:shd w:val="clear" w:color="auto" w:fill="auto"/>
            <w:noWrap/>
            <w:vAlign w:val="center"/>
          </w:tcPr>
          <w:p w14:paraId="052F77A6"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6.9</w:t>
            </w:r>
          </w:p>
        </w:tc>
        <w:tc>
          <w:tcPr>
            <w:tcW w:w="2926" w:type="dxa"/>
            <w:tcBorders>
              <w:top w:val="nil"/>
              <w:left w:val="single" w:sz="4" w:space="0" w:color="auto"/>
              <w:bottom w:val="nil"/>
              <w:right w:val="nil"/>
            </w:tcBorders>
            <w:shd w:val="clear" w:color="auto" w:fill="auto"/>
            <w:noWrap/>
            <w:vAlign w:val="center"/>
          </w:tcPr>
          <w:p w14:paraId="090DC6FE" w14:textId="77777777" w:rsidR="00651AAB" w:rsidRPr="00107EE9" w:rsidRDefault="00651AAB" w:rsidP="00E72F8F">
            <w:pPr>
              <w:spacing w:after="0" w:line="240" w:lineRule="auto"/>
              <w:jc w:val="both"/>
              <w:rPr>
                <w:rFonts w:eastAsia="Times New Roman"/>
                <w:i/>
                <w:iCs/>
                <w:color w:val="000000"/>
                <w:sz w:val="22"/>
                <w:szCs w:val="22"/>
              </w:rPr>
            </w:pPr>
            <w:r w:rsidRPr="003870EA">
              <w:rPr>
                <w:rFonts w:eastAsia="Times New Roman"/>
                <w:color w:val="000000"/>
                <w:sz w:val="22"/>
                <w:szCs w:val="22"/>
              </w:rPr>
              <w:t xml:space="preserve">    </w:t>
            </w:r>
            <w:r>
              <w:rPr>
                <w:rFonts w:eastAsia="Times New Roman"/>
                <w:color w:val="000000"/>
                <w:sz w:val="22"/>
              </w:rPr>
              <w:t xml:space="preserve">   </w:t>
            </w:r>
            <w:r w:rsidRPr="003870EA">
              <w:rPr>
                <w:rFonts w:eastAsia="Times New Roman"/>
                <w:color w:val="000000"/>
                <w:sz w:val="22"/>
                <w:szCs w:val="22"/>
              </w:rPr>
              <w:t>than once a week</w:t>
            </w:r>
          </w:p>
        </w:tc>
        <w:tc>
          <w:tcPr>
            <w:tcW w:w="990" w:type="dxa"/>
            <w:vMerge/>
            <w:tcBorders>
              <w:left w:val="nil"/>
              <w:bottom w:val="nil"/>
              <w:right w:val="nil"/>
            </w:tcBorders>
            <w:shd w:val="clear" w:color="auto" w:fill="auto"/>
            <w:noWrap/>
            <w:vAlign w:val="center"/>
          </w:tcPr>
          <w:p w14:paraId="7097ADC6"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noWrap/>
            <w:vAlign w:val="center"/>
          </w:tcPr>
          <w:p w14:paraId="05F28B48" w14:textId="77777777" w:rsidR="00651AAB" w:rsidRPr="00107EE9" w:rsidRDefault="00651AAB" w:rsidP="00E72F8F">
            <w:pPr>
              <w:tabs>
                <w:tab w:val="decimal" w:pos="368"/>
              </w:tabs>
              <w:spacing w:after="0" w:line="240" w:lineRule="auto"/>
              <w:jc w:val="both"/>
              <w:rPr>
                <w:rFonts w:eastAsia="Times New Roman"/>
                <w:color w:val="000000"/>
                <w:sz w:val="22"/>
                <w:szCs w:val="22"/>
              </w:rPr>
            </w:pPr>
          </w:p>
        </w:tc>
      </w:tr>
      <w:tr w:rsidR="00651AAB" w:rsidRPr="003870EA" w14:paraId="4B887727"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5E77F979" w14:textId="77777777" w:rsidR="00651AAB" w:rsidRPr="00107EE9" w:rsidRDefault="00651AAB" w:rsidP="00E72F8F">
            <w:pPr>
              <w:spacing w:after="0" w:line="240" w:lineRule="auto"/>
              <w:jc w:val="both"/>
              <w:rPr>
                <w:rFonts w:eastAsia="Times New Roman"/>
                <w:i/>
                <w:iCs/>
                <w:color w:val="000000"/>
                <w:sz w:val="22"/>
                <w:szCs w:val="22"/>
              </w:rPr>
            </w:pPr>
            <w:r w:rsidRPr="00107EE9">
              <w:rPr>
                <w:rFonts w:eastAsia="Times New Roman"/>
                <w:b/>
                <w:bCs/>
                <w:i/>
                <w:iCs/>
                <w:color w:val="000000"/>
                <w:sz w:val="22"/>
                <w:szCs w:val="22"/>
              </w:rPr>
              <w:t>Race</w:t>
            </w:r>
          </w:p>
        </w:tc>
        <w:tc>
          <w:tcPr>
            <w:tcW w:w="974" w:type="dxa"/>
            <w:tcBorders>
              <w:top w:val="nil"/>
              <w:left w:val="nil"/>
              <w:bottom w:val="nil"/>
              <w:right w:val="nil"/>
            </w:tcBorders>
            <w:shd w:val="clear" w:color="auto" w:fill="auto"/>
            <w:noWrap/>
            <w:vAlign w:val="center"/>
          </w:tcPr>
          <w:p w14:paraId="3BAA7FC8"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0" w:type="dxa"/>
            <w:tcBorders>
              <w:top w:val="nil"/>
              <w:left w:val="nil"/>
              <w:bottom w:val="nil"/>
              <w:right w:val="single" w:sz="4" w:space="0" w:color="auto"/>
            </w:tcBorders>
            <w:shd w:val="clear" w:color="auto" w:fill="auto"/>
            <w:noWrap/>
            <w:vAlign w:val="center"/>
          </w:tcPr>
          <w:p w14:paraId="16F4F9EB" w14:textId="77777777" w:rsidR="00651AAB" w:rsidRPr="00107EE9" w:rsidRDefault="00651AAB" w:rsidP="00E72F8F">
            <w:pPr>
              <w:tabs>
                <w:tab w:val="decimal" w:pos="365"/>
              </w:tabs>
              <w:spacing w:after="0" w:line="240" w:lineRule="auto"/>
              <w:jc w:val="both"/>
              <w:rPr>
                <w:rFonts w:eastAsia="Times New Roman"/>
                <w:color w:val="000000"/>
                <w:sz w:val="22"/>
                <w:szCs w:val="22"/>
              </w:rPr>
            </w:pPr>
          </w:p>
        </w:tc>
        <w:tc>
          <w:tcPr>
            <w:tcW w:w="2926" w:type="dxa"/>
            <w:tcBorders>
              <w:top w:val="nil"/>
              <w:left w:val="single" w:sz="4" w:space="0" w:color="auto"/>
              <w:bottom w:val="nil"/>
              <w:right w:val="nil"/>
            </w:tcBorders>
            <w:shd w:val="clear" w:color="auto" w:fill="auto"/>
            <w:noWrap/>
            <w:vAlign w:val="center"/>
          </w:tcPr>
          <w:p w14:paraId="4F24732D" w14:textId="77777777" w:rsidR="00651AAB" w:rsidRPr="00107EE9" w:rsidRDefault="00651AAB" w:rsidP="00E72F8F">
            <w:pPr>
              <w:spacing w:after="0" w:line="240" w:lineRule="auto"/>
              <w:jc w:val="both"/>
              <w:rPr>
                <w:rFonts w:eastAsia="Times New Roman"/>
                <w:i/>
                <w:iCs/>
                <w:color w:val="000000"/>
                <w:sz w:val="22"/>
                <w:szCs w:val="22"/>
              </w:rPr>
            </w:pPr>
            <w:r w:rsidRPr="003870EA">
              <w:rPr>
                <w:rFonts w:eastAsia="Times New Roman"/>
                <w:b/>
                <w:bCs/>
                <w:i/>
                <w:iCs/>
                <w:color w:val="000000"/>
                <w:sz w:val="22"/>
                <w:szCs w:val="22"/>
              </w:rPr>
              <w:t>Student</w:t>
            </w:r>
          </w:p>
        </w:tc>
        <w:tc>
          <w:tcPr>
            <w:tcW w:w="990" w:type="dxa"/>
            <w:tcBorders>
              <w:top w:val="nil"/>
              <w:left w:val="nil"/>
              <w:bottom w:val="nil"/>
              <w:right w:val="nil"/>
            </w:tcBorders>
            <w:shd w:val="clear" w:color="auto" w:fill="auto"/>
            <w:noWrap/>
            <w:vAlign w:val="center"/>
          </w:tcPr>
          <w:p w14:paraId="44637823"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tcBorders>
              <w:top w:val="nil"/>
              <w:left w:val="nil"/>
              <w:bottom w:val="nil"/>
              <w:right w:val="double" w:sz="4" w:space="0" w:color="auto"/>
            </w:tcBorders>
            <w:shd w:val="clear" w:color="auto" w:fill="auto"/>
            <w:noWrap/>
            <w:vAlign w:val="center"/>
          </w:tcPr>
          <w:p w14:paraId="3704BB0B" w14:textId="77777777" w:rsidR="00651AAB" w:rsidRPr="00107EE9" w:rsidRDefault="00651AAB" w:rsidP="00E72F8F">
            <w:pPr>
              <w:tabs>
                <w:tab w:val="decimal" w:pos="368"/>
              </w:tabs>
              <w:spacing w:after="0" w:line="240" w:lineRule="auto"/>
              <w:jc w:val="both"/>
              <w:rPr>
                <w:rFonts w:eastAsia="Times New Roman"/>
                <w:color w:val="000000"/>
                <w:sz w:val="22"/>
                <w:szCs w:val="22"/>
              </w:rPr>
            </w:pPr>
          </w:p>
        </w:tc>
      </w:tr>
      <w:tr w:rsidR="00651AAB" w:rsidRPr="003870EA" w14:paraId="6321496C"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4D4FEB0F"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Asian</w:t>
            </w:r>
          </w:p>
        </w:tc>
        <w:tc>
          <w:tcPr>
            <w:tcW w:w="974" w:type="dxa"/>
            <w:tcBorders>
              <w:top w:val="nil"/>
              <w:left w:val="nil"/>
              <w:bottom w:val="nil"/>
              <w:right w:val="nil"/>
            </w:tcBorders>
            <w:shd w:val="clear" w:color="auto" w:fill="auto"/>
            <w:noWrap/>
            <w:vAlign w:val="center"/>
          </w:tcPr>
          <w:p w14:paraId="0DF97AC4"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4.4</w:t>
            </w:r>
          </w:p>
        </w:tc>
        <w:tc>
          <w:tcPr>
            <w:tcW w:w="960" w:type="dxa"/>
            <w:tcBorders>
              <w:top w:val="nil"/>
              <w:left w:val="nil"/>
              <w:bottom w:val="nil"/>
              <w:right w:val="single" w:sz="4" w:space="0" w:color="auto"/>
            </w:tcBorders>
            <w:shd w:val="clear" w:color="auto" w:fill="auto"/>
            <w:noWrap/>
            <w:vAlign w:val="center"/>
          </w:tcPr>
          <w:p w14:paraId="36E75C4A"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5.9</w:t>
            </w:r>
          </w:p>
        </w:tc>
        <w:tc>
          <w:tcPr>
            <w:tcW w:w="2926" w:type="dxa"/>
            <w:tcBorders>
              <w:top w:val="nil"/>
              <w:left w:val="single" w:sz="4" w:space="0" w:color="auto"/>
              <w:right w:val="nil"/>
            </w:tcBorders>
            <w:shd w:val="clear" w:color="auto" w:fill="auto"/>
            <w:noWrap/>
            <w:vAlign w:val="center"/>
          </w:tcPr>
          <w:p w14:paraId="64CC475E" w14:textId="77777777" w:rsidR="00651AAB" w:rsidRPr="00107EE9" w:rsidRDefault="00651AAB" w:rsidP="00E72F8F">
            <w:pPr>
              <w:spacing w:after="0" w:line="240" w:lineRule="auto"/>
              <w:jc w:val="both"/>
              <w:rPr>
                <w:rFonts w:eastAsia="Times New Roman"/>
                <w:b/>
                <w:bCs/>
                <w:color w:val="000000"/>
                <w:sz w:val="22"/>
                <w:szCs w:val="22"/>
              </w:rPr>
            </w:pPr>
            <w:r w:rsidRPr="003870EA">
              <w:rPr>
                <w:rFonts w:eastAsia="Times New Roman"/>
                <w:color w:val="000000"/>
                <w:sz w:val="22"/>
                <w:szCs w:val="22"/>
              </w:rPr>
              <w:t xml:space="preserve">    Yes</w:t>
            </w:r>
          </w:p>
        </w:tc>
        <w:tc>
          <w:tcPr>
            <w:tcW w:w="990" w:type="dxa"/>
            <w:tcBorders>
              <w:top w:val="nil"/>
              <w:left w:val="nil"/>
              <w:right w:val="nil"/>
            </w:tcBorders>
            <w:shd w:val="clear" w:color="auto" w:fill="auto"/>
            <w:noWrap/>
            <w:vAlign w:val="center"/>
          </w:tcPr>
          <w:p w14:paraId="0BDABBBE"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6.1</w:t>
            </w:r>
          </w:p>
        </w:tc>
        <w:tc>
          <w:tcPr>
            <w:tcW w:w="965" w:type="dxa"/>
            <w:tcBorders>
              <w:top w:val="nil"/>
              <w:left w:val="nil"/>
              <w:right w:val="double" w:sz="4" w:space="0" w:color="auto"/>
            </w:tcBorders>
            <w:shd w:val="clear" w:color="auto" w:fill="auto"/>
            <w:noWrap/>
            <w:vAlign w:val="center"/>
          </w:tcPr>
          <w:p w14:paraId="61610C49" w14:textId="77777777" w:rsidR="00651AAB" w:rsidRPr="00107EE9" w:rsidRDefault="00651AAB" w:rsidP="00E72F8F">
            <w:pPr>
              <w:tabs>
                <w:tab w:val="decimal" w:pos="368"/>
              </w:tabs>
              <w:spacing w:after="0" w:line="240" w:lineRule="auto"/>
              <w:jc w:val="both"/>
              <w:rPr>
                <w:rFonts w:eastAsia="Times New Roman"/>
                <w:color w:val="000000"/>
                <w:sz w:val="22"/>
                <w:szCs w:val="22"/>
              </w:rPr>
            </w:pPr>
            <w:r>
              <w:rPr>
                <w:rFonts w:eastAsia="Times New Roman"/>
                <w:color w:val="000000"/>
                <w:sz w:val="22"/>
              </w:rPr>
              <w:t>8.7</w:t>
            </w:r>
          </w:p>
        </w:tc>
      </w:tr>
      <w:tr w:rsidR="00651AAB" w:rsidRPr="003870EA" w14:paraId="5926D6F7"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0F0AAC93"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Black</w:t>
            </w:r>
          </w:p>
        </w:tc>
        <w:tc>
          <w:tcPr>
            <w:tcW w:w="974" w:type="dxa"/>
            <w:tcBorders>
              <w:top w:val="nil"/>
              <w:left w:val="nil"/>
              <w:bottom w:val="nil"/>
              <w:right w:val="nil"/>
            </w:tcBorders>
            <w:shd w:val="clear" w:color="auto" w:fill="auto"/>
            <w:noWrap/>
            <w:vAlign w:val="center"/>
          </w:tcPr>
          <w:p w14:paraId="278B2BF1"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6.2</w:t>
            </w:r>
          </w:p>
        </w:tc>
        <w:tc>
          <w:tcPr>
            <w:tcW w:w="960" w:type="dxa"/>
            <w:tcBorders>
              <w:top w:val="nil"/>
              <w:left w:val="nil"/>
              <w:bottom w:val="nil"/>
              <w:right w:val="single" w:sz="4" w:space="0" w:color="auto"/>
            </w:tcBorders>
            <w:shd w:val="clear" w:color="auto" w:fill="auto"/>
            <w:noWrap/>
            <w:vAlign w:val="center"/>
          </w:tcPr>
          <w:p w14:paraId="21217A4B"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12.2</w:t>
            </w:r>
          </w:p>
        </w:tc>
        <w:tc>
          <w:tcPr>
            <w:tcW w:w="2926" w:type="dxa"/>
            <w:tcBorders>
              <w:top w:val="nil"/>
              <w:left w:val="single" w:sz="4" w:space="0" w:color="auto"/>
              <w:bottom w:val="dotted" w:sz="4" w:space="0" w:color="auto"/>
            </w:tcBorders>
            <w:shd w:val="clear" w:color="auto" w:fill="auto"/>
            <w:noWrap/>
            <w:vAlign w:val="center"/>
          </w:tcPr>
          <w:p w14:paraId="1C5D5C80" w14:textId="77777777" w:rsidR="00651AAB" w:rsidRPr="00107EE9" w:rsidRDefault="00651AAB" w:rsidP="00E72F8F">
            <w:pPr>
              <w:tabs>
                <w:tab w:val="decimal" w:pos="341"/>
              </w:tabs>
              <w:spacing w:after="0" w:line="240" w:lineRule="auto"/>
              <w:jc w:val="both"/>
              <w:rPr>
                <w:rFonts w:eastAsia="Times New Roman"/>
                <w:color w:val="000000"/>
                <w:sz w:val="22"/>
                <w:szCs w:val="22"/>
              </w:rPr>
            </w:pPr>
            <w:r w:rsidRPr="003870EA">
              <w:rPr>
                <w:rFonts w:eastAsia="Times New Roman"/>
                <w:color w:val="000000"/>
                <w:sz w:val="22"/>
                <w:szCs w:val="22"/>
              </w:rPr>
              <w:t xml:space="preserve">    No</w:t>
            </w:r>
          </w:p>
        </w:tc>
        <w:tc>
          <w:tcPr>
            <w:tcW w:w="990" w:type="dxa"/>
            <w:tcBorders>
              <w:top w:val="nil"/>
              <w:left w:val="nil"/>
              <w:bottom w:val="dotted" w:sz="4" w:space="0" w:color="auto"/>
              <w:right w:val="nil"/>
            </w:tcBorders>
            <w:shd w:val="clear" w:color="auto" w:fill="auto"/>
            <w:vAlign w:val="center"/>
          </w:tcPr>
          <w:p w14:paraId="44B25864"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93.9</w:t>
            </w:r>
          </w:p>
        </w:tc>
        <w:tc>
          <w:tcPr>
            <w:tcW w:w="965" w:type="dxa"/>
            <w:tcBorders>
              <w:top w:val="nil"/>
              <w:left w:val="nil"/>
              <w:bottom w:val="dotted" w:sz="4" w:space="0" w:color="auto"/>
              <w:right w:val="double" w:sz="4" w:space="0" w:color="auto"/>
            </w:tcBorders>
            <w:shd w:val="clear" w:color="auto" w:fill="auto"/>
            <w:noWrap/>
            <w:vAlign w:val="center"/>
          </w:tcPr>
          <w:p w14:paraId="08F5CF85" w14:textId="77777777" w:rsidR="00651AAB" w:rsidRPr="00107EE9" w:rsidRDefault="00651AAB" w:rsidP="00E72F8F">
            <w:pPr>
              <w:tabs>
                <w:tab w:val="decimal" w:pos="368"/>
              </w:tabs>
              <w:spacing w:after="0" w:line="240" w:lineRule="auto"/>
              <w:jc w:val="both"/>
              <w:rPr>
                <w:rFonts w:eastAsia="Times New Roman"/>
                <w:color w:val="000000"/>
                <w:sz w:val="22"/>
                <w:szCs w:val="22"/>
              </w:rPr>
            </w:pPr>
            <w:r>
              <w:rPr>
                <w:rFonts w:eastAsia="Times New Roman"/>
                <w:color w:val="000000"/>
                <w:sz w:val="22"/>
              </w:rPr>
              <w:t>91.3</w:t>
            </w:r>
          </w:p>
        </w:tc>
      </w:tr>
      <w:tr w:rsidR="00651AAB" w:rsidRPr="003870EA" w14:paraId="4B239D3A"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42119DAB"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White</w:t>
            </w:r>
          </w:p>
        </w:tc>
        <w:tc>
          <w:tcPr>
            <w:tcW w:w="974" w:type="dxa"/>
            <w:tcBorders>
              <w:top w:val="nil"/>
              <w:left w:val="nil"/>
              <w:bottom w:val="nil"/>
              <w:right w:val="nil"/>
            </w:tcBorders>
            <w:shd w:val="clear" w:color="auto" w:fill="auto"/>
            <w:noWrap/>
            <w:vAlign w:val="center"/>
          </w:tcPr>
          <w:p w14:paraId="38DA7E17"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84.4</w:t>
            </w:r>
          </w:p>
        </w:tc>
        <w:tc>
          <w:tcPr>
            <w:tcW w:w="960" w:type="dxa"/>
            <w:tcBorders>
              <w:top w:val="nil"/>
              <w:left w:val="nil"/>
              <w:bottom w:val="nil"/>
              <w:right w:val="single" w:sz="4" w:space="0" w:color="auto"/>
            </w:tcBorders>
            <w:shd w:val="clear" w:color="auto" w:fill="auto"/>
            <w:noWrap/>
            <w:vAlign w:val="center"/>
          </w:tcPr>
          <w:p w14:paraId="31241172"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60.9</w:t>
            </w:r>
          </w:p>
        </w:tc>
        <w:tc>
          <w:tcPr>
            <w:tcW w:w="4881" w:type="dxa"/>
            <w:gridSpan w:val="3"/>
            <w:tcBorders>
              <w:top w:val="dotted" w:sz="4" w:space="0" w:color="auto"/>
              <w:left w:val="single" w:sz="4" w:space="0" w:color="auto"/>
              <w:bottom w:val="dotted" w:sz="4" w:space="0" w:color="auto"/>
              <w:right w:val="double" w:sz="4" w:space="0" w:color="auto"/>
            </w:tcBorders>
            <w:shd w:val="clear" w:color="auto" w:fill="auto"/>
            <w:noWrap/>
            <w:vAlign w:val="center"/>
          </w:tcPr>
          <w:p w14:paraId="4FBE1B21" w14:textId="77777777" w:rsidR="00651AAB" w:rsidRPr="00107EE9" w:rsidRDefault="00651AAB" w:rsidP="00E72F8F">
            <w:pPr>
              <w:tabs>
                <w:tab w:val="decimal" w:pos="368"/>
              </w:tabs>
              <w:spacing w:after="0" w:line="240" w:lineRule="auto"/>
              <w:jc w:val="both"/>
              <w:rPr>
                <w:rFonts w:eastAsia="Times New Roman"/>
                <w:color w:val="000000"/>
                <w:sz w:val="22"/>
                <w:szCs w:val="22"/>
              </w:rPr>
            </w:pPr>
            <w:r w:rsidRPr="003870EA">
              <w:rPr>
                <w:rFonts w:eastAsia="Calibri"/>
                <w:b/>
                <w:color w:val="000000" w:themeColor="text1"/>
                <w:sz w:val="22"/>
                <w:szCs w:val="22"/>
              </w:rPr>
              <w:t>Personal Traits and COVID-19 Perspectives</w:t>
            </w:r>
          </w:p>
        </w:tc>
      </w:tr>
      <w:tr w:rsidR="00651AAB" w:rsidRPr="003870EA" w14:paraId="4098EA56" w14:textId="77777777" w:rsidTr="00E72F8F">
        <w:trPr>
          <w:trHeight w:val="20"/>
        </w:trPr>
        <w:tc>
          <w:tcPr>
            <w:tcW w:w="2955" w:type="dxa"/>
            <w:tcBorders>
              <w:top w:val="nil"/>
              <w:left w:val="double" w:sz="4" w:space="0" w:color="auto"/>
            </w:tcBorders>
            <w:shd w:val="clear" w:color="auto" w:fill="auto"/>
            <w:noWrap/>
            <w:vAlign w:val="center"/>
          </w:tcPr>
          <w:p w14:paraId="3053848D" w14:textId="77777777" w:rsidR="00651AAB" w:rsidRPr="00107EE9" w:rsidRDefault="00651AAB" w:rsidP="00E72F8F">
            <w:pPr>
              <w:spacing w:after="0" w:line="240" w:lineRule="auto"/>
              <w:jc w:val="both"/>
              <w:rPr>
                <w:rFonts w:eastAsia="Times New Roman"/>
                <w:b/>
                <w:bCs/>
                <w:color w:val="000000"/>
                <w:sz w:val="22"/>
                <w:szCs w:val="22"/>
              </w:rPr>
            </w:pPr>
            <w:r w:rsidRPr="00107EE9">
              <w:rPr>
                <w:rFonts w:eastAsia="Times New Roman"/>
                <w:color w:val="000000"/>
                <w:sz w:val="22"/>
                <w:szCs w:val="22"/>
              </w:rPr>
              <w:t xml:space="preserve">    Other</w:t>
            </w:r>
          </w:p>
        </w:tc>
        <w:tc>
          <w:tcPr>
            <w:tcW w:w="974" w:type="dxa"/>
            <w:tcBorders>
              <w:top w:val="nil"/>
              <w:bottom w:val="nil"/>
            </w:tcBorders>
            <w:shd w:val="clear" w:color="auto" w:fill="auto"/>
            <w:vAlign w:val="center"/>
          </w:tcPr>
          <w:p w14:paraId="0F10DDD5"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5.0</w:t>
            </w:r>
          </w:p>
        </w:tc>
        <w:tc>
          <w:tcPr>
            <w:tcW w:w="960" w:type="dxa"/>
            <w:tcBorders>
              <w:top w:val="nil"/>
              <w:bottom w:val="nil"/>
              <w:right w:val="single" w:sz="4" w:space="0" w:color="auto"/>
            </w:tcBorders>
            <w:shd w:val="clear" w:color="auto" w:fill="auto"/>
            <w:vAlign w:val="center"/>
          </w:tcPr>
          <w:p w14:paraId="151AE83B"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21.0</w:t>
            </w:r>
          </w:p>
        </w:tc>
        <w:tc>
          <w:tcPr>
            <w:tcW w:w="2926" w:type="dxa"/>
            <w:tcBorders>
              <w:top w:val="dotted" w:sz="4" w:space="0" w:color="auto"/>
              <w:left w:val="single" w:sz="4" w:space="0" w:color="auto"/>
              <w:bottom w:val="nil"/>
            </w:tcBorders>
            <w:shd w:val="clear" w:color="auto" w:fill="auto"/>
            <w:noWrap/>
            <w:vAlign w:val="center"/>
          </w:tcPr>
          <w:p w14:paraId="444BED95" w14:textId="77777777" w:rsidR="00651AAB" w:rsidRPr="00107EE9" w:rsidRDefault="00651AAB" w:rsidP="00E72F8F">
            <w:pPr>
              <w:tabs>
                <w:tab w:val="decimal" w:pos="341"/>
              </w:tabs>
              <w:spacing w:after="0" w:line="240" w:lineRule="auto"/>
              <w:jc w:val="both"/>
              <w:rPr>
                <w:rFonts w:eastAsia="Times New Roman"/>
                <w:i/>
                <w:iCs/>
                <w:color w:val="000000"/>
                <w:sz w:val="22"/>
                <w:szCs w:val="22"/>
              </w:rPr>
            </w:pPr>
            <w:r w:rsidRPr="003870EA">
              <w:rPr>
                <w:rFonts w:eastAsia="Calibri"/>
                <w:bCs/>
                <w:color w:val="000000" w:themeColor="text1"/>
                <w:sz w:val="22"/>
                <w:szCs w:val="22"/>
              </w:rPr>
              <w:t xml:space="preserve">    Enjoy working more from</w:t>
            </w:r>
          </w:p>
        </w:tc>
        <w:tc>
          <w:tcPr>
            <w:tcW w:w="990" w:type="dxa"/>
            <w:vMerge w:val="restart"/>
            <w:tcBorders>
              <w:top w:val="dotted" w:sz="4" w:space="0" w:color="auto"/>
              <w:left w:val="nil"/>
              <w:right w:val="nil"/>
            </w:tcBorders>
            <w:shd w:val="clear" w:color="auto" w:fill="auto"/>
            <w:vAlign w:val="center"/>
          </w:tcPr>
          <w:p w14:paraId="2FE65847"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27.7</w:t>
            </w:r>
          </w:p>
        </w:tc>
        <w:tc>
          <w:tcPr>
            <w:tcW w:w="965" w:type="dxa"/>
            <w:vMerge w:val="restart"/>
            <w:tcBorders>
              <w:top w:val="dotted" w:sz="4" w:space="0" w:color="auto"/>
              <w:left w:val="nil"/>
              <w:right w:val="double" w:sz="4" w:space="0" w:color="auto"/>
            </w:tcBorders>
            <w:shd w:val="clear" w:color="auto" w:fill="auto"/>
            <w:noWrap/>
            <w:vAlign w:val="center"/>
          </w:tcPr>
          <w:p w14:paraId="32D56BE4"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28FC1942" w14:textId="77777777" w:rsidTr="00E72F8F">
        <w:trPr>
          <w:trHeight w:val="20"/>
        </w:trPr>
        <w:tc>
          <w:tcPr>
            <w:tcW w:w="2955" w:type="dxa"/>
            <w:tcBorders>
              <w:top w:val="nil"/>
              <w:left w:val="double" w:sz="4" w:space="0" w:color="auto"/>
              <w:bottom w:val="nil"/>
            </w:tcBorders>
            <w:shd w:val="clear" w:color="auto" w:fill="auto"/>
            <w:noWrap/>
            <w:vAlign w:val="center"/>
          </w:tcPr>
          <w:p w14:paraId="4562BD48" w14:textId="77777777" w:rsidR="00651AAB" w:rsidRPr="00107EE9" w:rsidRDefault="00651AAB" w:rsidP="00E72F8F">
            <w:pPr>
              <w:tabs>
                <w:tab w:val="decimal" w:pos="435"/>
              </w:tabs>
              <w:spacing w:after="0" w:line="240" w:lineRule="auto"/>
              <w:jc w:val="both"/>
              <w:rPr>
                <w:rFonts w:eastAsia="Times New Roman"/>
                <w:i/>
                <w:iCs/>
                <w:color w:val="000000"/>
                <w:sz w:val="22"/>
                <w:szCs w:val="22"/>
              </w:rPr>
            </w:pPr>
            <w:r w:rsidRPr="00107EE9">
              <w:rPr>
                <w:rFonts w:eastAsia="Times New Roman"/>
                <w:b/>
                <w:bCs/>
                <w:i/>
                <w:iCs/>
                <w:color w:val="000000"/>
                <w:sz w:val="22"/>
                <w:szCs w:val="22"/>
              </w:rPr>
              <w:t>Age</w:t>
            </w:r>
          </w:p>
        </w:tc>
        <w:tc>
          <w:tcPr>
            <w:tcW w:w="974" w:type="dxa"/>
            <w:tcBorders>
              <w:top w:val="nil"/>
              <w:left w:val="nil"/>
              <w:bottom w:val="nil"/>
              <w:right w:val="nil"/>
            </w:tcBorders>
            <w:shd w:val="clear" w:color="auto" w:fill="auto"/>
            <w:vAlign w:val="center"/>
          </w:tcPr>
          <w:p w14:paraId="78045D67" w14:textId="77777777" w:rsidR="00651AAB" w:rsidRPr="00107EE9" w:rsidRDefault="00651AAB" w:rsidP="00E72F8F">
            <w:pPr>
              <w:tabs>
                <w:tab w:val="decimal" w:pos="435"/>
              </w:tabs>
              <w:spacing w:after="0" w:line="240" w:lineRule="auto"/>
              <w:jc w:val="both"/>
              <w:rPr>
                <w:rFonts w:eastAsia="Times New Roman"/>
                <w:i/>
                <w:iCs/>
                <w:color w:val="000000"/>
                <w:sz w:val="22"/>
                <w:szCs w:val="22"/>
              </w:rPr>
            </w:pPr>
          </w:p>
        </w:tc>
        <w:tc>
          <w:tcPr>
            <w:tcW w:w="960" w:type="dxa"/>
            <w:tcBorders>
              <w:top w:val="nil"/>
              <w:left w:val="nil"/>
              <w:bottom w:val="nil"/>
              <w:right w:val="single" w:sz="4" w:space="0" w:color="auto"/>
            </w:tcBorders>
            <w:shd w:val="clear" w:color="auto" w:fill="auto"/>
            <w:noWrap/>
            <w:vAlign w:val="center"/>
          </w:tcPr>
          <w:p w14:paraId="5A8027FC" w14:textId="77777777" w:rsidR="00651AAB" w:rsidRPr="00107EE9" w:rsidRDefault="00651AAB" w:rsidP="00E72F8F">
            <w:pPr>
              <w:tabs>
                <w:tab w:val="decimal" w:pos="365"/>
              </w:tabs>
              <w:spacing w:after="0" w:line="240" w:lineRule="auto"/>
              <w:jc w:val="both"/>
              <w:rPr>
                <w:rFonts w:eastAsia="Times New Roman"/>
                <w:color w:val="000000"/>
                <w:sz w:val="22"/>
                <w:szCs w:val="22"/>
              </w:rPr>
            </w:pPr>
          </w:p>
        </w:tc>
        <w:tc>
          <w:tcPr>
            <w:tcW w:w="2926" w:type="dxa"/>
            <w:tcBorders>
              <w:top w:val="nil"/>
              <w:left w:val="single" w:sz="4" w:space="0" w:color="auto"/>
              <w:bottom w:val="nil"/>
              <w:right w:val="nil"/>
            </w:tcBorders>
            <w:shd w:val="clear" w:color="auto" w:fill="auto"/>
            <w:noWrap/>
            <w:vAlign w:val="center"/>
          </w:tcPr>
          <w:p w14:paraId="018ADA39" w14:textId="77777777" w:rsidR="00651AAB" w:rsidRPr="00107EE9"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w:t>
            </w:r>
            <w:r>
              <w:rPr>
                <w:rFonts w:eastAsia="Calibri"/>
                <w:bCs/>
                <w:color w:val="000000" w:themeColor="text1"/>
                <w:sz w:val="22"/>
              </w:rPr>
              <w:t xml:space="preserve">    </w:t>
            </w:r>
            <w:r w:rsidRPr="003870EA">
              <w:rPr>
                <w:rFonts w:eastAsia="Calibri"/>
                <w:bCs/>
                <w:color w:val="000000" w:themeColor="text1"/>
                <w:sz w:val="22"/>
                <w:szCs w:val="22"/>
              </w:rPr>
              <w:t xml:space="preserve">home due to COVID </w:t>
            </w:r>
          </w:p>
        </w:tc>
        <w:tc>
          <w:tcPr>
            <w:tcW w:w="990" w:type="dxa"/>
            <w:vMerge/>
            <w:tcBorders>
              <w:left w:val="nil"/>
              <w:bottom w:val="nil"/>
              <w:right w:val="nil"/>
            </w:tcBorders>
            <w:shd w:val="clear" w:color="auto" w:fill="auto"/>
            <w:noWrap/>
            <w:vAlign w:val="center"/>
          </w:tcPr>
          <w:p w14:paraId="46E270DB"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noWrap/>
            <w:vAlign w:val="center"/>
          </w:tcPr>
          <w:p w14:paraId="78106B95"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r>
      <w:tr w:rsidR="00651AAB" w:rsidRPr="003870EA" w14:paraId="43BD4D4B"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6A61C2A1"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 30 years</w:t>
            </w:r>
          </w:p>
        </w:tc>
        <w:tc>
          <w:tcPr>
            <w:tcW w:w="974" w:type="dxa"/>
            <w:tcBorders>
              <w:top w:val="nil"/>
              <w:left w:val="nil"/>
              <w:bottom w:val="nil"/>
              <w:right w:val="nil"/>
            </w:tcBorders>
            <w:shd w:val="clear" w:color="auto" w:fill="auto"/>
            <w:noWrap/>
            <w:vAlign w:val="center"/>
          </w:tcPr>
          <w:p w14:paraId="43748988"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7.9</w:t>
            </w:r>
          </w:p>
        </w:tc>
        <w:tc>
          <w:tcPr>
            <w:tcW w:w="960" w:type="dxa"/>
            <w:tcBorders>
              <w:top w:val="nil"/>
              <w:left w:val="nil"/>
              <w:bottom w:val="nil"/>
              <w:right w:val="single" w:sz="4" w:space="0" w:color="auto"/>
            </w:tcBorders>
            <w:shd w:val="clear" w:color="auto" w:fill="auto"/>
            <w:noWrap/>
            <w:vAlign w:val="center"/>
          </w:tcPr>
          <w:p w14:paraId="68CD0796"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18.0</w:t>
            </w:r>
          </w:p>
        </w:tc>
        <w:tc>
          <w:tcPr>
            <w:tcW w:w="2926" w:type="dxa"/>
            <w:tcBorders>
              <w:top w:val="nil"/>
              <w:left w:val="single" w:sz="4" w:space="0" w:color="auto"/>
              <w:bottom w:val="nil"/>
              <w:right w:val="nil"/>
            </w:tcBorders>
            <w:shd w:val="clear" w:color="auto" w:fill="auto"/>
            <w:noWrap/>
            <w:vAlign w:val="center"/>
          </w:tcPr>
          <w:p w14:paraId="1CA8F5E3" w14:textId="77777777" w:rsidR="00651AAB" w:rsidRPr="00107EE9"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Enjoy driving less due to</w:t>
            </w:r>
          </w:p>
        </w:tc>
        <w:tc>
          <w:tcPr>
            <w:tcW w:w="990" w:type="dxa"/>
            <w:vMerge w:val="restart"/>
            <w:tcBorders>
              <w:top w:val="nil"/>
              <w:left w:val="nil"/>
              <w:right w:val="nil"/>
            </w:tcBorders>
            <w:shd w:val="clear" w:color="auto" w:fill="auto"/>
            <w:noWrap/>
            <w:vAlign w:val="center"/>
          </w:tcPr>
          <w:p w14:paraId="18EDCAA0"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855674">
              <w:rPr>
                <w:rFonts w:eastAsia="Times New Roman"/>
                <w:color w:val="000000"/>
                <w:sz w:val="22"/>
              </w:rPr>
              <w:t>30.6</w:t>
            </w:r>
          </w:p>
        </w:tc>
        <w:tc>
          <w:tcPr>
            <w:tcW w:w="965" w:type="dxa"/>
            <w:vMerge w:val="restart"/>
            <w:tcBorders>
              <w:top w:val="nil"/>
              <w:left w:val="nil"/>
              <w:right w:val="double" w:sz="4" w:space="0" w:color="auto"/>
            </w:tcBorders>
            <w:shd w:val="clear" w:color="auto" w:fill="auto"/>
            <w:noWrap/>
            <w:vAlign w:val="center"/>
          </w:tcPr>
          <w:p w14:paraId="758328B3"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59D0FAB4"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504B103C"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31 – 40 years</w:t>
            </w:r>
          </w:p>
        </w:tc>
        <w:tc>
          <w:tcPr>
            <w:tcW w:w="974" w:type="dxa"/>
            <w:tcBorders>
              <w:top w:val="nil"/>
              <w:left w:val="nil"/>
              <w:bottom w:val="nil"/>
              <w:right w:val="nil"/>
            </w:tcBorders>
            <w:shd w:val="clear" w:color="auto" w:fill="auto"/>
            <w:noWrap/>
            <w:vAlign w:val="center"/>
          </w:tcPr>
          <w:p w14:paraId="6ABAAD67"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14.4</w:t>
            </w:r>
          </w:p>
        </w:tc>
        <w:tc>
          <w:tcPr>
            <w:tcW w:w="960" w:type="dxa"/>
            <w:tcBorders>
              <w:top w:val="nil"/>
              <w:left w:val="nil"/>
              <w:bottom w:val="nil"/>
              <w:right w:val="single" w:sz="4" w:space="0" w:color="auto"/>
            </w:tcBorders>
            <w:shd w:val="clear" w:color="auto" w:fill="auto"/>
            <w:noWrap/>
            <w:vAlign w:val="center"/>
          </w:tcPr>
          <w:p w14:paraId="169B3FEE"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18.0</w:t>
            </w:r>
          </w:p>
        </w:tc>
        <w:tc>
          <w:tcPr>
            <w:tcW w:w="2926" w:type="dxa"/>
            <w:tcBorders>
              <w:top w:val="nil"/>
              <w:left w:val="single" w:sz="4" w:space="0" w:color="auto"/>
              <w:bottom w:val="nil"/>
              <w:right w:val="nil"/>
            </w:tcBorders>
            <w:shd w:val="clear" w:color="auto" w:fill="auto"/>
            <w:noWrap/>
            <w:vAlign w:val="center"/>
          </w:tcPr>
          <w:p w14:paraId="5CF05C6F" w14:textId="77777777" w:rsidR="00651AAB" w:rsidRPr="00107EE9"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w:t>
            </w:r>
            <w:r>
              <w:rPr>
                <w:rFonts w:eastAsia="Calibri"/>
                <w:bCs/>
                <w:color w:val="000000" w:themeColor="text1"/>
                <w:sz w:val="22"/>
              </w:rPr>
              <w:t xml:space="preserve">    </w:t>
            </w:r>
            <w:r w:rsidRPr="003870EA">
              <w:rPr>
                <w:rFonts w:eastAsia="Calibri"/>
                <w:bCs/>
                <w:color w:val="000000" w:themeColor="text1"/>
                <w:sz w:val="22"/>
                <w:szCs w:val="22"/>
              </w:rPr>
              <w:t xml:space="preserve">COVID </w:t>
            </w:r>
          </w:p>
        </w:tc>
        <w:tc>
          <w:tcPr>
            <w:tcW w:w="990" w:type="dxa"/>
            <w:vMerge/>
            <w:tcBorders>
              <w:left w:val="nil"/>
              <w:bottom w:val="nil"/>
              <w:right w:val="nil"/>
            </w:tcBorders>
            <w:shd w:val="clear" w:color="auto" w:fill="auto"/>
            <w:noWrap/>
            <w:vAlign w:val="center"/>
          </w:tcPr>
          <w:p w14:paraId="0C16F966"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noWrap/>
            <w:vAlign w:val="center"/>
          </w:tcPr>
          <w:p w14:paraId="686A872F"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r>
      <w:tr w:rsidR="00651AAB" w:rsidRPr="003870EA" w14:paraId="59EE5687" w14:textId="77777777" w:rsidTr="00E72F8F">
        <w:trPr>
          <w:trHeight w:val="20"/>
        </w:trPr>
        <w:tc>
          <w:tcPr>
            <w:tcW w:w="2955" w:type="dxa"/>
            <w:tcBorders>
              <w:top w:val="nil"/>
              <w:left w:val="double" w:sz="4" w:space="0" w:color="auto"/>
              <w:bottom w:val="nil"/>
            </w:tcBorders>
            <w:shd w:val="clear" w:color="auto" w:fill="auto"/>
            <w:noWrap/>
            <w:vAlign w:val="center"/>
          </w:tcPr>
          <w:p w14:paraId="412EA30F" w14:textId="77777777" w:rsidR="00651AAB" w:rsidRPr="00107EE9" w:rsidRDefault="00651AAB" w:rsidP="00E72F8F">
            <w:pPr>
              <w:spacing w:after="0" w:line="240" w:lineRule="auto"/>
              <w:jc w:val="both"/>
              <w:rPr>
                <w:rFonts w:eastAsia="Times New Roman"/>
                <w:b/>
                <w:bCs/>
                <w:color w:val="000000"/>
                <w:sz w:val="22"/>
                <w:szCs w:val="22"/>
              </w:rPr>
            </w:pPr>
            <w:bookmarkStart w:id="85" w:name="_Hlk178778690"/>
            <w:r w:rsidRPr="00107EE9">
              <w:rPr>
                <w:rFonts w:eastAsia="Times New Roman"/>
                <w:color w:val="000000"/>
                <w:sz w:val="22"/>
                <w:szCs w:val="22"/>
              </w:rPr>
              <w:t xml:space="preserve">    41 – 50 years</w:t>
            </w:r>
          </w:p>
        </w:tc>
        <w:tc>
          <w:tcPr>
            <w:tcW w:w="974" w:type="dxa"/>
            <w:tcBorders>
              <w:top w:val="nil"/>
              <w:bottom w:val="nil"/>
            </w:tcBorders>
            <w:shd w:val="clear" w:color="auto" w:fill="auto"/>
            <w:vAlign w:val="center"/>
          </w:tcPr>
          <w:p w14:paraId="35323DDB"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13.2</w:t>
            </w:r>
          </w:p>
        </w:tc>
        <w:tc>
          <w:tcPr>
            <w:tcW w:w="960" w:type="dxa"/>
            <w:tcBorders>
              <w:top w:val="nil"/>
              <w:bottom w:val="nil"/>
              <w:right w:val="single" w:sz="4" w:space="0" w:color="auto"/>
            </w:tcBorders>
            <w:shd w:val="clear" w:color="auto" w:fill="auto"/>
            <w:vAlign w:val="center"/>
          </w:tcPr>
          <w:p w14:paraId="637BD85E"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16.7</w:t>
            </w:r>
          </w:p>
        </w:tc>
        <w:tc>
          <w:tcPr>
            <w:tcW w:w="2926" w:type="dxa"/>
            <w:tcBorders>
              <w:top w:val="nil"/>
              <w:left w:val="single" w:sz="4" w:space="0" w:color="auto"/>
              <w:bottom w:val="nil"/>
              <w:right w:val="nil"/>
            </w:tcBorders>
            <w:shd w:val="clear" w:color="auto" w:fill="auto"/>
            <w:noWrap/>
            <w:vAlign w:val="center"/>
          </w:tcPr>
          <w:p w14:paraId="212877E0" w14:textId="77777777" w:rsidR="00651AAB" w:rsidRPr="00107EE9" w:rsidRDefault="00651AAB" w:rsidP="00E72F8F">
            <w:pPr>
              <w:spacing w:after="0" w:line="240" w:lineRule="auto"/>
              <w:jc w:val="both"/>
              <w:rPr>
                <w:rFonts w:eastAsia="Times New Roman"/>
                <w:b/>
                <w:bCs/>
                <w:color w:val="000000"/>
                <w:sz w:val="22"/>
                <w:szCs w:val="22"/>
              </w:rPr>
            </w:pPr>
            <w:r w:rsidRPr="003870EA">
              <w:rPr>
                <w:rFonts w:eastAsia="Calibri"/>
                <w:bCs/>
                <w:color w:val="000000" w:themeColor="text1"/>
                <w:sz w:val="22"/>
                <w:szCs w:val="22"/>
              </w:rPr>
              <w:t xml:space="preserve">    People’s well-being is/was at</w:t>
            </w:r>
          </w:p>
        </w:tc>
        <w:tc>
          <w:tcPr>
            <w:tcW w:w="990" w:type="dxa"/>
            <w:vMerge w:val="restart"/>
            <w:tcBorders>
              <w:top w:val="nil"/>
              <w:left w:val="nil"/>
              <w:right w:val="nil"/>
            </w:tcBorders>
            <w:shd w:val="clear" w:color="auto" w:fill="auto"/>
            <w:noWrap/>
            <w:vAlign w:val="center"/>
          </w:tcPr>
          <w:p w14:paraId="288B8B2B"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66.5</w:t>
            </w:r>
          </w:p>
        </w:tc>
        <w:tc>
          <w:tcPr>
            <w:tcW w:w="965" w:type="dxa"/>
            <w:vMerge w:val="restart"/>
            <w:tcBorders>
              <w:top w:val="nil"/>
              <w:left w:val="nil"/>
              <w:right w:val="double" w:sz="4" w:space="0" w:color="auto"/>
            </w:tcBorders>
            <w:shd w:val="clear" w:color="auto" w:fill="auto"/>
            <w:noWrap/>
            <w:vAlign w:val="center"/>
          </w:tcPr>
          <w:p w14:paraId="0C66AC58"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60A8CDE8"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277A597A"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51 – 60 years </w:t>
            </w:r>
          </w:p>
        </w:tc>
        <w:tc>
          <w:tcPr>
            <w:tcW w:w="974" w:type="dxa"/>
            <w:tcBorders>
              <w:top w:val="nil"/>
              <w:left w:val="nil"/>
              <w:bottom w:val="nil"/>
              <w:right w:val="nil"/>
            </w:tcBorders>
            <w:shd w:val="clear" w:color="auto" w:fill="auto"/>
            <w:noWrap/>
            <w:vAlign w:val="center"/>
          </w:tcPr>
          <w:p w14:paraId="1BC76E65"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18.7</w:t>
            </w:r>
          </w:p>
        </w:tc>
        <w:tc>
          <w:tcPr>
            <w:tcW w:w="960" w:type="dxa"/>
            <w:tcBorders>
              <w:top w:val="nil"/>
              <w:left w:val="nil"/>
              <w:bottom w:val="nil"/>
              <w:right w:val="single" w:sz="4" w:space="0" w:color="auto"/>
            </w:tcBorders>
            <w:shd w:val="clear" w:color="auto" w:fill="auto"/>
            <w:noWrap/>
            <w:vAlign w:val="center"/>
          </w:tcPr>
          <w:p w14:paraId="4CE2E0B2"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17.4</w:t>
            </w:r>
          </w:p>
        </w:tc>
        <w:tc>
          <w:tcPr>
            <w:tcW w:w="2926" w:type="dxa"/>
            <w:tcBorders>
              <w:top w:val="nil"/>
              <w:left w:val="single" w:sz="4" w:space="0" w:color="auto"/>
              <w:right w:val="nil"/>
            </w:tcBorders>
            <w:shd w:val="clear" w:color="auto" w:fill="auto"/>
            <w:noWrap/>
            <w:vAlign w:val="center"/>
          </w:tcPr>
          <w:p w14:paraId="36D2FBDC" w14:textId="77777777" w:rsidR="00651AAB" w:rsidRPr="00107EE9"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w:t>
            </w:r>
            <w:r>
              <w:rPr>
                <w:rFonts w:eastAsia="Calibri"/>
                <w:bCs/>
                <w:color w:val="000000" w:themeColor="text1"/>
                <w:sz w:val="22"/>
              </w:rPr>
              <w:t xml:space="preserve">    </w:t>
            </w:r>
            <w:r w:rsidRPr="003870EA">
              <w:rPr>
                <w:rFonts w:eastAsia="Calibri"/>
                <w:bCs/>
                <w:color w:val="000000" w:themeColor="text1"/>
                <w:sz w:val="22"/>
                <w:szCs w:val="22"/>
              </w:rPr>
              <w:t xml:space="preserve">risk during the pandemic </w:t>
            </w:r>
          </w:p>
        </w:tc>
        <w:tc>
          <w:tcPr>
            <w:tcW w:w="990" w:type="dxa"/>
            <w:vMerge/>
            <w:tcBorders>
              <w:left w:val="nil"/>
              <w:right w:val="nil"/>
            </w:tcBorders>
            <w:shd w:val="clear" w:color="auto" w:fill="auto"/>
            <w:noWrap/>
            <w:vAlign w:val="center"/>
          </w:tcPr>
          <w:p w14:paraId="5714EFAD"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right w:val="double" w:sz="4" w:space="0" w:color="auto"/>
            </w:tcBorders>
            <w:shd w:val="clear" w:color="auto" w:fill="auto"/>
            <w:noWrap/>
            <w:vAlign w:val="center"/>
          </w:tcPr>
          <w:p w14:paraId="593BA7FF"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r>
      <w:tr w:rsidR="00651AAB" w:rsidRPr="003870EA" w14:paraId="2FF8C964" w14:textId="77777777" w:rsidTr="00E72F8F">
        <w:trPr>
          <w:trHeight w:val="20"/>
        </w:trPr>
        <w:tc>
          <w:tcPr>
            <w:tcW w:w="2955" w:type="dxa"/>
            <w:tcBorders>
              <w:top w:val="nil"/>
              <w:left w:val="double" w:sz="4" w:space="0" w:color="auto"/>
              <w:right w:val="nil"/>
            </w:tcBorders>
            <w:shd w:val="clear" w:color="auto" w:fill="auto"/>
            <w:noWrap/>
            <w:vAlign w:val="center"/>
          </w:tcPr>
          <w:p w14:paraId="46F0292E"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61 – 70 years </w:t>
            </w:r>
          </w:p>
        </w:tc>
        <w:tc>
          <w:tcPr>
            <w:tcW w:w="974" w:type="dxa"/>
            <w:tcBorders>
              <w:top w:val="nil"/>
              <w:left w:val="nil"/>
              <w:right w:val="nil"/>
            </w:tcBorders>
            <w:shd w:val="clear" w:color="auto" w:fill="auto"/>
            <w:noWrap/>
            <w:vAlign w:val="center"/>
          </w:tcPr>
          <w:p w14:paraId="066892C5" w14:textId="77777777" w:rsidR="00651AAB" w:rsidRPr="00107EE9"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27.5</w:t>
            </w:r>
          </w:p>
        </w:tc>
        <w:tc>
          <w:tcPr>
            <w:tcW w:w="960" w:type="dxa"/>
            <w:tcBorders>
              <w:top w:val="nil"/>
              <w:left w:val="nil"/>
              <w:bottom w:val="nil"/>
              <w:right w:val="nil"/>
            </w:tcBorders>
            <w:shd w:val="clear" w:color="auto" w:fill="auto"/>
            <w:noWrap/>
            <w:vAlign w:val="center"/>
          </w:tcPr>
          <w:p w14:paraId="74D346DC" w14:textId="77777777" w:rsidR="00651AAB" w:rsidRPr="00107EE9"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15.6</w:t>
            </w:r>
          </w:p>
        </w:tc>
        <w:tc>
          <w:tcPr>
            <w:tcW w:w="2926" w:type="dxa"/>
            <w:tcBorders>
              <w:top w:val="nil"/>
              <w:left w:val="single" w:sz="4" w:space="0" w:color="auto"/>
              <w:bottom w:val="dotted" w:sz="4" w:space="0" w:color="auto"/>
              <w:right w:val="nil"/>
            </w:tcBorders>
            <w:shd w:val="clear" w:color="auto" w:fill="auto"/>
            <w:noWrap/>
            <w:vAlign w:val="center"/>
          </w:tcPr>
          <w:p w14:paraId="68526812" w14:textId="77777777" w:rsidR="00651AAB" w:rsidRPr="00107EE9"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Not technologically savvy</w:t>
            </w:r>
          </w:p>
        </w:tc>
        <w:tc>
          <w:tcPr>
            <w:tcW w:w="990" w:type="dxa"/>
            <w:tcBorders>
              <w:top w:val="nil"/>
              <w:left w:val="nil"/>
              <w:bottom w:val="dotted" w:sz="4" w:space="0" w:color="auto"/>
              <w:right w:val="nil"/>
            </w:tcBorders>
            <w:shd w:val="clear" w:color="auto" w:fill="auto"/>
            <w:noWrap/>
            <w:vAlign w:val="center"/>
          </w:tcPr>
          <w:p w14:paraId="3C6F6803"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11.6</w:t>
            </w:r>
          </w:p>
        </w:tc>
        <w:tc>
          <w:tcPr>
            <w:tcW w:w="965" w:type="dxa"/>
            <w:tcBorders>
              <w:top w:val="nil"/>
              <w:left w:val="nil"/>
              <w:bottom w:val="dotted" w:sz="4" w:space="0" w:color="auto"/>
              <w:right w:val="double" w:sz="4" w:space="0" w:color="auto"/>
            </w:tcBorders>
            <w:shd w:val="clear" w:color="auto" w:fill="auto"/>
            <w:noWrap/>
            <w:vAlign w:val="center"/>
          </w:tcPr>
          <w:p w14:paraId="18F5FD08" w14:textId="77777777" w:rsidR="00651AAB" w:rsidRPr="00107EE9" w:rsidRDefault="00651AAB" w:rsidP="00E72F8F">
            <w:pPr>
              <w:tabs>
                <w:tab w:val="decimal" w:pos="435"/>
              </w:tabs>
              <w:spacing w:after="0" w:line="240" w:lineRule="auto"/>
              <w:jc w:val="both"/>
              <w:rPr>
                <w:rFonts w:eastAsia="Times New Roman"/>
                <w:color w:val="000000"/>
                <w:sz w:val="22"/>
                <w:szCs w:val="22"/>
              </w:rPr>
            </w:pPr>
            <w:r>
              <w:rPr>
                <w:rFonts w:eastAsia="Times New Roman"/>
                <w:color w:val="000000"/>
                <w:sz w:val="22"/>
              </w:rPr>
              <w:t>--</w:t>
            </w:r>
          </w:p>
        </w:tc>
      </w:tr>
      <w:tr w:rsidR="00651AAB" w:rsidRPr="003870EA" w14:paraId="23ED6C1C" w14:textId="77777777" w:rsidTr="00E72F8F">
        <w:trPr>
          <w:trHeight w:val="20"/>
        </w:trPr>
        <w:tc>
          <w:tcPr>
            <w:tcW w:w="2955" w:type="dxa"/>
            <w:tcBorders>
              <w:top w:val="nil"/>
              <w:left w:val="double" w:sz="4" w:space="0" w:color="auto"/>
              <w:bottom w:val="nil"/>
            </w:tcBorders>
            <w:shd w:val="clear" w:color="auto" w:fill="auto"/>
            <w:noWrap/>
            <w:vAlign w:val="center"/>
          </w:tcPr>
          <w:p w14:paraId="7652BE9E" w14:textId="77777777" w:rsidR="00651AAB" w:rsidRPr="00107EE9" w:rsidRDefault="00651AAB" w:rsidP="00E72F8F">
            <w:pPr>
              <w:spacing w:after="0" w:line="240" w:lineRule="auto"/>
              <w:jc w:val="both"/>
              <w:rPr>
                <w:rFonts w:eastAsia="Times New Roman"/>
                <w:b/>
                <w:bCs/>
                <w:color w:val="000000"/>
                <w:sz w:val="22"/>
                <w:szCs w:val="22"/>
              </w:rPr>
            </w:pPr>
            <w:bookmarkStart w:id="86" w:name="_Hlk178778735"/>
            <w:bookmarkEnd w:id="85"/>
            <w:r w:rsidRPr="00107EE9">
              <w:rPr>
                <w:rFonts w:eastAsia="Times New Roman"/>
                <w:color w:val="000000"/>
                <w:sz w:val="22"/>
                <w:szCs w:val="22"/>
              </w:rPr>
              <w:t xml:space="preserve">    ≥ 71 years </w:t>
            </w:r>
          </w:p>
        </w:tc>
        <w:tc>
          <w:tcPr>
            <w:tcW w:w="974" w:type="dxa"/>
            <w:tcBorders>
              <w:top w:val="nil"/>
              <w:bottom w:val="nil"/>
              <w:right w:val="nil"/>
            </w:tcBorders>
            <w:shd w:val="clear" w:color="auto" w:fill="auto"/>
            <w:vAlign w:val="center"/>
          </w:tcPr>
          <w:p w14:paraId="5F67A391" w14:textId="77777777" w:rsidR="00651AAB" w:rsidRPr="00107EE9" w:rsidRDefault="00651AAB" w:rsidP="00E72F8F">
            <w:pPr>
              <w:tabs>
                <w:tab w:val="decimal" w:pos="435"/>
              </w:tabs>
              <w:spacing w:after="0" w:line="240" w:lineRule="auto"/>
              <w:jc w:val="both"/>
              <w:rPr>
                <w:rFonts w:eastAsia="Times New Roman"/>
                <w:b/>
                <w:bCs/>
                <w:color w:val="000000"/>
                <w:sz w:val="22"/>
                <w:szCs w:val="22"/>
              </w:rPr>
            </w:pPr>
            <w:r w:rsidRPr="00107EE9">
              <w:rPr>
                <w:rFonts w:eastAsia="Times New Roman"/>
                <w:color w:val="000000"/>
                <w:sz w:val="22"/>
                <w:szCs w:val="22"/>
              </w:rPr>
              <w:t>18.3</w:t>
            </w:r>
          </w:p>
        </w:tc>
        <w:tc>
          <w:tcPr>
            <w:tcW w:w="960" w:type="dxa"/>
            <w:tcBorders>
              <w:top w:val="nil"/>
              <w:left w:val="nil"/>
              <w:bottom w:val="nil"/>
              <w:right w:val="nil"/>
            </w:tcBorders>
            <w:shd w:val="clear" w:color="auto" w:fill="auto"/>
            <w:noWrap/>
            <w:vAlign w:val="center"/>
          </w:tcPr>
          <w:p w14:paraId="25FAC85F" w14:textId="77777777" w:rsidR="00651AAB" w:rsidRPr="00107EE9" w:rsidRDefault="00651AAB" w:rsidP="00E72F8F">
            <w:pPr>
              <w:tabs>
                <w:tab w:val="decimal" w:pos="365"/>
              </w:tabs>
              <w:spacing w:after="0" w:line="240" w:lineRule="auto"/>
              <w:jc w:val="both"/>
              <w:rPr>
                <w:rFonts w:eastAsia="Times New Roman"/>
                <w:b/>
                <w:bCs/>
                <w:color w:val="000000"/>
                <w:sz w:val="22"/>
                <w:szCs w:val="22"/>
              </w:rPr>
            </w:pPr>
            <w:r w:rsidRPr="00107EE9">
              <w:rPr>
                <w:rFonts w:eastAsia="Times New Roman"/>
                <w:color w:val="000000"/>
                <w:sz w:val="22"/>
                <w:szCs w:val="22"/>
              </w:rPr>
              <w:t>14.3</w:t>
            </w:r>
          </w:p>
        </w:tc>
        <w:tc>
          <w:tcPr>
            <w:tcW w:w="4881" w:type="dxa"/>
            <w:gridSpan w:val="3"/>
            <w:tcBorders>
              <w:top w:val="dotted" w:sz="4" w:space="0" w:color="auto"/>
              <w:left w:val="single" w:sz="4" w:space="0" w:color="auto"/>
              <w:bottom w:val="dotted" w:sz="4" w:space="0" w:color="auto"/>
              <w:right w:val="double" w:sz="4" w:space="0" w:color="auto"/>
            </w:tcBorders>
            <w:shd w:val="clear" w:color="auto" w:fill="auto"/>
            <w:noWrap/>
            <w:vAlign w:val="center"/>
          </w:tcPr>
          <w:p w14:paraId="20E59E0F" w14:textId="77777777" w:rsidR="00651AAB" w:rsidRPr="00107EE9" w:rsidRDefault="00651AAB" w:rsidP="00E72F8F">
            <w:pPr>
              <w:tabs>
                <w:tab w:val="decimal" w:pos="368"/>
              </w:tabs>
              <w:spacing w:after="0" w:line="240" w:lineRule="auto"/>
              <w:jc w:val="both"/>
              <w:rPr>
                <w:rFonts w:eastAsia="Times New Roman"/>
                <w:color w:val="000000"/>
                <w:sz w:val="22"/>
                <w:szCs w:val="22"/>
              </w:rPr>
            </w:pPr>
            <w:r w:rsidRPr="003870EA">
              <w:rPr>
                <w:rFonts w:eastAsia="Calibri"/>
                <w:b/>
                <w:color w:val="000000" w:themeColor="text1"/>
                <w:sz w:val="22"/>
                <w:szCs w:val="22"/>
              </w:rPr>
              <w:t>Residential Location Attributes</w:t>
            </w:r>
          </w:p>
        </w:tc>
      </w:tr>
      <w:bookmarkEnd w:id="86"/>
      <w:tr w:rsidR="00651AAB" w:rsidRPr="003870EA" w14:paraId="0606883E"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66592CA9" w14:textId="77777777" w:rsidR="00651AAB" w:rsidRPr="00107EE9" w:rsidRDefault="00651AAB" w:rsidP="00E72F8F">
            <w:pPr>
              <w:spacing w:after="0" w:line="240" w:lineRule="auto"/>
              <w:jc w:val="both"/>
              <w:rPr>
                <w:rFonts w:eastAsia="Times New Roman"/>
                <w:color w:val="000000"/>
                <w:sz w:val="22"/>
                <w:szCs w:val="22"/>
              </w:rPr>
            </w:pPr>
            <w:r w:rsidRPr="00107EE9">
              <w:rPr>
                <w:rFonts w:eastAsia="Times New Roman"/>
                <w:b/>
                <w:bCs/>
                <w:i/>
                <w:iCs/>
                <w:color w:val="000000"/>
                <w:sz w:val="22"/>
                <w:szCs w:val="22"/>
              </w:rPr>
              <w:t>Formal Education Level</w:t>
            </w:r>
          </w:p>
        </w:tc>
        <w:tc>
          <w:tcPr>
            <w:tcW w:w="974" w:type="dxa"/>
            <w:tcBorders>
              <w:top w:val="nil"/>
              <w:left w:val="nil"/>
              <w:bottom w:val="nil"/>
              <w:right w:val="nil"/>
            </w:tcBorders>
            <w:shd w:val="clear" w:color="auto" w:fill="auto"/>
            <w:noWrap/>
            <w:vAlign w:val="center"/>
          </w:tcPr>
          <w:p w14:paraId="06133BF8" w14:textId="77777777" w:rsidR="00651AAB" w:rsidRPr="00107EE9" w:rsidRDefault="00651AAB" w:rsidP="00E72F8F">
            <w:pPr>
              <w:tabs>
                <w:tab w:val="decimal" w:pos="435"/>
              </w:tabs>
              <w:spacing w:after="0" w:line="240" w:lineRule="auto"/>
              <w:jc w:val="both"/>
              <w:rPr>
                <w:rFonts w:eastAsia="Times New Roman"/>
                <w:color w:val="000000"/>
                <w:sz w:val="22"/>
                <w:szCs w:val="22"/>
              </w:rPr>
            </w:pPr>
          </w:p>
        </w:tc>
        <w:tc>
          <w:tcPr>
            <w:tcW w:w="960" w:type="dxa"/>
            <w:tcBorders>
              <w:top w:val="nil"/>
              <w:left w:val="nil"/>
              <w:bottom w:val="nil"/>
              <w:right w:val="nil"/>
            </w:tcBorders>
            <w:shd w:val="clear" w:color="auto" w:fill="auto"/>
            <w:noWrap/>
            <w:vAlign w:val="center"/>
          </w:tcPr>
          <w:p w14:paraId="2AF05424" w14:textId="77777777" w:rsidR="00651AAB" w:rsidRPr="00107EE9" w:rsidRDefault="00651AAB" w:rsidP="00E72F8F">
            <w:pPr>
              <w:tabs>
                <w:tab w:val="decimal" w:pos="365"/>
              </w:tabs>
              <w:spacing w:after="0" w:line="240" w:lineRule="auto"/>
              <w:jc w:val="both"/>
              <w:rPr>
                <w:rFonts w:eastAsia="Times New Roman"/>
                <w:color w:val="000000"/>
                <w:sz w:val="22"/>
                <w:szCs w:val="22"/>
              </w:rPr>
            </w:pPr>
          </w:p>
        </w:tc>
        <w:tc>
          <w:tcPr>
            <w:tcW w:w="2926" w:type="dxa"/>
            <w:tcBorders>
              <w:top w:val="dotted" w:sz="4" w:space="0" w:color="auto"/>
              <w:left w:val="single" w:sz="4" w:space="0" w:color="auto"/>
              <w:right w:val="nil"/>
            </w:tcBorders>
            <w:shd w:val="clear" w:color="auto" w:fill="auto"/>
            <w:noWrap/>
            <w:vAlign w:val="center"/>
          </w:tcPr>
          <w:p w14:paraId="60D8A1A6" w14:textId="77777777" w:rsidR="00651AAB" w:rsidRPr="00107EE9" w:rsidRDefault="00651AAB" w:rsidP="00E72F8F">
            <w:pPr>
              <w:spacing w:after="0" w:line="240" w:lineRule="auto"/>
              <w:jc w:val="both"/>
              <w:rPr>
                <w:rFonts w:eastAsia="Times New Roman"/>
                <w:i/>
                <w:iCs/>
                <w:color w:val="000000"/>
                <w:sz w:val="22"/>
                <w:szCs w:val="22"/>
              </w:rPr>
            </w:pPr>
            <w:r w:rsidRPr="00471718">
              <w:rPr>
                <w:rFonts w:eastAsia="Calibri"/>
                <w:b/>
                <w:bCs/>
                <w:i/>
                <w:iCs/>
                <w:sz w:val="22"/>
                <w:szCs w:val="22"/>
              </w:rPr>
              <w:t xml:space="preserve">Access to </w:t>
            </w:r>
            <w:r w:rsidRPr="00471718">
              <w:rPr>
                <w:rFonts w:eastAsia="Calibri"/>
                <w:b/>
                <w:bCs/>
                <w:i/>
                <w:iCs/>
                <w:sz w:val="22"/>
              </w:rPr>
              <w:t>H</w:t>
            </w:r>
            <w:r w:rsidRPr="00471718">
              <w:rPr>
                <w:rFonts w:eastAsia="Calibri"/>
                <w:b/>
                <w:bCs/>
                <w:i/>
                <w:iCs/>
                <w:sz w:val="22"/>
                <w:szCs w:val="22"/>
              </w:rPr>
              <w:t xml:space="preserve">ealthcare </w:t>
            </w:r>
            <w:r w:rsidRPr="00471718">
              <w:rPr>
                <w:rFonts w:eastAsia="Calibri"/>
                <w:b/>
                <w:bCs/>
                <w:i/>
                <w:iCs/>
                <w:sz w:val="22"/>
              </w:rPr>
              <w:t>S</w:t>
            </w:r>
            <w:r w:rsidRPr="00471718">
              <w:rPr>
                <w:rFonts w:eastAsia="Calibri"/>
                <w:b/>
                <w:bCs/>
                <w:i/>
                <w:iCs/>
                <w:sz w:val="22"/>
                <w:szCs w:val="22"/>
              </w:rPr>
              <w:t>ervices</w:t>
            </w:r>
          </w:p>
        </w:tc>
        <w:tc>
          <w:tcPr>
            <w:tcW w:w="990" w:type="dxa"/>
            <w:tcBorders>
              <w:top w:val="dotted" w:sz="4" w:space="0" w:color="auto"/>
              <w:left w:val="nil"/>
              <w:right w:val="nil"/>
            </w:tcBorders>
            <w:shd w:val="clear" w:color="auto" w:fill="auto"/>
            <w:noWrap/>
            <w:vAlign w:val="center"/>
          </w:tcPr>
          <w:p w14:paraId="71BE3C76" w14:textId="77777777" w:rsidR="00651AAB" w:rsidRPr="00107EE9" w:rsidRDefault="00651AAB" w:rsidP="00E72F8F">
            <w:pPr>
              <w:tabs>
                <w:tab w:val="decimal" w:pos="341"/>
              </w:tabs>
              <w:spacing w:after="0" w:line="240" w:lineRule="auto"/>
              <w:jc w:val="both"/>
              <w:rPr>
                <w:rFonts w:eastAsia="Times New Roman"/>
                <w:color w:val="000000"/>
                <w:sz w:val="22"/>
                <w:szCs w:val="22"/>
              </w:rPr>
            </w:pPr>
          </w:p>
        </w:tc>
        <w:tc>
          <w:tcPr>
            <w:tcW w:w="965" w:type="dxa"/>
            <w:tcBorders>
              <w:top w:val="dotted" w:sz="4" w:space="0" w:color="auto"/>
              <w:left w:val="nil"/>
              <w:right w:val="double" w:sz="4" w:space="0" w:color="auto"/>
            </w:tcBorders>
            <w:shd w:val="clear" w:color="auto" w:fill="auto"/>
            <w:noWrap/>
            <w:vAlign w:val="center"/>
          </w:tcPr>
          <w:p w14:paraId="2A226EEF" w14:textId="77777777" w:rsidR="00651AAB" w:rsidRPr="00107EE9" w:rsidRDefault="00651AAB" w:rsidP="00E72F8F">
            <w:pPr>
              <w:tabs>
                <w:tab w:val="decimal" w:pos="368"/>
              </w:tabs>
              <w:spacing w:after="0" w:line="240" w:lineRule="auto"/>
              <w:jc w:val="both"/>
              <w:rPr>
                <w:rFonts w:eastAsia="Times New Roman"/>
                <w:color w:val="000000"/>
                <w:sz w:val="22"/>
                <w:szCs w:val="22"/>
              </w:rPr>
            </w:pPr>
          </w:p>
        </w:tc>
      </w:tr>
      <w:tr w:rsidR="00651AAB" w:rsidRPr="003870EA" w14:paraId="13EDBE98"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43A55597"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Less than bachelor’s degree</w:t>
            </w:r>
          </w:p>
        </w:tc>
        <w:tc>
          <w:tcPr>
            <w:tcW w:w="974" w:type="dxa"/>
            <w:tcBorders>
              <w:top w:val="nil"/>
              <w:left w:val="nil"/>
              <w:bottom w:val="nil"/>
              <w:right w:val="nil"/>
            </w:tcBorders>
            <w:shd w:val="clear" w:color="auto" w:fill="auto"/>
            <w:noWrap/>
            <w:vAlign w:val="center"/>
          </w:tcPr>
          <w:p w14:paraId="38D15BFF"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38.7</w:t>
            </w:r>
          </w:p>
        </w:tc>
        <w:tc>
          <w:tcPr>
            <w:tcW w:w="960" w:type="dxa"/>
            <w:tcBorders>
              <w:top w:val="nil"/>
              <w:left w:val="nil"/>
              <w:bottom w:val="nil"/>
              <w:right w:val="nil"/>
            </w:tcBorders>
            <w:shd w:val="clear" w:color="auto" w:fill="auto"/>
            <w:noWrap/>
            <w:vAlign w:val="center"/>
          </w:tcPr>
          <w:p w14:paraId="52C30CD1"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64.4</w:t>
            </w:r>
          </w:p>
        </w:tc>
        <w:tc>
          <w:tcPr>
            <w:tcW w:w="2926" w:type="dxa"/>
            <w:tcBorders>
              <w:top w:val="nil"/>
              <w:left w:val="single" w:sz="4" w:space="0" w:color="auto"/>
            </w:tcBorders>
            <w:shd w:val="clear" w:color="auto" w:fill="auto"/>
            <w:noWrap/>
            <w:vAlign w:val="center"/>
          </w:tcPr>
          <w:p w14:paraId="1FCF9D32" w14:textId="77777777" w:rsidR="00651AAB" w:rsidRPr="003870EA" w:rsidRDefault="00651AAB" w:rsidP="00E72F8F">
            <w:pPr>
              <w:tabs>
                <w:tab w:val="decimal" w:pos="368"/>
              </w:tabs>
              <w:spacing w:after="0" w:line="240" w:lineRule="auto"/>
              <w:jc w:val="both"/>
              <w:rPr>
                <w:rFonts w:eastAsia="Times New Roman"/>
                <w:color w:val="000000"/>
                <w:sz w:val="22"/>
                <w:szCs w:val="22"/>
              </w:rPr>
            </w:pPr>
            <w:r w:rsidRPr="003870EA">
              <w:rPr>
                <w:rFonts w:eastAsia="Calibri"/>
                <w:bCs/>
                <w:sz w:val="22"/>
                <w:szCs w:val="22"/>
              </w:rPr>
              <w:t xml:space="preserve">    # of physicians’ offices in zip</w:t>
            </w:r>
          </w:p>
        </w:tc>
        <w:tc>
          <w:tcPr>
            <w:tcW w:w="990" w:type="dxa"/>
            <w:vMerge w:val="restart"/>
            <w:tcBorders>
              <w:top w:val="nil"/>
              <w:left w:val="nil"/>
            </w:tcBorders>
            <w:shd w:val="clear" w:color="auto" w:fill="auto"/>
            <w:vAlign w:val="center"/>
          </w:tcPr>
          <w:p w14:paraId="7ACE56E2" w14:textId="77777777" w:rsidR="00651AAB" w:rsidRPr="00183249" w:rsidRDefault="00651AAB" w:rsidP="00E72F8F">
            <w:pPr>
              <w:tabs>
                <w:tab w:val="decimal" w:pos="435"/>
              </w:tabs>
              <w:spacing w:after="0" w:line="240" w:lineRule="auto"/>
              <w:jc w:val="center"/>
              <w:rPr>
                <w:rFonts w:eastAsia="Times New Roman"/>
                <w:i/>
                <w:iCs/>
                <w:color w:val="000000"/>
                <w:sz w:val="22"/>
              </w:rPr>
            </w:pPr>
            <w:r w:rsidRPr="00183249">
              <w:rPr>
                <w:rFonts w:eastAsia="Times New Roman"/>
                <w:i/>
                <w:iCs/>
                <w:color w:val="000000"/>
                <w:sz w:val="22"/>
                <w:szCs w:val="22"/>
              </w:rPr>
              <w:t>(mean)</w:t>
            </w:r>
          </w:p>
          <w:p w14:paraId="58E8267E" w14:textId="77777777" w:rsidR="00651AAB" w:rsidRPr="003870EA" w:rsidRDefault="00651AAB" w:rsidP="00E72F8F">
            <w:pPr>
              <w:tabs>
                <w:tab w:val="decimal" w:pos="0"/>
              </w:tabs>
              <w:spacing w:after="0" w:line="240" w:lineRule="auto"/>
              <w:rPr>
                <w:rFonts w:eastAsia="Times New Roman"/>
                <w:color w:val="000000"/>
                <w:sz w:val="22"/>
                <w:szCs w:val="22"/>
              </w:rPr>
            </w:pPr>
            <w:r>
              <w:rPr>
                <w:rFonts w:eastAsia="Times New Roman"/>
                <w:color w:val="000000"/>
                <w:sz w:val="22"/>
              </w:rPr>
              <w:t xml:space="preserve">    </w:t>
            </w:r>
            <w:r w:rsidRPr="003870EA">
              <w:rPr>
                <w:rFonts w:eastAsia="Times New Roman"/>
                <w:color w:val="000000"/>
                <w:sz w:val="22"/>
                <w:szCs w:val="22"/>
              </w:rPr>
              <w:t>34</w:t>
            </w:r>
          </w:p>
        </w:tc>
        <w:tc>
          <w:tcPr>
            <w:tcW w:w="965" w:type="dxa"/>
            <w:vMerge w:val="restart"/>
            <w:tcBorders>
              <w:top w:val="nil"/>
              <w:left w:val="nil"/>
              <w:right w:val="double" w:sz="4" w:space="0" w:color="auto"/>
            </w:tcBorders>
            <w:shd w:val="clear" w:color="auto" w:fill="auto"/>
            <w:vAlign w:val="center"/>
          </w:tcPr>
          <w:p w14:paraId="5D199C7E" w14:textId="77777777" w:rsidR="00651AAB" w:rsidRPr="00855674" w:rsidRDefault="00651AAB" w:rsidP="00E72F8F">
            <w:pPr>
              <w:tabs>
                <w:tab w:val="decimal" w:pos="435"/>
              </w:tabs>
              <w:spacing w:after="0" w:line="240" w:lineRule="auto"/>
              <w:jc w:val="both"/>
              <w:rPr>
                <w:rFonts w:eastAsia="Times New Roman"/>
                <w:i/>
                <w:iCs/>
                <w:color w:val="000000"/>
                <w:sz w:val="22"/>
              </w:rPr>
            </w:pPr>
            <w:r w:rsidRPr="00855674">
              <w:rPr>
                <w:rFonts w:eastAsia="Times New Roman"/>
                <w:i/>
                <w:iCs/>
                <w:color w:val="000000"/>
                <w:sz w:val="22"/>
                <w:szCs w:val="22"/>
              </w:rPr>
              <w:t>(std. dv.)</w:t>
            </w:r>
          </w:p>
          <w:p w14:paraId="3A957D1E"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3870EA">
              <w:rPr>
                <w:rFonts w:eastAsia="Times New Roman"/>
                <w:color w:val="000000"/>
                <w:sz w:val="22"/>
                <w:szCs w:val="22"/>
              </w:rPr>
              <w:t>21.282</w:t>
            </w:r>
          </w:p>
        </w:tc>
      </w:tr>
      <w:tr w:rsidR="00651AAB" w:rsidRPr="003870EA" w14:paraId="1C6E7008"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22B586C4"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Bachelor’s degree</w:t>
            </w:r>
          </w:p>
        </w:tc>
        <w:tc>
          <w:tcPr>
            <w:tcW w:w="974" w:type="dxa"/>
            <w:tcBorders>
              <w:top w:val="nil"/>
              <w:left w:val="nil"/>
              <w:bottom w:val="nil"/>
              <w:right w:val="nil"/>
            </w:tcBorders>
            <w:shd w:val="clear" w:color="auto" w:fill="auto"/>
            <w:noWrap/>
            <w:vAlign w:val="center"/>
          </w:tcPr>
          <w:p w14:paraId="28FFD3DD"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33.2</w:t>
            </w:r>
          </w:p>
        </w:tc>
        <w:tc>
          <w:tcPr>
            <w:tcW w:w="960" w:type="dxa"/>
            <w:tcBorders>
              <w:top w:val="nil"/>
              <w:left w:val="nil"/>
              <w:bottom w:val="nil"/>
              <w:right w:val="nil"/>
            </w:tcBorders>
            <w:shd w:val="clear" w:color="auto" w:fill="auto"/>
            <w:noWrap/>
            <w:vAlign w:val="center"/>
          </w:tcPr>
          <w:p w14:paraId="796F83C6"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21.6</w:t>
            </w:r>
          </w:p>
        </w:tc>
        <w:tc>
          <w:tcPr>
            <w:tcW w:w="2926" w:type="dxa"/>
            <w:tcBorders>
              <w:left w:val="single" w:sz="4" w:space="0" w:color="auto"/>
            </w:tcBorders>
            <w:shd w:val="clear" w:color="auto" w:fill="auto"/>
            <w:noWrap/>
            <w:vAlign w:val="center"/>
          </w:tcPr>
          <w:p w14:paraId="461F2F80" w14:textId="77777777" w:rsidR="00651AAB" w:rsidRPr="003870EA" w:rsidRDefault="00651AAB" w:rsidP="00E72F8F">
            <w:pPr>
              <w:tabs>
                <w:tab w:val="decimal" w:pos="368"/>
              </w:tabs>
              <w:spacing w:after="0" w:line="240" w:lineRule="auto"/>
              <w:jc w:val="both"/>
              <w:rPr>
                <w:rFonts w:eastAsia="Times New Roman"/>
                <w:color w:val="000000"/>
                <w:sz w:val="22"/>
                <w:szCs w:val="22"/>
              </w:rPr>
            </w:pPr>
            <w:r w:rsidRPr="003870EA">
              <w:rPr>
                <w:rFonts w:eastAsia="Calibri"/>
                <w:bCs/>
                <w:sz w:val="22"/>
                <w:szCs w:val="22"/>
              </w:rPr>
              <w:t xml:space="preserve">    </w:t>
            </w:r>
            <w:r>
              <w:rPr>
                <w:rFonts w:eastAsia="Calibri"/>
                <w:bCs/>
                <w:sz w:val="22"/>
              </w:rPr>
              <w:t xml:space="preserve">    </w:t>
            </w:r>
            <w:r w:rsidRPr="003870EA">
              <w:rPr>
                <w:rFonts w:eastAsia="Calibri"/>
                <w:bCs/>
                <w:sz w:val="22"/>
                <w:szCs w:val="22"/>
              </w:rPr>
              <w:t xml:space="preserve">code </w:t>
            </w:r>
            <w:r w:rsidRPr="003870EA">
              <w:rPr>
                <w:rFonts w:eastAsia="Calibri"/>
                <w:i/>
                <w:iCs/>
                <w:sz w:val="22"/>
                <w:szCs w:val="22"/>
              </w:rPr>
              <w:t>(count variable)</w:t>
            </w:r>
          </w:p>
        </w:tc>
        <w:tc>
          <w:tcPr>
            <w:tcW w:w="990" w:type="dxa"/>
            <w:vMerge/>
            <w:tcBorders>
              <w:left w:val="nil"/>
              <w:bottom w:val="nil"/>
            </w:tcBorders>
            <w:shd w:val="clear" w:color="auto" w:fill="auto"/>
            <w:vAlign w:val="center"/>
          </w:tcPr>
          <w:p w14:paraId="356E22FC"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vAlign w:val="center"/>
          </w:tcPr>
          <w:p w14:paraId="5D40DD16"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r>
      <w:tr w:rsidR="00651AAB" w:rsidRPr="003870EA" w14:paraId="7BB38E63"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53CCB0FB"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Graduate degree</w:t>
            </w:r>
          </w:p>
        </w:tc>
        <w:tc>
          <w:tcPr>
            <w:tcW w:w="974" w:type="dxa"/>
            <w:tcBorders>
              <w:top w:val="nil"/>
              <w:left w:val="nil"/>
              <w:bottom w:val="nil"/>
              <w:right w:val="nil"/>
            </w:tcBorders>
            <w:shd w:val="clear" w:color="auto" w:fill="auto"/>
            <w:noWrap/>
            <w:vAlign w:val="center"/>
          </w:tcPr>
          <w:p w14:paraId="6EAE715C"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28.1</w:t>
            </w:r>
          </w:p>
        </w:tc>
        <w:tc>
          <w:tcPr>
            <w:tcW w:w="960" w:type="dxa"/>
            <w:tcBorders>
              <w:top w:val="nil"/>
              <w:left w:val="nil"/>
              <w:bottom w:val="nil"/>
              <w:right w:val="nil"/>
            </w:tcBorders>
            <w:shd w:val="clear" w:color="auto" w:fill="auto"/>
            <w:noWrap/>
            <w:vAlign w:val="center"/>
          </w:tcPr>
          <w:p w14:paraId="353FD101"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14.0</w:t>
            </w:r>
          </w:p>
        </w:tc>
        <w:tc>
          <w:tcPr>
            <w:tcW w:w="2926" w:type="dxa"/>
            <w:tcBorders>
              <w:left w:val="single" w:sz="4" w:space="0" w:color="auto"/>
              <w:bottom w:val="nil"/>
              <w:right w:val="nil"/>
            </w:tcBorders>
            <w:shd w:val="clear" w:color="auto" w:fill="auto"/>
            <w:noWrap/>
            <w:vAlign w:val="center"/>
          </w:tcPr>
          <w:p w14:paraId="6C41F37E" w14:textId="77777777" w:rsidR="00651AAB" w:rsidRPr="003870EA" w:rsidRDefault="00651AAB" w:rsidP="00E72F8F">
            <w:pPr>
              <w:spacing w:after="0" w:line="240" w:lineRule="auto"/>
              <w:jc w:val="both"/>
              <w:rPr>
                <w:rFonts w:eastAsia="Times New Roman"/>
                <w:color w:val="000000"/>
                <w:sz w:val="22"/>
                <w:szCs w:val="22"/>
              </w:rPr>
            </w:pPr>
            <w:r w:rsidRPr="003870EA">
              <w:rPr>
                <w:rFonts w:eastAsia="Calibri"/>
                <w:b/>
                <w:bCs/>
                <w:color w:val="000000" w:themeColor="text1"/>
                <w:sz w:val="22"/>
                <w:szCs w:val="22"/>
              </w:rPr>
              <w:t xml:space="preserve">    #</w:t>
            </w:r>
            <w:r w:rsidRPr="003870EA">
              <w:rPr>
                <w:rFonts w:eastAsia="Calibri"/>
                <w:bCs/>
                <w:color w:val="000000" w:themeColor="text1"/>
                <w:sz w:val="22"/>
                <w:szCs w:val="22"/>
              </w:rPr>
              <w:t xml:space="preserve"> of physicians’ offices in zip</w:t>
            </w:r>
          </w:p>
        </w:tc>
        <w:tc>
          <w:tcPr>
            <w:tcW w:w="990" w:type="dxa"/>
            <w:vMerge w:val="restart"/>
            <w:tcBorders>
              <w:top w:val="nil"/>
              <w:left w:val="nil"/>
              <w:right w:val="nil"/>
            </w:tcBorders>
            <w:shd w:val="clear" w:color="auto" w:fill="auto"/>
            <w:noWrap/>
            <w:vAlign w:val="center"/>
          </w:tcPr>
          <w:p w14:paraId="39272AB3"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3870EA">
              <w:rPr>
                <w:rFonts w:eastAsia="Times New Roman"/>
                <w:color w:val="000000"/>
                <w:sz w:val="22"/>
                <w:szCs w:val="22"/>
              </w:rPr>
              <w:t>70.2</w:t>
            </w:r>
          </w:p>
        </w:tc>
        <w:tc>
          <w:tcPr>
            <w:tcW w:w="965" w:type="dxa"/>
            <w:vMerge w:val="restart"/>
            <w:tcBorders>
              <w:top w:val="nil"/>
              <w:left w:val="nil"/>
              <w:right w:val="double" w:sz="4" w:space="0" w:color="auto"/>
            </w:tcBorders>
            <w:shd w:val="clear" w:color="auto" w:fill="auto"/>
            <w:noWrap/>
            <w:vAlign w:val="center"/>
          </w:tcPr>
          <w:p w14:paraId="2E9DEDAB"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3870EA">
              <w:rPr>
                <w:rFonts w:eastAsia="Times New Roman"/>
                <w:color w:val="000000"/>
                <w:sz w:val="22"/>
                <w:szCs w:val="22"/>
              </w:rPr>
              <w:t>--</w:t>
            </w:r>
          </w:p>
        </w:tc>
      </w:tr>
      <w:tr w:rsidR="00651AAB" w:rsidRPr="003870EA" w14:paraId="1EF59E13"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326A60EE"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b/>
                <w:bCs/>
                <w:i/>
                <w:iCs/>
                <w:color w:val="000000"/>
                <w:sz w:val="22"/>
                <w:szCs w:val="22"/>
              </w:rPr>
              <w:t>Household Income (gross)</w:t>
            </w:r>
          </w:p>
        </w:tc>
        <w:tc>
          <w:tcPr>
            <w:tcW w:w="974" w:type="dxa"/>
            <w:tcBorders>
              <w:top w:val="nil"/>
              <w:left w:val="nil"/>
              <w:bottom w:val="nil"/>
              <w:right w:val="nil"/>
            </w:tcBorders>
            <w:shd w:val="clear" w:color="auto" w:fill="auto"/>
            <w:noWrap/>
            <w:vAlign w:val="center"/>
          </w:tcPr>
          <w:p w14:paraId="361552C5"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c>
          <w:tcPr>
            <w:tcW w:w="960" w:type="dxa"/>
            <w:tcBorders>
              <w:top w:val="nil"/>
              <w:left w:val="nil"/>
              <w:bottom w:val="nil"/>
              <w:right w:val="nil"/>
            </w:tcBorders>
            <w:shd w:val="clear" w:color="auto" w:fill="auto"/>
            <w:noWrap/>
            <w:vAlign w:val="center"/>
          </w:tcPr>
          <w:p w14:paraId="6B150DE8" w14:textId="77777777" w:rsidR="00651AAB" w:rsidRPr="003870EA" w:rsidRDefault="00651AAB" w:rsidP="00E72F8F">
            <w:pPr>
              <w:tabs>
                <w:tab w:val="decimal" w:pos="365"/>
              </w:tabs>
              <w:spacing w:after="0" w:line="240" w:lineRule="auto"/>
              <w:jc w:val="both"/>
              <w:rPr>
                <w:rFonts w:eastAsia="Times New Roman"/>
                <w:color w:val="000000"/>
                <w:sz w:val="22"/>
                <w:szCs w:val="22"/>
              </w:rPr>
            </w:pPr>
          </w:p>
        </w:tc>
        <w:tc>
          <w:tcPr>
            <w:tcW w:w="2926" w:type="dxa"/>
            <w:tcBorders>
              <w:top w:val="nil"/>
              <w:left w:val="single" w:sz="4" w:space="0" w:color="auto"/>
              <w:bottom w:val="nil"/>
              <w:right w:val="nil"/>
            </w:tcBorders>
            <w:shd w:val="clear" w:color="auto" w:fill="auto"/>
            <w:noWrap/>
            <w:vAlign w:val="center"/>
          </w:tcPr>
          <w:p w14:paraId="21C35BEB" w14:textId="77777777" w:rsidR="00651AAB" w:rsidRPr="003870EA" w:rsidRDefault="00651AAB" w:rsidP="00E72F8F">
            <w:pPr>
              <w:spacing w:after="0" w:line="240" w:lineRule="auto"/>
              <w:jc w:val="both"/>
              <w:rPr>
                <w:rFonts w:eastAsia="Times New Roman"/>
                <w:color w:val="000000"/>
                <w:sz w:val="22"/>
                <w:szCs w:val="22"/>
              </w:rPr>
            </w:pPr>
            <w:r>
              <w:rPr>
                <w:rFonts w:eastAsia="Calibri"/>
                <w:bCs/>
                <w:color w:val="000000" w:themeColor="text1"/>
                <w:sz w:val="22"/>
              </w:rPr>
              <w:t xml:space="preserve">        </w:t>
            </w:r>
            <w:r w:rsidRPr="003870EA">
              <w:rPr>
                <w:rFonts w:eastAsia="Calibri"/>
                <w:bCs/>
                <w:color w:val="000000" w:themeColor="text1"/>
                <w:sz w:val="22"/>
                <w:szCs w:val="22"/>
              </w:rPr>
              <w:t>code &gt; 3 (binary)</w:t>
            </w:r>
          </w:p>
        </w:tc>
        <w:tc>
          <w:tcPr>
            <w:tcW w:w="990" w:type="dxa"/>
            <w:vMerge/>
            <w:tcBorders>
              <w:left w:val="nil"/>
              <w:bottom w:val="nil"/>
              <w:right w:val="nil"/>
            </w:tcBorders>
            <w:shd w:val="clear" w:color="auto" w:fill="auto"/>
            <w:noWrap/>
            <w:vAlign w:val="center"/>
          </w:tcPr>
          <w:p w14:paraId="5EAA09BB"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noWrap/>
            <w:vAlign w:val="center"/>
          </w:tcPr>
          <w:p w14:paraId="3C443016"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r>
      <w:tr w:rsidR="00651AAB" w:rsidRPr="003870EA" w14:paraId="758E806B"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4FBE0FD3"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Less than $25,000</w:t>
            </w:r>
          </w:p>
        </w:tc>
        <w:tc>
          <w:tcPr>
            <w:tcW w:w="974" w:type="dxa"/>
            <w:tcBorders>
              <w:top w:val="nil"/>
              <w:left w:val="nil"/>
              <w:bottom w:val="nil"/>
              <w:right w:val="nil"/>
            </w:tcBorders>
            <w:shd w:val="clear" w:color="auto" w:fill="auto"/>
            <w:noWrap/>
            <w:vAlign w:val="center"/>
          </w:tcPr>
          <w:p w14:paraId="4971F216"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12.2</w:t>
            </w:r>
          </w:p>
        </w:tc>
        <w:tc>
          <w:tcPr>
            <w:tcW w:w="960" w:type="dxa"/>
            <w:tcBorders>
              <w:top w:val="nil"/>
              <w:left w:val="nil"/>
              <w:bottom w:val="nil"/>
              <w:right w:val="nil"/>
            </w:tcBorders>
            <w:shd w:val="clear" w:color="auto" w:fill="auto"/>
            <w:noWrap/>
            <w:vAlign w:val="center"/>
          </w:tcPr>
          <w:p w14:paraId="33610711" w14:textId="77777777" w:rsidR="00651AAB" w:rsidRPr="00C37174" w:rsidRDefault="00651AAB" w:rsidP="00E72F8F">
            <w:pPr>
              <w:tabs>
                <w:tab w:val="decimal" w:pos="365"/>
              </w:tabs>
              <w:spacing w:after="0" w:line="240" w:lineRule="auto"/>
              <w:jc w:val="both"/>
              <w:rPr>
                <w:rFonts w:eastAsia="Times New Roman"/>
                <w:color w:val="000000"/>
                <w:sz w:val="22"/>
                <w:szCs w:val="22"/>
              </w:rPr>
            </w:pPr>
            <w:r w:rsidRPr="00C37174">
              <w:rPr>
                <w:rFonts w:eastAsia="Times New Roman"/>
                <w:color w:val="000000"/>
                <w:sz w:val="22"/>
                <w:szCs w:val="22"/>
              </w:rPr>
              <w:t>17.2</w:t>
            </w:r>
          </w:p>
        </w:tc>
        <w:tc>
          <w:tcPr>
            <w:tcW w:w="2926" w:type="dxa"/>
            <w:tcBorders>
              <w:top w:val="nil"/>
              <w:left w:val="single" w:sz="4" w:space="0" w:color="auto"/>
              <w:bottom w:val="nil"/>
              <w:right w:val="nil"/>
            </w:tcBorders>
            <w:shd w:val="clear" w:color="auto" w:fill="auto"/>
            <w:noWrap/>
            <w:vAlign w:val="center"/>
          </w:tcPr>
          <w:p w14:paraId="2C58DF2F" w14:textId="77777777" w:rsidR="00651AAB" w:rsidRPr="00471718" w:rsidRDefault="00651AAB" w:rsidP="00E72F8F">
            <w:pPr>
              <w:spacing w:after="0" w:line="240" w:lineRule="auto"/>
              <w:jc w:val="both"/>
              <w:rPr>
                <w:rFonts w:eastAsia="Times New Roman"/>
                <w:i/>
                <w:iCs/>
                <w:color w:val="000000"/>
                <w:sz w:val="22"/>
                <w:szCs w:val="22"/>
              </w:rPr>
            </w:pPr>
            <w:r w:rsidRPr="00471718">
              <w:rPr>
                <w:rFonts w:eastAsia="Calibri"/>
                <w:b/>
                <w:bCs/>
                <w:i/>
                <w:iCs/>
                <w:sz w:val="22"/>
                <w:szCs w:val="22"/>
              </w:rPr>
              <w:t>Population Density</w:t>
            </w:r>
          </w:p>
        </w:tc>
        <w:tc>
          <w:tcPr>
            <w:tcW w:w="990" w:type="dxa"/>
            <w:tcBorders>
              <w:top w:val="nil"/>
              <w:left w:val="nil"/>
              <w:bottom w:val="nil"/>
              <w:right w:val="nil"/>
            </w:tcBorders>
            <w:shd w:val="clear" w:color="auto" w:fill="auto"/>
            <w:noWrap/>
            <w:vAlign w:val="center"/>
          </w:tcPr>
          <w:p w14:paraId="6876D6E7"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c>
          <w:tcPr>
            <w:tcW w:w="965" w:type="dxa"/>
            <w:tcBorders>
              <w:top w:val="nil"/>
              <w:left w:val="nil"/>
              <w:bottom w:val="nil"/>
              <w:right w:val="double" w:sz="4" w:space="0" w:color="auto"/>
            </w:tcBorders>
            <w:shd w:val="clear" w:color="auto" w:fill="auto"/>
            <w:noWrap/>
            <w:vAlign w:val="center"/>
          </w:tcPr>
          <w:p w14:paraId="321F4B0A"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r>
      <w:tr w:rsidR="00651AAB" w:rsidRPr="003870EA" w14:paraId="444F7C03"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76E17524"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$25,000-$49,999</w:t>
            </w:r>
          </w:p>
        </w:tc>
        <w:tc>
          <w:tcPr>
            <w:tcW w:w="974" w:type="dxa"/>
            <w:tcBorders>
              <w:top w:val="nil"/>
              <w:left w:val="nil"/>
              <w:bottom w:val="nil"/>
              <w:right w:val="nil"/>
            </w:tcBorders>
            <w:shd w:val="clear" w:color="auto" w:fill="auto"/>
            <w:noWrap/>
            <w:vAlign w:val="center"/>
          </w:tcPr>
          <w:p w14:paraId="4257D20D"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18.2</w:t>
            </w:r>
          </w:p>
        </w:tc>
        <w:tc>
          <w:tcPr>
            <w:tcW w:w="960" w:type="dxa"/>
            <w:tcBorders>
              <w:top w:val="nil"/>
              <w:left w:val="nil"/>
              <w:bottom w:val="nil"/>
              <w:right w:val="nil"/>
            </w:tcBorders>
            <w:shd w:val="clear" w:color="auto" w:fill="auto"/>
            <w:noWrap/>
            <w:vAlign w:val="center"/>
          </w:tcPr>
          <w:p w14:paraId="3E220CD2"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19.6</w:t>
            </w:r>
          </w:p>
        </w:tc>
        <w:tc>
          <w:tcPr>
            <w:tcW w:w="2926" w:type="dxa"/>
            <w:tcBorders>
              <w:top w:val="nil"/>
              <w:left w:val="single" w:sz="4" w:space="0" w:color="auto"/>
              <w:bottom w:val="nil"/>
              <w:right w:val="nil"/>
            </w:tcBorders>
            <w:shd w:val="clear" w:color="auto" w:fill="auto"/>
            <w:noWrap/>
            <w:vAlign w:val="center"/>
          </w:tcPr>
          <w:p w14:paraId="3B52B4CC" w14:textId="77777777" w:rsidR="00651AAB" w:rsidRPr="003870EA"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Population density</w:t>
            </w:r>
          </w:p>
        </w:tc>
        <w:tc>
          <w:tcPr>
            <w:tcW w:w="990" w:type="dxa"/>
            <w:vMerge w:val="restart"/>
            <w:tcBorders>
              <w:top w:val="nil"/>
              <w:left w:val="nil"/>
              <w:right w:val="nil"/>
            </w:tcBorders>
            <w:shd w:val="clear" w:color="auto" w:fill="auto"/>
            <w:noWrap/>
            <w:vAlign w:val="center"/>
          </w:tcPr>
          <w:p w14:paraId="6EEECE26" w14:textId="77777777" w:rsidR="00651AAB" w:rsidRPr="00183249" w:rsidRDefault="00651AAB" w:rsidP="00E72F8F">
            <w:pPr>
              <w:tabs>
                <w:tab w:val="decimal" w:pos="435"/>
              </w:tabs>
              <w:spacing w:after="0" w:line="240" w:lineRule="auto"/>
              <w:jc w:val="center"/>
              <w:rPr>
                <w:rFonts w:eastAsia="Times New Roman"/>
                <w:i/>
                <w:iCs/>
                <w:color w:val="000000"/>
                <w:sz w:val="22"/>
              </w:rPr>
            </w:pPr>
            <w:r w:rsidRPr="00183249">
              <w:rPr>
                <w:rFonts w:eastAsia="Times New Roman"/>
                <w:i/>
                <w:iCs/>
                <w:color w:val="000000"/>
                <w:sz w:val="22"/>
                <w:szCs w:val="22"/>
              </w:rPr>
              <w:t>(mean)</w:t>
            </w:r>
          </w:p>
          <w:p w14:paraId="5A67720D" w14:textId="77777777" w:rsidR="00651AAB" w:rsidRPr="00183249" w:rsidRDefault="00651AAB" w:rsidP="00E72F8F">
            <w:pPr>
              <w:tabs>
                <w:tab w:val="decimal" w:pos="0"/>
                <w:tab w:val="decimal" w:pos="435"/>
              </w:tabs>
              <w:spacing w:after="0" w:line="240" w:lineRule="auto"/>
              <w:jc w:val="right"/>
              <w:rPr>
                <w:rFonts w:eastAsia="Times New Roman"/>
                <w:color w:val="000000"/>
                <w:sz w:val="22"/>
                <w:szCs w:val="22"/>
              </w:rPr>
            </w:pPr>
            <w:r w:rsidRPr="003870EA">
              <w:rPr>
                <w:rFonts w:eastAsia="Times New Roman"/>
                <w:color w:val="000000"/>
                <w:sz w:val="22"/>
                <w:szCs w:val="22"/>
              </w:rPr>
              <w:t>0.00194</w:t>
            </w:r>
          </w:p>
        </w:tc>
        <w:tc>
          <w:tcPr>
            <w:tcW w:w="965" w:type="dxa"/>
            <w:vMerge w:val="restart"/>
            <w:tcBorders>
              <w:top w:val="nil"/>
              <w:left w:val="nil"/>
              <w:right w:val="double" w:sz="4" w:space="0" w:color="auto"/>
            </w:tcBorders>
            <w:shd w:val="clear" w:color="auto" w:fill="auto"/>
            <w:noWrap/>
            <w:vAlign w:val="center"/>
          </w:tcPr>
          <w:p w14:paraId="4D8F4C71" w14:textId="77777777" w:rsidR="00651AAB" w:rsidRPr="00183249" w:rsidRDefault="00651AAB" w:rsidP="00E72F8F">
            <w:pPr>
              <w:tabs>
                <w:tab w:val="decimal" w:pos="435"/>
              </w:tabs>
              <w:spacing w:after="0" w:line="240" w:lineRule="auto"/>
              <w:jc w:val="right"/>
              <w:rPr>
                <w:rFonts w:eastAsia="Times New Roman"/>
                <w:i/>
                <w:iCs/>
                <w:color w:val="000000"/>
                <w:sz w:val="22"/>
              </w:rPr>
            </w:pPr>
            <w:r w:rsidRPr="00183249">
              <w:rPr>
                <w:rFonts w:eastAsia="Times New Roman"/>
                <w:i/>
                <w:iCs/>
                <w:color w:val="000000"/>
                <w:sz w:val="22"/>
                <w:szCs w:val="22"/>
              </w:rPr>
              <w:t>(std. dv.)</w:t>
            </w:r>
          </w:p>
          <w:p w14:paraId="0D745E39" w14:textId="77777777" w:rsidR="00651AAB" w:rsidRPr="00183249" w:rsidRDefault="00651AAB" w:rsidP="00E72F8F">
            <w:pPr>
              <w:tabs>
                <w:tab w:val="decimal" w:pos="0"/>
                <w:tab w:val="decimal" w:pos="435"/>
              </w:tabs>
              <w:spacing w:after="0" w:line="240" w:lineRule="auto"/>
              <w:jc w:val="right"/>
              <w:rPr>
                <w:rFonts w:eastAsia="Times New Roman"/>
                <w:color w:val="000000"/>
                <w:sz w:val="22"/>
                <w:szCs w:val="22"/>
              </w:rPr>
            </w:pPr>
            <w:r w:rsidRPr="003870EA">
              <w:rPr>
                <w:rFonts w:eastAsia="Times New Roman"/>
                <w:color w:val="000000"/>
                <w:sz w:val="22"/>
                <w:szCs w:val="22"/>
              </w:rPr>
              <w:t>0.00358</w:t>
            </w:r>
          </w:p>
        </w:tc>
      </w:tr>
      <w:tr w:rsidR="00651AAB" w:rsidRPr="003870EA" w14:paraId="5056B3CF"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3855479F"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$50,000-$99,999</w:t>
            </w:r>
          </w:p>
        </w:tc>
        <w:tc>
          <w:tcPr>
            <w:tcW w:w="974" w:type="dxa"/>
            <w:tcBorders>
              <w:top w:val="nil"/>
              <w:left w:val="nil"/>
              <w:bottom w:val="nil"/>
              <w:right w:val="nil"/>
            </w:tcBorders>
            <w:shd w:val="clear" w:color="auto" w:fill="auto"/>
            <w:noWrap/>
            <w:vAlign w:val="center"/>
          </w:tcPr>
          <w:p w14:paraId="3AA97202"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34.1</w:t>
            </w:r>
          </w:p>
        </w:tc>
        <w:tc>
          <w:tcPr>
            <w:tcW w:w="960" w:type="dxa"/>
            <w:tcBorders>
              <w:top w:val="nil"/>
              <w:left w:val="nil"/>
              <w:bottom w:val="nil"/>
              <w:right w:val="nil"/>
            </w:tcBorders>
            <w:shd w:val="clear" w:color="auto" w:fill="auto"/>
            <w:noWrap/>
            <w:vAlign w:val="center"/>
          </w:tcPr>
          <w:p w14:paraId="11878900"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29.6</w:t>
            </w:r>
          </w:p>
        </w:tc>
        <w:tc>
          <w:tcPr>
            <w:tcW w:w="2926" w:type="dxa"/>
            <w:tcBorders>
              <w:top w:val="nil"/>
              <w:left w:val="single" w:sz="4" w:space="0" w:color="auto"/>
              <w:bottom w:val="nil"/>
              <w:right w:val="nil"/>
            </w:tcBorders>
            <w:shd w:val="clear" w:color="auto" w:fill="auto"/>
            <w:noWrap/>
            <w:vAlign w:val="center"/>
          </w:tcPr>
          <w:p w14:paraId="179F896A" w14:textId="77777777" w:rsidR="00651AAB" w:rsidRPr="003870EA" w:rsidRDefault="00651AAB" w:rsidP="00E72F8F">
            <w:pPr>
              <w:spacing w:after="0" w:line="240" w:lineRule="auto"/>
              <w:rPr>
                <w:rFonts w:eastAsia="Times New Roman"/>
                <w:color w:val="000000"/>
                <w:sz w:val="22"/>
                <w:szCs w:val="22"/>
              </w:rPr>
            </w:pPr>
            <w:r w:rsidRPr="003870EA">
              <w:rPr>
                <w:rFonts w:eastAsia="Times New Roman"/>
                <w:color w:val="000000" w:themeColor="text1"/>
                <w:sz w:val="22"/>
                <w:szCs w:val="22"/>
              </w:rPr>
              <w:t xml:space="preserve">    </w:t>
            </w:r>
            <w:r>
              <w:rPr>
                <w:rFonts w:eastAsia="Times New Roman"/>
                <w:color w:val="000000" w:themeColor="text1"/>
                <w:sz w:val="22"/>
              </w:rPr>
              <w:t xml:space="preserve">    </w:t>
            </w:r>
            <w:r w:rsidRPr="003870EA">
              <w:rPr>
                <w:rFonts w:eastAsia="Times New Roman"/>
                <w:color w:val="000000" w:themeColor="text1"/>
                <w:sz w:val="22"/>
                <w:szCs w:val="22"/>
              </w:rPr>
              <w:t>person/m</w:t>
            </w:r>
            <w:r w:rsidRPr="003870EA">
              <w:rPr>
                <w:rFonts w:eastAsia="Times New Roman"/>
                <w:color w:val="000000" w:themeColor="text1"/>
                <w:sz w:val="22"/>
                <w:szCs w:val="22"/>
                <w:vertAlign w:val="superscript"/>
              </w:rPr>
              <w:t xml:space="preserve">2 </w:t>
            </w:r>
            <w:r w:rsidRPr="003870EA">
              <w:rPr>
                <w:rFonts w:eastAsia="Calibri"/>
                <w:bCs/>
                <w:color w:val="000000" w:themeColor="text1"/>
                <w:sz w:val="22"/>
                <w:szCs w:val="22"/>
              </w:rPr>
              <w:t>(continuous)</w:t>
            </w:r>
          </w:p>
        </w:tc>
        <w:tc>
          <w:tcPr>
            <w:tcW w:w="990" w:type="dxa"/>
            <w:vMerge/>
            <w:tcBorders>
              <w:left w:val="nil"/>
              <w:bottom w:val="nil"/>
              <w:right w:val="nil"/>
            </w:tcBorders>
            <w:shd w:val="clear" w:color="auto" w:fill="auto"/>
            <w:noWrap/>
            <w:vAlign w:val="center"/>
          </w:tcPr>
          <w:p w14:paraId="5E6754C3"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noWrap/>
            <w:vAlign w:val="center"/>
          </w:tcPr>
          <w:p w14:paraId="3D2BB1F4"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r>
      <w:tr w:rsidR="00651AAB" w:rsidRPr="003870EA" w14:paraId="462C1644"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293CE1B2"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$100,000-$149,999</w:t>
            </w:r>
          </w:p>
        </w:tc>
        <w:tc>
          <w:tcPr>
            <w:tcW w:w="974" w:type="dxa"/>
            <w:tcBorders>
              <w:top w:val="nil"/>
              <w:left w:val="nil"/>
              <w:bottom w:val="nil"/>
              <w:right w:val="nil"/>
            </w:tcBorders>
            <w:shd w:val="clear" w:color="auto" w:fill="auto"/>
            <w:noWrap/>
            <w:vAlign w:val="center"/>
          </w:tcPr>
          <w:p w14:paraId="1FAB26CF"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20.2</w:t>
            </w:r>
          </w:p>
        </w:tc>
        <w:tc>
          <w:tcPr>
            <w:tcW w:w="960" w:type="dxa"/>
            <w:tcBorders>
              <w:top w:val="nil"/>
              <w:left w:val="nil"/>
              <w:bottom w:val="nil"/>
              <w:right w:val="nil"/>
            </w:tcBorders>
            <w:shd w:val="clear" w:color="auto" w:fill="auto"/>
            <w:noWrap/>
            <w:vAlign w:val="center"/>
          </w:tcPr>
          <w:p w14:paraId="03FC8F12"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16.3</w:t>
            </w:r>
          </w:p>
        </w:tc>
        <w:tc>
          <w:tcPr>
            <w:tcW w:w="2926" w:type="dxa"/>
            <w:tcBorders>
              <w:top w:val="nil"/>
              <w:left w:val="single" w:sz="4" w:space="0" w:color="auto"/>
              <w:bottom w:val="nil"/>
              <w:right w:val="nil"/>
            </w:tcBorders>
            <w:shd w:val="clear" w:color="auto" w:fill="auto"/>
            <w:noWrap/>
            <w:vAlign w:val="center"/>
          </w:tcPr>
          <w:p w14:paraId="0B095E0A" w14:textId="77777777" w:rsidR="00651AAB" w:rsidRPr="003870EA" w:rsidRDefault="00651AAB" w:rsidP="00E72F8F">
            <w:pPr>
              <w:spacing w:after="0" w:line="240" w:lineRule="auto"/>
              <w:jc w:val="both"/>
              <w:rPr>
                <w:rFonts w:eastAsia="Times New Roman"/>
                <w:color w:val="000000"/>
                <w:sz w:val="22"/>
                <w:szCs w:val="22"/>
              </w:rPr>
            </w:pPr>
            <w:r w:rsidRPr="003870EA">
              <w:rPr>
                <w:rFonts w:eastAsia="Calibri"/>
                <w:bCs/>
                <w:color w:val="000000" w:themeColor="text1"/>
                <w:sz w:val="22"/>
                <w:szCs w:val="22"/>
              </w:rPr>
              <w:t xml:space="preserve">    Population density ≥</w:t>
            </w:r>
            <w:r w:rsidRPr="003870EA">
              <w:rPr>
                <w:rFonts w:eastAsia="Times New Roman"/>
                <w:color w:val="000000" w:themeColor="text1"/>
                <w:sz w:val="22"/>
                <w:szCs w:val="22"/>
              </w:rPr>
              <w:t xml:space="preserve"> 0.00194</w:t>
            </w:r>
          </w:p>
        </w:tc>
        <w:tc>
          <w:tcPr>
            <w:tcW w:w="990" w:type="dxa"/>
            <w:vMerge w:val="restart"/>
            <w:tcBorders>
              <w:top w:val="nil"/>
              <w:left w:val="nil"/>
              <w:right w:val="nil"/>
            </w:tcBorders>
            <w:shd w:val="clear" w:color="auto" w:fill="auto"/>
            <w:noWrap/>
            <w:vAlign w:val="center"/>
          </w:tcPr>
          <w:p w14:paraId="01695777"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3870EA">
              <w:rPr>
                <w:rFonts w:eastAsia="Times New Roman"/>
                <w:color w:val="000000"/>
                <w:sz w:val="22"/>
                <w:szCs w:val="22"/>
              </w:rPr>
              <w:t>73.6</w:t>
            </w:r>
          </w:p>
        </w:tc>
        <w:tc>
          <w:tcPr>
            <w:tcW w:w="965" w:type="dxa"/>
            <w:vMerge w:val="restart"/>
            <w:tcBorders>
              <w:top w:val="nil"/>
              <w:left w:val="nil"/>
              <w:right w:val="double" w:sz="4" w:space="0" w:color="auto"/>
            </w:tcBorders>
            <w:shd w:val="clear" w:color="auto" w:fill="auto"/>
            <w:noWrap/>
            <w:vAlign w:val="center"/>
          </w:tcPr>
          <w:p w14:paraId="414D1BB0"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3870EA">
              <w:rPr>
                <w:rFonts w:eastAsia="Times New Roman"/>
                <w:color w:val="000000"/>
                <w:sz w:val="22"/>
                <w:szCs w:val="22"/>
              </w:rPr>
              <w:t>--</w:t>
            </w:r>
          </w:p>
        </w:tc>
      </w:tr>
      <w:tr w:rsidR="00651AAB" w:rsidRPr="003870EA" w14:paraId="4E7B0CB9"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245F0027"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$150,000-$199,999</w:t>
            </w:r>
          </w:p>
        </w:tc>
        <w:tc>
          <w:tcPr>
            <w:tcW w:w="974" w:type="dxa"/>
            <w:tcBorders>
              <w:top w:val="nil"/>
              <w:left w:val="nil"/>
              <w:bottom w:val="nil"/>
              <w:right w:val="nil"/>
            </w:tcBorders>
            <w:shd w:val="clear" w:color="auto" w:fill="auto"/>
            <w:noWrap/>
            <w:vAlign w:val="center"/>
          </w:tcPr>
          <w:p w14:paraId="6B959CA6"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7.5</w:t>
            </w:r>
          </w:p>
        </w:tc>
        <w:tc>
          <w:tcPr>
            <w:tcW w:w="960" w:type="dxa"/>
            <w:tcBorders>
              <w:top w:val="nil"/>
              <w:left w:val="nil"/>
              <w:bottom w:val="nil"/>
              <w:right w:val="nil"/>
            </w:tcBorders>
            <w:shd w:val="clear" w:color="auto" w:fill="auto"/>
            <w:noWrap/>
            <w:vAlign w:val="center"/>
          </w:tcPr>
          <w:p w14:paraId="65A78D41"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7.8</w:t>
            </w:r>
          </w:p>
        </w:tc>
        <w:tc>
          <w:tcPr>
            <w:tcW w:w="2926" w:type="dxa"/>
            <w:tcBorders>
              <w:top w:val="nil"/>
              <w:left w:val="single" w:sz="4" w:space="0" w:color="auto"/>
              <w:bottom w:val="nil"/>
              <w:right w:val="nil"/>
            </w:tcBorders>
            <w:shd w:val="clear" w:color="auto" w:fill="auto"/>
            <w:noWrap/>
            <w:vAlign w:val="center"/>
          </w:tcPr>
          <w:p w14:paraId="67E2E7AE" w14:textId="77777777" w:rsidR="00651AAB" w:rsidRPr="003870EA" w:rsidRDefault="00651AAB" w:rsidP="00E72F8F">
            <w:pPr>
              <w:spacing w:after="0" w:line="240" w:lineRule="auto"/>
              <w:jc w:val="both"/>
              <w:rPr>
                <w:rFonts w:eastAsia="Times New Roman"/>
                <w:color w:val="000000"/>
                <w:sz w:val="22"/>
                <w:szCs w:val="22"/>
              </w:rPr>
            </w:pPr>
            <w:r w:rsidRPr="003870EA">
              <w:rPr>
                <w:rFonts w:eastAsia="Times New Roman"/>
                <w:color w:val="000000" w:themeColor="text1"/>
                <w:sz w:val="22"/>
                <w:szCs w:val="22"/>
              </w:rPr>
              <w:t xml:space="preserve">   </w:t>
            </w:r>
            <w:r>
              <w:rPr>
                <w:rFonts w:eastAsia="Times New Roman"/>
                <w:color w:val="000000" w:themeColor="text1"/>
                <w:sz w:val="22"/>
              </w:rPr>
              <w:t xml:space="preserve">   </w:t>
            </w:r>
            <w:r w:rsidRPr="003870EA">
              <w:rPr>
                <w:rFonts w:eastAsia="Times New Roman"/>
                <w:color w:val="000000" w:themeColor="text1"/>
                <w:sz w:val="22"/>
                <w:szCs w:val="22"/>
              </w:rPr>
              <w:t xml:space="preserve"> </w:t>
            </w:r>
            <w:r>
              <w:rPr>
                <w:rFonts w:eastAsia="Times New Roman"/>
                <w:color w:val="000000" w:themeColor="text1"/>
                <w:sz w:val="22"/>
              </w:rPr>
              <w:t xml:space="preserve"> </w:t>
            </w:r>
            <w:r w:rsidRPr="003870EA">
              <w:rPr>
                <w:rFonts w:eastAsia="Times New Roman"/>
                <w:color w:val="000000" w:themeColor="text1"/>
                <w:sz w:val="22"/>
                <w:szCs w:val="22"/>
              </w:rPr>
              <w:t>person/m</w:t>
            </w:r>
            <w:r w:rsidRPr="003870EA">
              <w:rPr>
                <w:rFonts w:eastAsia="Times New Roman"/>
                <w:color w:val="000000" w:themeColor="text1"/>
                <w:sz w:val="22"/>
                <w:szCs w:val="22"/>
                <w:vertAlign w:val="superscript"/>
              </w:rPr>
              <w:t>2</w:t>
            </w:r>
            <w:r w:rsidRPr="003870EA">
              <w:rPr>
                <w:rFonts w:eastAsia="Calibri"/>
                <w:bCs/>
                <w:color w:val="000000" w:themeColor="text1"/>
                <w:sz w:val="22"/>
                <w:szCs w:val="22"/>
              </w:rPr>
              <w:t>[</w:t>
            </w:r>
            <w:r>
              <w:rPr>
                <w:rFonts w:eastAsia="Calibri"/>
                <w:bCs/>
                <w:color w:val="000000" w:themeColor="text1"/>
                <w:sz w:val="22"/>
              </w:rPr>
              <w:t>mean</w:t>
            </w:r>
            <w:r w:rsidRPr="003870EA">
              <w:rPr>
                <w:rFonts w:eastAsia="Calibri"/>
                <w:bCs/>
                <w:color w:val="000000" w:themeColor="text1"/>
                <w:sz w:val="22"/>
                <w:szCs w:val="22"/>
              </w:rPr>
              <w:t>]</w:t>
            </w:r>
            <w:r>
              <w:rPr>
                <w:rFonts w:eastAsia="Calibri"/>
                <w:bCs/>
                <w:color w:val="000000" w:themeColor="text1"/>
                <w:sz w:val="22"/>
              </w:rPr>
              <w:t xml:space="preserve"> (</w:t>
            </w:r>
            <w:r w:rsidRPr="003870EA">
              <w:rPr>
                <w:rFonts w:eastAsia="Calibri"/>
                <w:bCs/>
                <w:color w:val="000000" w:themeColor="text1"/>
                <w:sz w:val="22"/>
                <w:szCs w:val="22"/>
              </w:rPr>
              <w:t>binary</w:t>
            </w:r>
            <w:r>
              <w:rPr>
                <w:rFonts w:eastAsia="Calibri"/>
                <w:bCs/>
                <w:color w:val="000000" w:themeColor="text1"/>
                <w:sz w:val="22"/>
              </w:rPr>
              <w:t>)</w:t>
            </w:r>
          </w:p>
        </w:tc>
        <w:tc>
          <w:tcPr>
            <w:tcW w:w="990" w:type="dxa"/>
            <w:vMerge/>
            <w:tcBorders>
              <w:left w:val="nil"/>
              <w:bottom w:val="nil"/>
              <w:right w:val="nil"/>
            </w:tcBorders>
            <w:shd w:val="clear" w:color="auto" w:fill="auto"/>
            <w:noWrap/>
            <w:vAlign w:val="center"/>
          </w:tcPr>
          <w:p w14:paraId="06DEDBBA" w14:textId="77777777" w:rsidR="00651AAB" w:rsidRPr="003870EA" w:rsidRDefault="00651AAB" w:rsidP="00E72F8F">
            <w:pPr>
              <w:tabs>
                <w:tab w:val="decimal" w:pos="341"/>
              </w:tabs>
              <w:spacing w:after="0" w:line="240" w:lineRule="auto"/>
              <w:jc w:val="both"/>
              <w:rPr>
                <w:rFonts w:eastAsia="Times New Roman"/>
                <w:color w:val="000000"/>
                <w:sz w:val="22"/>
                <w:szCs w:val="22"/>
              </w:rPr>
            </w:pPr>
          </w:p>
        </w:tc>
        <w:tc>
          <w:tcPr>
            <w:tcW w:w="965" w:type="dxa"/>
            <w:vMerge/>
            <w:tcBorders>
              <w:left w:val="nil"/>
              <w:bottom w:val="nil"/>
              <w:right w:val="double" w:sz="4" w:space="0" w:color="auto"/>
            </w:tcBorders>
            <w:shd w:val="clear" w:color="auto" w:fill="auto"/>
            <w:noWrap/>
            <w:vAlign w:val="center"/>
          </w:tcPr>
          <w:p w14:paraId="2EA0160F" w14:textId="77777777" w:rsidR="00651AAB" w:rsidRPr="003870EA" w:rsidRDefault="00651AAB" w:rsidP="00E72F8F">
            <w:pPr>
              <w:tabs>
                <w:tab w:val="decimal" w:pos="368"/>
              </w:tabs>
              <w:spacing w:after="0" w:line="240" w:lineRule="auto"/>
              <w:jc w:val="both"/>
              <w:rPr>
                <w:rFonts w:eastAsia="Times New Roman"/>
                <w:color w:val="000000"/>
                <w:sz w:val="22"/>
                <w:szCs w:val="22"/>
              </w:rPr>
            </w:pPr>
          </w:p>
        </w:tc>
      </w:tr>
      <w:tr w:rsidR="00651AAB" w:rsidRPr="003870EA" w14:paraId="6D96AE51"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61A3F5CA"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$200,000+</w:t>
            </w:r>
          </w:p>
        </w:tc>
        <w:tc>
          <w:tcPr>
            <w:tcW w:w="974" w:type="dxa"/>
            <w:tcBorders>
              <w:top w:val="nil"/>
              <w:left w:val="nil"/>
              <w:bottom w:val="nil"/>
              <w:right w:val="nil"/>
            </w:tcBorders>
            <w:shd w:val="clear" w:color="auto" w:fill="auto"/>
            <w:noWrap/>
            <w:vAlign w:val="center"/>
          </w:tcPr>
          <w:p w14:paraId="6A192564"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7.8</w:t>
            </w:r>
          </w:p>
        </w:tc>
        <w:tc>
          <w:tcPr>
            <w:tcW w:w="960" w:type="dxa"/>
            <w:tcBorders>
              <w:top w:val="nil"/>
              <w:left w:val="nil"/>
              <w:bottom w:val="nil"/>
              <w:right w:val="nil"/>
            </w:tcBorders>
            <w:shd w:val="clear" w:color="auto" w:fill="auto"/>
            <w:noWrap/>
            <w:vAlign w:val="center"/>
          </w:tcPr>
          <w:p w14:paraId="61BC5374"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9.5</w:t>
            </w:r>
          </w:p>
        </w:tc>
        <w:tc>
          <w:tcPr>
            <w:tcW w:w="2926" w:type="dxa"/>
            <w:tcBorders>
              <w:top w:val="nil"/>
              <w:left w:val="single" w:sz="4" w:space="0" w:color="auto"/>
              <w:bottom w:val="nil"/>
              <w:right w:val="nil"/>
            </w:tcBorders>
            <w:shd w:val="clear" w:color="auto" w:fill="auto"/>
            <w:noWrap/>
            <w:vAlign w:val="center"/>
          </w:tcPr>
          <w:p w14:paraId="10DA7916" w14:textId="77777777" w:rsidR="00651AAB" w:rsidRPr="00471718" w:rsidRDefault="00651AAB" w:rsidP="00E72F8F">
            <w:pPr>
              <w:spacing w:after="0" w:line="240" w:lineRule="auto"/>
              <w:jc w:val="both"/>
              <w:rPr>
                <w:rFonts w:eastAsia="Times New Roman"/>
                <w:i/>
                <w:iCs/>
                <w:color w:val="000000"/>
                <w:sz w:val="22"/>
                <w:szCs w:val="22"/>
              </w:rPr>
            </w:pPr>
            <w:r w:rsidRPr="00107EE9">
              <w:rPr>
                <w:rFonts w:eastAsia="Times New Roman"/>
                <w:b/>
                <w:bCs/>
                <w:i/>
                <w:iCs/>
                <w:color w:val="000000"/>
                <w:sz w:val="22"/>
                <w:szCs w:val="22"/>
              </w:rPr>
              <w:t>Census Region</w:t>
            </w:r>
          </w:p>
        </w:tc>
        <w:tc>
          <w:tcPr>
            <w:tcW w:w="990" w:type="dxa"/>
            <w:tcBorders>
              <w:top w:val="nil"/>
              <w:left w:val="nil"/>
              <w:bottom w:val="nil"/>
              <w:right w:val="nil"/>
            </w:tcBorders>
            <w:shd w:val="clear" w:color="auto" w:fill="auto"/>
            <w:noWrap/>
            <w:vAlign w:val="center"/>
          </w:tcPr>
          <w:p w14:paraId="286402B5" w14:textId="77777777" w:rsidR="00651AAB" w:rsidRPr="003870EA" w:rsidRDefault="00651AAB" w:rsidP="00E72F8F">
            <w:pPr>
              <w:tabs>
                <w:tab w:val="decimal" w:pos="341"/>
              </w:tabs>
              <w:spacing w:after="0" w:line="240" w:lineRule="auto"/>
              <w:jc w:val="both"/>
              <w:rPr>
                <w:rFonts w:eastAsia="Times New Roman"/>
                <w:color w:val="000000"/>
                <w:sz w:val="22"/>
                <w:szCs w:val="22"/>
              </w:rPr>
            </w:pPr>
          </w:p>
        </w:tc>
        <w:tc>
          <w:tcPr>
            <w:tcW w:w="965" w:type="dxa"/>
            <w:tcBorders>
              <w:top w:val="nil"/>
              <w:left w:val="nil"/>
              <w:bottom w:val="nil"/>
              <w:right w:val="double" w:sz="4" w:space="0" w:color="auto"/>
            </w:tcBorders>
            <w:shd w:val="clear" w:color="auto" w:fill="auto"/>
            <w:noWrap/>
            <w:vAlign w:val="center"/>
          </w:tcPr>
          <w:p w14:paraId="1FC898B2" w14:textId="77777777" w:rsidR="00651AAB" w:rsidRPr="003870EA" w:rsidRDefault="00651AAB" w:rsidP="00E72F8F">
            <w:pPr>
              <w:tabs>
                <w:tab w:val="decimal" w:pos="368"/>
              </w:tabs>
              <w:spacing w:after="0" w:line="240" w:lineRule="auto"/>
              <w:jc w:val="both"/>
              <w:rPr>
                <w:rFonts w:eastAsia="Times New Roman"/>
                <w:color w:val="000000"/>
                <w:sz w:val="22"/>
                <w:szCs w:val="22"/>
              </w:rPr>
            </w:pPr>
          </w:p>
        </w:tc>
      </w:tr>
      <w:tr w:rsidR="00651AAB" w:rsidRPr="003870EA" w14:paraId="012A3B6A"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48AA4878"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b/>
                <w:bCs/>
                <w:i/>
                <w:iCs/>
                <w:color w:val="000000"/>
                <w:sz w:val="22"/>
                <w:szCs w:val="22"/>
              </w:rPr>
              <w:t>Number of motorized vehicles</w:t>
            </w:r>
          </w:p>
        </w:tc>
        <w:tc>
          <w:tcPr>
            <w:tcW w:w="974" w:type="dxa"/>
            <w:tcBorders>
              <w:top w:val="nil"/>
              <w:left w:val="nil"/>
              <w:bottom w:val="nil"/>
              <w:right w:val="nil"/>
            </w:tcBorders>
            <w:shd w:val="clear" w:color="auto" w:fill="auto"/>
            <w:noWrap/>
            <w:vAlign w:val="center"/>
          </w:tcPr>
          <w:p w14:paraId="47AB04ED" w14:textId="77777777" w:rsidR="00651AAB" w:rsidRPr="003870EA" w:rsidRDefault="00651AAB" w:rsidP="00E72F8F">
            <w:pPr>
              <w:tabs>
                <w:tab w:val="decimal" w:pos="435"/>
              </w:tabs>
              <w:spacing w:after="0" w:line="240" w:lineRule="auto"/>
              <w:jc w:val="both"/>
              <w:rPr>
                <w:rFonts w:eastAsia="Times New Roman"/>
                <w:color w:val="000000"/>
                <w:sz w:val="22"/>
                <w:szCs w:val="22"/>
              </w:rPr>
            </w:pPr>
          </w:p>
        </w:tc>
        <w:tc>
          <w:tcPr>
            <w:tcW w:w="960" w:type="dxa"/>
            <w:tcBorders>
              <w:top w:val="nil"/>
              <w:left w:val="nil"/>
              <w:bottom w:val="nil"/>
              <w:right w:val="nil"/>
            </w:tcBorders>
            <w:shd w:val="clear" w:color="auto" w:fill="auto"/>
            <w:noWrap/>
            <w:vAlign w:val="center"/>
          </w:tcPr>
          <w:p w14:paraId="06E8D011" w14:textId="77777777" w:rsidR="00651AAB" w:rsidRPr="003870EA" w:rsidRDefault="00651AAB" w:rsidP="00E72F8F">
            <w:pPr>
              <w:tabs>
                <w:tab w:val="decimal" w:pos="365"/>
              </w:tabs>
              <w:spacing w:after="0" w:line="240" w:lineRule="auto"/>
              <w:jc w:val="both"/>
              <w:rPr>
                <w:rFonts w:eastAsia="Times New Roman"/>
                <w:color w:val="000000"/>
                <w:sz w:val="22"/>
                <w:szCs w:val="22"/>
              </w:rPr>
            </w:pPr>
          </w:p>
        </w:tc>
        <w:tc>
          <w:tcPr>
            <w:tcW w:w="2926" w:type="dxa"/>
            <w:tcBorders>
              <w:top w:val="nil"/>
              <w:left w:val="single" w:sz="4" w:space="0" w:color="auto"/>
              <w:bottom w:val="nil"/>
              <w:right w:val="nil"/>
            </w:tcBorders>
            <w:shd w:val="clear" w:color="auto" w:fill="auto"/>
            <w:noWrap/>
            <w:vAlign w:val="center"/>
          </w:tcPr>
          <w:p w14:paraId="2C82D918"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w:t>
            </w:r>
            <w:r w:rsidRPr="003870EA">
              <w:rPr>
                <w:rFonts w:eastAsia="Times New Roman"/>
                <w:color w:val="000000"/>
                <w:sz w:val="22"/>
                <w:szCs w:val="22"/>
              </w:rPr>
              <w:t xml:space="preserve">   </w:t>
            </w:r>
            <w:r w:rsidRPr="00107EE9">
              <w:rPr>
                <w:rFonts w:eastAsia="Times New Roman"/>
                <w:color w:val="000000"/>
                <w:sz w:val="22"/>
                <w:szCs w:val="22"/>
              </w:rPr>
              <w:t>Northeast</w:t>
            </w:r>
          </w:p>
        </w:tc>
        <w:tc>
          <w:tcPr>
            <w:tcW w:w="990" w:type="dxa"/>
            <w:tcBorders>
              <w:top w:val="nil"/>
              <w:left w:val="nil"/>
              <w:bottom w:val="nil"/>
              <w:right w:val="nil"/>
            </w:tcBorders>
            <w:shd w:val="clear" w:color="auto" w:fill="auto"/>
            <w:noWrap/>
            <w:vAlign w:val="center"/>
          </w:tcPr>
          <w:p w14:paraId="32CF3B0C"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12.1</w:t>
            </w:r>
          </w:p>
        </w:tc>
        <w:tc>
          <w:tcPr>
            <w:tcW w:w="965" w:type="dxa"/>
            <w:tcBorders>
              <w:top w:val="nil"/>
              <w:left w:val="nil"/>
              <w:bottom w:val="nil"/>
              <w:right w:val="double" w:sz="4" w:space="0" w:color="auto"/>
            </w:tcBorders>
            <w:shd w:val="clear" w:color="auto" w:fill="auto"/>
            <w:noWrap/>
            <w:vAlign w:val="center"/>
          </w:tcPr>
          <w:p w14:paraId="53190038"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17.2</w:t>
            </w:r>
          </w:p>
        </w:tc>
      </w:tr>
      <w:tr w:rsidR="00651AAB" w:rsidRPr="003870EA" w14:paraId="36F48190" w14:textId="77777777" w:rsidTr="00E72F8F">
        <w:trPr>
          <w:trHeight w:val="63"/>
        </w:trPr>
        <w:tc>
          <w:tcPr>
            <w:tcW w:w="2955" w:type="dxa"/>
            <w:tcBorders>
              <w:top w:val="nil"/>
              <w:left w:val="double" w:sz="4" w:space="0" w:color="auto"/>
              <w:bottom w:val="nil"/>
              <w:right w:val="nil"/>
            </w:tcBorders>
            <w:shd w:val="clear" w:color="auto" w:fill="auto"/>
            <w:noWrap/>
            <w:vAlign w:val="center"/>
          </w:tcPr>
          <w:p w14:paraId="4C360788"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0</w:t>
            </w:r>
          </w:p>
        </w:tc>
        <w:tc>
          <w:tcPr>
            <w:tcW w:w="974" w:type="dxa"/>
            <w:tcBorders>
              <w:top w:val="nil"/>
              <w:left w:val="nil"/>
              <w:bottom w:val="nil"/>
              <w:right w:val="nil"/>
            </w:tcBorders>
            <w:shd w:val="clear" w:color="auto" w:fill="auto"/>
            <w:noWrap/>
            <w:vAlign w:val="center"/>
          </w:tcPr>
          <w:p w14:paraId="4FCBC4D2"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6.4</w:t>
            </w:r>
          </w:p>
        </w:tc>
        <w:tc>
          <w:tcPr>
            <w:tcW w:w="960" w:type="dxa"/>
            <w:tcBorders>
              <w:top w:val="nil"/>
              <w:left w:val="nil"/>
              <w:bottom w:val="nil"/>
              <w:right w:val="nil"/>
            </w:tcBorders>
            <w:shd w:val="clear" w:color="auto" w:fill="auto"/>
            <w:noWrap/>
            <w:vAlign w:val="center"/>
          </w:tcPr>
          <w:p w14:paraId="574A9E7B"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8.1</w:t>
            </w:r>
          </w:p>
        </w:tc>
        <w:tc>
          <w:tcPr>
            <w:tcW w:w="2926" w:type="dxa"/>
            <w:tcBorders>
              <w:top w:val="nil"/>
              <w:left w:val="single" w:sz="4" w:space="0" w:color="auto"/>
              <w:bottom w:val="nil"/>
              <w:right w:val="nil"/>
            </w:tcBorders>
            <w:shd w:val="clear" w:color="auto" w:fill="auto"/>
            <w:noWrap/>
            <w:vAlign w:val="center"/>
          </w:tcPr>
          <w:p w14:paraId="64AEA7A1"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Midwest</w:t>
            </w:r>
          </w:p>
        </w:tc>
        <w:tc>
          <w:tcPr>
            <w:tcW w:w="990" w:type="dxa"/>
            <w:tcBorders>
              <w:top w:val="nil"/>
              <w:left w:val="nil"/>
              <w:bottom w:val="nil"/>
              <w:right w:val="nil"/>
            </w:tcBorders>
            <w:shd w:val="clear" w:color="auto" w:fill="auto"/>
            <w:noWrap/>
            <w:vAlign w:val="center"/>
          </w:tcPr>
          <w:p w14:paraId="1B61A841"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23.1</w:t>
            </w:r>
          </w:p>
        </w:tc>
        <w:tc>
          <w:tcPr>
            <w:tcW w:w="965" w:type="dxa"/>
            <w:tcBorders>
              <w:top w:val="nil"/>
              <w:left w:val="nil"/>
              <w:bottom w:val="nil"/>
              <w:right w:val="double" w:sz="4" w:space="0" w:color="auto"/>
            </w:tcBorders>
            <w:shd w:val="clear" w:color="auto" w:fill="auto"/>
            <w:noWrap/>
            <w:vAlign w:val="center"/>
          </w:tcPr>
          <w:p w14:paraId="0C807426"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20.7</w:t>
            </w:r>
          </w:p>
        </w:tc>
      </w:tr>
      <w:tr w:rsidR="00651AAB" w:rsidRPr="003870EA" w14:paraId="4E5A656F"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5D1B4E26"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1</w:t>
            </w:r>
          </w:p>
        </w:tc>
        <w:tc>
          <w:tcPr>
            <w:tcW w:w="974" w:type="dxa"/>
            <w:tcBorders>
              <w:top w:val="nil"/>
              <w:left w:val="nil"/>
              <w:bottom w:val="nil"/>
              <w:right w:val="nil"/>
            </w:tcBorders>
            <w:shd w:val="clear" w:color="auto" w:fill="auto"/>
            <w:noWrap/>
            <w:vAlign w:val="center"/>
          </w:tcPr>
          <w:p w14:paraId="7B91E3AA"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41.2</w:t>
            </w:r>
          </w:p>
        </w:tc>
        <w:tc>
          <w:tcPr>
            <w:tcW w:w="960" w:type="dxa"/>
            <w:tcBorders>
              <w:top w:val="nil"/>
              <w:left w:val="nil"/>
              <w:bottom w:val="nil"/>
              <w:right w:val="nil"/>
            </w:tcBorders>
            <w:shd w:val="clear" w:color="auto" w:fill="auto"/>
            <w:noWrap/>
            <w:vAlign w:val="center"/>
          </w:tcPr>
          <w:p w14:paraId="26D7E520"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32.9</w:t>
            </w:r>
          </w:p>
        </w:tc>
        <w:tc>
          <w:tcPr>
            <w:tcW w:w="2926" w:type="dxa"/>
            <w:tcBorders>
              <w:top w:val="nil"/>
              <w:left w:val="single" w:sz="4" w:space="0" w:color="auto"/>
              <w:bottom w:val="nil"/>
              <w:right w:val="nil"/>
            </w:tcBorders>
            <w:shd w:val="clear" w:color="auto" w:fill="auto"/>
            <w:noWrap/>
            <w:vAlign w:val="center"/>
          </w:tcPr>
          <w:p w14:paraId="437DB38C"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South </w:t>
            </w:r>
          </w:p>
        </w:tc>
        <w:tc>
          <w:tcPr>
            <w:tcW w:w="990" w:type="dxa"/>
            <w:tcBorders>
              <w:top w:val="nil"/>
              <w:left w:val="nil"/>
              <w:bottom w:val="nil"/>
              <w:right w:val="nil"/>
            </w:tcBorders>
            <w:shd w:val="clear" w:color="auto" w:fill="auto"/>
            <w:noWrap/>
            <w:vAlign w:val="center"/>
          </w:tcPr>
          <w:p w14:paraId="485DE12B"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25.1</w:t>
            </w:r>
          </w:p>
        </w:tc>
        <w:tc>
          <w:tcPr>
            <w:tcW w:w="965" w:type="dxa"/>
            <w:tcBorders>
              <w:top w:val="nil"/>
              <w:left w:val="nil"/>
              <w:bottom w:val="nil"/>
              <w:right w:val="double" w:sz="4" w:space="0" w:color="auto"/>
            </w:tcBorders>
            <w:shd w:val="clear" w:color="auto" w:fill="auto"/>
            <w:noWrap/>
            <w:vAlign w:val="center"/>
          </w:tcPr>
          <w:p w14:paraId="54940A42"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38.4</w:t>
            </w:r>
          </w:p>
        </w:tc>
      </w:tr>
      <w:tr w:rsidR="00651AAB" w:rsidRPr="003870EA" w14:paraId="0D4F81FD" w14:textId="77777777" w:rsidTr="00E72F8F">
        <w:trPr>
          <w:trHeight w:val="20"/>
        </w:trPr>
        <w:tc>
          <w:tcPr>
            <w:tcW w:w="2955" w:type="dxa"/>
            <w:tcBorders>
              <w:top w:val="nil"/>
              <w:left w:val="double" w:sz="4" w:space="0" w:color="auto"/>
              <w:bottom w:val="nil"/>
              <w:right w:val="nil"/>
            </w:tcBorders>
            <w:shd w:val="clear" w:color="auto" w:fill="auto"/>
            <w:noWrap/>
            <w:vAlign w:val="center"/>
          </w:tcPr>
          <w:p w14:paraId="7CF23CE5"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2</w:t>
            </w:r>
          </w:p>
        </w:tc>
        <w:tc>
          <w:tcPr>
            <w:tcW w:w="974" w:type="dxa"/>
            <w:tcBorders>
              <w:top w:val="nil"/>
              <w:left w:val="nil"/>
              <w:bottom w:val="nil"/>
              <w:right w:val="nil"/>
            </w:tcBorders>
            <w:shd w:val="clear" w:color="auto" w:fill="auto"/>
            <w:noWrap/>
            <w:vAlign w:val="center"/>
          </w:tcPr>
          <w:p w14:paraId="74171AC5"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39.4</w:t>
            </w:r>
          </w:p>
        </w:tc>
        <w:tc>
          <w:tcPr>
            <w:tcW w:w="960" w:type="dxa"/>
            <w:tcBorders>
              <w:top w:val="nil"/>
              <w:left w:val="nil"/>
              <w:bottom w:val="nil"/>
              <w:right w:val="nil"/>
            </w:tcBorders>
            <w:shd w:val="clear" w:color="auto" w:fill="auto"/>
            <w:noWrap/>
            <w:vAlign w:val="center"/>
          </w:tcPr>
          <w:p w14:paraId="356AE1E4"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37.1</w:t>
            </w:r>
          </w:p>
        </w:tc>
        <w:tc>
          <w:tcPr>
            <w:tcW w:w="2926" w:type="dxa"/>
            <w:tcBorders>
              <w:top w:val="nil"/>
              <w:left w:val="single" w:sz="4" w:space="0" w:color="auto"/>
              <w:bottom w:val="nil"/>
              <w:right w:val="nil"/>
            </w:tcBorders>
            <w:shd w:val="clear" w:color="auto" w:fill="auto"/>
            <w:noWrap/>
            <w:vAlign w:val="center"/>
          </w:tcPr>
          <w:p w14:paraId="6068B813"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West</w:t>
            </w:r>
          </w:p>
        </w:tc>
        <w:tc>
          <w:tcPr>
            <w:tcW w:w="990" w:type="dxa"/>
            <w:tcBorders>
              <w:top w:val="nil"/>
              <w:left w:val="nil"/>
              <w:bottom w:val="nil"/>
              <w:right w:val="nil"/>
            </w:tcBorders>
            <w:shd w:val="clear" w:color="auto" w:fill="auto"/>
            <w:noWrap/>
            <w:vAlign w:val="center"/>
          </w:tcPr>
          <w:p w14:paraId="2C6A9F59"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39.7</w:t>
            </w:r>
          </w:p>
        </w:tc>
        <w:tc>
          <w:tcPr>
            <w:tcW w:w="965" w:type="dxa"/>
            <w:tcBorders>
              <w:top w:val="nil"/>
              <w:left w:val="nil"/>
              <w:bottom w:val="nil"/>
              <w:right w:val="double" w:sz="4" w:space="0" w:color="auto"/>
            </w:tcBorders>
            <w:shd w:val="clear" w:color="auto" w:fill="auto"/>
            <w:noWrap/>
            <w:vAlign w:val="center"/>
          </w:tcPr>
          <w:p w14:paraId="116FE922"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23.7</w:t>
            </w:r>
          </w:p>
        </w:tc>
      </w:tr>
      <w:tr w:rsidR="00651AAB" w:rsidRPr="003870EA" w14:paraId="784B8A2F" w14:textId="77777777" w:rsidTr="00E72F8F">
        <w:trPr>
          <w:trHeight w:val="20"/>
        </w:trPr>
        <w:tc>
          <w:tcPr>
            <w:tcW w:w="2955" w:type="dxa"/>
            <w:tcBorders>
              <w:top w:val="nil"/>
              <w:left w:val="double" w:sz="4" w:space="0" w:color="auto"/>
              <w:bottom w:val="double" w:sz="4" w:space="0" w:color="auto"/>
              <w:right w:val="nil"/>
            </w:tcBorders>
            <w:shd w:val="clear" w:color="auto" w:fill="auto"/>
            <w:noWrap/>
            <w:vAlign w:val="center"/>
          </w:tcPr>
          <w:p w14:paraId="3E3A8913" w14:textId="77777777" w:rsidR="00651AAB" w:rsidRPr="003870EA" w:rsidRDefault="00651AAB" w:rsidP="00E72F8F">
            <w:pPr>
              <w:spacing w:after="0" w:line="240" w:lineRule="auto"/>
              <w:jc w:val="both"/>
              <w:rPr>
                <w:rFonts w:eastAsia="Times New Roman"/>
                <w:color w:val="000000"/>
                <w:sz w:val="22"/>
                <w:szCs w:val="22"/>
              </w:rPr>
            </w:pPr>
            <w:r w:rsidRPr="00107EE9">
              <w:rPr>
                <w:rFonts w:eastAsia="Times New Roman"/>
                <w:color w:val="000000"/>
                <w:sz w:val="22"/>
                <w:szCs w:val="22"/>
              </w:rPr>
              <w:t xml:space="preserve">    3+</w:t>
            </w:r>
          </w:p>
        </w:tc>
        <w:tc>
          <w:tcPr>
            <w:tcW w:w="974" w:type="dxa"/>
            <w:tcBorders>
              <w:top w:val="nil"/>
              <w:left w:val="nil"/>
              <w:bottom w:val="double" w:sz="4" w:space="0" w:color="auto"/>
              <w:right w:val="nil"/>
            </w:tcBorders>
            <w:shd w:val="clear" w:color="auto" w:fill="auto"/>
            <w:noWrap/>
            <w:vAlign w:val="center"/>
          </w:tcPr>
          <w:p w14:paraId="66A96049" w14:textId="77777777" w:rsidR="00651AAB" w:rsidRPr="003870EA" w:rsidRDefault="00651AAB" w:rsidP="00E72F8F">
            <w:pPr>
              <w:tabs>
                <w:tab w:val="decimal" w:pos="435"/>
              </w:tabs>
              <w:spacing w:after="0" w:line="240" w:lineRule="auto"/>
              <w:jc w:val="both"/>
              <w:rPr>
                <w:rFonts w:eastAsia="Times New Roman"/>
                <w:color w:val="000000"/>
                <w:sz w:val="22"/>
                <w:szCs w:val="22"/>
              </w:rPr>
            </w:pPr>
            <w:r w:rsidRPr="00107EE9">
              <w:rPr>
                <w:rFonts w:eastAsia="Times New Roman"/>
                <w:color w:val="000000"/>
                <w:sz w:val="22"/>
                <w:szCs w:val="22"/>
              </w:rPr>
              <w:t>13.0</w:t>
            </w:r>
          </w:p>
        </w:tc>
        <w:tc>
          <w:tcPr>
            <w:tcW w:w="960" w:type="dxa"/>
            <w:tcBorders>
              <w:top w:val="nil"/>
              <w:left w:val="nil"/>
              <w:bottom w:val="double" w:sz="4" w:space="0" w:color="auto"/>
              <w:right w:val="nil"/>
            </w:tcBorders>
            <w:shd w:val="clear" w:color="auto" w:fill="auto"/>
            <w:noWrap/>
            <w:vAlign w:val="center"/>
          </w:tcPr>
          <w:p w14:paraId="0ADFCE2E" w14:textId="77777777" w:rsidR="00651AAB" w:rsidRPr="003870EA" w:rsidRDefault="00651AAB" w:rsidP="00E72F8F">
            <w:pPr>
              <w:tabs>
                <w:tab w:val="decimal" w:pos="365"/>
              </w:tabs>
              <w:spacing w:after="0" w:line="240" w:lineRule="auto"/>
              <w:jc w:val="both"/>
              <w:rPr>
                <w:rFonts w:eastAsia="Times New Roman"/>
                <w:color w:val="000000"/>
                <w:sz w:val="22"/>
                <w:szCs w:val="22"/>
              </w:rPr>
            </w:pPr>
            <w:r w:rsidRPr="00107EE9">
              <w:rPr>
                <w:rFonts w:eastAsia="Times New Roman"/>
                <w:color w:val="000000"/>
                <w:sz w:val="22"/>
                <w:szCs w:val="22"/>
              </w:rPr>
              <w:t>21.9</w:t>
            </w:r>
          </w:p>
        </w:tc>
        <w:tc>
          <w:tcPr>
            <w:tcW w:w="2926" w:type="dxa"/>
            <w:tcBorders>
              <w:top w:val="nil"/>
              <w:left w:val="single" w:sz="4" w:space="0" w:color="auto"/>
              <w:bottom w:val="double" w:sz="4" w:space="0" w:color="auto"/>
              <w:right w:val="nil"/>
            </w:tcBorders>
            <w:shd w:val="clear" w:color="auto" w:fill="auto"/>
            <w:noWrap/>
            <w:vAlign w:val="center"/>
          </w:tcPr>
          <w:p w14:paraId="46F55F47" w14:textId="77777777" w:rsidR="00651AAB" w:rsidRPr="003870EA" w:rsidRDefault="00651AAB" w:rsidP="00E72F8F">
            <w:pPr>
              <w:spacing w:after="0" w:line="240" w:lineRule="auto"/>
              <w:jc w:val="both"/>
              <w:rPr>
                <w:rFonts w:eastAsia="Times New Roman"/>
                <w:color w:val="000000"/>
                <w:sz w:val="22"/>
                <w:szCs w:val="22"/>
              </w:rPr>
            </w:pPr>
          </w:p>
        </w:tc>
        <w:tc>
          <w:tcPr>
            <w:tcW w:w="990" w:type="dxa"/>
            <w:tcBorders>
              <w:top w:val="nil"/>
              <w:left w:val="nil"/>
              <w:bottom w:val="double" w:sz="4" w:space="0" w:color="auto"/>
              <w:right w:val="nil"/>
            </w:tcBorders>
            <w:shd w:val="clear" w:color="auto" w:fill="auto"/>
            <w:noWrap/>
            <w:vAlign w:val="center"/>
          </w:tcPr>
          <w:p w14:paraId="4E54F2D8" w14:textId="77777777" w:rsidR="00651AAB" w:rsidRPr="003870EA" w:rsidRDefault="00651AAB" w:rsidP="00E72F8F">
            <w:pPr>
              <w:tabs>
                <w:tab w:val="decimal" w:pos="341"/>
              </w:tabs>
              <w:spacing w:after="0" w:line="240" w:lineRule="auto"/>
              <w:jc w:val="both"/>
              <w:rPr>
                <w:rFonts w:eastAsia="Times New Roman"/>
                <w:color w:val="000000"/>
                <w:sz w:val="22"/>
                <w:szCs w:val="22"/>
              </w:rPr>
            </w:pPr>
          </w:p>
        </w:tc>
        <w:tc>
          <w:tcPr>
            <w:tcW w:w="965" w:type="dxa"/>
            <w:tcBorders>
              <w:top w:val="nil"/>
              <w:left w:val="nil"/>
              <w:bottom w:val="double" w:sz="4" w:space="0" w:color="auto"/>
              <w:right w:val="double" w:sz="4" w:space="0" w:color="auto"/>
            </w:tcBorders>
            <w:shd w:val="clear" w:color="auto" w:fill="auto"/>
            <w:noWrap/>
            <w:vAlign w:val="center"/>
          </w:tcPr>
          <w:p w14:paraId="2BF53052" w14:textId="77777777" w:rsidR="00651AAB" w:rsidRPr="003870EA" w:rsidRDefault="00651AAB" w:rsidP="00E72F8F">
            <w:pPr>
              <w:tabs>
                <w:tab w:val="decimal" w:pos="368"/>
              </w:tabs>
              <w:spacing w:after="0" w:line="240" w:lineRule="auto"/>
              <w:jc w:val="both"/>
              <w:rPr>
                <w:rFonts w:eastAsia="Times New Roman"/>
                <w:color w:val="000000"/>
                <w:sz w:val="22"/>
                <w:szCs w:val="22"/>
              </w:rPr>
            </w:pPr>
          </w:p>
        </w:tc>
      </w:tr>
    </w:tbl>
    <w:p w14:paraId="3EDBB634" w14:textId="77777777" w:rsidR="00651AAB" w:rsidRPr="00651AAB" w:rsidRDefault="00651AAB" w:rsidP="00651AAB"/>
    <w:p w14:paraId="6F645C06" w14:textId="07A62A85" w:rsidR="00F56DAF" w:rsidRPr="008858C9" w:rsidRDefault="008F5ED8" w:rsidP="00F56DAF">
      <w:pPr>
        <w:spacing w:line="240" w:lineRule="auto"/>
        <w:jc w:val="both"/>
        <w:rPr>
          <w:b/>
          <w:bCs/>
        </w:rPr>
      </w:pPr>
      <w:r>
        <w:br w:type="page"/>
      </w:r>
    </w:p>
    <w:p w14:paraId="0F35B67E" w14:textId="3FC5771F" w:rsidR="0069340B" w:rsidRDefault="0069340B" w:rsidP="00C37174">
      <w:pPr>
        <w:pStyle w:val="Caption"/>
        <w:keepNext/>
        <w:spacing w:after="120"/>
        <w:jc w:val="left"/>
      </w:pPr>
      <w:bookmarkStart w:id="87" w:name="_Ref178945050"/>
      <w:r>
        <w:lastRenderedPageBreak/>
        <w:t xml:space="preserve">Table </w:t>
      </w:r>
      <w:r w:rsidR="00C425C0">
        <w:fldChar w:fldCharType="begin"/>
      </w:r>
      <w:r w:rsidR="00C425C0">
        <w:instrText xml:space="preserve"> SEQ Table \* ARABIC </w:instrText>
      </w:r>
      <w:r w:rsidR="00C425C0">
        <w:fldChar w:fldCharType="separate"/>
      </w:r>
      <w:r w:rsidR="008A3DCE">
        <w:rPr>
          <w:noProof/>
        </w:rPr>
        <w:t>4</w:t>
      </w:r>
      <w:r w:rsidR="00C425C0">
        <w:rPr>
          <w:noProof/>
        </w:rPr>
        <w:fldChar w:fldCharType="end"/>
      </w:r>
      <w:bookmarkEnd w:id="87"/>
      <w:r>
        <w:t xml:space="preserve">. </w:t>
      </w:r>
      <w:r w:rsidRPr="00CA2851">
        <w:t>Telemedicine Adoption Model Estimation Results</w:t>
      </w:r>
    </w:p>
    <w:tbl>
      <w:tblPr>
        <w:tblStyle w:val="TableGrid1"/>
        <w:tblW w:w="4960" w:type="pct"/>
        <w:tblLayout w:type="fixed"/>
        <w:tblCellMar>
          <w:left w:w="14" w:type="dxa"/>
          <w:right w:w="14" w:type="dxa"/>
        </w:tblCellMar>
        <w:tblLook w:val="04A0" w:firstRow="1" w:lastRow="0" w:firstColumn="1" w:lastColumn="0" w:noHBand="0" w:noVBand="1"/>
      </w:tblPr>
      <w:tblGrid>
        <w:gridCol w:w="5922"/>
        <w:gridCol w:w="900"/>
        <w:gridCol w:w="811"/>
        <w:gridCol w:w="811"/>
        <w:gridCol w:w="811"/>
      </w:tblGrid>
      <w:tr w:rsidR="006F3050" w:rsidRPr="008858C9" w14:paraId="4292F94D" w14:textId="77777777" w:rsidTr="0069340B">
        <w:trPr>
          <w:trHeight w:val="288"/>
          <w:tblHeader/>
        </w:trPr>
        <w:tc>
          <w:tcPr>
            <w:tcW w:w="3200" w:type="pct"/>
            <w:vMerge w:val="restart"/>
            <w:tcBorders>
              <w:top w:val="double" w:sz="4" w:space="0" w:color="auto"/>
              <w:left w:val="double" w:sz="4" w:space="0" w:color="auto"/>
              <w:right w:val="double" w:sz="4" w:space="0" w:color="auto"/>
            </w:tcBorders>
            <w:shd w:val="clear" w:color="auto" w:fill="auto"/>
            <w:tcMar>
              <w:left w:w="43" w:type="dxa"/>
              <w:right w:w="43" w:type="dxa"/>
            </w:tcMar>
            <w:vAlign w:val="center"/>
          </w:tcPr>
          <w:bookmarkEnd w:id="78"/>
          <w:p w14:paraId="162A542F" w14:textId="77777777" w:rsidR="00CA2851" w:rsidRPr="00E22872" w:rsidRDefault="00CA2851" w:rsidP="00565BCE">
            <w:pPr>
              <w:rPr>
                <w:rFonts w:eastAsia="Calibri"/>
                <w:b/>
                <w:color w:val="000000" w:themeColor="text1"/>
                <w:sz w:val="20"/>
                <w:szCs w:val="20"/>
              </w:rPr>
            </w:pPr>
            <w:r w:rsidRPr="00E22872">
              <w:rPr>
                <w:rFonts w:eastAsia="Calibri"/>
                <w:b/>
                <w:color w:val="000000" w:themeColor="text1"/>
                <w:sz w:val="20"/>
                <w:szCs w:val="20"/>
              </w:rPr>
              <w:t xml:space="preserve">Explanatory Variables </w:t>
            </w:r>
          </w:p>
          <w:p w14:paraId="70EC513C" w14:textId="77777777" w:rsidR="00CA2851" w:rsidRPr="00E22872" w:rsidRDefault="00CA2851" w:rsidP="00565BCE">
            <w:pPr>
              <w:rPr>
                <w:rFonts w:eastAsia="Calibri"/>
                <w:b/>
                <w:bCs/>
                <w:color w:val="000000" w:themeColor="text1"/>
                <w:sz w:val="20"/>
                <w:szCs w:val="20"/>
              </w:rPr>
            </w:pPr>
            <w:r w:rsidRPr="00E22872">
              <w:rPr>
                <w:rFonts w:eastAsia="Calibri"/>
                <w:b/>
                <w:color w:val="000000" w:themeColor="text1"/>
                <w:sz w:val="20"/>
                <w:szCs w:val="20"/>
              </w:rPr>
              <w:t>(base category)</w:t>
            </w:r>
          </w:p>
        </w:tc>
        <w:tc>
          <w:tcPr>
            <w:tcW w:w="1800" w:type="pct"/>
            <w:gridSpan w:val="4"/>
            <w:tcBorders>
              <w:top w:val="double" w:sz="4" w:space="0" w:color="auto"/>
              <w:left w:val="double" w:sz="4" w:space="0" w:color="auto"/>
              <w:right w:val="double" w:sz="4" w:space="0" w:color="auto"/>
            </w:tcBorders>
            <w:shd w:val="clear" w:color="auto" w:fill="auto"/>
            <w:tcMar>
              <w:left w:w="43" w:type="dxa"/>
              <w:right w:w="43" w:type="dxa"/>
            </w:tcMar>
            <w:vAlign w:val="center"/>
          </w:tcPr>
          <w:p w14:paraId="34F5538C" w14:textId="77777777" w:rsidR="00CA2851" w:rsidRPr="008858C9" w:rsidRDefault="00CA2851" w:rsidP="0035067E">
            <w:pPr>
              <w:jc w:val="center"/>
              <w:rPr>
                <w:rFonts w:eastAsia="Calibri"/>
                <w:b/>
                <w:sz w:val="20"/>
                <w:szCs w:val="20"/>
              </w:rPr>
            </w:pPr>
            <w:r w:rsidRPr="008858C9">
              <w:rPr>
                <w:rFonts w:eastAsia="Calibri"/>
                <w:b/>
                <w:sz w:val="20"/>
                <w:szCs w:val="20"/>
              </w:rPr>
              <w:t>Telemedicine Adoption</w:t>
            </w:r>
          </w:p>
        </w:tc>
      </w:tr>
      <w:tr w:rsidR="006F3050" w:rsidRPr="008858C9" w14:paraId="615DE506" w14:textId="77777777" w:rsidTr="0069340B">
        <w:trPr>
          <w:trHeight w:val="288"/>
          <w:tblHeader/>
        </w:trPr>
        <w:tc>
          <w:tcPr>
            <w:tcW w:w="3200" w:type="pct"/>
            <w:vMerge/>
            <w:tcBorders>
              <w:left w:val="double" w:sz="4" w:space="0" w:color="auto"/>
              <w:right w:val="double" w:sz="4" w:space="0" w:color="auto"/>
            </w:tcBorders>
            <w:shd w:val="clear" w:color="auto" w:fill="auto"/>
            <w:tcMar>
              <w:left w:w="43" w:type="dxa"/>
              <w:right w:w="43" w:type="dxa"/>
            </w:tcMar>
            <w:vAlign w:val="center"/>
          </w:tcPr>
          <w:p w14:paraId="1B72D7D7" w14:textId="77777777" w:rsidR="00CA2851" w:rsidRPr="00E22872" w:rsidRDefault="00CA2851" w:rsidP="00565BCE">
            <w:pPr>
              <w:rPr>
                <w:rFonts w:eastAsia="Calibri"/>
                <w:bCs/>
                <w:color w:val="000000" w:themeColor="text1"/>
                <w:sz w:val="20"/>
                <w:szCs w:val="20"/>
              </w:rPr>
            </w:pPr>
          </w:p>
        </w:tc>
        <w:tc>
          <w:tcPr>
            <w:tcW w:w="924" w:type="pct"/>
            <w:gridSpan w:val="2"/>
            <w:tcBorders>
              <w:left w:val="double" w:sz="4" w:space="0" w:color="auto"/>
              <w:right w:val="single" w:sz="8" w:space="0" w:color="auto"/>
            </w:tcBorders>
            <w:shd w:val="clear" w:color="auto" w:fill="auto"/>
            <w:tcMar>
              <w:left w:w="43" w:type="dxa"/>
              <w:right w:w="43" w:type="dxa"/>
            </w:tcMar>
            <w:vAlign w:val="center"/>
          </w:tcPr>
          <w:p w14:paraId="1FCF16EB" w14:textId="018F5A6A" w:rsidR="00CA2851" w:rsidRPr="008858C9" w:rsidRDefault="00C817CF" w:rsidP="0035067E">
            <w:pPr>
              <w:jc w:val="center"/>
              <w:rPr>
                <w:rFonts w:eastAsia="Calibri"/>
                <w:b/>
                <w:sz w:val="20"/>
                <w:szCs w:val="20"/>
              </w:rPr>
            </w:pPr>
            <w:r>
              <w:rPr>
                <w:rFonts w:eastAsia="Calibri"/>
                <w:b/>
                <w:sz w:val="20"/>
                <w:szCs w:val="20"/>
              </w:rPr>
              <w:t>Before-</w:t>
            </w:r>
            <w:r w:rsidR="006312A4">
              <w:rPr>
                <w:rFonts w:eastAsia="Calibri"/>
                <w:b/>
                <w:sz w:val="20"/>
                <w:szCs w:val="20"/>
              </w:rPr>
              <w:t>COVID</w:t>
            </w:r>
          </w:p>
        </w:tc>
        <w:tc>
          <w:tcPr>
            <w:tcW w:w="875" w:type="pct"/>
            <w:gridSpan w:val="2"/>
            <w:tcBorders>
              <w:left w:val="single" w:sz="8" w:space="0" w:color="auto"/>
              <w:right w:val="double" w:sz="4" w:space="0" w:color="auto"/>
            </w:tcBorders>
            <w:shd w:val="clear" w:color="auto" w:fill="auto"/>
            <w:tcMar>
              <w:left w:w="43" w:type="dxa"/>
              <w:right w:w="43" w:type="dxa"/>
            </w:tcMar>
            <w:vAlign w:val="center"/>
          </w:tcPr>
          <w:p w14:paraId="66AEF79B" w14:textId="56234C7C" w:rsidR="00CA2851" w:rsidRPr="008858C9" w:rsidRDefault="006312A4" w:rsidP="0035067E">
            <w:pPr>
              <w:jc w:val="center"/>
              <w:rPr>
                <w:rFonts w:eastAsia="Calibri"/>
                <w:b/>
                <w:sz w:val="20"/>
                <w:szCs w:val="20"/>
              </w:rPr>
            </w:pPr>
            <w:r>
              <w:rPr>
                <w:rFonts w:eastAsia="Calibri"/>
                <w:b/>
                <w:sz w:val="20"/>
                <w:szCs w:val="20"/>
              </w:rPr>
              <w:t>After-COVID</w:t>
            </w:r>
          </w:p>
        </w:tc>
      </w:tr>
      <w:tr w:rsidR="006F3050" w:rsidRPr="008858C9" w14:paraId="30B45036" w14:textId="77777777" w:rsidTr="0069340B">
        <w:trPr>
          <w:trHeight w:val="288"/>
          <w:tblHeader/>
        </w:trPr>
        <w:tc>
          <w:tcPr>
            <w:tcW w:w="3200" w:type="pct"/>
            <w:vMerge/>
            <w:tcBorders>
              <w:left w:val="double" w:sz="4" w:space="0" w:color="auto"/>
              <w:bottom w:val="single" w:sz="4" w:space="0" w:color="auto"/>
              <w:right w:val="double" w:sz="4" w:space="0" w:color="auto"/>
            </w:tcBorders>
            <w:shd w:val="clear" w:color="auto" w:fill="auto"/>
            <w:tcMar>
              <w:left w:w="43" w:type="dxa"/>
              <w:right w:w="43" w:type="dxa"/>
            </w:tcMar>
            <w:vAlign w:val="center"/>
          </w:tcPr>
          <w:p w14:paraId="6A2810B6" w14:textId="77777777" w:rsidR="00CA2851" w:rsidRPr="00E22872" w:rsidRDefault="00CA2851" w:rsidP="00565BCE">
            <w:pPr>
              <w:rPr>
                <w:rFonts w:eastAsia="Calibri"/>
                <w:bCs/>
                <w:color w:val="000000" w:themeColor="text1"/>
                <w:sz w:val="20"/>
                <w:szCs w:val="20"/>
              </w:rPr>
            </w:pPr>
          </w:p>
        </w:tc>
        <w:tc>
          <w:tcPr>
            <w:tcW w:w="486" w:type="pct"/>
            <w:tcBorders>
              <w:left w:val="double" w:sz="4" w:space="0" w:color="auto"/>
              <w:bottom w:val="single" w:sz="4" w:space="0" w:color="auto"/>
            </w:tcBorders>
            <w:shd w:val="clear" w:color="auto" w:fill="auto"/>
            <w:tcMar>
              <w:left w:w="43" w:type="dxa"/>
              <w:right w:w="43" w:type="dxa"/>
            </w:tcMar>
            <w:vAlign w:val="center"/>
          </w:tcPr>
          <w:p w14:paraId="1E1607C9" w14:textId="77777777" w:rsidR="00CA2851" w:rsidRPr="008858C9" w:rsidRDefault="00CA2851" w:rsidP="006F3050">
            <w:pPr>
              <w:jc w:val="center"/>
              <w:rPr>
                <w:rFonts w:eastAsia="Calibri"/>
                <w:bCs/>
                <w:sz w:val="20"/>
                <w:szCs w:val="20"/>
              </w:rPr>
            </w:pPr>
            <w:r w:rsidRPr="008858C9">
              <w:rPr>
                <w:rFonts w:eastAsia="Calibri"/>
                <w:bCs/>
                <w:sz w:val="20"/>
                <w:szCs w:val="20"/>
              </w:rPr>
              <w:t>Coeff.</w:t>
            </w:r>
          </w:p>
        </w:tc>
        <w:tc>
          <w:tcPr>
            <w:tcW w:w="438" w:type="pct"/>
            <w:tcBorders>
              <w:bottom w:val="single" w:sz="4" w:space="0" w:color="auto"/>
              <w:right w:val="single" w:sz="8" w:space="0" w:color="auto"/>
            </w:tcBorders>
            <w:shd w:val="clear" w:color="auto" w:fill="auto"/>
            <w:tcMar>
              <w:left w:w="43" w:type="dxa"/>
              <w:right w:w="43" w:type="dxa"/>
            </w:tcMar>
            <w:vAlign w:val="center"/>
          </w:tcPr>
          <w:p w14:paraId="4E35728D" w14:textId="77777777" w:rsidR="00CA2851" w:rsidRPr="008858C9" w:rsidRDefault="00CA2851" w:rsidP="006F3050">
            <w:pPr>
              <w:jc w:val="center"/>
              <w:rPr>
                <w:rFonts w:eastAsia="Calibri"/>
                <w:bCs/>
                <w:sz w:val="20"/>
                <w:szCs w:val="20"/>
              </w:rPr>
            </w:pPr>
            <w:r w:rsidRPr="008858C9">
              <w:rPr>
                <w:rFonts w:eastAsia="Calibri"/>
                <w:bCs/>
                <w:sz w:val="20"/>
                <w:szCs w:val="20"/>
              </w:rPr>
              <w:t>t-stat</w:t>
            </w:r>
          </w:p>
        </w:tc>
        <w:tc>
          <w:tcPr>
            <w:tcW w:w="438" w:type="pct"/>
            <w:tcBorders>
              <w:left w:val="single" w:sz="8" w:space="0" w:color="auto"/>
              <w:bottom w:val="single" w:sz="4" w:space="0" w:color="auto"/>
            </w:tcBorders>
            <w:shd w:val="clear" w:color="auto" w:fill="auto"/>
            <w:tcMar>
              <w:left w:w="43" w:type="dxa"/>
              <w:right w:w="43" w:type="dxa"/>
            </w:tcMar>
            <w:vAlign w:val="center"/>
          </w:tcPr>
          <w:p w14:paraId="73785E77" w14:textId="77777777" w:rsidR="00CA2851" w:rsidRPr="008858C9" w:rsidRDefault="00CA2851" w:rsidP="006F3050">
            <w:pPr>
              <w:jc w:val="center"/>
              <w:rPr>
                <w:rFonts w:eastAsia="Calibri"/>
                <w:bCs/>
                <w:sz w:val="20"/>
                <w:szCs w:val="20"/>
              </w:rPr>
            </w:pPr>
            <w:r w:rsidRPr="008858C9">
              <w:rPr>
                <w:rFonts w:eastAsia="Calibri"/>
                <w:bCs/>
                <w:sz w:val="20"/>
                <w:szCs w:val="20"/>
              </w:rPr>
              <w:t>Coeff.</w:t>
            </w:r>
          </w:p>
        </w:tc>
        <w:tc>
          <w:tcPr>
            <w:tcW w:w="437" w:type="pct"/>
            <w:tcBorders>
              <w:bottom w:val="single" w:sz="4" w:space="0" w:color="auto"/>
              <w:right w:val="double" w:sz="4" w:space="0" w:color="auto"/>
            </w:tcBorders>
            <w:shd w:val="clear" w:color="auto" w:fill="auto"/>
            <w:tcMar>
              <w:left w:w="43" w:type="dxa"/>
              <w:right w:w="43" w:type="dxa"/>
            </w:tcMar>
            <w:vAlign w:val="center"/>
          </w:tcPr>
          <w:p w14:paraId="6BCCF3DD" w14:textId="77777777" w:rsidR="00CA2851" w:rsidRPr="008858C9" w:rsidRDefault="00CA2851" w:rsidP="006F3050">
            <w:pPr>
              <w:jc w:val="center"/>
              <w:rPr>
                <w:rFonts w:eastAsia="Calibri"/>
                <w:bCs/>
                <w:sz w:val="20"/>
                <w:szCs w:val="20"/>
              </w:rPr>
            </w:pPr>
            <w:r w:rsidRPr="008858C9">
              <w:rPr>
                <w:rFonts w:eastAsia="Calibri"/>
                <w:bCs/>
                <w:sz w:val="20"/>
                <w:szCs w:val="20"/>
              </w:rPr>
              <w:t>t-stat</w:t>
            </w:r>
          </w:p>
        </w:tc>
      </w:tr>
      <w:tr w:rsidR="00565BCE" w:rsidRPr="008858C9" w14:paraId="1338A3F6" w14:textId="77777777" w:rsidTr="00721B8D">
        <w:trPr>
          <w:trHeight w:val="288"/>
        </w:trPr>
        <w:tc>
          <w:tcPr>
            <w:tcW w:w="5000" w:type="pct"/>
            <w:gridSpan w:val="5"/>
            <w:tcBorders>
              <w:left w:val="double" w:sz="4" w:space="0" w:color="auto"/>
              <w:bottom w:val="single" w:sz="4" w:space="0" w:color="auto"/>
              <w:right w:val="double" w:sz="4" w:space="0" w:color="auto"/>
            </w:tcBorders>
            <w:tcMar>
              <w:left w:w="43" w:type="dxa"/>
              <w:right w:w="43" w:type="dxa"/>
            </w:tcMar>
            <w:vAlign w:val="center"/>
          </w:tcPr>
          <w:p w14:paraId="5C0A53AB" w14:textId="6F5CC34E" w:rsidR="00BC4A8E" w:rsidRPr="008858C9" w:rsidRDefault="00BC4A8E" w:rsidP="00565BCE">
            <w:pPr>
              <w:rPr>
                <w:rFonts w:eastAsia="Calibri"/>
                <w:bCs/>
                <w:color w:val="FF0000"/>
                <w:sz w:val="20"/>
                <w:szCs w:val="20"/>
              </w:rPr>
            </w:pPr>
            <w:r w:rsidRPr="00E22872">
              <w:rPr>
                <w:rFonts w:eastAsia="Calibri"/>
                <w:b/>
                <w:color w:val="000000" w:themeColor="text1"/>
                <w:sz w:val="20"/>
                <w:szCs w:val="20"/>
              </w:rPr>
              <w:t>Individual/Household Sociodemographics</w:t>
            </w:r>
          </w:p>
        </w:tc>
      </w:tr>
      <w:tr w:rsidR="006F3050" w:rsidRPr="008858C9" w14:paraId="757AF6A6" w14:textId="77777777" w:rsidTr="0069340B">
        <w:trPr>
          <w:trHeight w:val="288"/>
        </w:trPr>
        <w:tc>
          <w:tcPr>
            <w:tcW w:w="3200" w:type="pct"/>
            <w:tcBorders>
              <w:top w:val="single" w:sz="4" w:space="0" w:color="auto"/>
              <w:left w:val="double" w:sz="4" w:space="0" w:color="auto"/>
              <w:bottom w:val="nil"/>
              <w:right w:val="double" w:sz="4" w:space="0" w:color="auto"/>
            </w:tcBorders>
            <w:tcMar>
              <w:left w:w="43" w:type="dxa"/>
              <w:right w:w="43" w:type="dxa"/>
            </w:tcMar>
            <w:vAlign w:val="center"/>
          </w:tcPr>
          <w:p w14:paraId="7EF6C9DD" w14:textId="77777777" w:rsidR="00CA2851" w:rsidRPr="00E22872" w:rsidRDefault="00CA2851" w:rsidP="00565BCE">
            <w:pPr>
              <w:rPr>
                <w:rFonts w:eastAsia="Calibri"/>
                <w:b/>
                <w:color w:val="000000" w:themeColor="text1"/>
                <w:sz w:val="20"/>
                <w:szCs w:val="20"/>
              </w:rPr>
            </w:pPr>
            <w:r w:rsidRPr="00E22872">
              <w:rPr>
                <w:rFonts w:eastAsia="Calibri"/>
                <w:b/>
                <w:color w:val="000000" w:themeColor="text1"/>
                <w:sz w:val="20"/>
                <w:szCs w:val="20"/>
              </w:rPr>
              <w:t>Gender</w:t>
            </w:r>
          </w:p>
        </w:tc>
        <w:tc>
          <w:tcPr>
            <w:tcW w:w="486" w:type="pct"/>
            <w:tcBorders>
              <w:top w:val="single" w:sz="4" w:space="0" w:color="auto"/>
              <w:left w:val="double" w:sz="4" w:space="0" w:color="auto"/>
              <w:bottom w:val="nil"/>
            </w:tcBorders>
            <w:tcMar>
              <w:left w:w="43" w:type="dxa"/>
              <w:right w:w="43" w:type="dxa"/>
            </w:tcMar>
            <w:vAlign w:val="center"/>
          </w:tcPr>
          <w:p w14:paraId="5CAB17A6" w14:textId="77777777" w:rsidR="00CA2851" w:rsidRPr="00E22872" w:rsidRDefault="00CA2851" w:rsidP="0035067E">
            <w:pPr>
              <w:jc w:val="right"/>
              <w:rPr>
                <w:rFonts w:eastAsia="Calibri"/>
                <w:bCs/>
                <w:color w:val="000000" w:themeColor="text1"/>
                <w:sz w:val="20"/>
                <w:szCs w:val="20"/>
              </w:rPr>
            </w:pPr>
          </w:p>
        </w:tc>
        <w:tc>
          <w:tcPr>
            <w:tcW w:w="438" w:type="pct"/>
            <w:tcBorders>
              <w:top w:val="single" w:sz="4" w:space="0" w:color="auto"/>
              <w:bottom w:val="nil"/>
              <w:right w:val="single" w:sz="8" w:space="0" w:color="auto"/>
            </w:tcBorders>
            <w:tcMar>
              <w:left w:w="43" w:type="dxa"/>
              <w:right w:w="43" w:type="dxa"/>
            </w:tcMar>
            <w:vAlign w:val="center"/>
          </w:tcPr>
          <w:p w14:paraId="2AB71898" w14:textId="77777777" w:rsidR="00CA2851" w:rsidRPr="00E22872" w:rsidRDefault="00CA2851" w:rsidP="0035067E">
            <w:pPr>
              <w:jc w:val="right"/>
              <w:rPr>
                <w:rFonts w:eastAsia="Calibri"/>
                <w:bCs/>
                <w:color w:val="000000" w:themeColor="text1"/>
                <w:sz w:val="20"/>
                <w:szCs w:val="20"/>
              </w:rPr>
            </w:pPr>
          </w:p>
        </w:tc>
        <w:tc>
          <w:tcPr>
            <w:tcW w:w="438" w:type="pct"/>
            <w:tcBorders>
              <w:top w:val="single" w:sz="4" w:space="0" w:color="auto"/>
              <w:left w:val="single" w:sz="8" w:space="0" w:color="auto"/>
              <w:bottom w:val="nil"/>
            </w:tcBorders>
            <w:shd w:val="clear" w:color="auto" w:fill="FFFFFF"/>
            <w:tcMar>
              <w:left w:w="43" w:type="dxa"/>
              <w:right w:w="43" w:type="dxa"/>
            </w:tcMar>
            <w:vAlign w:val="center"/>
          </w:tcPr>
          <w:p w14:paraId="4D37382A" w14:textId="77777777" w:rsidR="00CA2851" w:rsidRPr="00E22872" w:rsidRDefault="00CA2851" w:rsidP="0035067E">
            <w:pPr>
              <w:jc w:val="right"/>
              <w:rPr>
                <w:rFonts w:eastAsia="Calibri"/>
                <w:bCs/>
                <w:color w:val="000000" w:themeColor="text1"/>
                <w:sz w:val="20"/>
                <w:szCs w:val="20"/>
              </w:rPr>
            </w:pPr>
          </w:p>
        </w:tc>
        <w:tc>
          <w:tcPr>
            <w:tcW w:w="437" w:type="pct"/>
            <w:tcBorders>
              <w:top w:val="single" w:sz="4" w:space="0" w:color="auto"/>
              <w:bottom w:val="nil"/>
              <w:right w:val="double" w:sz="4" w:space="0" w:color="auto"/>
            </w:tcBorders>
            <w:shd w:val="clear" w:color="auto" w:fill="FFFFFF"/>
            <w:tcMar>
              <w:left w:w="43" w:type="dxa"/>
              <w:right w:w="43" w:type="dxa"/>
            </w:tcMar>
            <w:vAlign w:val="center"/>
          </w:tcPr>
          <w:p w14:paraId="5A727EE5" w14:textId="77777777" w:rsidR="00CA2851" w:rsidRPr="00E22872" w:rsidRDefault="00CA2851" w:rsidP="0035067E">
            <w:pPr>
              <w:jc w:val="right"/>
              <w:rPr>
                <w:rFonts w:eastAsia="Calibri"/>
                <w:bCs/>
                <w:color w:val="000000" w:themeColor="text1"/>
                <w:sz w:val="20"/>
                <w:szCs w:val="20"/>
              </w:rPr>
            </w:pPr>
          </w:p>
        </w:tc>
      </w:tr>
      <w:tr w:rsidR="006F3050" w:rsidRPr="008858C9" w14:paraId="378834FB"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095527E2" w14:textId="77777777" w:rsidR="00CA2851" w:rsidRPr="00E22872" w:rsidRDefault="00CA2851" w:rsidP="00565BCE">
            <w:pPr>
              <w:rPr>
                <w:rFonts w:eastAsia="Calibri"/>
                <w:bCs/>
                <w:color w:val="000000" w:themeColor="text1"/>
                <w:sz w:val="20"/>
                <w:szCs w:val="20"/>
              </w:rPr>
            </w:pPr>
            <w:r w:rsidRPr="00E22872">
              <w:rPr>
                <w:rFonts w:eastAsia="Calibri"/>
                <w:bCs/>
                <w:color w:val="000000" w:themeColor="text1"/>
                <w:sz w:val="20"/>
                <w:szCs w:val="20"/>
              </w:rPr>
              <w:t xml:space="preserve">     Woman </w:t>
            </w:r>
            <w:r w:rsidRPr="00E22872">
              <w:rPr>
                <w:rFonts w:eastAsia="Calibri"/>
                <w:bCs/>
                <w:i/>
                <w:iCs/>
                <w:color w:val="000000" w:themeColor="text1"/>
                <w:sz w:val="20"/>
                <w:szCs w:val="20"/>
              </w:rPr>
              <w:t>(base: man)</w:t>
            </w:r>
          </w:p>
        </w:tc>
        <w:tc>
          <w:tcPr>
            <w:tcW w:w="486" w:type="pct"/>
            <w:tcBorders>
              <w:top w:val="nil"/>
              <w:left w:val="double" w:sz="4" w:space="0" w:color="auto"/>
              <w:bottom w:val="dotted" w:sz="4" w:space="0" w:color="auto"/>
            </w:tcBorders>
            <w:tcMar>
              <w:left w:w="43" w:type="dxa"/>
              <w:right w:w="43" w:type="dxa"/>
            </w:tcMar>
            <w:vAlign w:val="center"/>
          </w:tcPr>
          <w:p w14:paraId="22E7BA08" w14:textId="77777777" w:rsidR="00CA2851" w:rsidRPr="00E22872" w:rsidRDefault="00CA2851" w:rsidP="0035067E">
            <w:pPr>
              <w:jc w:val="right"/>
              <w:rPr>
                <w:rFonts w:eastAsia="Calibri"/>
                <w:bCs/>
                <w:color w:val="000000" w:themeColor="text1"/>
                <w:sz w:val="20"/>
                <w:szCs w:val="20"/>
              </w:rPr>
            </w:pPr>
          </w:p>
        </w:tc>
        <w:tc>
          <w:tcPr>
            <w:tcW w:w="438" w:type="pct"/>
            <w:tcBorders>
              <w:top w:val="nil"/>
              <w:bottom w:val="dotted" w:sz="4" w:space="0" w:color="auto"/>
              <w:right w:val="single" w:sz="8" w:space="0" w:color="auto"/>
            </w:tcBorders>
            <w:shd w:val="clear" w:color="auto" w:fill="FFFFFF" w:themeFill="background1"/>
            <w:tcMar>
              <w:left w:w="43" w:type="dxa"/>
              <w:right w:w="43" w:type="dxa"/>
            </w:tcMar>
            <w:vAlign w:val="center"/>
          </w:tcPr>
          <w:p w14:paraId="2ED88FD6" w14:textId="77777777" w:rsidR="00CA2851" w:rsidRPr="00E22872" w:rsidRDefault="00CA2851" w:rsidP="0035067E">
            <w:pPr>
              <w:jc w:val="right"/>
              <w:rPr>
                <w:rFonts w:eastAsia="Calibri"/>
                <w:bCs/>
                <w:color w:val="000000" w:themeColor="text1"/>
                <w:sz w:val="20"/>
                <w:szCs w:val="20"/>
              </w:rPr>
            </w:pPr>
          </w:p>
        </w:tc>
        <w:tc>
          <w:tcPr>
            <w:tcW w:w="438" w:type="pct"/>
            <w:tcBorders>
              <w:top w:val="nil"/>
              <w:left w:val="single" w:sz="8" w:space="0" w:color="auto"/>
              <w:bottom w:val="dotted" w:sz="4" w:space="0" w:color="auto"/>
            </w:tcBorders>
            <w:shd w:val="clear" w:color="auto" w:fill="FFFFFF" w:themeFill="background1"/>
            <w:tcMar>
              <w:left w:w="43" w:type="dxa"/>
              <w:right w:w="43" w:type="dxa"/>
            </w:tcMar>
            <w:vAlign w:val="center"/>
          </w:tcPr>
          <w:p w14:paraId="4512D0CB" w14:textId="77777777" w:rsidR="00CA2851" w:rsidRPr="00E22872" w:rsidRDefault="00CA2851" w:rsidP="0035067E">
            <w:pPr>
              <w:jc w:val="right"/>
              <w:rPr>
                <w:rFonts w:eastAsia="Calibri"/>
                <w:bCs/>
                <w:color w:val="000000" w:themeColor="text1"/>
                <w:sz w:val="20"/>
                <w:szCs w:val="20"/>
              </w:rPr>
            </w:pPr>
          </w:p>
        </w:tc>
        <w:tc>
          <w:tcPr>
            <w:tcW w:w="437" w:type="pct"/>
            <w:tcBorders>
              <w:top w:val="nil"/>
              <w:bottom w:val="dotted" w:sz="4" w:space="0" w:color="auto"/>
              <w:right w:val="double" w:sz="4" w:space="0" w:color="auto"/>
            </w:tcBorders>
            <w:shd w:val="clear" w:color="auto" w:fill="FFFFFF" w:themeFill="background1"/>
            <w:tcMar>
              <w:left w:w="43" w:type="dxa"/>
              <w:right w:w="43" w:type="dxa"/>
            </w:tcMar>
            <w:vAlign w:val="center"/>
          </w:tcPr>
          <w:p w14:paraId="7DE0E398" w14:textId="77777777" w:rsidR="00CA2851" w:rsidRPr="00E22872" w:rsidRDefault="00CA2851" w:rsidP="0035067E">
            <w:pPr>
              <w:jc w:val="right"/>
              <w:rPr>
                <w:rFonts w:eastAsia="Calibri"/>
                <w:bCs/>
                <w:color w:val="000000" w:themeColor="text1"/>
                <w:sz w:val="20"/>
                <w:szCs w:val="20"/>
              </w:rPr>
            </w:pPr>
          </w:p>
        </w:tc>
      </w:tr>
      <w:tr w:rsidR="006F3050" w:rsidRPr="008858C9" w14:paraId="6B6AFA20"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7F655746" w14:textId="77777777" w:rsidR="00CA2851" w:rsidRPr="00E22872" w:rsidRDefault="00CA2851" w:rsidP="00565BCE">
            <w:pPr>
              <w:rPr>
                <w:rFonts w:eastAsia="Calibri"/>
                <w:b/>
                <w:color w:val="000000" w:themeColor="text1"/>
                <w:sz w:val="20"/>
                <w:szCs w:val="20"/>
              </w:rPr>
            </w:pPr>
            <w:r w:rsidRPr="00E22872">
              <w:rPr>
                <w:rFonts w:eastAsia="Calibri"/>
                <w:b/>
                <w:color w:val="000000" w:themeColor="text1"/>
                <w:sz w:val="20"/>
                <w:szCs w:val="20"/>
              </w:rPr>
              <w:t>Lifecycle variables</w:t>
            </w:r>
          </w:p>
        </w:tc>
        <w:tc>
          <w:tcPr>
            <w:tcW w:w="486" w:type="pct"/>
            <w:tcBorders>
              <w:top w:val="dotted" w:sz="4" w:space="0" w:color="auto"/>
              <w:left w:val="double" w:sz="4" w:space="0" w:color="auto"/>
              <w:bottom w:val="nil"/>
            </w:tcBorders>
            <w:tcMar>
              <w:left w:w="43" w:type="dxa"/>
              <w:right w:w="43" w:type="dxa"/>
            </w:tcMar>
            <w:vAlign w:val="center"/>
          </w:tcPr>
          <w:p w14:paraId="6DD20D51" w14:textId="77777777" w:rsidR="00CA2851" w:rsidRPr="00E22872"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center"/>
          </w:tcPr>
          <w:p w14:paraId="2E55C40E" w14:textId="77777777" w:rsidR="00CA2851" w:rsidRPr="00E22872"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center"/>
          </w:tcPr>
          <w:p w14:paraId="2B4F08A8" w14:textId="77777777" w:rsidR="00CA2851" w:rsidRPr="00E22872"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center"/>
          </w:tcPr>
          <w:p w14:paraId="120BD805" w14:textId="77777777" w:rsidR="00CA2851" w:rsidRPr="00E22872" w:rsidRDefault="00CA2851" w:rsidP="0035067E">
            <w:pPr>
              <w:jc w:val="right"/>
              <w:rPr>
                <w:rFonts w:eastAsia="Calibri"/>
                <w:bCs/>
                <w:color w:val="000000" w:themeColor="text1"/>
                <w:sz w:val="20"/>
                <w:szCs w:val="20"/>
              </w:rPr>
            </w:pPr>
          </w:p>
        </w:tc>
      </w:tr>
      <w:tr w:rsidR="006F3050" w:rsidRPr="008858C9" w14:paraId="692ED758"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020A9451" w14:textId="77777777" w:rsidR="00DA249F" w:rsidRPr="00E22872" w:rsidRDefault="00DA249F" w:rsidP="00565BCE">
            <w:pPr>
              <w:rPr>
                <w:rFonts w:eastAsia="Calibri"/>
                <w:bCs/>
                <w:color w:val="000000" w:themeColor="text1"/>
                <w:sz w:val="20"/>
                <w:szCs w:val="20"/>
              </w:rPr>
            </w:pPr>
            <w:r w:rsidRPr="00E22872">
              <w:rPr>
                <w:rFonts w:eastAsia="Calibri"/>
                <w:bCs/>
                <w:color w:val="000000" w:themeColor="text1"/>
                <w:sz w:val="20"/>
                <w:szCs w:val="20"/>
              </w:rPr>
              <w:t xml:space="preserve">     Presence of children </w:t>
            </w:r>
            <w:r w:rsidRPr="00E22872">
              <w:rPr>
                <w:rFonts w:eastAsia="Calibri"/>
                <w:bCs/>
                <w:i/>
                <w:iCs/>
                <w:color w:val="000000" w:themeColor="text1"/>
                <w:sz w:val="20"/>
                <w:szCs w:val="20"/>
              </w:rPr>
              <w:t>(base: no children)</w:t>
            </w:r>
          </w:p>
        </w:tc>
        <w:tc>
          <w:tcPr>
            <w:tcW w:w="486" w:type="pct"/>
            <w:tcBorders>
              <w:top w:val="nil"/>
              <w:left w:val="double" w:sz="4" w:space="0" w:color="auto"/>
              <w:bottom w:val="nil"/>
            </w:tcBorders>
            <w:tcMar>
              <w:left w:w="43" w:type="dxa"/>
              <w:right w:w="43" w:type="dxa"/>
            </w:tcMar>
            <w:vAlign w:val="center"/>
          </w:tcPr>
          <w:p w14:paraId="6AE8901C" w14:textId="68E79998" w:rsidR="00DA249F" w:rsidRPr="009A6E84" w:rsidRDefault="00DA249F" w:rsidP="00DA249F">
            <w:pPr>
              <w:jc w:val="right"/>
              <w:rPr>
                <w:rFonts w:eastAsia="Calibri"/>
                <w:bCs/>
                <w:color w:val="000000" w:themeColor="text1"/>
                <w:sz w:val="20"/>
                <w:szCs w:val="20"/>
              </w:rPr>
            </w:pPr>
            <w:r w:rsidRPr="009A6E84">
              <w:rPr>
                <w:rFonts w:eastAsia="Calibri"/>
                <w:bCs/>
                <w:color w:val="000000" w:themeColor="text1"/>
                <w:sz w:val="20"/>
                <w:szCs w:val="20"/>
              </w:rPr>
              <w:t>0.178</w:t>
            </w:r>
          </w:p>
        </w:tc>
        <w:tc>
          <w:tcPr>
            <w:tcW w:w="438" w:type="pct"/>
            <w:tcBorders>
              <w:top w:val="nil"/>
              <w:bottom w:val="nil"/>
              <w:right w:val="single" w:sz="8" w:space="0" w:color="auto"/>
            </w:tcBorders>
            <w:tcMar>
              <w:left w:w="43" w:type="dxa"/>
              <w:right w:w="43" w:type="dxa"/>
            </w:tcMar>
            <w:vAlign w:val="center"/>
          </w:tcPr>
          <w:p w14:paraId="76ED7436" w14:textId="32DE6A77" w:rsidR="00DA249F" w:rsidRPr="009A6E84" w:rsidRDefault="00DA249F" w:rsidP="00DA249F">
            <w:pPr>
              <w:jc w:val="right"/>
              <w:rPr>
                <w:rFonts w:eastAsia="Calibri"/>
                <w:bCs/>
                <w:color w:val="000000" w:themeColor="text1"/>
                <w:sz w:val="20"/>
                <w:szCs w:val="20"/>
              </w:rPr>
            </w:pPr>
            <w:r w:rsidRPr="009A6E84">
              <w:rPr>
                <w:rFonts w:eastAsia="Calibri"/>
                <w:bCs/>
                <w:color w:val="000000" w:themeColor="text1"/>
                <w:sz w:val="20"/>
                <w:szCs w:val="20"/>
              </w:rPr>
              <w:t>1.78</w:t>
            </w:r>
          </w:p>
        </w:tc>
        <w:tc>
          <w:tcPr>
            <w:tcW w:w="438" w:type="pct"/>
            <w:tcBorders>
              <w:top w:val="nil"/>
              <w:left w:val="single" w:sz="8" w:space="0" w:color="auto"/>
              <w:bottom w:val="nil"/>
            </w:tcBorders>
            <w:shd w:val="clear" w:color="auto" w:fill="FFFFFF"/>
            <w:tcMar>
              <w:left w:w="43" w:type="dxa"/>
              <w:right w:w="43" w:type="dxa"/>
            </w:tcMar>
            <w:vAlign w:val="center"/>
          </w:tcPr>
          <w:p w14:paraId="0E903E12" w14:textId="612E7DC9" w:rsidR="00DA249F" w:rsidRPr="009A6E84" w:rsidRDefault="00DA249F" w:rsidP="00DA249F">
            <w:pPr>
              <w:jc w:val="right"/>
              <w:rPr>
                <w:rFonts w:eastAsia="Calibri"/>
                <w:bCs/>
                <w:color w:val="000000" w:themeColor="text1"/>
                <w:sz w:val="20"/>
                <w:szCs w:val="20"/>
              </w:rPr>
            </w:pPr>
            <w:r w:rsidRPr="009A6E84">
              <w:rPr>
                <w:rFonts w:eastAsia="Calibri"/>
                <w:bCs/>
                <w:color w:val="000000" w:themeColor="text1"/>
                <w:sz w:val="20"/>
                <w:szCs w:val="20"/>
              </w:rPr>
              <w:t>0.178</w:t>
            </w:r>
          </w:p>
        </w:tc>
        <w:tc>
          <w:tcPr>
            <w:tcW w:w="437" w:type="pct"/>
            <w:tcBorders>
              <w:top w:val="nil"/>
              <w:bottom w:val="nil"/>
              <w:right w:val="double" w:sz="4" w:space="0" w:color="auto"/>
            </w:tcBorders>
            <w:shd w:val="clear" w:color="auto" w:fill="FFFFFF"/>
            <w:tcMar>
              <w:left w:w="43" w:type="dxa"/>
              <w:right w:w="43" w:type="dxa"/>
            </w:tcMar>
            <w:vAlign w:val="center"/>
          </w:tcPr>
          <w:p w14:paraId="4EA9F528" w14:textId="414879B8" w:rsidR="00DA249F" w:rsidRPr="009A6E84" w:rsidRDefault="00DA249F" w:rsidP="00DA249F">
            <w:pPr>
              <w:jc w:val="right"/>
              <w:rPr>
                <w:rFonts w:eastAsia="Calibri"/>
                <w:bCs/>
                <w:color w:val="000000" w:themeColor="text1"/>
                <w:sz w:val="20"/>
                <w:szCs w:val="20"/>
              </w:rPr>
            </w:pPr>
            <w:r w:rsidRPr="009A6E84">
              <w:rPr>
                <w:rFonts w:eastAsia="Calibri"/>
                <w:bCs/>
                <w:color w:val="000000" w:themeColor="text1"/>
                <w:sz w:val="20"/>
                <w:szCs w:val="20"/>
              </w:rPr>
              <w:t>1.78</w:t>
            </w:r>
          </w:p>
        </w:tc>
      </w:tr>
      <w:tr w:rsidR="006F3050" w:rsidRPr="008858C9" w14:paraId="292E2E5B"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450846AD" w14:textId="77777777" w:rsidR="00CA2851" w:rsidRPr="00E22872" w:rsidRDefault="00CA2851" w:rsidP="00565BCE">
            <w:pPr>
              <w:ind w:left="240"/>
              <w:rPr>
                <w:rFonts w:eastAsia="Calibri"/>
                <w:bCs/>
                <w:color w:val="000000" w:themeColor="text1"/>
                <w:sz w:val="20"/>
                <w:szCs w:val="20"/>
              </w:rPr>
            </w:pPr>
            <w:r w:rsidRPr="00E22872">
              <w:rPr>
                <w:rFonts w:eastAsia="Calibri"/>
                <w:bCs/>
                <w:color w:val="000000" w:themeColor="text1"/>
                <w:sz w:val="20"/>
                <w:szCs w:val="20"/>
              </w:rPr>
              <w:t xml:space="preserve">Live with unrelated adults </w:t>
            </w:r>
            <w:r w:rsidRPr="00E22872">
              <w:rPr>
                <w:rFonts w:eastAsia="Calibri"/>
                <w:bCs/>
                <w:i/>
                <w:iCs/>
                <w:color w:val="000000" w:themeColor="text1"/>
                <w:sz w:val="20"/>
                <w:szCs w:val="20"/>
              </w:rPr>
              <w:t>(base: not live with unrelated adults)</w:t>
            </w:r>
          </w:p>
        </w:tc>
        <w:tc>
          <w:tcPr>
            <w:tcW w:w="486" w:type="pct"/>
            <w:tcBorders>
              <w:top w:val="nil"/>
              <w:left w:val="double" w:sz="4" w:space="0" w:color="auto"/>
              <w:bottom w:val="dotted" w:sz="4" w:space="0" w:color="auto"/>
            </w:tcBorders>
            <w:tcMar>
              <w:left w:w="43" w:type="dxa"/>
              <w:right w:w="43" w:type="dxa"/>
            </w:tcMar>
            <w:vAlign w:val="center"/>
          </w:tcPr>
          <w:p w14:paraId="698C306A" w14:textId="77777777" w:rsidR="00CA2851" w:rsidRPr="009A6E84" w:rsidRDefault="00CA2851" w:rsidP="0035067E">
            <w:pPr>
              <w:jc w:val="right"/>
              <w:rPr>
                <w:rFonts w:eastAsia="Calibri"/>
                <w:bCs/>
                <w:color w:val="000000" w:themeColor="text1"/>
                <w:sz w:val="20"/>
                <w:szCs w:val="20"/>
              </w:rPr>
            </w:pPr>
          </w:p>
        </w:tc>
        <w:tc>
          <w:tcPr>
            <w:tcW w:w="438" w:type="pct"/>
            <w:tcBorders>
              <w:top w:val="nil"/>
              <w:bottom w:val="dotted" w:sz="4" w:space="0" w:color="auto"/>
              <w:right w:val="single" w:sz="8" w:space="0" w:color="auto"/>
            </w:tcBorders>
            <w:tcMar>
              <w:left w:w="43" w:type="dxa"/>
              <w:right w:w="43" w:type="dxa"/>
            </w:tcMar>
            <w:vAlign w:val="center"/>
          </w:tcPr>
          <w:p w14:paraId="422A3CFB" w14:textId="77777777" w:rsidR="00CA2851" w:rsidRPr="009A6E84" w:rsidRDefault="00CA2851" w:rsidP="0035067E">
            <w:pPr>
              <w:jc w:val="right"/>
              <w:rPr>
                <w:rFonts w:eastAsia="Calibri"/>
                <w:bCs/>
                <w:color w:val="000000" w:themeColor="text1"/>
                <w:sz w:val="20"/>
                <w:szCs w:val="20"/>
              </w:rPr>
            </w:pPr>
          </w:p>
        </w:tc>
        <w:tc>
          <w:tcPr>
            <w:tcW w:w="438" w:type="pct"/>
            <w:tcBorders>
              <w:top w:val="nil"/>
              <w:left w:val="single" w:sz="8" w:space="0" w:color="auto"/>
              <w:bottom w:val="dotted" w:sz="4" w:space="0" w:color="auto"/>
            </w:tcBorders>
            <w:shd w:val="clear" w:color="auto" w:fill="FFFFFF"/>
            <w:tcMar>
              <w:left w:w="43" w:type="dxa"/>
              <w:right w:w="43" w:type="dxa"/>
            </w:tcMar>
            <w:vAlign w:val="center"/>
          </w:tcPr>
          <w:p w14:paraId="6972474B" w14:textId="655D6B66"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0.3</w:t>
            </w:r>
            <w:r w:rsidR="00DA249F" w:rsidRPr="009A6E84">
              <w:rPr>
                <w:color w:val="000000" w:themeColor="text1"/>
                <w:sz w:val="20"/>
                <w:szCs w:val="20"/>
              </w:rPr>
              <w:t>81</w:t>
            </w:r>
          </w:p>
        </w:tc>
        <w:tc>
          <w:tcPr>
            <w:tcW w:w="437" w:type="pct"/>
            <w:tcBorders>
              <w:top w:val="nil"/>
              <w:bottom w:val="dotted" w:sz="4" w:space="0" w:color="auto"/>
              <w:right w:val="double" w:sz="4" w:space="0" w:color="auto"/>
            </w:tcBorders>
            <w:shd w:val="clear" w:color="auto" w:fill="FFFFFF"/>
            <w:tcMar>
              <w:left w:w="43" w:type="dxa"/>
              <w:right w:w="43" w:type="dxa"/>
            </w:tcMar>
            <w:vAlign w:val="center"/>
          </w:tcPr>
          <w:p w14:paraId="6025E77A" w14:textId="061BD0BC"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2.5</w:t>
            </w:r>
            <w:r w:rsidR="00DA249F" w:rsidRPr="009A6E84">
              <w:rPr>
                <w:color w:val="000000" w:themeColor="text1"/>
                <w:sz w:val="20"/>
                <w:szCs w:val="20"/>
              </w:rPr>
              <w:t>5</w:t>
            </w:r>
          </w:p>
        </w:tc>
      </w:tr>
      <w:tr w:rsidR="006F3050" w:rsidRPr="008858C9" w14:paraId="1B3925AD"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6BB51646" w14:textId="77777777" w:rsidR="00CA2851" w:rsidRPr="00E22872" w:rsidRDefault="00CA2851" w:rsidP="00565BCE">
            <w:pPr>
              <w:rPr>
                <w:rFonts w:eastAsia="Calibri"/>
                <w:b/>
                <w:bCs/>
                <w:color w:val="000000" w:themeColor="text1"/>
                <w:sz w:val="20"/>
                <w:szCs w:val="20"/>
              </w:rPr>
            </w:pPr>
            <w:r w:rsidRPr="00E22872">
              <w:rPr>
                <w:rFonts w:eastAsia="Calibri"/>
                <w:b/>
                <w:bCs/>
                <w:color w:val="000000" w:themeColor="text1"/>
                <w:sz w:val="20"/>
                <w:szCs w:val="20"/>
              </w:rPr>
              <w:t xml:space="preserve">Age </w:t>
            </w:r>
            <w:r w:rsidRPr="00E22872">
              <w:rPr>
                <w:rFonts w:eastAsia="Calibri"/>
                <w:bCs/>
                <w:i/>
                <w:iCs/>
                <w:color w:val="000000" w:themeColor="text1"/>
                <w:sz w:val="20"/>
                <w:szCs w:val="20"/>
              </w:rPr>
              <w:t>(base: 30 years or younger)</w:t>
            </w:r>
          </w:p>
        </w:tc>
        <w:tc>
          <w:tcPr>
            <w:tcW w:w="486" w:type="pct"/>
            <w:tcBorders>
              <w:top w:val="dotted" w:sz="4" w:space="0" w:color="auto"/>
              <w:left w:val="double" w:sz="4" w:space="0" w:color="auto"/>
              <w:bottom w:val="nil"/>
            </w:tcBorders>
            <w:tcMar>
              <w:left w:w="43" w:type="dxa"/>
              <w:right w:w="43" w:type="dxa"/>
            </w:tcMar>
            <w:vAlign w:val="center"/>
          </w:tcPr>
          <w:p w14:paraId="1D2464A2"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center"/>
          </w:tcPr>
          <w:p w14:paraId="18354F3B"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center"/>
          </w:tcPr>
          <w:p w14:paraId="502D3CA3" w14:textId="77777777" w:rsidR="00CA2851" w:rsidRPr="009A6E84"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center"/>
          </w:tcPr>
          <w:p w14:paraId="727C0783" w14:textId="77777777" w:rsidR="00CA2851" w:rsidRPr="009A6E84" w:rsidRDefault="00CA2851" w:rsidP="0035067E">
            <w:pPr>
              <w:jc w:val="right"/>
              <w:rPr>
                <w:rFonts w:eastAsia="Calibri"/>
                <w:bCs/>
                <w:color w:val="000000" w:themeColor="text1"/>
                <w:sz w:val="20"/>
                <w:szCs w:val="20"/>
              </w:rPr>
            </w:pPr>
          </w:p>
        </w:tc>
      </w:tr>
      <w:tr w:rsidR="006F3050" w:rsidRPr="008858C9" w14:paraId="2C29A9E1"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7A6725B3" w14:textId="77777777" w:rsidR="00CA2851" w:rsidRPr="00E22872" w:rsidRDefault="00CA2851" w:rsidP="00565BCE">
            <w:pPr>
              <w:rPr>
                <w:rFonts w:eastAsia="Calibri"/>
                <w:b/>
                <w:bCs/>
                <w:color w:val="000000" w:themeColor="text1"/>
                <w:sz w:val="20"/>
                <w:szCs w:val="20"/>
              </w:rPr>
            </w:pPr>
            <w:r w:rsidRPr="00E22872">
              <w:rPr>
                <w:rFonts w:eastAsia="Calibri"/>
                <w:b/>
                <w:bCs/>
                <w:color w:val="000000" w:themeColor="text1"/>
                <w:sz w:val="20"/>
                <w:szCs w:val="20"/>
              </w:rPr>
              <w:t xml:space="preserve">      </w:t>
            </w:r>
            <w:r w:rsidRPr="00E22872">
              <w:rPr>
                <w:rFonts w:eastAsia="Calibri"/>
                <w:bCs/>
                <w:color w:val="000000" w:themeColor="text1"/>
                <w:sz w:val="20"/>
                <w:szCs w:val="20"/>
              </w:rPr>
              <w:t>31 to 40 years old</w:t>
            </w:r>
          </w:p>
        </w:tc>
        <w:tc>
          <w:tcPr>
            <w:tcW w:w="486" w:type="pct"/>
            <w:tcBorders>
              <w:top w:val="nil"/>
              <w:left w:val="double" w:sz="4" w:space="0" w:color="auto"/>
              <w:bottom w:val="nil"/>
            </w:tcBorders>
            <w:tcMar>
              <w:left w:w="43" w:type="dxa"/>
              <w:right w:w="43" w:type="dxa"/>
            </w:tcMar>
            <w:vAlign w:val="center"/>
          </w:tcPr>
          <w:p w14:paraId="621E4BA5" w14:textId="71537915"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0</w:t>
            </w:r>
            <w:r w:rsidR="00083C54" w:rsidRPr="009A6E84">
              <w:rPr>
                <w:color w:val="000000" w:themeColor="text1"/>
                <w:sz w:val="20"/>
                <w:szCs w:val="20"/>
              </w:rPr>
              <w:t>.221</w:t>
            </w:r>
          </w:p>
        </w:tc>
        <w:tc>
          <w:tcPr>
            <w:tcW w:w="438" w:type="pct"/>
            <w:tcBorders>
              <w:top w:val="nil"/>
              <w:bottom w:val="nil"/>
              <w:right w:val="single" w:sz="8" w:space="0" w:color="auto"/>
            </w:tcBorders>
            <w:tcMar>
              <w:left w:w="43" w:type="dxa"/>
              <w:right w:w="43" w:type="dxa"/>
            </w:tcMar>
            <w:vAlign w:val="center"/>
          </w:tcPr>
          <w:p w14:paraId="3F48F074" w14:textId="5824DE83" w:rsidR="00CA2851" w:rsidRPr="009A6E84" w:rsidRDefault="00083C54" w:rsidP="0035067E">
            <w:pPr>
              <w:jc w:val="right"/>
              <w:rPr>
                <w:rFonts w:eastAsia="Calibri"/>
                <w:bCs/>
                <w:color w:val="000000" w:themeColor="text1"/>
                <w:sz w:val="20"/>
                <w:szCs w:val="20"/>
              </w:rPr>
            </w:pPr>
            <w:r w:rsidRPr="009A6E84">
              <w:rPr>
                <w:color w:val="000000" w:themeColor="text1"/>
                <w:sz w:val="20"/>
                <w:szCs w:val="20"/>
              </w:rPr>
              <w:t>2.87</w:t>
            </w:r>
          </w:p>
        </w:tc>
        <w:tc>
          <w:tcPr>
            <w:tcW w:w="438" w:type="pct"/>
            <w:tcBorders>
              <w:top w:val="nil"/>
              <w:left w:val="single" w:sz="8" w:space="0" w:color="auto"/>
              <w:bottom w:val="nil"/>
            </w:tcBorders>
            <w:shd w:val="clear" w:color="auto" w:fill="FFFFFF"/>
            <w:tcMar>
              <w:left w:w="43" w:type="dxa"/>
              <w:right w:w="43" w:type="dxa"/>
            </w:tcMar>
            <w:vAlign w:val="bottom"/>
          </w:tcPr>
          <w:p w14:paraId="6C3D611D" w14:textId="77777777" w:rsidR="00CA2851" w:rsidRPr="009A6E84" w:rsidRDefault="00CA2851" w:rsidP="0035067E">
            <w:pPr>
              <w:jc w:val="right"/>
              <w:rPr>
                <w:rFonts w:eastAsia="Calibri"/>
                <w:bCs/>
                <w:color w:val="000000" w:themeColor="text1"/>
                <w:sz w:val="20"/>
                <w:szCs w:val="20"/>
              </w:rPr>
            </w:pPr>
          </w:p>
        </w:tc>
        <w:tc>
          <w:tcPr>
            <w:tcW w:w="437" w:type="pct"/>
            <w:tcBorders>
              <w:top w:val="nil"/>
              <w:bottom w:val="nil"/>
              <w:right w:val="double" w:sz="4" w:space="0" w:color="auto"/>
            </w:tcBorders>
            <w:shd w:val="clear" w:color="auto" w:fill="FFFFFF"/>
            <w:tcMar>
              <w:left w:w="43" w:type="dxa"/>
              <w:right w:w="43" w:type="dxa"/>
            </w:tcMar>
            <w:vAlign w:val="bottom"/>
          </w:tcPr>
          <w:p w14:paraId="09C3809C" w14:textId="77777777" w:rsidR="00CA2851" w:rsidRPr="009A6E84" w:rsidRDefault="00CA2851" w:rsidP="0035067E">
            <w:pPr>
              <w:jc w:val="right"/>
              <w:rPr>
                <w:rFonts w:eastAsia="Calibri"/>
                <w:bCs/>
                <w:color w:val="000000" w:themeColor="text1"/>
                <w:sz w:val="20"/>
                <w:szCs w:val="20"/>
              </w:rPr>
            </w:pPr>
          </w:p>
        </w:tc>
      </w:tr>
      <w:tr w:rsidR="006F3050" w:rsidRPr="008858C9" w14:paraId="71810CBF"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5566E1F9" w14:textId="77777777" w:rsidR="00083C54" w:rsidRPr="00E22872" w:rsidRDefault="00083C54" w:rsidP="00565BCE">
            <w:pPr>
              <w:rPr>
                <w:rFonts w:eastAsia="Calibri"/>
                <w:b/>
                <w:bCs/>
                <w:color w:val="000000" w:themeColor="text1"/>
                <w:sz w:val="20"/>
                <w:szCs w:val="20"/>
              </w:rPr>
            </w:pPr>
            <w:r w:rsidRPr="00E22872">
              <w:rPr>
                <w:rFonts w:eastAsia="Calibri"/>
                <w:b/>
                <w:bCs/>
                <w:color w:val="000000" w:themeColor="text1"/>
                <w:sz w:val="20"/>
                <w:szCs w:val="20"/>
              </w:rPr>
              <w:t xml:space="preserve">      </w:t>
            </w:r>
            <w:r w:rsidRPr="00E22872">
              <w:rPr>
                <w:rFonts w:eastAsia="Calibri"/>
                <w:bCs/>
                <w:color w:val="000000" w:themeColor="text1"/>
                <w:sz w:val="20"/>
                <w:szCs w:val="20"/>
              </w:rPr>
              <w:t>41 to 50 years old</w:t>
            </w:r>
          </w:p>
        </w:tc>
        <w:tc>
          <w:tcPr>
            <w:tcW w:w="486" w:type="pct"/>
            <w:tcBorders>
              <w:top w:val="nil"/>
              <w:left w:val="double" w:sz="4" w:space="0" w:color="auto"/>
              <w:bottom w:val="nil"/>
            </w:tcBorders>
            <w:tcMar>
              <w:left w:w="43" w:type="dxa"/>
              <w:right w:w="43" w:type="dxa"/>
            </w:tcMar>
            <w:vAlign w:val="center"/>
          </w:tcPr>
          <w:p w14:paraId="66F7E100" w14:textId="05EFC4AB"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0.221</w:t>
            </w:r>
          </w:p>
        </w:tc>
        <w:tc>
          <w:tcPr>
            <w:tcW w:w="438" w:type="pct"/>
            <w:tcBorders>
              <w:top w:val="nil"/>
              <w:bottom w:val="nil"/>
              <w:right w:val="single" w:sz="8" w:space="0" w:color="auto"/>
            </w:tcBorders>
            <w:tcMar>
              <w:left w:w="43" w:type="dxa"/>
              <w:right w:w="43" w:type="dxa"/>
            </w:tcMar>
            <w:vAlign w:val="center"/>
          </w:tcPr>
          <w:p w14:paraId="4E7FAB25" w14:textId="13A12FE0"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2.87</w:t>
            </w:r>
          </w:p>
        </w:tc>
        <w:tc>
          <w:tcPr>
            <w:tcW w:w="438" w:type="pct"/>
            <w:tcBorders>
              <w:top w:val="nil"/>
              <w:left w:val="single" w:sz="8" w:space="0" w:color="auto"/>
              <w:bottom w:val="nil"/>
            </w:tcBorders>
            <w:shd w:val="clear" w:color="auto" w:fill="FFFFFF"/>
            <w:tcMar>
              <w:left w:w="43" w:type="dxa"/>
              <w:right w:w="43" w:type="dxa"/>
            </w:tcMar>
            <w:vAlign w:val="center"/>
          </w:tcPr>
          <w:p w14:paraId="12D584BC" w14:textId="77777777" w:rsidR="00083C54" w:rsidRPr="009A6E84" w:rsidRDefault="00083C54" w:rsidP="00083C54">
            <w:pPr>
              <w:jc w:val="right"/>
              <w:rPr>
                <w:rFonts w:eastAsia="Calibri"/>
                <w:bCs/>
                <w:color w:val="000000" w:themeColor="text1"/>
                <w:sz w:val="20"/>
                <w:szCs w:val="20"/>
              </w:rPr>
            </w:pPr>
          </w:p>
        </w:tc>
        <w:tc>
          <w:tcPr>
            <w:tcW w:w="437" w:type="pct"/>
            <w:tcBorders>
              <w:top w:val="nil"/>
              <w:bottom w:val="nil"/>
              <w:right w:val="double" w:sz="4" w:space="0" w:color="auto"/>
            </w:tcBorders>
            <w:shd w:val="clear" w:color="auto" w:fill="FFFFFF"/>
            <w:tcMar>
              <w:left w:w="43" w:type="dxa"/>
              <w:right w:w="43" w:type="dxa"/>
            </w:tcMar>
            <w:vAlign w:val="center"/>
          </w:tcPr>
          <w:p w14:paraId="2451CF0E" w14:textId="77777777" w:rsidR="00083C54" w:rsidRPr="009A6E84" w:rsidRDefault="00083C54" w:rsidP="00083C54">
            <w:pPr>
              <w:jc w:val="right"/>
              <w:rPr>
                <w:rFonts w:eastAsia="Calibri"/>
                <w:bCs/>
                <w:color w:val="000000" w:themeColor="text1"/>
                <w:sz w:val="20"/>
                <w:szCs w:val="20"/>
              </w:rPr>
            </w:pPr>
          </w:p>
        </w:tc>
      </w:tr>
      <w:tr w:rsidR="006F3050" w:rsidRPr="008858C9" w14:paraId="33FC6132"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7ED2F238" w14:textId="77777777" w:rsidR="00CA2851" w:rsidRPr="00E22872" w:rsidRDefault="00CA2851" w:rsidP="00565BCE">
            <w:pPr>
              <w:rPr>
                <w:rFonts w:eastAsia="Calibri"/>
                <w:b/>
                <w:bCs/>
                <w:color w:val="000000" w:themeColor="text1"/>
                <w:sz w:val="20"/>
                <w:szCs w:val="20"/>
              </w:rPr>
            </w:pPr>
            <w:r w:rsidRPr="00E22872">
              <w:rPr>
                <w:rFonts w:eastAsia="Calibri"/>
                <w:b/>
                <w:bCs/>
                <w:color w:val="000000" w:themeColor="text1"/>
                <w:sz w:val="20"/>
                <w:szCs w:val="20"/>
              </w:rPr>
              <w:t xml:space="preserve">      </w:t>
            </w:r>
            <w:r w:rsidRPr="00E22872">
              <w:rPr>
                <w:rFonts w:eastAsia="Calibri"/>
                <w:bCs/>
                <w:color w:val="000000" w:themeColor="text1"/>
                <w:sz w:val="20"/>
                <w:szCs w:val="20"/>
              </w:rPr>
              <w:t>51 to 60 years old</w:t>
            </w:r>
          </w:p>
        </w:tc>
        <w:tc>
          <w:tcPr>
            <w:tcW w:w="486" w:type="pct"/>
            <w:tcBorders>
              <w:top w:val="nil"/>
              <w:left w:val="double" w:sz="4" w:space="0" w:color="auto"/>
              <w:bottom w:val="nil"/>
            </w:tcBorders>
            <w:tcMar>
              <w:left w:w="43" w:type="dxa"/>
              <w:right w:w="43" w:type="dxa"/>
            </w:tcMar>
            <w:vAlign w:val="bottom"/>
          </w:tcPr>
          <w:p w14:paraId="7DA351D7" w14:textId="77777777" w:rsidR="00CA2851" w:rsidRPr="009A6E84" w:rsidRDefault="00CA2851" w:rsidP="0035067E">
            <w:pPr>
              <w:jc w:val="right"/>
              <w:rPr>
                <w:rFonts w:eastAsia="Calibri"/>
                <w:bCs/>
                <w:color w:val="000000" w:themeColor="text1"/>
                <w:sz w:val="20"/>
                <w:szCs w:val="20"/>
              </w:rPr>
            </w:pPr>
          </w:p>
        </w:tc>
        <w:tc>
          <w:tcPr>
            <w:tcW w:w="438" w:type="pct"/>
            <w:tcBorders>
              <w:top w:val="nil"/>
              <w:bottom w:val="nil"/>
              <w:right w:val="single" w:sz="8" w:space="0" w:color="auto"/>
            </w:tcBorders>
            <w:tcMar>
              <w:left w:w="43" w:type="dxa"/>
              <w:right w:w="43" w:type="dxa"/>
            </w:tcMar>
            <w:vAlign w:val="bottom"/>
          </w:tcPr>
          <w:p w14:paraId="7D879CEA" w14:textId="77777777" w:rsidR="00CA2851" w:rsidRPr="009A6E84" w:rsidRDefault="00CA2851" w:rsidP="0035067E">
            <w:pPr>
              <w:jc w:val="right"/>
              <w:rPr>
                <w:rFonts w:eastAsia="Calibri"/>
                <w:bCs/>
                <w:color w:val="000000" w:themeColor="text1"/>
                <w:sz w:val="20"/>
                <w:szCs w:val="20"/>
              </w:rPr>
            </w:pPr>
          </w:p>
        </w:tc>
        <w:tc>
          <w:tcPr>
            <w:tcW w:w="438" w:type="pct"/>
            <w:tcBorders>
              <w:top w:val="nil"/>
              <w:left w:val="single" w:sz="8" w:space="0" w:color="auto"/>
              <w:bottom w:val="nil"/>
            </w:tcBorders>
            <w:shd w:val="clear" w:color="auto" w:fill="FFFFFF"/>
            <w:tcMar>
              <w:left w:w="43" w:type="dxa"/>
              <w:right w:w="43" w:type="dxa"/>
            </w:tcMar>
            <w:vAlign w:val="center"/>
          </w:tcPr>
          <w:p w14:paraId="569BA7EE" w14:textId="024319CC"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-0.3</w:t>
            </w:r>
            <w:r w:rsidR="00083C54" w:rsidRPr="009A6E84">
              <w:rPr>
                <w:color w:val="000000" w:themeColor="text1"/>
                <w:sz w:val="20"/>
                <w:szCs w:val="20"/>
              </w:rPr>
              <w:t>66</w:t>
            </w:r>
          </w:p>
        </w:tc>
        <w:tc>
          <w:tcPr>
            <w:tcW w:w="437" w:type="pct"/>
            <w:tcBorders>
              <w:top w:val="nil"/>
              <w:bottom w:val="nil"/>
              <w:right w:val="double" w:sz="4" w:space="0" w:color="auto"/>
            </w:tcBorders>
            <w:shd w:val="clear" w:color="auto" w:fill="FFFFFF"/>
            <w:tcMar>
              <w:left w:w="43" w:type="dxa"/>
              <w:right w:w="43" w:type="dxa"/>
            </w:tcMar>
            <w:vAlign w:val="center"/>
          </w:tcPr>
          <w:p w14:paraId="2C863718" w14:textId="021D5D9A"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-5.</w:t>
            </w:r>
            <w:r w:rsidR="00083C54" w:rsidRPr="009A6E84">
              <w:rPr>
                <w:color w:val="000000" w:themeColor="text1"/>
                <w:sz w:val="20"/>
                <w:szCs w:val="20"/>
              </w:rPr>
              <w:t>1</w:t>
            </w:r>
            <w:r w:rsidRPr="009A6E84">
              <w:rPr>
                <w:color w:val="000000" w:themeColor="text1"/>
                <w:sz w:val="20"/>
                <w:szCs w:val="20"/>
              </w:rPr>
              <w:t>4</w:t>
            </w:r>
          </w:p>
        </w:tc>
      </w:tr>
      <w:tr w:rsidR="006F3050" w:rsidRPr="008858C9" w14:paraId="51B25B7C"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74298DF5" w14:textId="690B9FC4" w:rsidR="00CA2851" w:rsidRPr="00E22872" w:rsidRDefault="00CA2851" w:rsidP="00565BCE">
            <w:pPr>
              <w:rPr>
                <w:rFonts w:eastAsia="Calibri"/>
                <w:bCs/>
                <w:color w:val="000000" w:themeColor="text1"/>
                <w:sz w:val="20"/>
                <w:szCs w:val="20"/>
              </w:rPr>
            </w:pPr>
            <w:r w:rsidRPr="00E22872">
              <w:rPr>
                <w:rFonts w:eastAsia="Calibri"/>
                <w:bCs/>
                <w:color w:val="000000" w:themeColor="text1"/>
                <w:sz w:val="20"/>
                <w:szCs w:val="20"/>
              </w:rPr>
              <w:t xml:space="preserve">      </w:t>
            </w:r>
            <w:r w:rsidR="005F057C">
              <w:rPr>
                <w:rFonts w:eastAsia="Calibri"/>
                <w:bCs/>
                <w:color w:val="000000" w:themeColor="text1"/>
                <w:sz w:val="20"/>
                <w:szCs w:val="20"/>
              </w:rPr>
              <w:t>6</w:t>
            </w:r>
            <w:r w:rsidRPr="00E22872">
              <w:rPr>
                <w:rFonts w:eastAsia="Calibri"/>
                <w:bCs/>
                <w:color w:val="000000" w:themeColor="text1"/>
                <w:sz w:val="20"/>
                <w:szCs w:val="20"/>
              </w:rPr>
              <w:t>1 years or older</w:t>
            </w:r>
          </w:p>
        </w:tc>
        <w:tc>
          <w:tcPr>
            <w:tcW w:w="486" w:type="pct"/>
            <w:tcBorders>
              <w:top w:val="nil"/>
              <w:left w:val="double" w:sz="4" w:space="0" w:color="auto"/>
              <w:bottom w:val="dotted" w:sz="4" w:space="0" w:color="auto"/>
            </w:tcBorders>
            <w:tcMar>
              <w:left w:w="43" w:type="dxa"/>
              <w:right w:w="43" w:type="dxa"/>
            </w:tcMar>
            <w:vAlign w:val="bottom"/>
          </w:tcPr>
          <w:p w14:paraId="7937E530" w14:textId="77777777" w:rsidR="00CA2851" w:rsidRPr="009A6E84" w:rsidRDefault="00CA2851" w:rsidP="0035067E">
            <w:pPr>
              <w:jc w:val="right"/>
              <w:rPr>
                <w:rFonts w:eastAsia="Calibri"/>
                <w:bCs/>
                <w:color w:val="000000" w:themeColor="text1"/>
                <w:sz w:val="20"/>
                <w:szCs w:val="20"/>
              </w:rPr>
            </w:pPr>
          </w:p>
        </w:tc>
        <w:tc>
          <w:tcPr>
            <w:tcW w:w="438" w:type="pct"/>
            <w:tcBorders>
              <w:top w:val="nil"/>
              <w:bottom w:val="dotted" w:sz="4" w:space="0" w:color="auto"/>
              <w:right w:val="single" w:sz="8" w:space="0" w:color="auto"/>
            </w:tcBorders>
            <w:tcMar>
              <w:left w:w="43" w:type="dxa"/>
              <w:right w:w="43" w:type="dxa"/>
            </w:tcMar>
            <w:vAlign w:val="bottom"/>
          </w:tcPr>
          <w:p w14:paraId="706065EF" w14:textId="77777777" w:rsidR="00CA2851" w:rsidRPr="009A6E84" w:rsidRDefault="00CA2851" w:rsidP="0035067E">
            <w:pPr>
              <w:jc w:val="right"/>
              <w:rPr>
                <w:rFonts w:eastAsia="Calibri"/>
                <w:bCs/>
                <w:color w:val="000000" w:themeColor="text1"/>
                <w:sz w:val="20"/>
                <w:szCs w:val="20"/>
              </w:rPr>
            </w:pPr>
          </w:p>
        </w:tc>
        <w:tc>
          <w:tcPr>
            <w:tcW w:w="438" w:type="pct"/>
            <w:tcBorders>
              <w:top w:val="nil"/>
              <w:left w:val="single" w:sz="8" w:space="0" w:color="auto"/>
              <w:bottom w:val="dotted" w:sz="4" w:space="0" w:color="auto"/>
            </w:tcBorders>
            <w:shd w:val="clear" w:color="auto" w:fill="FFFFFF"/>
            <w:tcMar>
              <w:left w:w="43" w:type="dxa"/>
              <w:right w:w="43" w:type="dxa"/>
            </w:tcMar>
            <w:vAlign w:val="center"/>
          </w:tcPr>
          <w:p w14:paraId="3D3379A3" w14:textId="3003207D"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-0.3</w:t>
            </w:r>
            <w:r w:rsidR="00083C54" w:rsidRPr="009A6E84">
              <w:rPr>
                <w:color w:val="000000" w:themeColor="text1"/>
                <w:sz w:val="20"/>
                <w:szCs w:val="20"/>
              </w:rPr>
              <w:t>66</w:t>
            </w:r>
          </w:p>
        </w:tc>
        <w:tc>
          <w:tcPr>
            <w:tcW w:w="437" w:type="pct"/>
            <w:tcBorders>
              <w:top w:val="nil"/>
              <w:bottom w:val="dotted" w:sz="4" w:space="0" w:color="auto"/>
              <w:right w:val="double" w:sz="4" w:space="0" w:color="auto"/>
            </w:tcBorders>
            <w:shd w:val="clear" w:color="auto" w:fill="FFFFFF"/>
            <w:tcMar>
              <w:left w:w="43" w:type="dxa"/>
              <w:right w:w="43" w:type="dxa"/>
            </w:tcMar>
            <w:vAlign w:val="center"/>
          </w:tcPr>
          <w:p w14:paraId="7ACE26C5" w14:textId="029C370C"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-5.</w:t>
            </w:r>
            <w:r w:rsidR="00083C54" w:rsidRPr="009A6E84">
              <w:rPr>
                <w:color w:val="000000" w:themeColor="text1"/>
                <w:sz w:val="20"/>
                <w:szCs w:val="20"/>
              </w:rPr>
              <w:t>1</w:t>
            </w:r>
            <w:r w:rsidRPr="009A6E84">
              <w:rPr>
                <w:color w:val="000000" w:themeColor="text1"/>
                <w:sz w:val="20"/>
                <w:szCs w:val="20"/>
              </w:rPr>
              <w:t>4</w:t>
            </w:r>
          </w:p>
        </w:tc>
      </w:tr>
      <w:tr w:rsidR="006F3050" w:rsidRPr="008858C9" w14:paraId="21CC1C35"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426C9111" w14:textId="2B3BDF05" w:rsidR="00CA2851" w:rsidRPr="00E22872" w:rsidRDefault="00E82A53" w:rsidP="00565BCE">
            <w:pPr>
              <w:rPr>
                <w:rFonts w:eastAsia="Calibri"/>
                <w:b/>
                <w:bCs/>
                <w:color w:val="000000" w:themeColor="text1"/>
                <w:sz w:val="20"/>
                <w:szCs w:val="20"/>
              </w:rPr>
            </w:pPr>
            <w:r>
              <w:rPr>
                <w:rFonts w:eastAsia="Calibri"/>
                <w:b/>
                <w:bCs/>
                <w:color w:val="000000" w:themeColor="text1"/>
                <w:sz w:val="20"/>
                <w:szCs w:val="20"/>
              </w:rPr>
              <w:t>Household i</w:t>
            </w:r>
            <w:r w:rsidR="00CA2851" w:rsidRPr="00E22872">
              <w:rPr>
                <w:rFonts w:eastAsia="Calibri"/>
                <w:b/>
                <w:bCs/>
                <w:color w:val="000000" w:themeColor="text1"/>
                <w:sz w:val="20"/>
                <w:szCs w:val="20"/>
              </w:rPr>
              <w:t xml:space="preserve">ncome </w:t>
            </w:r>
            <w:r w:rsidR="00CA2851" w:rsidRPr="00E22872">
              <w:rPr>
                <w:rFonts w:eastAsia="Calibri"/>
                <w:bCs/>
                <w:i/>
                <w:iCs/>
                <w:color w:val="000000" w:themeColor="text1"/>
                <w:sz w:val="20"/>
                <w:szCs w:val="20"/>
              </w:rPr>
              <w:t>(base: less than $100,000)</w:t>
            </w:r>
          </w:p>
        </w:tc>
        <w:tc>
          <w:tcPr>
            <w:tcW w:w="486" w:type="pct"/>
            <w:tcBorders>
              <w:top w:val="dotted" w:sz="4" w:space="0" w:color="auto"/>
              <w:left w:val="double" w:sz="4" w:space="0" w:color="auto"/>
              <w:bottom w:val="nil"/>
            </w:tcBorders>
            <w:tcMar>
              <w:left w:w="43" w:type="dxa"/>
              <w:right w:w="43" w:type="dxa"/>
            </w:tcMar>
            <w:vAlign w:val="center"/>
          </w:tcPr>
          <w:p w14:paraId="5A061E07"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center"/>
          </w:tcPr>
          <w:p w14:paraId="37BADF1D"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center"/>
          </w:tcPr>
          <w:p w14:paraId="170E3CF2" w14:textId="77777777" w:rsidR="00CA2851" w:rsidRPr="009A6E84"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center"/>
          </w:tcPr>
          <w:p w14:paraId="1844C87D" w14:textId="77777777" w:rsidR="00CA2851" w:rsidRPr="009A6E84" w:rsidRDefault="00CA2851" w:rsidP="0035067E">
            <w:pPr>
              <w:jc w:val="right"/>
              <w:rPr>
                <w:rFonts w:eastAsia="Calibri"/>
                <w:bCs/>
                <w:color w:val="000000" w:themeColor="text1"/>
                <w:sz w:val="20"/>
                <w:szCs w:val="20"/>
              </w:rPr>
            </w:pPr>
          </w:p>
        </w:tc>
      </w:tr>
      <w:tr w:rsidR="006F3050" w:rsidRPr="008858C9" w14:paraId="3609FF62"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2E62EAF5" w14:textId="77777777" w:rsidR="00CA2851" w:rsidRPr="00E22872" w:rsidRDefault="00CA2851" w:rsidP="00565BCE">
            <w:pPr>
              <w:rPr>
                <w:rFonts w:eastAsia="Calibri"/>
                <w:bCs/>
                <w:color w:val="000000" w:themeColor="text1"/>
                <w:sz w:val="20"/>
                <w:szCs w:val="20"/>
              </w:rPr>
            </w:pPr>
            <w:r w:rsidRPr="00E22872">
              <w:rPr>
                <w:rFonts w:eastAsia="Calibri"/>
                <w:bCs/>
                <w:color w:val="000000" w:themeColor="text1"/>
                <w:sz w:val="20"/>
                <w:szCs w:val="20"/>
              </w:rPr>
              <w:t xml:space="preserve">    $100,000 or more</w:t>
            </w:r>
          </w:p>
        </w:tc>
        <w:tc>
          <w:tcPr>
            <w:tcW w:w="486" w:type="pct"/>
            <w:tcBorders>
              <w:top w:val="nil"/>
              <w:left w:val="double" w:sz="4" w:space="0" w:color="auto"/>
              <w:bottom w:val="dotted" w:sz="4" w:space="0" w:color="auto"/>
            </w:tcBorders>
            <w:tcMar>
              <w:left w:w="43" w:type="dxa"/>
              <w:right w:w="43" w:type="dxa"/>
            </w:tcMar>
            <w:vAlign w:val="center"/>
          </w:tcPr>
          <w:p w14:paraId="23DC7A58" w14:textId="77777777" w:rsidR="00CA2851" w:rsidRPr="009A6E84" w:rsidRDefault="00CA2851" w:rsidP="0035067E">
            <w:pPr>
              <w:jc w:val="right"/>
              <w:rPr>
                <w:rFonts w:eastAsia="Calibri"/>
                <w:bCs/>
                <w:color w:val="000000" w:themeColor="text1"/>
                <w:sz w:val="20"/>
                <w:szCs w:val="20"/>
              </w:rPr>
            </w:pPr>
          </w:p>
        </w:tc>
        <w:tc>
          <w:tcPr>
            <w:tcW w:w="438" w:type="pct"/>
            <w:tcBorders>
              <w:top w:val="nil"/>
              <w:bottom w:val="dotted" w:sz="4" w:space="0" w:color="auto"/>
              <w:right w:val="single" w:sz="8" w:space="0" w:color="auto"/>
            </w:tcBorders>
            <w:tcMar>
              <w:left w:w="43" w:type="dxa"/>
              <w:right w:w="43" w:type="dxa"/>
            </w:tcMar>
            <w:vAlign w:val="center"/>
          </w:tcPr>
          <w:p w14:paraId="5C4E446E" w14:textId="77777777" w:rsidR="00CA2851" w:rsidRPr="009A6E84" w:rsidRDefault="00CA2851" w:rsidP="0035067E">
            <w:pPr>
              <w:jc w:val="right"/>
              <w:rPr>
                <w:rFonts w:eastAsia="Calibri"/>
                <w:bCs/>
                <w:color w:val="000000" w:themeColor="text1"/>
                <w:sz w:val="20"/>
                <w:szCs w:val="20"/>
              </w:rPr>
            </w:pPr>
          </w:p>
        </w:tc>
        <w:tc>
          <w:tcPr>
            <w:tcW w:w="438" w:type="pct"/>
            <w:tcBorders>
              <w:top w:val="nil"/>
              <w:left w:val="single" w:sz="8" w:space="0" w:color="auto"/>
              <w:bottom w:val="dotted" w:sz="4" w:space="0" w:color="auto"/>
            </w:tcBorders>
            <w:shd w:val="clear" w:color="auto" w:fill="FFFFFF"/>
            <w:tcMar>
              <w:left w:w="43" w:type="dxa"/>
              <w:right w:w="43" w:type="dxa"/>
            </w:tcMar>
            <w:vAlign w:val="center"/>
          </w:tcPr>
          <w:p w14:paraId="41A40E39" w14:textId="75ED843F"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0.1</w:t>
            </w:r>
            <w:r w:rsidR="00083C54" w:rsidRPr="009A6E84">
              <w:rPr>
                <w:color w:val="000000" w:themeColor="text1"/>
                <w:sz w:val="20"/>
                <w:szCs w:val="20"/>
              </w:rPr>
              <w:t>76</w:t>
            </w:r>
          </w:p>
        </w:tc>
        <w:tc>
          <w:tcPr>
            <w:tcW w:w="437" w:type="pct"/>
            <w:tcBorders>
              <w:top w:val="nil"/>
              <w:bottom w:val="dotted" w:sz="4" w:space="0" w:color="auto"/>
              <w:right w:val="double" w:sz="4" w:space="0" w:color="auto"/>
            </w:tcBorders>
            <w:shd w:val="clear" w:color="auto" w:fill="FFFFFF"/>
            <w:tcMar>
              <w:left w:w="43" w:type="dxa"/>
              <w:right w:w="43" w:type="dxa"/>
            </w:tcMar>
            <w:vAlign w:val="center"/>
          </w:tcPr>
          <w:p w14:paraId="4DC26784" w14:textId="3CDBF8F1" w:rsidR="00CA2851" w:rsidRPr="009A6E84" w:rsidRDefault="00083C54" w:rsidP="0035067E">
            <w:pPr>
              <w:jc w:val="right"/>
              <w:rPr>
                <w:rFonts w:eastAsia="Calibri"/>
                <w:bCs/>
                <w:color w:val="000000" w:themeColor="text1"/>
                <w:sz w:val="20"/>
                <w:szCs w:val="20"/>
              </w:rPr>
            </w:pPr>
            <w:r w:rsidRPr="009A6E84">
              <w:rPr>
                <w:color w:val="000000" w:themeColor="text1"/>
                <w:sz w:val="20"/>
                <w:szCs w:val="20"/>
              </w:rPr>
              <w:t>2.37</w:t>
            </w:r>
          </w:p>
        </w:tc>
      </w:tr>
      <w:tr w:rsidR="006F3050" w:rsidRPr="008858C9" w14:paraId="7727DC6B"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38971091" w14:textId="77777777" w:rsidR="00CA2851" w:rsidRPr="00E22872" w:rsidRDefault="00CA2851" w:rsidP="00565BCE">
            <w:pPr>
              <w:rPr>
                <w:rFonts w:eastAsia="Calibri"/>
                <w:bCs/>
                <w:color w:val="000000" w:themeColor="text1"/>
                <w:sz w:val="20"/>
                <w:szCs w:val="20"/>
              </w:rPr>
            </w:pPr>
            <w:r w:rsidRPr="00E22872">
              <w:rPr>
                <w:rFonts w:eastAsia="Calibri"/>
                <w:b/>
                <w:bCs/>
                <w:color w:val="000000" w:themeColor="text1"/>
                <w:sz w:val="20"/>
                <w:szCs w:val="20"/>
              </w:rPr>
              <w:t xml:space="preserve">Income change </w:t>
            </w:r>
            <w:r w:rsidRPr="00E22872">
              <w:rPr>
                <w:rFonts w:eastAsia="Calibri"/>
                <w:bCs/>
                <w:i/>
                <w:iCs/>
                <w:color w:val="000000" w:themeColor="text1"/>
                <w:sz w:val="20"/>
                <w:szCs w:val="20"/>
              </w:rPr>
              <w:t>(base: no change or decrease)</w:t>
            </w:r>
          </w:p>
        </w:tc>
        <w:tc>
          <w:tcPr>
            <w:tcW w:w="486" w:type="pct"/>
            <w:tcBorders>
              <w:top w:val="dotted" w:sz="4" w:space="0" w:color="auto"/>
              <w:left w:val="double" w:sz="4" w:space="0" w:color="auto"/>
              <w:bottom w:val="nil"/>
            </w:tcBorders>
            <w:tcMar>
              <w:left w:w="43" w:type="dxa"/>
              <w:right w:w="43" w:type="dxa"/>
            </w:tcMar>
            <w:vAlign w:val="bottom"/>
          </w:tcPr>
          <w:p w14:paraId="16636CD6"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bottom"/>
          </w:tcPr>
          <w:p w14:paraId="7F52FF44"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bottom"/>
          </w:tcPr>
          <w:p w14:paraId="2E17D661" w14:textId="77777777" w:rsidR="00CA2851" w:rsidRPr="009A6E84"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bottom"/>
          </w:tcPr>
          <w:p w14:paraId="638818AF" w14:textId="77777777" w:rsidR="00CA2851" w:rsidRPr="009A6E84" w:rsidRDefault="00CA2851" w:rsidP="0035067E">
            <w:pPr>
              <w:jc w:val="right"/>
              <w:rPr>
                <w:rFonts w:eastAsia="Calibri"/>
                <w:bCs/>
                <w:color w:val="000000" w:themeColor="text1"/>
                <w:sz w:val="20"/>
                <w:szCs w:val="20"/>
              </w:rPr>
            </w:pPr>
          </w:p>
        </w:tc>
      </w:tr>
      <w:tr w:rsidR="006F3050" w:rsidRPr="008858C9" w14:paraId="74154006"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4F3FF5D2" w14:textId="77777777" w:rsidR="00CA2851" w:rsidRPr="00E22872" w:rsidRDefault="00CA2851" w:rsidP="00565BCE">
            <w:pPr>
              <w:rPr>
                <w:rFonts w:eastAsia="Calibri"/>
                <w:bCs/>
                <w:color w:val="000000" w:themeColor="text1"/>
                <w:sz w:val="20"/>
                <w:szCs w:val="20"/>
              </w:rPr>
            </w:pPr>
            <w:r w:rsidRPr="00E22872">
              <w:rPr>
                <w:rFonts w:eastAsia="Calibri"/>
                <w:bCs/>
                <w:color w:val="000000" w:themeColor="text1"/>
                <w:sz w:val="20"/>
                <w:szCs w:val="20"/>
              </w:rPr>
              <w:t xml:space="preserve">     Income increased during COVID</w:t>
            </w:r>
          </w:p>
        </w:tc>
        <w:tc>
          <w:tcPr>
            <w:tcW w:w="486" w:type="pct"/>
            <w:tcBorders>
              <w:top w:val="nil"/>
              <w:left w:val="double" w:sz="4" w:space="0" w:color="auto"/>
              <w:bottom w:val="dotted" w:sz="4" w:space="0" w:color="auto"/>
            </w:tcBorders>
            <w:tcMar>
              <w:left w:w="43" w:type="dxa"/>
              <w:right w:w="43" w:type="dxa"/>
            </w:tcMar>
            <w:vAlign w:val="center"/>
          </w:tcPr>
          <w:p w14:paraId="63C66A5B" w14:textId="77777777" w:rsidR="00CA2851" w:rsidRPr="009A6E84" w:rsidRDefault="00CA2851" w:rsidP="0035067E">
            <w:pPr>
              <w:jc w:val="right"/>
              <w:rPr>
                <w:rFonts w:eastAsia="Calibri"/>
                <w:bCs/>
                <w:color w:val="000000" w:themeColor="text1"/>
                <w:sz w:val="20"/>
                <w:szCs w:val="20"/>
              </w:rPr>
            </w:pPr>
            <w:r w:rsidRPr="009A6E84">
              <w:rPr>
                <w:rFonts w:eastAsia="Calibri"/>
                <w:bCs/>
                <w:color w:val="000000" w:themeColor="text1"/>
                <w:sz w:val="20"/>
                <w:szCs w:val="20"/>
              </w:rPr>
              <w:t>--</w:t>
            </w:r>
          </w:p>
        </w:tc>
        <w:tc>
          <w:tcPr>
            <w:tcW w:w="438" w:type="pct"/>
            <w:tcBorders>
              <w:top w:val="nil"/>
              <w:bottom w:val="dotted" w:sz="4" w:space="0" w:color="auto"/>
              <w:right w:val="single" w:sz="8" w:space="0" w:color="auto"/>
            </w:tcBorders>
            <w:tcMar>
              <w:left w:w="43" w:type="dxa"/>
              <w:right w:w="43" w:type="dxa"/>
            </w:tcMar>
            <w:vAlign w:val="center"/>
          </w:tcPr>
          <w:p w14:paraId="4DEB0292" w14:textId="77777777" w:rsidR="00CA2851" w:rsidRPr="009A6E84" w:rsidRDefault="00CA2851" w:rsidP="0035067E">
            <w:pPr>
              <w:jc w:val="right"/>
              <w:rPr>
                <w:rFonts w:eastAsia="Calibri"/>
                <w:bCs/>
                <w:color w:val="000000" w:themeColor="text1"/>
                <w:sz w:val="20"/>
                <w:szCs w:val="20"/>
              </w:rPr>
            </w:pPr>
            <w:r w:rsidRPr="009A6E84">
              <w:rPr>
                <w:rFonts w:eastAsia="Calibri"/>
                <w:bCs/>
                <w:color w:val="000000" w:themeColor="text1"/>
                <w:sz w:val="20"/>
                <w:szCs w:val="20"/>
              </w:rPr>
              <w:t>--</w:t>
            </w:r>
          </w:p>
        </w:tc>
        <w:tc>
          <w:tcPr>
            <w:tcW w:w="438" w:type="pct"/>
            <w:tcBorders>
              <w:top w:val="nil"/>
              <w:left w:val="single" w:sz="8" w:space="0" w:color="auto"/>
              <w:bottom w:val="dotted" w:sz="4" w:space="0" w:color="auto"/>
            </w:tcBorders>
            <w:shd w:val="clear" w:color="auto" w:fill="FFFFFF"/>
            <w:tcMar>
              <w:left w:w="43" w:type="dxa"/>
              <w:right w:w="43" w:type="dxa"/>
            </w:tcMar>
            <w:vAlign w:val="center"/>
          </w:tcPr>
          <w:p w14:paraId="4BCE68E4" w14:textId="5DEB6C2D"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0.17</w:t>
            </w:r>
            <w:r w:rsidR="00083C54" w:rsidRPr="009A6E84">
              <w:rPr>
                <w:color w:val="000000" w:themeColor="text1"/>
                <w:sz w:val="20"/>
                <w:szCs w:val="20"/>
              </w:rPr>
              <w:t>7</w:t>
            </w:r>
          </w:p>
        </w:tc>
        <w:tc>
          <w:tcPr>
            <w:tcW w:w="437" w:type="pct"/>
            <w:tcBorders>
              <w:top w:val="nil"/>
              <w:bottom w:val="dotted" w:sz="4" w:space="0" w:color="auto"/>
              <w:right w:val="double" w:sz="4" w:space="0" w:color="auto"/>
            </w:tcBorders>
            <w:shd w:val="clear" w:color="auto" w:fill="FFFFFF"/>
            <w:tcMar>
              <w:left w:w="43" w:type="dxa"/>
              <w:right w:w="43" w:type="dxa"/>
            </w:tcMar>
            <w:vAlign w:val="center"/>
          </w:tcPr>
          <w:p w14:paraId="489AC21A" w14:textId="7F524DAF" w:rsidR="00CA2851" w:rsidRPr="009A6E84" w:rsidRDefault="00CA2851" w:rsidP="0035067E">
            <w:pPr>
              <w:jc w:val="right"/>
              <w:rPr>
                <w:rFonts w:eastAsia="Calibri"/>
                <w:bCs/>
                <w:color w:val="000000" w:themeColor="text1"/>
                <w:sz w:val="20"/>
                <w:szCs w:val="20"/>
              </w:rPr>
            </w:pPr>
            <w:r w:rsidRPr="009A6E84">
              <w:rPr>
                <w:color w:val="000000" w:themeColor="text1"/>
                <w:sz w:val="20"/>
                <w:szCs w:val="20"/>
              </w:rPr>
              <w:t>2.4</w:t>
            </w:r>
            <w:r w:rsidR="00083C54" w:rsidRPr="009A6E84">
              <w:rPr>
                <w:color w:val="000000" w:themeColor="text1"/>
                <w:sz w:val="20"/>
                <w:szCs w:val="20"/>
              </w:rPr>
              <w:t>9</w:t>
            </w:r>
          </w:p>
        </w:tc>
      </w:tr>
      <w:tr w:rsidR="006F3050" w:rsidRPr="008858C9" w14:paraId="77FB8E37"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6E462B8D" w14:textId="32E786C7" w:rsidR="00CA2851" w:rsidRPr="00E22872" w:rsidRDefault="00E82A53" w:rsidP="00565BCE">
            <w:pPr>
              <w:rPr>
                <w:rFonts w:eastAsia="Calibri"/>
                <w:bCs/>
                <w:color w:val="000000" w:themeColor="text1"/>
                <w:sz w:val="20"/>
                <w:szCs w:val="20"/>
              </w:rPr>
            </w:pPr>
            <w:r>
              <w:rPr>
                <w:rFonts w:eastAsia="Calibri"/>
                <w:b/>
                <w:color w:val="000000" w:themeColor="text1"/>
                <w:sz w:val="20"/>
                <w:szCs w:val="20"/>
              </w:rPr>
              <w:t>Number of motorized vehicles</w:t>
            </w:r>
            <w:r w:rsidR="00CA2851" w:rsidRPr="00E22872">
              <w:rPr>
                <w:rFonts w:eastAsia="Calibri"/>
                <w:bCs/>
                <w:color w:val="000000" w:themeColor="text1"/>
                <w:sz w:val="20"/>
                <w:szCs w:val="20"/>
              </w:rPr>
              <w:t xml:space="preserve"> </w:t>
            </w:r>
            <w:r w:rsidR="00CA2851" w:rsidRPr="00E22872">
              <w:rPr>
                <w:rFonts w:eastAsia="Calibri"/>
                <w:bCs/>
                <w:i/>
                <w:iCs/>
                <w:color w:val="000000" w:themeColor="text1"/>
                <w:sz w:val="20"/>
                <w:szCs w:val="20"/>
              </w:rPr>
              <w:t>(base: ≥3 vehicles)</w:t>
            </w:r>
          </w:p>
        </w:tc>
        <w:tc>
          <w:tcPr>
            <w:tcW w:w="486" w:type="pct"/>
            <w:tcBorders>
              <w:top w:val="dotted" w:sz="4" w:space="0" w:color="auto"/>
              <w:left w:val="double" w:sz="4" w:space="0" w:color="auto"/>
              <w:bottom w:val="nil"/>
            </w:tcBorders>
            <w:tcMar>
              <w:left w:w="43" w:type="dxa"/>
              <w:right w:w="43" w:type="dxa"/>
            </w:tcMar>
            <w:vAlign w:val="bottom"/>
          </w:tcPr>
          <w:p w14:paraId="1501A65A"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bottom"/>
          </w:tcPr>
          <w:p w14:paraId="7B579459"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bottom"/>
          </w:tcPr>
          <w:p w14:paraId="69E30960" w14:textId="77777777" w:rsidR="00CA2851" w:rsidRPr="009A6E84"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bottom"/>
          </w:tcPr>
          <w:p w14:paraId="45EB8935" w14:textId="77777777" w:rsidR="00CA2851" w:rsidRPr="009A6E84" w:rsidRDefault="00CA2851" w:rsidP="0035067E">
            <w:pPr>
              <w:jc w:val="right"/>
              <w:rPr>
                <w:rFonts w:eastAsia="Calibri"/>
                <w:bCs/>
                <w:color w:val="000000" w:themeColor="text1"/>
                <w:sz w:val="20"/>
                <w:szCs w:val="20"/>
              </w:rPr>
            </w:pPr>
          </w:p>
        </w:tc>
      </w:tr>
      <w:tr w:rsidR="006F3050" w:rsidRPr="008858C9" w14:paraId="4689AE19"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088BDDA1" w14:textId="77777777" w:rsidR="00083C54" w:rsidRPr="00E22872" w:rsidRDefault="00083C54" w:rsidP="00565BCE">
            <w:pPr>
              <w:rPr>
                <w:rFonts w:eastAsia="Calibri"/>
                <w:bCs/>
                <w:color w:val="000000" w:themeColor="text1"/>
                <w:sz w:val="20"/>
                <w:szCs w:val="20"/>
              </w:rPr>
            </w:pPr>
            <w:r w:rsidRPr="00E22872">
              <w:rPr>
                <w:rFonts w:eastAsia="Calibri"/>
                <w:bCs/>
                <w:color w:val="000000" w:themeColor="text1"/>
                <w:sz w:val="20"/>
                <w:szCs w:val="20"/>
              </w:rPr>
              <w:t xml:space="preserve">     0 vehicles</w:t>
            </w:r>
          </w:p>
        </w:tc>
        <w:tc>
          <w:tcPr>
            <w:tcW w:w="486" w:type="pct"/>
            <w:tcBorders>
              <w:top w:val="nil"/>
              <w:left w:val="double" w:sz="4" w:space="0" w:color="auto"/>
              <w:bottom w:val="nil"/>
            </w:tcBorders>
            <w:tcMar>
              <w:left w:w="43" w:type="dxa"/>
              <w:right w:w="43" w:type="dxa"/>
            </w:tcMar>
            <w:vAlign w:val="center"/>
          </w:tcPr>
          <w:p w14:paraId="78C21086" w14:textId="5EE0777B" w:rsidR="00083C54" w:rsidRPr="009A6E84" w:rsidRDefault="00083C54" w:rsidP="00083C54">
            <w:pPr>
              <w:jc w:val="right"/>
              <w:rPr>
                <w:rFonts w:eastAsia="Calibri"/>
                <w:bCs/>
                <w:color w:val="000000" w:themeColor="text1"/>
                <w:sz w:val="20"/>
                <w:szCs w:val="20"/>
              </w:rPr>
            </w:pPr>
            <w:r w:rsidRPr="009A6E84">
              <w:rPr>
                <w:rFonts w:eastAsia="Calibri"/>
                <w:bCs/>
                <w:color w:val="000000" w:themeColor="text1"/>
                <w:sz w:val="20"/>
                <w:szCs w:val="20"/>
              </w:rPr>
              <w:t>0.211</w:t>
            </w:r>
          </w:p>
        </w:tc>
        <w:tc>
          <w:tcPr>
            <w:tcW w:w="438" w:type="pct"/>
            <w:tcBorders>
              <w:top w:val="nil"/>
              <w:bottom w:val="nil"/>
              <w:right w:val="single" w:sz="8" w:space="0" w:color="auto"/>
            </w:tcBorders>
            <w:tcMar>
              <w:left w:w="43" w:type="dxa"/>
              <w:right w:w="43" w:type="dxa"/>
            </w:tcMar>
            <w:vAlign w:val="center"/>
          </w:tcPr>
          <w:p w14:paraId="4800D6DF" w14:textId="0559F393" w:rsidR="00083C54" w:rsidRPr="009A6E84" w:rsidRDefault="00083C54" w:rsidP="00083C54">
            <w:pPr>
              <w:jc w:val="right"/>
              <w:rPr>
                <w:rFonts w:eastAsia="Calibri"/>
                <w:bCs/>
                <w:color w:val="000000" w:themeColor="text1"/>
                <w:sz w:val="20"/>
                <w:szCs w:val="20"/>
              </w:rPr>
            </w:pPr>
            <w:r w:rsidRPr="009A6E84">
              <w:rPr>
                <w:rFonts w:eastAsia="Calibri"/>
                <w:bCs/>
                <w:color w:val="000000" w:themeColor="text1"/>
                <w:sz w:val="20"/>
                <w:szCs w:val="20"/>
              </w:rPr>
              <w:t>2.92</w:t>
            </w:r>
          </w:p>
        </w:tc>
        <w:tc>
          <w:tcPr>
            <w:tcW w:w="438" w:type="pct"/>
            <w:tcBorders>
              <w:top w:val="nil"/>
              <w:left w:val="single" w:sz="8" w:space="0" w:color="auto"/>
              <w:bottom w:val="nil"/>
            </w:tcBorders>
            <w:shd w:val="clear" w:color="auto" w:fill="FFFFFF"/>
            <w:tcMar>
              <w:left w:w="43" w:type="dxa"/>
              <w:right w:w="43" w:type="dxa"/>
            </w:tcMar>
            <w:vAlign w:val="center"/>
          </w:tcPr>
          <w:p w14:paraId="633FFBF5" w14:textId="04D2D99D" w:rsidR="00083C54" w:rsidRPr="009A6E84" w:rsidRDefault="00083C54" w:rsidP="00083C54">
            <w:pPr>
              <w:jc w:val="right"/>
              <w:rPr>
                <w:rFonts w:eastAsia="Calibri"/>
                <w:bCs/>
                <w:color w:val="000000" w:themeColor="text1"/>
                <w:sz w:val="20"/>
                <w:szCs w:val="20"/>
              </w:rPr>
            </w:pPr>
            <w:r w:rsidRPr="009A6E84">
              <w:rPr>
                <w:rFonts w:eastAsia="Calibri"/>
                <w:bCs/>
                <w:color w:val="000000" w:themeColor="text1"/>
                <w:sz w:val="20"/>
                <w:szCs w:val="20"/>
              </w:rPr>
              <w:t>0.211</w:t>
            </w:r>
          </w:p>
        </w:tc>
        <w:tc>
          <w:tcPr>
            <w:tcW w:w="437" w:type="pct"/>
            <w:tcBorders>
              <w:top w:val="nil"/>
              <w:bottom w:val="nil"/>
              <w:right w:val="double" w:sz="4" w:space="0" w:color="auto"/>
            </w:tcBorders>
            <w:shd w:val="clear" w:color="auto" w:fill="FFFFFF"/>
            <w:tcMar>
              <w:left w:w="43" w:type="dxa"/>
              <w:right w:w="43" w:type="dxa"/>
            </w:tcMar>
            <w:vAlign w:val="center"/>
          </w:tcPr>
          <w:p w14:paraId="28B1C2C4" w14:textId="31C0F09C" w:rsidR="00083C54" w:rsidRPr="009A6E84" w:rsidRDefault="00083C54" w:rsidP="00083C54">
            <w:pPr>
              <w:jc w:val="right"/>
              <w:rPr>
                <w:rFonts w:eastAsia="Calibri"/>
                <w:bCs/>
                <w:color w:val="000000" w:themeColor="text1"/>
                <w:sz w:val="20"/>
                <w:szCs w:val="20"/>
              </w:rPr>
            </w:pPr>
            <w:r w:rsidRPr="009A6E84">
              <w:rPr>
                <w:rFonts w:eastAsia="Calibri"/>
                <w:bCs/>
                <w:color w:val="000000" w:themeColor="text1"/>
                <w:sz w:val="20"/>
                <w:szCs w:val="20"/>
              </w:rPr>
              <w:t>2.92</w:t>
            </w:r>
          </w:p>
        </w:tc>
      </w:tr>
      <w:tr w:rsidR="006F3050" w:rsidRPr="008858C9" w14:paraId="7E1BEA1F" w14:textId="77777777" w:rsidTr="0069340B">
        <w:trPr>
          <w:trHeight w:val="288"/>
        </w:trPr>
        <w:tc>
          <w:tcPr>
            <w:tcW w:w="3200" w:type="pct"/>
            <w:tcBorders>
              <w:top w:val="nil"/>
              <w:left w:val="double" w:sz="4" w:space="0" w:color="auto"/>
              <w:bottom w:val="single" w:sz="4" w:space="0" w:color="auto"/>
              <w:right w:val="double" w:sz="4" w:space="0" w:color="auto"/>
            </w:tcBorders>
            <w:tcMar>
              <w:left w:w="43" w:type="dxa"/>
              <w:right w:w="43" w:type="dxa"/>
            </w:tcMar>
            <w:vAlign w:val="center"/>
          </w:tcPr>
          <w:p w14:paraId="2AE8C734" w14:textId="77777777" w:rsidR="00CA2851" w:rsidRPr="00E22872" w:rsidRDefault="00CA2851" w:rsidP="00565BCE">
            <w:pPr>
              <w:rPr>
                <w:rFonts w:eastAsia="Calibri"/>
                <w:bCs/>
                <w:color w:val="000000" w:themeColor="text1"/>
                <w:sz w:val="20"/>
                <w:szCs w:val="20"/>
              </w:rPr>
            </w:pPr>
            <w:r w:rsidRPr="00E22872">
              <w:rPr>
                <w:rFonts w:eastAsia="Calibri"/>
                <w:bCs/>
                <w:color w:val="000000" w:themeColor="text1"/>
                <w:sz w:val="20"/>
                <w:szCs w:val="20"/>
              </w:rPr>
              <w:t xml:space="preserve">     1 – 2 vehicles</w:t>
            </w:r>
          </w:p>
        </w:tc>
        <w:tc>
          <w:tcPr>
            <w:tcW w:w="486" w:type="pct"/>
            <w:tcBorders>
              <w:top w:val="nil"/>
              <w:left w:val="double" w:sz="4" w:space="0" w:color="auto"/>
              <w:bottom w:val="single" w:sz="4" w:space="0" w:color="auto"/>
            </w:tcBorders>
            <w:tcMar>
              <w:left w:w="43" w:type="dxa"/>
              <w:right w:w="43" w:type="dxa"/>
            </w:tcMar>
            <w:vAlign w:val="center"/>
          </w:tcPr>
          <w:p w14:paraId="3F2EF2BA" w14:textId="27A8BBC0" w:rsidR="00CA2851" w:rsidRPr="009A6E84" w:rsidRDefault="00083C54" w:rsidP="0035067E">
            <w:pPr>
              <w:jc w:val="right"/>
              <w:rPr>
                <w:rFonts w:eastAsia="Calibri"/>
                <w:bCs/>
                <w:color w:val="000000" w:themeColor="text1"/>
                <w:sz w:val="20"/>
                <w:szCs w:val="20"/>
              </w:rPr>
            </w:pPr>
            <w:r w:rsidRPr="009A6E84">
              <w:rPr>
                <w:rFonts w:eastAsia="Calibri"/>
                <w:bCs/>
                <w:color w:val="000000" w:themeColor="text1"/>
                <w:sz w:val="20"/>
                <w:szCs w:val="20"/>
              </w:rPr>
              <w:t>0.211</w:t>
            </w:r>
          </w:p>
        </w:tc>
        <w:tc>
          <w:tcPr>
            <w:tcW w:w="438" w:type="pct"/>
            <w:tcBorders>
              <w:top w:val="nil"/>
              <w:bottom w:val="single" w:sz="4" w:space="0" w:color="auto"/>
              <w:right w:val="single" w:sz="8" w:space="0" w:color="auto"/>
            </w:tcBorders>
            <w:tcMar>
              <w:left w:w="43" w:type="dxa"/>
              <w:right w:w="43" w:type="dxa"/>
            </w:tcMar>
            <w:vAlign w:val="center"/>
          </w:tcPr>
          <w:p w14:paraId="0722A570" w14:textId="54CAA966" w:rsidR="00CA2851" w:rsidRPr="009A6E84" w:rsidRDefault="00083C54" w:rsidP="0035067E">
            <w:pPr>
              <w:jc w:val="right"/>
              <w:rPr>
                <w:rFonts w:eastAsia="Calibri"/>
                <w:bCs/>
                <w:color w:val="000000" w:themeColor="text1"/>
                <w:sz w:val="20"/>
                <w:szCs w:val="20"/>
              </w:rPr>
            </w:pPr>
            <w:r w:rsidRPr="009A6E84">
              <w:rPr>
                <w:rFonts w:eastAsia="Calibri"/>
                <w:bCs/>
                <w:color w:val="000000" w:themeColor="text1"/>
                <w:sz w:val="20"/>
                <w:szCs w:val="20"/>
              </w:rPr>
              <w:t>2.92</w:t>
            </w:r>
          </w:p>
        </w:tc>
        <w:tc>
          <w:tcPr>
            <w:tcW w:w="438" w:type="pct"/>
            <w:tcBorders>
              <w:top w:val="nil"/>
              <w:left w:val="single" w:sz="8" w:space="0" w:color="auto"/>
              <w:bottom w:val="single" w:sz="4" w:space="0" w:color="auto"/>
            </w:tcBorders>
            <w:shd w:val="clear" w:color="auto" w:fill="FFFFFF"/>
            <w:tcMar>
              <w:left w:w="43" w:type="dxa"/>
              <w:right w:w="43" w:type="dxa"/>
            </w:tcMar>
            <w:vAlign w:val="bottom"/>
          </w:tcPr>
          <w:p w14:paraId="57316153" w14:textId="77777777" w:rsidR="00CA2851" w:rsidRPr="009A6E84" w:rsidRDefault="00CA2851" w:rsidP="0035067E">
            <w:pPr>
              <w:jc w:val="right"/>
              <w:rPr>
                <w:rFonts w:eastAsia="Calibri"/>
                <w:bCs/>
                <w:color w:val="000000" w:themeColor="text1"/>
                <w:sz w:val="20"/>
                <w:szCs w:val="20"/>
              </w:rPr>
            </w:pPr>
          </w:p>
        </w:tc>
        <w:tc>
          <w:tcPr>
            <w:tcW w:w="437" w:type="pct"/>
            <w:tcBorders>
              <w:top w:val="nil"/>
              <w:bottom w:val="single" w:sz="4" w:space="0" w:color="auto"/>
              <w:right w:val="double" w:sz="4" w:space="0" w:color="auto"/>
            </w:tcBorders>
            <w:shd w:val="clear" w:color="auto" w:fill="FFFFFF"/>
            <w:tcMar>
              <w:left w:w="43" w:type="dxa"/>
              <w:right w:w="43" w:type="dxa"/>
            </w:tcMar>
            <w:vAlign w:val="bottom"/>
          </w:tcPr>
          <w:p w14:paraId="1C6F8A5E" w14:textId="77777777" w:rsidR="00CA2851" w:rsidRPr="009A6E84" w:rsidRDefault="00CA2851" w:rsidP="0035067E">
            <w:pPr>
              <w:jc w:val="right"/>
              <w:rPr>
                <w:rFonts w:eastAsia="Calibri"/>
                <w:bCs/>
                <w:color w:val="000000" w:themeColor="text1"/>
                <w:sz w:val="20"/>
                <w:szCs w:val="20"/>
              </w:rPr>
            </w:pPr>
          </w:p>
        </w:tc>
      </w:tr>
      <w:tr w:rsidR="00565BCE" w:rsidRPr="008858C9" w14:paraId="05C1B686" w14:textId="77777777" w:rsidTr="00721B8D">
        <w:trPr>
          <w:trHeight w:val="288"/>
        </w:trPr>
        <w:tc>
          <w:tcPr>
            <w:tcW w:w="5000" w:type="pct"/>
            <w:gridSpan w:val="5"/>
            <w:tcBorders>
              <w:top w:val="single" w:sz="4" w:space="0" w:color="auto"/>
              <w:left w:val="double" w:sz="4" w:space="0" w:color="auto"/>
              <w:bottom w:val="single" w:sz="4" w:space="0" w:color="auto"/>
              <w:right w:val="double" w:sz="4" w:space="0" w:color="auto"/>
            </w:tcBorders>
            <w:tcMar>
              <w:left w:w="43" w:type="dxa"/>
              <w:right w:w="43" w:type="dxa"/>
            </w:tcMar>
            <w:vAlign w:val="center"/>
          </w:tcPr>
          <w:p w14:paraId="4399FE68" w14:textId="1E9DA08E" w:rsidR="00BC4A8E" w:rsidRPr="009A6E84" w:rsidRDefault="00BC4A8E" w:rsidP="00565BCE">
            <w:pPr>
              <w:rPr>
                <w:rFonts w:eastAsia="Calibri"/>
                <w:bCs/>
                <w:color w:val="000000" w:themeColor="text1"/>
                <w:sz w:val="20"/>
                <w:szCs w:val="20"/>
              </w:rPr>
            </w:pPr>
            <w:r w:rsidRPr="00E22872">
              <w:rPr>
                <w:rFonts w:eastAsia="Calibri"/>
                <w:b/>
                <w:color w:val="000000" w:themeColor="text1"/>
                <w:sz w:val="20"/>
                <w:szCs w:val="20"/>
              </w:rPr>
              <w:t>Employment Characteristics</w:t>
            </w:r>
          </w:p>
        </w:tc>
      </w:tr>
      <w:tr w:rsidR="006F3050" w:rsidRPr="008858C9" w14:paraId="772F46E7"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7383E4E1" w14:textId="3E5059C3" w:rsidR="00CA2851" w:rsidRPr="00E22872" w:rsidRDefault="00CA2851" w:rsidP="00565BCE">
            <w:pPr>
              <w:rPr>
                <w:rFonts w:eastAsia="Calibri"/>
                <w:b/>
                <w:bCs/>
                <w:color w:val="000000" w:themeColor="text1"/>
                <w:sz w:val="20"/>
                <w:szCs w:val="20"/>
              </w:rPr>
            </w:pPr>
            <w:r w:rsidRPr="00E22872">
              <w:rPr>
                <w:rFonts w:eastAsia="Calibri"/>
                <w:b/>
                <w:bCs/>
                <w:color w:val="000000" w:themeColor="text1"/>
                <w:sz w:val="20"/>
                <w:szCs w:val="20"/>
              </w:rPr>
              <w:t xml:space="preserve">Telework arrangements </w:t>
            </w:r>
            <w:r w:rsidRPr="00E22872">
              <w:rPr>
                <w:rFonts w:eastAsia="Calibri"/>
                <w:bCs/>
                <w:i/>
                <w:iCs/>
                <w:color w:val="000000" w:themeColor="text1"/>
                <w:sz w:val="20"/>
                <w:szCs w:val="20"/>
              </w:rPr>
              <w:t>(base: no telework or telework less tha</w:t>
            </w:r>
            <w:r w:rsidR="00CC1580">
              <w:rPr>
                <w:rFonts w:eastAsia="Calibri"/>
                <w:bCs/>
                <w:i/>
                <w:iCs/>
                <w:color w:val="000000" w:themeColor="text1"/>
                <w:sz w:val="20"/>
                <w:szCs w:val="20"/>
              </w:rPr>
              <w:t>n</w:t>
            </w:r>
            <w:r w:rsidRPr="00E22872">
              <w:rPr>
                <w:rFonts w:eastAsia="Calibri"/>
                <w:bCs/>
                <w:i/>
                <w:iCs/>
                <w:color w:val="000000" w:themeColor="text1"/>
                <w:sz w:val="20"/>
                <w:szCs w:val="20"/>
              </w:rPr>
              <w:t xml:space="preserve"> once a week)</w:t>
            </w:r>
          </w:p>
        </w:tc>
        <w:tc>
          <w:tcPr>
            <w:tcW w:w="486" w:type="pct"/>
            <w:tcBorders>
              <w:top w:val="dotted" w:sz="4" w:space="0" w:color="auto"/>
              <w:left w:val="double" w:sz="4" w:space="0" w:color="auto"/>
              <w:bottom w:val="nil"/>
            </w:tcBorders>
            <w:tcMar>
              <w:left w:w="43" w:type="dxa"/>
              <w:right w:w="43" w:type="dxa"/>
            </w:tcMar>
            <w:vAlign w:val="center"/>
          </w:tcPr>
          <w:p w14:paraId="25F08067"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center"/>
          </w:tcPr>
          <w:p w14:paraId="167AC237"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center"/>
          </w:tcPr>
          <w:p w14:paraId="7E7986CD" w14:textId="77777777" w:rsidR="00CA2851" w:rsidRPr="009A6E84"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center"/>
          </w:tcPr>
          <w:p w14:paraId="173569FA" w14:textId="77777777" w:rsidR="00CA2851" w:rsidRPr="009A6E84" w:rsidRDefault="00CA2851" w:rsidP="0035067E">
            <w:pPr>
              <w:jc w:val="right"/>
              <w:rPr>
                <w:rFonts w:eastAsia="Calibri"/>
                <w:bCs/>
                <w:color w:val="000000" w:themeColor="text1"/>
                <w:sz w:val="20"/>
                <w:szCs w:val="20"/>
              </w:rPr>
            </w:pPr>
          </w:p>
        </w:tc>
      </w:tr>
      <w:tr w:rsidR="006F3050" w:rsidRPr="008858C9" w14:paraId="39D5744F"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6BBFF6C3" w14:textId="77777777" w:rsidR="00083C54" w:rsidRPr="00E22872" w:rsidRDefault="00083C54" w:rsidP="00565BCE">
            <w:pPr>
              <w:rPr>
                <w:rFonts w:eastAsia="Calibri"/>
                <w:bCs/>
                <w:color w:val="000000" w:themeColor="text1"/>
                <w:sz w:val="20"/>
                <w:szCs w:val="20"/>
              </w:rPr>
            </w:pPr>
            <w:r w:rsidRPr="00E22872">
              <w:rPr>
                <w:rFonts w:eastAsia="Calibri"/>
                <w:bCs/>
                <w:color w:val="000000" w:themeColor="text1"/>
                <w:sz w:val="20"/>
                <w:szCs w:val="20"/>
              </w:rPr>
              <w:t xml:space="preserve">     Telework daily</w:t>
            </w:r>
          </w:p>
        </w:tc>
        <w:tc>
          <w:tcPr>
            <w:tcW w:w="486" w:type="pct"/>
            <w:tcBorders>
              <w:top w:val="nil"/>
              <w:left w:val="double" w:sz="4" w:space="0" w:color="auto"/>
              <w:bottom w:val="nil"/>
            </w:tcBorders>
            <w:tcMar>
              <w:left w:w="43" w:type="dxa"/>
              <w:right w:w="43" w:type="dxa"/>
            </w:tcMar>
            <w:vAlign w:val="center"/>
          </w:tcPr>
          <w:p w14:paraId="3E6A97F1" w14:textId="6A49960B"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0.185</w:t>
            </w:r>
          </w:p>
        </w:tc>
        <w:tc>
          <w:tcPr>
            <w:tcW w:w="438" w:type="pct"/>
            <w:tcBorders>
              <w:top w:val="nil"/>
              <w:bottom w:val="nil"/>
              <w:right w:val="single" w:sz="8" w:space="0" w:color="auto"/>
            </w:tcBorders>
            <w:tcMar>
              <w:left w:w="43" w:type="dxa"/>
              <w:right w:w="43" w:type="dxa"/>
            </w:tcMar>
            <w:vAlign w:val="center"/>
          </w:tcPr>
          <w:p w14:paraId="1A53D132" w14:textId="49C16C90"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3.82</w:t>
            </w:r>
          </w:p>
        </w:tc>
        <w:tc>
          <w:tcPr>
            <w:tcW w:w="438" w:type="pct"/>
            <w:tcBorders>
              <w:top w:val="nil"/>
              <w:left w:val="single" w:sz="8" w:space="0" w:color="auto"/>
              <w:bottom w:val="nil"/>
            </w:tcBorders>
            <w:shd w:val="clear" w:color="auto" w:fill="FFFFFF"/>
            <w:tcMar>
              <w:left w:w="43" w:type="dxa"/>
              <w:right w:w="43" w:type="dxa"/>
            </w:tcMar>
            <w:vAlign w:val="center"/>
          </w:tcPr>
          <w:p w14:paraId="1C8D1A12" w14:textId="20ADCC65"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0.185</w:t>
            </w:r>
          </w:p>
        </w:tc>
        <w:tc>
          <w:tcPr>
            <w:tcW w:w="437" w:type="pct"/>
            <w:tcBorders>
              <w:top w:val="nil"/>
              <w:bottom w:val="nil"/>
              <w:right w:val="double" w:sz="4" w:space="0" w:color="auto"/>
            </w:tcBorders>
            <w:shd w:val="clear" w:color="auto" w:fill="FFFFFF"/>
            <w:tcMar>
              <w:left w:w="43" w:type="dxa"/>
              <w:right w:w="43" w:type="dxa"/>
            </w:tcMar>
            <w:vAlign w:val="center"/>
          </w:tcPr>
          <w:p w14:paraId="6C2DF323" w14:textId="419AD214"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3.82</w:t>
            </w:r>
          </w:p>
        </w:tc>
      </w:tr>
      <w:tr w:rsidR="006F3050" w:rsidRPr="008858C9" w14:paraId="2986A7E6"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4CDBD86F" w14:textId="77777777" w:rsidR="00083C54" w:rsidRPr="00E22872" w:rsidRDefault="00083C54" w:rsidP="00565BCE">
            <w:pPr>
              <w:rPr>
                <w:rFonts w:eastAsia="Calibri"/>
                <w:bCs/>
                <w:color w:val="000000" w:themeColor="text1"/>
                <w:sz w:val="20"/>
                <w:szCs w:val="20"/>
              </w:rPr>
            </w:pPr>
            <w:r w:rsidRPr="00E22872">
              <w:rPr>
                <w:rFonts w:eastAsia="Calibri"/>
                <w:bCs/>
                <w:color w:val="000000" w:themeColor="text1"/>
                <w:sz w:val="20"/>
                <w:szCs w:val="20"/>
              </w:rPr>
              <w:t xml:space="preserve">     Telework multiple times per week</w:t>
            </w:r>
          </w:p>
        </w:tc>
        <w:tc>
          <w:tcPr>
            <w:tcW w:w="486" w:type="pct"/>
            <w:tcBorders>
              <w:top w:val="nil"/>
              <w:left w:val="double" w:sz="4" w:space="0" w:color="auto"/>
              <w:bottom w:val="nil"/>
            </w:tcBorders>
            <w:tcMar>
              <w:left w:w="43" w:type="dxa"/>
              <w:right w:w="43" w:type="dxa"/>
            </w:tcMar>
            <w:vAlign w:val="center"/>
          </w:tcPr>
          <w:p w14:paraId="290AFD15" w14:textId="35EF8525"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0.185</w:t>
            </w:r>
          </w:p>
        </w:tc>
        <w:tc>
          <w:tcPr>
            <w:tcW w:w="438" w:type="pct"/>
            <w:tcBorders>
              <w:top w:val="nil"/>
              <w:bottom w:val="nil"/>
              <w:right w:val="single" w:sz="8" w:space="0" w:color="auto"/>
            </w:tcBorders>
            <w:tcMar>
              <w:left w:w="43" w:type="dxa"/>
              <w:right w:w="43" w:type="dxa"/>
            </w:tcMar>
            <w:vAlign w:val="center"/>
          </w:tcPr>
          <w:p w14:paraId="259BD18B" w14:textId="1597533C"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3.82</w:t>
            </w:r>
          </w:p>
        </w:tc>
        <w:tc>
          <w:tcPr>
            <w:tcW w:w="438" w:type="pct"/>
            <w:tcBorders>
              <w:top w:val="nil"/>
              <w:left w:val="single" w:sz="8" w:space="0" w:color="auto"/>
              <w:bottom w:val="nil"/>
            </w:tcBorders>
            <w:shd w:val="clear" w:color="auto" w:fill="FFFFFF"/>
            <w:tcMar>
              <w:left w:w="43" w:type="dxa"/>
              <w:right w:w="43" w:type="dxa"/>
            </w:tcMar>
            <w:vAlign w:val="center"/>
          </w:tcPr>
          <w:p w14:paraId="65C27CD6" w14:textId="6A4B61B8"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0.185</w:t>
            </w:r>
          </w:p>
        </w:tc>
        <w:tc>
          <w:tcPr>
            <w:tcW w:w="437" w:type="pct"/>
            <w:tcBorders>
              <w:top w:val="nil"/>
              <w:bottom w:val="nil"/>
              <w:right w:val="double" w:sz="4" w:space="0" w:color="auto"/>
            </w:tcBorders>
            <w:shd w:val="clear" w:color="auto" w:fill="FFFFFF"/>
            <w:tcMar>
              <w:left w:w="43" w:type="dxa"/>
              <w:right w:w="43" w:type="dxa"/>
            </w:tcMar>
            <w:vAlign w:val="center"/>
          </w:tcPr>
          <w:p w14:paraId="713C188C" w14:textId="79253122" w:rsidR="00083C54" w:rsidRPr="009A6E84" w:rsidRDefault="00083C54" w:rsidP="00083C54">
            <w:pPr>
              <w:jc w:val="right"/>
              <w:rPr>
                <w:rFonts w:eastAsia="Calibri"/>
                <w:bCs/>
                <w:color w:val="000000" w:themeColor="text1"/>
                <w:sz w:val="20"/>
                <w:szCs w:val="20"/>
              </w:rPr>
            </w:pPr>
            <w:r w:rsidRPr="009A6E84">
              <w:rPr>
                <w:color w:val="000000" w:themeColor="text1"/>
                <w:sz w:val="20"/>
                <w:szCs w:val="20"/>
              </w:rPr>
              <w:t>3.82</w:t>
            </w:r>
          </w:p>
        </w:tc>
      </w:tr>
      <w:tr w:rsidR="006F3050" w:rsidRPr="008858C9" w14:paraId="6080339B"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2DE3F1E8" w14:textId="77777777" w:rsidR="00CA2851" w:rsidRPr="00E22872" w:rsidRDefault="00CA2851" w:rsidP="00565BCE">
            <w:pPr>
              <w:rPr>
                <w:rFonts w:eastAsia="Calibri"/>
                <w:b/>
                <w:bCs/>
                <w:color w:val="000000" w:themeColor="text1"/>
                <w:sz w:val="20"/>
                <w:szCs w:val="20"/>
              </w:rPr>
            </w:pPr>
            <w:r w:rsidRPr="00E22872">
              <w:rPr>
                <w:rFonts w:eastAsia="Calibri"/>
                <w:b/>
                <w:bCs/>
                <w:color w:val="000000" w:themeColor="text1"/>
                <w:sz w:val="20"/>
                <w:szCs w:val="20"/>
              </w:rPr>
              <w:t xml:space="preserve">Student </w:t>
            </w:r>
            <w:r w:rsidRPr="00E22872">
              <w:rPr>
                <w:rFonts w:eastAsia="Calibri"/>
                <w:bCs/>
                <w:i/>
                <w:iCs/>
                <w:color w:val="000000" w:themeColor="text1"/>
                <w:sz w:val="20"/>
                <w:szCs w:val="20"/>
              </w:rPr>
              <w:t>(base: not student)</w:t>
            </w:r>
          </w:p>
        </w:tc>
        <w:tc>
          <w:tcPr>
            <w:tcW w:w="486" w:type="pct"/>
            <w:tcBorders>
              <w:top w:val="dotted" w:sz="4" w:space="0" w:color="auto"/>
              <w:left w:val="double" w:sz="4" w:space="0" w:color="auto"/>
              <w:bottom w:val="nil"/>
            </w:tcBorders>
            <w:tcMar>
              <w:left w:w="43" w:type="dxa"/>
              <w:right w:w="43" w:type="dxa"/>
            </w:tcMar>
            <w:vAlign w:val="center"/>
          </w:tcPr>
          <w:p w14:paraId="1CC41279"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center"/>
          </w:tcPr>
          <w:p w14:paraId="2905607C" w14:textId="77777777" w:rsidR="00CA2851" w:rsidRPr="009A6E84"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center"/>
          </w:tcPr>
          <w:p w14:paraId="4E53352F" w14:textId="77777777" w:rsidR="00CA2851" w:rsidRPr="009A6E84"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center"/>
          </w:tcPr>
          <w:p w14:paraId="692C387E" w14:textId="77777777" w:rsidR="00CA2851" w:rsidRPr="009A6E84" w:rsidRDefault="00CA2851" w:rsidP="0035067E">
            <w:pPr>
              <w:jc w:val="right"/>
              <w:rPr>
                <w:rFonts w:eastAsia="Calibri"/>
                <w:bCs/>
                <w:color w:val="000000" w:themeColor="text1"/>
                <w:sz w:val="20"/>
                <w:szCs w:val="20"/>
              </w:rPr>
            </w:pPr>
          </w:p>
        </w:tc>
      </w:tr>
      <w:tr w:rsidR="006F3050" w:rsidRPr="008858C9" w14:paraId="4B647642" w14:textId="77777777" w:rsidTr="0069340B">
        <w:trPr>
          <w:trHeight w:val="288"/>
        </w:trPr>
        <w:tc>
          <w:tcPr>
            <w:tcW w:w="3200" w:type="pct"/>
            <w:tcBorders>
              <w:top w:val="nil"/>
              <w:left w:val="double" w:sz="4" w:space="0" w:color="auto"/>
              <w:bottom w:val="single" w:sz="4" w:space="0" w:color="auto"/>
              <w:right w:val="double" w:sz="4" w:space="0" w:color="auto"/>
            </w:tcBorders>
            <w:tcMar>
              <w:left w:w="43" w:type="dxa"/>
              <w:right w:w="43" w:type="dxa"/>
            </w:tcMar>
            <w:vAlign w:val="center"/>
          </w:tcPr>
          <w:p w14:paraId="47D85AEA" w14:textId="77777777" w:rsidR="00A83A8A" w:rsidRPr="00E22872" w:rsidRDefault="00A83A8A" w:rsidP="00565BCE">
            <w:pPr>
              <w:rPr>
                <w:rFonts w:eastAsia="Calibri"/>
                <w:bCs/>
                <w:color w:val="000000" w:themeColor="text1"/>
                <w:sz w:val="20"/>
                <w:szCs w:val="20"/>
              </w:rPr>
            </w:pPr>
            <w:r w:rsidRPr="00E22872">
              <w:rPr>
                <w:rFonts w:eastAsia="Calibri"/>
                <w:bCs/>
                <w:color w:val="000000" w:themeColor="text1"/>
                <w:sz w:val="20"/>
                <w:szCs w:val="20"/>
              </w:rPr>
              <w:t xml:space="preserve">     Student</w:t>
            </w:r>
          </w:p>
        </w:tc>
        <w:tc>
          <w:tcPr>
            <w:tcW w:w="486" w:type="pct"/>
            <w:tcBorders>
              <w:top w:val="nil"/>
              <w:left w:val="double" w:sz="4" w:space="0" w:color="auto"/>
              <w:bottom w:val="single" w:sz="4" w:space="0" w:color="auto"/>
            </w:tcBorders>
            <w:tcMar>
              <w:left w:w="43" w:type="dxa"/>
              <w:right w:w="43" w:type="dxa"/>
            </w:tcMar>
            <w:vAlign w:val="center"/>
          </w:tcPr>
          <w:p w14:paraId="5224A131" w14:textId="777D55EE" w:rsidR="00A83A8A" w:rsidRPr="009A6E84" w:rsidRDefault="00A83A8A" w:rsidP="0035067E">
            <w:pPr>
              <w:jc w:val="right"/>
              <w:rPr>
                <w:rFonts w:eastAsia="Calibri"/>
                <w:bCs/>
                <w:color w:val="000000" w:themeColor="text1"/>
                <w:sz w:val="20"/>
                <w:szCs w:val="20"/>
              </w:rPr>
            </w:pPr>
            <w:r w:rsidRPr="009A6E84">
              <w:rPr>
                <w:color w:val="000000" w:themeColor="text1"/>
                <w:sz w:val="20"/>
                <w:szCs w:val="20"/>
              </w:rPr>
              <w:t>0.2</w:t>
            </w:r>
            <w:r w:rsidR="00DA249F" w:rsidRPr="009A6E84">
              <w:rPr>
                <w:color w:val="000000" w:themeColor="text1"/>
                <w:sz w:val="20"/>
                <w:szCs w:val="20"/>
              </w:rPr>
              <w:t>19</w:t>
            </w:r>
          </w:p>
        </w:tc>
        <w:tc>
          <w:tcPr>
            <w:tcW w:w="438" w:type="pct"/>
            <w:tcBorders>
              <w:top w:val="nil"/>
              <w:bottom w:val="single" w:sz="4" w:space="0" w:color="auto"/>
              <w:right w:val="single" w:sz="8" w:space="0" w:color="auto"/>
            </w:tcBorders>
            <w:tcMar>
              <w:left w:w="43" w:type="dxa"/>
              <w:right w:w="43" w:type="dxa"/>
            </w:tcMar>
            <w:vAlign w:val="center"/>
          </w:tcPr>
          <w:p w14:paraId="6248BB00" w14:textId="28E4EE95" w:rsidR="00A83A8A" w:rsidRPr="009A6E84" w:rsidRDefault="00DA249F" w:rsidP="0035067E">
            <w:pPr>
              <w:jc w:val="right"/>
              <w:rPr>
                <w:rFonts w:eastAsia="Calibri"/>
                <w:bCs/>
                <w:color w:val="000000" w:themeColor="text1"/>
                <w:sz w:val="20"/>
                <w:szCs w:val="20"/>
              </w:rPr>
            </w:pPr>
            <w:r w:rsidRPr="009A6E84">
              <w:rPr>
                <w:color w:val="000000" w:themeColor="text1"/>
                <w:sz w:val="20"/>
                <w:szCs w:val="20"/>
              </w:rPr>
              <w:t>1.52</w:t>
            </w:r>
          </w:p>
        </w:tc>
        <w:tc>
          <w:tcPr>
            <w:tcW w:w="438" w:type="pct"/>
            <w:tcBorders>
              <w:top w:val="nil"/>
              <w:left w:val="single" w:sz="8" w:space="0" w:color="auto"/>
              <w:bottom w:val="single" w:sz="4" w:space="0" w:color="auto"/>
            </w:tcBorders>
            <w:shd w:val="clear" w:color="auto" w:fill="FFFFFF"/>
            <w:tcMar>
              <w:left w:w="43" w:type="dxa"/>
              <w:right w:w="43" w:type="dxa"/>
            </w:tcMar>
            <w:vAlign w:val="center"/>
          </w:tcPr>
          <w:p w14:paraId="1B3AE5EA" w14:textId="77777777" w:rsidR="00A83A8A" w:rsidRPr="009A6E84" w:rsidRDefault="00A83A8A" w:rsidP="0035067E">
            <w:pPr>
              <w:jc w:val="right"/>
              <w:rPr>
                <w:rFonts w:eastAsia="Calibri"/>
                <w:bCs/>
                <w:color w:val="000000" w:themeColor="text1"/>
                <w:sz w:val="20"/>
                <w:szCs w:val="20"/>
              </w:rPr>
            </w:pPr>
          </w:p>
        </w:tc>
        <w:tc>
          <w:tcPr>
            <w:tcW w:w="437" w:type="pct"/>
            <w:tcBorders>
              <w:top w:val="nil"/>
              <w:bottom w:val="single" w:sz="4" w:space="0" w:color="auto"/>
              <w:right w:val="double" w:sz="4" w:space="0" w:color="auto"/>
            </w:tcBorders>
            <w:shd w:val="clear" w:color="auto" w:fill="FFFFFF"/>
            <w:tcMar>
              <w:left w:w="43" w:type="dxa"/>
              <w:right w:w="43" w:type="dxa"/>
            </w:tcMar>
            <w:vAlign w:val="center"/>
          </w:tcPr>
          <w:p w14:paraId="3D92FF99" w14:textId="77777777" w:rsidR="00A83A8A" w:rsidRPr="009A6E84" w:rsidRDefault="00A83A8A" w:rsidP="0035067E">
            <w:pPr>
              <w:jc w:val="right"/>
              <w:rPr>
                <w:rFonts w:eastAsia="Calibri"/>
                <w:bCs/>
                <w:color w:val="000000" w:themeColor="text1"/>
                <w:sz w:val="20"/>
                <w:szCs w:val="20"/>
              </w:rPr>
            </w:pPr>
          </w:p>
        </w:tc>
      </w:tr>
      <w:tr w:rsidR="00565BCE" w:rsidRPr="008858C9" w14:paraId="7003C532" w14:textId="77777777" w:rsidTr="00721B8D">
        <w:trPr>
          <w:trHeight w:val="288"/>
        </w:trPr>
        <w:tc>
          <w:tcPr>
            <w:tcW w:w="5000" w:type="pct"/>
            <w:gridSpan w:val="5"/>
            <w:tcBorders>
              <w:top w:val="single" w:sz="4" w:space="0" w:color="auto"/>
              <w:left w:val="double" w:sz="4" w:space="0" w:color="auto"/>
              <w:bottom w:val="single" w:sz="4" w:space="0" w:color="auto"/>
              <w:right w:val="double" w:sz="4" w:space="0" w:color="auto"/>
            </w:tcBorders>
            <w:tcMar>
              <w:left w:w="43" w:type="dxa"/>
              <w:right w:w="43" w:type="dxa"/>
            </w:tcMar>
            <w:vAlign w:val="center"/>
          </w:tcPr>
          <w:p w14:paraId="57FF1635" w14:textId="40FE6F08" w:rsidR="00BC4A8E" w:rsidRPr="00E22872" w:rsidRDefault="00BC4A8E" w:rsidP="00565BCE">
            <w:pPr>
              <w:rPr>
                <w:rFonts w:eastAsia="Calibri"/>
                <w:bCs/>
                <w:color w:val="000000" w:themeColor="text1"/>
                <w:sz w:val="20"/>
                <w:szCs w:val="20"/>
              </w:rPr>
            </w:pPr>
            <w:bookmarkStart w:id="88" w:name="_Hlk178773045"/>
            <w:r w:rsidRPr="00E22872">
              <w:rPr>
                <w:rFonts w:eastAsia="Calibri"/>
                <w:b/>
                <w:color w:val="000000" w:themeColor="text1"/>
                <w:sz w:val="20"/>
                <w:szCs w:val="20"/>
              </w:rPr>
              <w:t>Personal Traits</w:t>
            </w:r>
            <w:r>
              <w:rPr>
                <w:rFonts w:eastAsia="Calibri"/>
                <w:b/>
                <w:color w:val="000000" w:themeColor="text1"/>
                <w:sz w:val="20"/>
                <w:szCs w:val="20"/>
              </w:rPr>
              <w:t xml:space="preserve"> and COVID-19 Perspectives</w:t>
            </w:r>
            <w:bookmarkEnd w:id="88"/>
          </w:p>
        </w:tc>
      </w:tr>
      <w:tr w:rsidR="006F3050" w:rsidRPr="008858C9" w14:paraId="5617D24B"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5BB0F61D" w14:textId="77777777" w:rsidR="00A83A8A" w:rsidRPr="00E22872" w:rsidRDefault="00A83A8A" w:rsidP="00565BCE">
            <w:pPr>
              <w:ind w:left="325"/>
              <w:rPr>
                <w:rFonts w:eastAsia="Calibri"/>
                <w:bCs/>
                <w:color w:val="000000" w:themeColor="text1"/>
                <w:sz w:val="20"/>
                <w:szCs w:val="20"/>
              </w:rPr>
            </w:pPr>
            <w:bookmarkStart w:id="89" w:name="_Hlk178773050"/>
            <w:r w:rsidRPr="00E22872">
              <w:rPr>
                <w:rFonts w:eastAsia="Calibri"/>
                <w:bCs/>
                <w:color w:val="000000" w:themeColor="text1"/>
                <w:sz w:val="20"/>
                <w:szCs w:val="20"/>
              </w:rPr>
              <w:t xml:space="preserve">Enjoy working more from home due to COVID </w:t>
            </w:r>
            <w:r w:rsidRPr="00E22872">
              <w:rPr>
                <w:rFonts w:eastAsia="Calibri"/>
                <w:bCs/>
                <w:i/>
                <w:iCs/>
                <w:color w:val="000000" w:themeColor="text1"/>
                <w:sz w:val="20"/>
                <w:szCs w:val="20"/>
              </w:rPr>
              <w:t>(base: do not enjoy)</w:t>
            </w:r>
          </w:p>
        </w:tc>
        <w:tc>
          <w:tcPr>
            <w:tcW w:w="486" w:type="pct"/>
            <w:tcBorders>
              <w:top w:val="nil"/>
              <w:left w:val="double" w:sz="4" w:space="0" w:color="auto"/>
              <w:bottom w:val="nil"/>
            </w:tcBorders>
            <w:tcMar>
              <w:left w:w="43" w:type="dxa"/>
              <w:right w:w="43" w:type="dxa"/>
            </w:tcMar>
            <w:vAlign w:val="center"/>
          </w:tcPr>
          <w:p w14:paraId="2EDEA68E" w14:textId="77777777" w:rsidR="00A83A8A" w:rsidRPr="00E22872" w:rsidRDefault="00A83A8A" w:rsidP="0035067E">
            <w:pPr>
              <w:jc w:val="right"/>
              <w:rPr>
                <w:rFonts w:eastAsia="Calibri"/>
                <w:bCs/>
                <w:color w:val="000000" w:themeColor="text1"/>
                <w:sz w:val="20"/>
                <w:szCs w:val="20"/>
              </w:rPr>
            </w:pPr>
            <w:r w:rsidRPr="00E22872">
              <w:rPr>
                <w:rFonts w:eastAsia="Calibri"/>
                <w:bCs/>
                <w:color w:val="000000" w:themeColor="text1"/>
                <w:sz w:val="20"/>
                <w:szCs w:val="20"/>
              </w:rPr>
              <w:t>--</w:t>
            </w:r>
          </w:p>
        </w:tc>
        <w:tc>
          <w:tcPr>
            <w:tcW w:w="438" w:type="pct"/>
            <w:tcBorders>
              <w:top w:val="nil"/>
              <w:bottom w:val="nil"/>
              <w:right w:val="single" w:sz="8" w:space="0" w:color="auto"/>
            </w:tcBorders>
            <w:tcMar>
              <w:left w:w="43" w:type="dxa"/>
              <w:right w:w="43" w:type="dxa"/>
            </w:tcMar>
            <w:vAlign w:val="center"/>
          </w:tcPr>
          <w:p w14:paraId="2EA85E45" w14:textId="77777777" w:rsidR="00A83A8A" w:rsidRPr="00E22872" w:rsidRDefault="00A83A8A" w:rsidP="0035067E">
            <w:pPr>
              <w:jc w:val="right"/>
              <w:rPr>
                <w:rFonts w:eastAsia="Calibri"/>
                <w:bCs/>
                <w:color w:val="000000" w:themeColor="text1"/>
                <w:sz w:val="20"/>
                <w:szCs w:val="20"/>
              </w:rPr>
            </w:pPr>
            <w:r w:rsidRPr="00E22872">
              <w:rPr>
                <w:rFonts w:eastAsia="Calibri"/>
                <w:bCs/>
                <w:color w:val="000000" w:themeColor="text1"/>
                <w:sz w:val="20"/>
                <w:szCs w:val="20"/>
              </w:rPr>
              <w:t>--</w:t>
            </w:r>
          </w:p>
        </w:tc>
        <w:tc>
          <w:tcPr>
            <w:tcW w:w="438" w:type="pct"/>
            <w:tcBorders>
              <w:top w:val="nil"/>
              <w:left w:val="single" w:sz="8" w:space="0" w:color="auto"/>
              <w:bottom w:val="nil"/>
            </w:tcBorders>
            <w:shd w:val="clear" w:color="auto" w:fill="FFFFFF"/>
            <w:tcMar>
              <w:left w:w="43" w:type="dxa"/>
              <w:right w:w="43" w:type="dxa"/>
            </w:tcMar>
            <w:vAlign w:val="center"/>
          </w:tcPr>
          <w:p w14:paraId="0C3537E3" w14:textId="3891A993" w:rsidR="00A83A8A" w:rsidRPr="00E22872" w:rsidRDefault="00A83A8A" w:rsidP="0035067E">
            <w:pPr>
              <w:jc w:val="right"/>
              <w:rPr>
                <w:rFonts w:eastAsia="Calibri"/>
                <w:bCs/>
                <w:color w:val="000000" w:themeColor="text1"/>
                <w:sz w:val="20"/>
                <w:szCs w:val="20"/>
              </w:rPr>
            </w:pPr>
            <w:r w:rsidRPr="00E22872">
              <w:rPr>
                <w:color w:val="000000" w:themeColor="text1"/>
                <w:sz w:val="20"/>
                <w:szCs w:val="20"/>
              </w:rPr>
              <w:t>0.1</w:t>
            </w:r>
            <w:r w:rsidR="00DA249F">
              <w:rPr>
                <w:color w:val="000000" w:themeColor="text1"/>
                <w:sz w:val="20"/>
                <w:szCs w:val="20"/>
              </w:rPr>
              <w:t>98</w:t>
            </w:r>
          </w:p>
        </w:tc>
        <w:tc>
          <w:tcPr>
            <w:tcW w:w="437" w:type="pct"/>
            <w:tcBorders>
              <w:top w:val="nil"/>
              <w:bottom w:val="nil"/>
              <w:right w:val="double" w:sz="4" w:space="0" w:color="auto"/>
            </w:tcBorders>
            <w:shd w:val="clear" w:color="auto" w:fill="FFFFFF"/>
            <w:tcMar>
              <w:left w:w="43" w:type="dxa"/>
              <w:right w:w="43" w:type="dxa"/>
            </w:tcMar>
            <w:vAlign w:val="center"/>
          </w:tcPr>
          <w:p w14:paraId="70ADC97E" w14:textId="66F8E957" w:rsidR="00A83A8A" w:rsidRPr="00E22872" w:rsidRDefault="00DA249F" w:rsidP="0035067E">
            <w:pPr>
              <w:jc w:val="right"/>
              <w:rPr>
                <w:rFonts w:eastAsia="Calibri"/>
                <w:bCs/>
                <w:color w:val="000000" w:themeColor="text1"/>
                <w:sz w:val="20"/>
                <w:szCs w:val="20"/>
              </w:rPr>
            </w:pPr>
            <w:r>
              <w:rPr>
                <w:color w:val="000000" w:themeColor="text1"/>
                <w:sz w:val="20"/>
                <w:szCs w:val="20"/>
              </w:rPr>
              <w:t>2.67</w:t>
            </w:r>
          </w:p>
        </w:tc>
      </w:tr>
      <w:tr w:rsidR="006F3050" w:rsidRPr="008858C9" w14:paraId="56AD04E0"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3CB10483" w14:textId="77777777" w:rsidR="00CA2851" w:rsidRPr="00E22872" w:rsidRDefault="00CA2851" w:rsidP="00565BCE">
            <w:pPr>
              <w:ind w:left="325"/>
              <w:rPr>
                <w:rFonts w:eastAsia="Calibri"/>
                <w:bCs/>
                <w:color w:val="000000" w:themeColor="text1"/>
                <w:sz w:val="20"/>
                <w:szCs w:val="20"/>
              </w:rPr>
            </w:pPr>
            <w:r w:rsidRPr="00E22872">
              <w:rPr>
                <w:rFonts w:eastAsia="Calibri"/>
                <w:bCs/>
                <w:color w:val="000000" w:themeColor="text1"/>
                <w:sz w:val="20"/>
                <w:szCs w:val="20"/>
              </w:rPr>
              <w:t xml:space="preserve">Enjoy driving less due to COVID </w:t>
            </w:r>
            <w:r w:rsidRPr="00E22872">
              <w:rPr>
                <w:rFonts w:eastAsia="Calibri"/>
                <w:bCs/>
                <w:i/>
                <w:iCs/>
                <w:color w:val="000000" w:themeColor="text1"/>
                <w:sz w:val="20"/>
                <w:szCs w:val="20"/>
              </w:rPr>
              <w:t>(base: do not enjoy)</w:t>
            </w:r>
          </w:p>
        </w:tc>
        <w:tc>
          <w:tcPr>
            <w:tcW w:w="486" w:type="pct"/>
            <w:tcBorders>
              <w:top w:val="nil"/>
              <w:left w:val="double" w:sz="4" w:space="0" w:color="auto"/>
              <w:bottom w:val="nil"/>
            </w:tcBorders>
            <w:tcMar>
              <w:left w:w="43" w:type="dxa"/>
              <w:right w:w="43" w:type="dxa"/>
            </w:tcMar>
            <w:vAlign w:val="center"/>
          </w:tcPr>
          <w:p w14:paraId="6E06DD38" w14:textId="77777777" w:rsidR="00CA2851" w:rsidRPr="00E22872" w:rsidRDefault="00CA2851" w:rsidP="0035067E">
            <w:pPr>
              <w:jc w:val="right"/>
              <w:rPr>
                <w:rFonts w:eastAsia="Calibri"/>
                <w:bCs/>
                <w:color w:val="000000" w:themeColor="text1"/>
                <w:sz w:val="20"/>
                <w:szCs w:val="20"/>
              </w:rPr>
            </w:pPr>
            <w:r w:rsidRPr="00E22872">
              <w:rPr>
                <w:rFonts w:eastAsia="Calibri"/>
                <w:bCs/>
                <w:color w:val="000000" w:themeColor="text1"/>
                <w:sz w:val="20"/>
                <w:szCs w:val="20"/>
              </w:rPr>
              <w:t>--</w:t>
            </w:r>
          </w:p>
        </w:tc>
        <w:tc>
          <w:tcPr>
            <w:tcW w:w="438" w:type="pct"/>
            <w:tcBorders>
              <w:top w:val="nil"/>
              <w:bottom w:val="nil"/>
              <w:right w:val="single" w:sz="8" w:space="0" w:color="auto"/>
            </w:tcBorders>
            <w:tcMar>
              <w:left w:w="43" w:type="dxa"/>
              <w:right w:w="43" w:type="dxa"/>
            </w:tcMar>
            <w:vAlign w:val="center"/>
          </w:tcPr>
          <w:p w14:paraId="1861A010" w14:textId="77777777" w:rsidR="00CA2851" w:rsidRPr="00E22872" w:rsidRDefault="00CA2851" w:rsidP="0035067E">
            <w:pPr>
              <w:jc w:val="right"/>
              <w:rPr>
                <w:rFonts w:eastAsia="Calibri"/>
                <w:bCs/>
                <w:color w:val="000000" w:themeColor="text1"/>
                <w:sz w:val="20"/>
                <w:szCs w:val="20"/>
              </w:rPr>
            </w:pPr>
            <w:r w:rsidRPr="00E22872">
              <w:rPr>
                <w:rFonts w:eastAsia="Calibri"/>
                <w:bCs/>
                <w:color w:val="000000" w:themeColor="text1"/>
                <w:sz w:val="20"/>
                <w:szCs w:val="20"/>
              </w:rPr>
              <w:t>--</w:t>
            </w:r>
          </w:p>
        </w:tc>
        <w:tc>
          <w:tcPr>
            <w:tcW w:w="438" w:type="pct"/>
            <w:tcBorders>
              <w:top w:val="nil"/>
              <w:left w:val="single" w:sz="8" w:space="0" w:color="auto"/>
              <w:bottom w:val="nil"/>
            </w:tcBorders>
            <w:shd w:val="clear" w:color="auto" w:fill="FFFFFF"/>
            <w:tcMar>
              <w:left w:w="43" w:type="dxa"/>
              <w:right w:w="43" w:type="dxa"/>
            </w:tcMar>
            <w:vAlign w:val="center"/>
          </w:tcPr>
          <w:p w14:paraId="74463CE2" w14:textId="65D31E83"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0.2</w:t>
            </w:r>
            <w:r w:rsidR="00DA249F">
              <w:rPr>
                <w:color w:val="000000" w:themeColor="text1"/>
                <w:sz w:val="20"/>
                <w:szCs w:val="20"/>
              </w:rPr>
              <w:t>53</w:t>
            </w:r>
          </w:p>
        </w:tc>
        <w:tc>
          <w:tcPr>
            <w:tcW w:w="437" w:type="pct"/>
            <w:tcBorders>
              <w:top w:val="nil"/>
              <w:bottom w:val="nil"/>
              <w:right w:val="double" w:sz="4" w:space="0" w:color="auto"/>
            </w:tcBorders>
            <w:shd w:val="clear" w:color="auto" w:fill="FFFFFF"/>
            <w:tcMar>
              <w:left w:w="43" w:type="dxa"/>
              <w:right w:w="43" w:type="dxa"/>
            </w:tcMar>
            <w:vAlign w:val="center"/>
          </w:tcPr>
          <w:p w14:paraId="459A9759" w14:textId="4A2A0BD3" w:rsidR="00CA2851" w:rsidRPr="00E22872" w:rsidRDefault="00DA249F" w:rsidP="0035067E">
            <w:pPr>
              <w:jc w:val="right"/>
              <w:rPr>
                <w:rFonts w:eastAsia="Calibri"/>
                <w:bCs/>
                <w:color w:val="000000" w:themeColor="text1"/>
                <w:sz w:val="20"/>
                <w:szCs w:val="20"/>
              </w:rPr>
            </w:pPr>
            <w:r>
              <w:rPr>
                <w:color w:val="000000" w:themeColor="text1"/>
                <w:sz w:val="20"/>
                <w:szCs w:val="20"/>
              </w:rPr>
              <w:t>4.08</w:t>
            </w:r>
          </w:p>
        </w:tc>
      </w:tr>
      <w:tr w:rsidR="006F3050" w:rsidRPr="008858C9" w14:paraId="37754D31" w14:textId="77777777" w:rsidTr="0069340B">
        <w:trPr>
          <w:trHeight w:val="288"/>
        </w:trPr>
        <w:tc>
          <w:tcPr>
            <w:tcW w:w="3200" w:type="pct"/>
            <w:tcBorders>
              <w:top w:val="nil"/>
              <w:left w:val="double" w:sz="4" w:space="0" w:color="auto"/>
              <w:bottom w:val="nil"/>
              <w:right w:val="double" w:sz="4" w:space="0" w:color="auto"/>
            </w:tcBorders>
            <w:tcMar>
              <w:left w:w="43" w:type="dxa"/>
              <w:right w:w="43" w:type="dxa"/>
            </w:tcMar>
            <w:vAlign w:val="center"/>
          </w:tcPr>
          <w:p w14:paraId="0CC194C3" w14:textId="2A1F2852" w:rsidR="00A83A8A" w:rsidRPr="00E22872" w:rsidRDefault="00A83A8A" w:rsidP="00565BCE">
            <w:pPr>
              <w:ind w:left="325"/>
              <w:rPr>
                <w:rFonts w:eastAsia="Calibri"/>
                <w:bCs/>
                <w:color w:val="000000" w:themeColor="text1"/>
                <w:sz w:val="20"/>
                <w:szCs w:val="20"/>
              </w:rPr>
            </w:pPr>
            <w:r w:rsidRPr="00E22872">
              <w:rPr>
                <w:rFonts w:eastAsia="Calibri"/>
                <w:bCs/>
                <w:color w:val="000000" w:themeColor="text1"/>
                <w:sz w:val="20"/>
                <w:szCs w:val="20"/>
              </w:rPr>
              <w:t xml:space="preserve">People’s well-being is/was at risk during the pandemic </w:t>
            </w:r>
            <w:r w:rsidRPr="00E22872">
              <w:rPr>
                <w:rFonts w:eastAsia="Calibri"/>
                <w:bCs/>
                <w:i/>
                <w:iCs/>
                <w:color w:val="000000" w:themeColor="text1"/>
                <w:sz w:val="20"/>
                <w:szCs w:val="20"/>
              </w:rPr>
              <w:t>(base: not at risk)</w:t>
            </w:r>
          </w:p>
        </w:tc>
        <w:tc>
          <w:tcPr>
            <w:tcW w:w="486" w:type="pct"/>
            <w:tcBorders>
              <w:top w:val="nil"/>
              <w:left w:val="double" w:sz="4" w:space="0" w:color="auto"/>
              <w:bottom w:val="nil"/>
            </w:tcBorders>
            <w:tcMar>
              <w:left w:w="43" w:type="dxa"/>
              <w:right w:w="43" w:type="dxa"/>
            </w:tcMar>
            <w:vAlign w:val="center"/>
          </w:tcPr>
          <w:p w14:paraId="7974A29A" w14:textId="149D4908" w:rsidR="00A83A8A" w:rsidRPr="00E22872" w:rsidRDefault="00A83A8A" w:rsidP="0035067E">
            <w:pPr>
              <w:jc w:val="right"/>
              <w:rPr>
                <w:rFonts w:eastAsia="Calibri"/>
                <w:bCs/>
                <w:color w:val="000000" w:themeColor="text1"/>
                <w:sz w:val="20"/>
                <w:szCs w:val="20"/>
              </w:rPr>
            </w:pPr>
            <w:r>
              <w:rPr>
                <w:rFonts w:eastAsia="Calibri"/>
                <w:bCs/>
                <w:color w:val="000000" w:themeColor="text1"/>
                <w:sz w:val="20"/>
                <w:szCs w:val="20"/>
              </w:rPr>
              <w:t>--</w:t>
            </w:r>
          </w:p>
        </w:tc>
        <w:tc>
          <w:tcPr>
            <w:tcW w:w="438" w:type="pct"/>
            <w:tcBorders>
              <w:top w:val="nil"/>
              <w:bottom w:val="nil"/>
              <w:right w:val="single" w:sz="8" w:space="0" w:color="auto"/>
            </w:tcBorders>
            <w:tcMar>
              <w:left w:w="43" w:type="dxa"/>
              <w:right w:w="43" w:type="dxa"/>
            </w:tcMar>
            <w:vAlign w:val="center"/>
          </w:tcPr>
          <w:p w14:paraId="0A8EDCC5" w14:textId="46F40626" w:rsidR="00A83A8A" w:rsidRPr="00E22872" w:rsidRDefault="00A83A8A" w:rsidP="0035067E">
            <w:pPr>
              <w:jc w:val="right"/>
              <w:rPr>
                <w:color w:val="000000" w:themeColor="text1"/>
                <w:sz w:val="20"/>
                <w:szCs w:val="20"/>
              </w:rPr>
            </w:pPr>
            <w:r>
              <w:rPr>
                <w:color w:val="000000" w:themeColor="text1"/>
                <w:sz w:val="20"/>
                <w:szCs w:val="20"/>
              </w:rPr>
              <w:t>--</w:t>
            </w:r>
          </w:p>
        </w:tc>
        <w:tc>
          <w:tcPr>
            <w:tcW w:w="438" w:type="pct"/>
            <w:tcBorders>
              <w:top w:val="nil"/>
              <w:left w:val="single" w:sz="8" w:space="0" w:color="auto"/>
              <w:bottom w:val="nil"/>
            </w:tcBorders>
            <w:shd w:val="clear" w:color="auto" w:fill="FFFFFF"/>
            <w:tcMar>
              <w:left w:w="43" w:type="dxa"/>
              <w:right w:w="43" w:type="dxa"/>
            </w:tcMar>
            <w:vAlign w:val="center"/>
          </w:tcPr>
          <w:p w14:paraId="25B8178F" w14:textId="0173BB43" w:rsidR="00A83A8A" w:rsidRPr="00E22872" w:rsidRDefault="00A83A8A" w:rsidP="0035067E">
            <w:pPr>
              <w:jc w:val="right"/>
              <w:rPr>
                <w:rFonts w:eastAsia="Calibri"/>
                <w:bCs/>
                <w:color w:val="000000" w:themeColor="text1"/>
                <w:sz w:val="20"/>
                <w:szCs w:val="20"/>
              </w:rPr>
            </w:pPr>
            <w:r>
              <w:rPr>
                <w:rFonts w:eastAsia="Calibri"/>
                <w:bCs/>
                <w:color w:val="000000" w:themeColor="text1"/>
                <w:sz w:val="20"/>
                <w:szCs w:val="20"/>
              </w:rPr>
              <w:t>0.22</w:t>
            </w:r>
            <w:r w:rsidR="00DA249F">
              <w:rPr>
                <w:rFonts w:eastAsia="Calibri"/>
                <w:bCs/>
                <w:color w:val="000000" w:themeColor="text1"/>
                <w:sz w:val="20"/>
                <w:szCs w:val="20"/>
              </w:rPr>
              <w:t>0</w:t>
            </w:r>
          </w:p>
        </w:tc>
        <w:tc>
          <w:tcPr>
            <w:tcW w:w="437" w:type="pct"/>
            <w:tcBorders>
              <w:top w:val="nil"/>
              <w:bottom w:val="nil"/>
              <w:right w:val="double" w:sz="4" w:space="0" w:color="auto"/>
            </w:tcBorders>
            <w:shd w:val="clear" w:color="auto" w:fill="FFFFFF"/>
            <w:tcMar>
              <w:left w:w="43" w:type="dxa"/>
              <w:right w:w="43" w:type="dxa"/>
            </w:tcMar>
            <w:vAlign w:val="center"/>
          </w:tcPr>
          <w:p w14:paraId="226C7FF3" w14:textId="0DEE4910" w:rsidR="00A83A8A" w:rsidRPr="00E22872" w:rsidRDefault="00A83A8A" w:rsidP="0035067E">
            <w:pPr>
              <w:jc w:val="right"/>
              <w:rPr>
                <w:color w:val="000000" w:themeColor="text1"/>
                <w:sz w:val="20"/>
                <w:szCs w:val="20"/>
              </w:rPr>
            </w:pPr>
            <w:r>
              <w:rPr>
                <w:color w:val="000000" w:themeColor="text1"/>
                <w:sz w:val="20"/>
                <w:szCs w:val="20"/>
              </w:rPr>
              <w:t>3.</w:t>
            </w:r>
            <w:r w:rsidR="00DA249F">
              <w:rPr>
                <w:color w:val="000000" w:themeColor="text1"/>
                <w:sz w:val="20"/>
                <w:szCs w:val="20"/>
              </w:rPr>
              <w:t>50</w:t>
            </w:r>
          </w:p>
        </w:tc>
      </w:tr>
      <w:tr w:rsidR="006F3050" w:rsidRPr="008858C9" w14:paraId="36D9D2B8" w14:textId="77777777" w:rsidTr="0069340B">
        <w:trPr>
          <w:trHeight w:val="288"/>
        </w:trPr>
        <w:tc>
          <w:tcPr>
            <w:tcW w:w="3200" w:type="pct"/>
            <w:tcBorders>
              <w:top w:val="nil"/>
              <w:left w:val="double" w:sz="4" w:space="0" w:color="auto"/>
              <w:bottom w:val="single" w:sz="4" w:space="0" w:color="auto"/>
              <w:right w:val="double" w:sz="4" w:space="0" w:color="auto"/>
            </w:tcBorders>
            <w:tcMar>
              <w:left w:w="43" w:type="dxa"/>
              <w:right w:w="43" w:type="dxa"/>
            </w:tcMar>
            <w:vAlign w:val="center"/>
          </w:tcPr>
          <w:p w14:paraId="46A0F385" w14:textId="77777777" w:rsidR="00CA2851" w:rsidRPr="00E22872" w:rsidRDefault="00CA2851" w:rsidP="00565BCE">
            <w:pPr>
              <w:ind w:left="325"/>
              <w:rPr>
                <w:rFonts w:eastAsia="Calibri"/>
                <w:bCs/>
                <w:color w:val="000000" w:themeColor="text1"/>
                <w:sz w:val="20"/>
                <w:szCs w:val="20"/>
              </w:rPr>
            </w:pPr>
            <w:r w:rsidRPr="00E22872">
              <w:rPr>
                <w:rFonts w:eastAsia="Calibri"/>
                <w:bCs/>
                <w:color w:val="000000" w:themeColor="text1"/>
                <w:sz w:val="20"/>
                <w:szCs w:val="20"/>
              </w:rPr>
              <w:t xml:space="preserve">Not technologically savvy </w:t>
            </w:r>
            <w:r w:rsidRPr="00E22872">
              <w:rPr>
                <w:rFonts w:eastAsia="Calibri"/>
                <w:bCs/>
                <w:i/>
                <w:iCs/>
                <w:color w:val="000000" w:themeColor="text1"/>
                <w:sz w:val="20"/>
                <w:szCs w:val="20"/>
              </w:rPr>
              <w:t>(base:</w:t>
            </w:r>
            <w:r w:rsidRPr="00E22872">
              <w:rPr>
                <w:rFonts w:eastAsia="Calibri"/>
                <w:bCs/>
                <w:color w:val="000000" w:themeColor="text1"/>
                <w:sz w:val="20"/>
                <w:szCs w:val="20"/>
              </w:rPr>
              <w:t xml:space="preserve"> technologically savvy</w:t>
            </w:r>
            <w:r w:rsidRPr="00E22872">
              <w:rPr>
                <w:rFonts w:eastAsia="Calibri"/>
                <w:bCs/>
                <w:i/>
                <w:iCs/>
                <w:color w:val="000000" w:themeColor="text1"/>
                <w:sz w:val="20"/>
                <w:szCs w:val="20"/>
              </w:rPr>
              <w:t>)</w:t>
            </w:r>
          </w:p>
        </w:tc>
        <w:tc>
          <w:tcPr>
            <w:tcW w:w="486" w:type="pct"/>
            <w:tcBorders>
              <w:top w:val="nil"/>
              <w:left w:val="double" w:sz="4" w:space="0" w:color="auto"/>
              <w:bottom w:val="single" w:sz="4" w:space="0" w:color="auto"/>
            </w:tcBorders>
            <w:tcMar>
              <w:left w:w="43" w:type="dxa"/>
              <w:right w:w="43" w:type="dxa"/>
            </w:tcMar>
            <w:vAlign w:val="center"/>
          </w:tcPr>
          <w:p w14:paraId="27AB0F9B" w14:textId="77777777" w:rsidR="00CA2851" w:rsidRPr="00E22872" w:rsidRDefault="00CA2851" w:rsidP="0035067E">
            <w:pPr>
              <w:jc w:val="right"/>
              <w:rPr>
                <w:rFonts w:eastAsia="Calibri"/>
                <w:bCs/>
                <w:color w:val="000000" w:themeColor="text1"/>
                <w:sz w:val="20"/>
                <w:szCs w:val="20"/>
              </w:rPr>
            </w:pPr>
            <w:r w:rsidRPr="00E22872">
              <w:rPr>
                <w:rFonts w:eastAsia="Calibri"/>
                <w:bCs/>
                <w:color w:val="000000" w:themeColor="text1"/>
                <w:sz w:val="20"/>
                <w:szCs w:val="20"/>
              </w:rPr>
              <w:t>-0.114</w:t>
            </w:r>
          </w:p>
        </w:tc>
        <w:tc>
          <w:tcPr>
            <w:tcW w:w="438" w:type="pct"/>
            <w:tcBorders>
              <w:top w:val="nil"/>
              <w:bottom w:val="single" w:sz="4" w:space="0" w:color="auto"/>
              <w:right w:val="single" w:sz="8" w:space="0" w:color="auto"/>
            </w:tcBorders>
            <w:tcMar>
              <w:left w:w="43" w:type="dxa"/>
              <w:right w:w="43" w:type="dxa"/>
            </w:tcMar>
            <w:vAlign w:val="center"/>
          </w:tcPr>
          <w:p w14:paraId="6882826D" w14:textId="77777777"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-2.18</w:t>
            </w:r>
          </w:p>
        </w:tc>
        <w:tc>
          <w:tcPr>
            <w:tcW w:w="438" w:type="pct"/>
            <w:tcBorders>
              <w:top w:val="nil"/>
              <w:left w:val="single" w:sz="8" w:space="0" w:color="auto"/>
              <w:bottom w:val="single" w:sz="4" w:space="0" w:color="auto"/>
            </w:tcBorders>
            <w:shd w:val="clear" w:color="auto" w:fill="FFFFFF"/>
            <w:tcMar>
              <w:left w:w="43" w:type="dxa"/>
              <w:right w:w="43" w:type="dxa"/>
            </w:tcMar>
            <w:vAlign w:val="center"/>
          </w:tcPr>
          <w:p w14:paraId="71D2769F" w14:textId="77777777" w:rsidR="00CA2851" w:rsidRPr="00E22872" w:rsidRDefault="00CA2851" w:rsidP="0035067E">
            <w:pPr>
              <w:jc w:val="right"/>
              <w:rPr>
                <w:rFonts w:eastAsia="Calibri"/>
                <w:bCs/>
                <w:color w:val="000000" w:themeColor="text1"/>
                <w:sz w:val="20"/>
                <w:szCs w:val="20"/>
              </w:rPr>
            </w:pPr>
            <w:r w:rsidRPr="00E22872">
              <w:rPr>
                <w:rFonts w:eastAsia="Calibri"/>
                <w:bCs/>
                <w:color w:val="000000" w:themeColor="text1"/>
                <w:sz w:val="20"/>
                <w:szCs w:val="20"/>
              </w:rPr>
              <w:t>-0.114</w:t>
            </w:r>
          </w:p>
        </w:tc>
        <w:tc>
          <w:tcPr>
            <w:tcW w:w="437" w:type="pct"/>
            <w:tcBorders>
              <w:top w:val="nil"/>
              <w:bottom w:val="single" w:sz="4" w:space="0" w:color="auto"/>
              <w:right w:val="double" w:sz="4" w:space="0" w:color="auto"/>
            </w:tcBorders>
            <w:shd w:val="clear" w:color="auto" w:fill="FFFFFF"/>
            <w:tcMar>
              <w:left w:w="43" w:type="dxa"/>
              <w:right w:w="43" w:type="dxa"/>
            </w:tcMar>
            <w:vAlign w:val="center"/>
          </w:tcPr>
          <w:p w14:paraId="321DA899" w14:textId="77777777"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-2.18</w:t>
            </w:r>
          </w:p>
        </w:tc>
      </w:tr>
      <w:bookmarkEnd w:id="89"/>
      <w:tr w:rsidR="00565BCE" w:rsidRPr="008858C9" w14:paraId="35725EDF" w14:textId="77777777" w:rsidTr="00721B8D">
        <w:trPr>
          <w:trHeight w:val="288"/>
        </w:trPr>
        <w:tc>
          <w:tcPr>
            <w:tcW w:w="5000" w:type="pct"/>
            <w:gridSpan w:val="5"/>
            <w:tcBorders>
              <w:top w:val="single" w:sz="4" w:space="0" w:color="auto"/>
              <w:left w:val="double" w:sz="4" w:space="0" w:color="auto"/>
              <w:bottom w:val="single" w:sz="4" w:space="0" w:color="auto"/>
              <w:right w:val="double" w:sz="4" w:space="0" w:color="auto"/>
            </w:tcBorders>
            <w:tcMar>
              <w:left w:w="43" w:type="dxa"/>
              <w:right w:w="43" w:type="dxa"/>
            </w:tcMar>
            <w:vAlign w:val="center"/>
          </w:tcPr>
          <w:p w14:paraId="2BAA0AF0" w14:textId="4BFE3A75" w:rsidR="00BC4A8E" w:rsidRPr="00E22872" w:rsidRDefault="00BC4A8E" w:rsidP="00565BCE">
            <w:pPr>
              <w:rPr>
                <w:rFonts w:eastAsia="Calibri"/>
                <w:bCs/>
                <w:color w:val="000000" w:themeColor="text1"/>
                <w:sz w:val="20"/>
                <w:szCs w:val="20"/>
              </w:rPr>
            </w:pPr>
            <w:r w:rsidRPr="00E22872">
              <w:rPr>
                <w:rFonts w:eastAsia="Calibri"/>
                <w:b/>
                <w:color w:val="000000" w:themeColor="text1"/>
                <w:sz w:val="20"/>
                <w:szCs w:val="20"/>
              </w:rPr>
              <w:t>Residential Location Attributes</w:t>
            </w:r>
          </w:p>
        </w:tc>
      </w:tr>
      <w:tr w:rsidR="006F3050" w:rsidRPr="008858C9" w14:paraId="6350CA1F" w14:textId="77777777" w:rsidTr="0069340B">
        <w:trPr>
          <w:trHeight w:val="288"/>
        </w:trPr>
        <w:tc>
          <w:tcPr>
            <w:tcW w:w="3200" w:type="pct"/>
            <w:tcBorders>
              <w:top w:val="single" w:sz="4" w:space="0" w:color="auto"/>
              <w:left w:val="double" w:sz="4" w:space="0" w:color="auto"/>
              <w:bottom w:val="nil"/>
              <w:right w:val="double" w:sz="4" w:space="0" w:color="auto"/>
            </w:tcBorders>
            <w:tcMar>
              <w:left w:w="43" w:type="dxa"/>
              <w:right w:w="43" w:type="dxa"/>
            </w:tcMar>
            <w:vAlign w:val="center"/>
          </w:tcPr>
          <w:p w14:paraId="7FAE6800" w14:textId="77777777" w:rsidR="00CA2851" w:rsidRPr="00E22872" w:rsidRDefault="00CA2851" w:rsidP="00565BCE">
            <w:pPr>
              <w:rPr>
                <w:rFonts w:eastAsia="Calibri"/>
                <w:b/>
                <w:bCs/>
                <w:color w:val="000000" w:themeColor="text1"/>
                <w:sz w:val="20"/>
                <w:szCs w:val="20"/>
              </w:rPr>
            </w:pPr>
            <w:r w:rsidRPr="00E22872">
              <w:rPr>
                <w:rFonts w:eastAsia="Calibri"/>
                <w:b/>
                <w:bCs/>
                <w:color w:val="000000" w:themeColor="text1"/>
                <w:sz w:val="20"/>
                <w:szCs w:val="20"/>
              </w:rPr>
              <w:t xml:space="preserve">Access to healthcare services </w:t>
            </w:r>
            <w:r w:rsidRPr="00E22872">
              <w:rPr>
                <w:rFonts w:eastAsia="Calibri"/>
                <w:bCs/>
                <w:i/>
                <w:iCs/>
                <w:color w:val="000000" w:themeColor="text1"/>
                <w:sz w:val="20"/>
                <w:szCs w:val="20"/>
              </w:rPr>
              <w:t>(base: # ≤ 3 offices)</w:t>
            </w:r>
          </w:p>
        </w:tc>
        <w:tc>
          <w:tcPr>
            <w:tcW w:w="486" w:type="pct"/>
            <w:tcBorders>
              <w:top w:val="single" w:sz="4" w:space="0" w:color="auto"/>
              <w:left w:val="double" w:sz="4" w:space="0" w:color="auto"/>
              <w:bottom w:val="nil"/>
            </w:tcBorders>
            <w:tcMar>
              <w:left w:w="43" w:type="dxa"/>
              <w:right w:w="43" w:type="dxa"/>
            </w:tcMar>
            <w:vAlign w:val="center"/>
          </w:tcPr>
          <w:p w14:paraId="60D8C3C8" w14:textId="77777777" w:rsidR="00CA2851" w:rsidRPr="00E22872" w:rsidRDefault="00CA2851" w:rsidP="0035067E">
            <w:pPr>
              <w:jc w:val="right"/>
              <w:rPr>
                <w:rFonts w:eastAsia="Calibri"/>
                <w:bCs/>
                <w:color w:val="000000" w:themeColor="text1"/>
                <w:sz w:val="20"/>
                <w:szCs w:val="20"/>
              </w:rPr>
            </w:pPr>
          </w:p>
        </w:tc>
        <w:tc>
          <w:tcPr>
            <w:tcW w:w="438" w:type="pct"/>
            <w:tcBorders>
              <w:top w:val="single" w:sz="4" w:space="0" w:color="auto"/>
              <w:bottom w:val="nil"/>
              <w:right w:val="single" w:sz="8" w:space="0" w:color="auto"/>
            </w:tcBorders>
            <w:tcMar>
              <w:left w:w="43" w:type="dxa"/>
              <w:right w:w="43" w:type="dxa"/>
            </w:tcMar>
            <w:vAlign w:val="center"/>
          </w:tcPr>
          <w:p w14:paraId="76DBAC31" w14:textId="77777777" w:rsidR="00CA2851" w:rsidRPr="00E22872" w:rsidRDefault="00CA2851" w:rsidP="0035067E">
            <w:pPr>
              <w:jc w:val="right"/>
              <w:rPr>
                <w:rFonts w:eastAsia="Calibri"/>
                <w:bCs/>
                <w:color w:val="000000" w:themeColor="text1"/>
                <w:sz w:val="20"/>
                <w:szCs w:val="20"/>
              </w:rPr>
            </w:pPr>
          </w:p>
        </w:tc>
        <w:tc>
          <w:tcPr>
            <w:tcW w:w="438" w:type="pct"/>
            <w:tcBorders>
              <w:top w:val="single" w:sz="4" w:space="0" w:color="auto"/>
              <w:left w:val="single" w:sz="8" w:space="0" w:color="auto"/>
              <w:bottom w:val="nil"/>
            </w:tcBorders>
            <w:shd w:val="clear" w:color="auto" w:fill="FFFFFF"/>
            <w:tcMar>
              <w:left w:w="43" w:type="dxa"/>
              <w:right w:w="43" w:type="dxa"/>
            </w:tcMar>
            <w:vAlign w:val="center"/>
          </w:tcPr>
          <w:p w14:paraId="6469BA27" w14:textId="77777777" w:rsidR="00CA2851" w:rsidRPr="00E22872" w:rsidRDefault="00CA2851" w:rsidP="0035067E">
            <w:pPr>
              <w:jc w:val="right"/>
              <w:rPr>
                <w:color w:val="000000" w:themeColor="text1"/>
                <w:sz w:val="20"/>
                <w:szCs w:val="20"/>
              </w:rPr>
            </w:pPr>
          </w:p>
        </w:tc>
        <w:tc>
          <w:tcPr>
            <w:tcW w:w="437" w:type="pct"/>
            <w:tcBorders>
              <w:top w:val="single" w:sz="4" w:space="0" w:color="auto"/>
              <w:bottom w:val="nil"/>
              <w:right w:val="double" w:sz="4" w:space="0" w:color="auto"/>
            </w:tcBorders>
            <w:shd w:val="clear" w:color="auto" w:fill="FFFFFF"/>
            <w:tcMar>
              <w:left w:w="43" w:type="dxa"/>
              <w:right w:w="43" w:type="dxa"/>
            </w:tcMar>
            <w:vAlign w:val="center"/>
          </w:tcPr>
          <w:p w14:paraId="471748CD" w14:textId="77777777" w:rsidR="00CA2851" w:rsidRPr="00E22872" w:rsidRDefault="00CA2851" w:rsidP="0035067E">
            <w:pPr>
              <w:jc w:val="right"/>
              <w:rPr>
                <w:color w:val="000000" w:themeColor="text1"/>
                <w:sz w:val="20"/>
                <w:szCs w:val="20"/>
              </w:rPr>
            </w:pPr>
          </w:p>
        </w:tc>
      </w:tr>
      <w:tr w:rsidR="006F3050" w:rsidRPr="008858C9" w14:paraId="73C09AA5"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2D66E573" w14:textId="77777777" w:rsidR="00CA2851" w:rsidRPr="00E22872" w:rsidRDefault="00CA2851" w:rsidP="00565BCE">
            <w:pPr>
              <w:ind w:left="325"/>
              <w:rPr>
                <w:rFonts w:eastAsia="Calibri"/>
                <w:bCs/>
                <w:color w:val="000000" w:themeColor="text1"/>
                <w:sz w:val="20"/>
                <w:szCs w:val="20"/>
              </w:rPr>
            </w:pPr>
            <w:r w:rsidRPr="00E22872">
              <w:rPr>
                <w:rFonts w:eastAsia="Calibri"/>
                <w:b/>
                <w:bCs/>
                <w:color w:val="000000" w:themeColor="text1"/>
                <w:sz w:val="20"/>
                <w:szCs w:val="20"/>
              </w:rPr>
              <w:t>#</w:t>
            </w:r>
            <w:r w:rsidRPr="00E22872">
              <w:rPr>
                <w:rFonts w:eastAsia="Calibri"/>
                <w:bCs/>
                <w:color w:val="000000" w:themeColor="text1"/>
                <w:sz w:val="20"/>
                <w:szCs w:val="20"/>
              </w:rPr>
              <w:t xml:space="preserve"> of physicians’ offices in zip code &gt; 3 </w:t>
            </w:r>
          </w:p>
        </w:tc>
        <w:tc>
          <w:tcPr>
            <w:tcW w:w="486" w:type="pct"/>
            <w:tcBorders>
              <w:top w:val="nil"/>
              <w:left w:val="double" w:sz="4" w:space="0" w:color="auto"/>
              <w:bottom w:val="dotted" w:sz="4" w:space="0" w:color="auto"/>
            </w:tcBorders>
            <w:tcMar>
              <w:left w:w="43" w:type="dxa"/>
              <w:right w:w="43" w:type="dxa"/>
            </w:tcMar>
            <w:vAlign w:val="center"/>
          </w:tcPr>
          <w:p w14:paraId="5F7D2C9D" w14:textId="77777777" w:rsidR="00CA2851" w:rsidRPr="00E22872" w:rsidRDefault="00CA2851" w:rsidP="0035067E">
            <w:pPr>
              <w:jc w:val="right"/>
              <w:rPr>
                <w:rFonts w:eastAsia="Calibri"/>
                <w:bCs/>
                <w:color w:val="000000" w:themeColor="text1"/>
                <w:sz w:val="20"/>
                <w:szCs w:val="20"/>
              </w:rPr>
            </w:pPr>
          </w:p>
        </w:tc>
        <w:tc>
          <w:tcPr>
            <w:tcW w:w="438" w:type="pct"/>
            <w:tcBorders>
              <w:top w:val="nil"/>
              <w:bottom w:val="dotted" w:sz="4" w:space="0" w:color="auto"/>
              <w:right w:val="single" w:sz="8" w:space="0" w:color="auto"/>
            </w:tcBorders>
            <w:tcMar>
              <w:left w:w="43" w:type="dxa"/>
              <w:right w:w="43" w:type="dxa"/>
            </w:tcMar>
            <w:vAlign w:val="center"/>
          </w:tcPr>
          <w:p w14:paraId="602579F2" w14:textId="77777777" w:rsidR="00CA2851" w:rsidRPr="00E22872" w:rsidRDefault="00CA2851" w:rsidP="0035067E">
            <w:pPr>
              <w:jc w:val="right"/>
              <w:rPr>
                <w:rFonts w:eastAsia="Calibri"/>
                <w:bCs/>
                <w:color w:val="000000" w:themeColor="text1"/>
                <w:sz w:val="20"/>
                <w:szCs w:val="20"/>
              </w:rPr>
            </w:pPr>
          </w:p>
        </w:tc>
        <w:tc>
          <w:tcPr>
            <w:tcW w:w="438" w:type="pct"/>
            <w:tcBorders>
              <w:top w:val="nil"/>
              <w:left w:val="single" w:sz="8" w:space="0" w:color="auto"/>
              <w:bottom w:val="dotted" w:sz="4" w:space="0" w:color="auto"/>
            </w:tcBorders>
            <w:shd w:val="clear" w:color="auto" w:fill="FFFFFF"/>
            <w:tcMar>
              <w:left w:w="43" w:type="dxa"/>
              <w:right w:w="43" w:type="dxa"/>
            </w:tcMar>
            <w:vAlign w:val="center"/>
          </w:tcPr>
          <w:p w14:paraId="18C41CDF" w14:textId="0C5BC3EB"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-0.16</w:t>
            </w:r>
            <w:r w:rsidR="00DA249F">
              <w:rPr>
                <w:color w:val="000000" w:themeColor="text1"/>
                <w:sz w:val="20"/>
                <w:szCs w:val="20"/>
              </w:rPr>
              <w:t>7</w:t>
            </w:r>
          </w:p>
        </w:tc>
        <w:tc>
          <w:tcPr>
            <w:tcW w:w="437" w:type="pct"/>
            <w:tcBorders>
              <w:top w:val="nil"/>
              <w:bottom w:val="dotted" w:sz="4" w:space="0" w:color="auto"/>
              <w:right w:val="double" w:sz="4" w:space="0" w:color="auto"/>
            </w:tcBorders>
            <w:shd w:val="clear" w:color="auto" w:fill="FFFFFF"/>
            <w:tcMar>
              <w:left w:w="43" w:type="dxa"/>
              <w:right w:w="43" w:type="dxa"/>
            </w:tcMar>
            <w:vAlign w:val="center"/>
          </w:tcPr>
          <w:p w14:paraId="36945654" w14:textId="7F53BB81" w:rsidR="00CA2851" w:rsidRPr="00E22872" w:rsidRDefault="00DA249F" w:rsidP="0035067E">
            <w:pPr>
              <w:jc w:val="right"/>
              <w:rPr>
                <w:rFonts w:eastAsia="Calibri"/>
                <w:bCs/>
                <w:color w:val="000000" w:themeColor="text1"/>
                <w:sz w:val="20"/>
                <w:szCs w:val="20"/>
              </w:rPr>
            </w:pPr>
            <w:r>
              <w:rPr>
                <w:color w:val="000000" w:themeColor="text1"/>
                <w:sz w:val="20"/>
                <w:szCs w:val="20"/>
              </w:rPr>
              <w:t>-2.01</w:t>
            </w:r>
          </w:p>
        </w:tc>
      </w:tr>
      <w:tr w:rsidR="006F3050" w:rsidRPr="008858C9" w14:paraId="34E46DE1" w14:textId="77777777" w:rsidTr="0069340B">
        <w:trPr>
          <w:trHeight w:val="288"/>
        </w:trPr>
        <w:tc>
          <w:tcPr>
            <w:tcW w:w="3200" w:type="pct"/>
            <w:tcBorders>
              <w:top w:val="dotted" w:sz="4" w:space="0" w:color="auto"/>
              <w:left w:val="double" w:sz="4" w:space="0" w:color="auto"/>
              <w:bottom w:val="nil"/>
              <w:right w:val="double" w:sz="4" w:space="0" w:color="auto"/>
            </w:tcBorders>
            <w:tcMar>
              <w:left w:w="43" w:type="dxa"/>
              <w:right w:w="43" w:type="dxa"/>
            </w:tcMar>
            <w:vAlign w:val="center"/>
          </w:tcPr>
          <w:p w14:paraId="3EF9ACBE" w14:textId="77777777" w:rsidR="00CA2851" w:rsidRPr="00E22872" w:rsidRDefault="00CA2851" w:rsidP="00565BCE">
            <w:pPr>
              <w:rPr>
                <w:rFonts w:eastAsia="Calibri"/>
                <w:b/>
                <w:color w:val="000000" w:themeColor="text1"/>
                <w:sz w:val="20"/>
                <w:szCs w:val="20"/>
              </w:rPr>
            </w:pPr>
            <w:r w:rsidRPr="00E22872">
              <w:rPr>
                <w:rFonts w:eastAsia="Calibri"/>
                <w:b/>
                <w:color w:val="000000" w:themeColor="text1"/>
                <w:sz w:val="20"/>
                <w:szCs w:val="20"/>
              </w:rPr>
              <w:t xml:space="preserve">Population density </w:t>
            </w:r>
            <w:r w:rsidRPr="00E22872">
              <w:rPr>
                <w:rFonts w:eastAsia="Calibri"/>
                <w:bCs/>
                <w:color w:val="000000" w:themeColor="text1"/>
                <w:sz w:val="20"/>
                <w:szCs w:val="20"/>
              </w:rPr>
              <w:t>(base: &lt; average)</w:t>
            </w:r>
          </w:p>
        </w:tc>
        <w:tc>
          <w:tcPr>
            <w:tcW w:w="486" w:type="pct"/>
            <w:tcBorders>
              <w:top w:val="dotted" w:sz="4" w:space="0" w:color="auto"/>
              <w:left w:val="double" w:sz="4" w:space="0" w:color="auto"/>
              <w:bottom w:val="nil"/>
            </w:tcBorders>
            <w:tcMar>
              <w:left w:w="43" w:type="dxa"/>
              <w:right w:w="43" w:type="dxa"/>
            </w:tcMar>
            <w:vAlign w:val="bottom"/>
          </w:tcPr>
          <w:p w14:paraId="0B64D828" w14:textId="77777777" w:rsidR="00CA2851" w:rsidRPr="00E22872" w:rsidRDefault="00CA2851" w:rsidP="0035067E">
            <w:pPr>
              <w:jc w:val="right"/>
              <w:rPr>
                <w:rFonts w:eastAsia="Calibri"/>
                <w:bCs/>
                <w:color w:val="000000" w:themeColor="text1"/>
                <w:sz w:val="20"/>
                <w:szCs w:val="20"/>
              </w:rPr>
            </w:pPr>
          </w:p>
        </w:tc>
        <w:tc>
          <w:tcPr>
            <w:tcW w:w="438" w:type="pct"/>
            <w:tcBorders>
              <w:top w:val="dotted" w:sz="4" w:space="0" w:color="auto"/>
              <w:bottom w:val="nil"/>
              <w:right w:val="single" w:sz="8" w:space="0" w:color="auto"/>
            </w:tcBorders>
            <w:tcMar>
              <w:left w:w="43" w:type="dxa"/>
              <w:right w:w="43" w:type="dxa"/>
            </w:tcMar>
            <w:vAlign w:val="bottom"/>
          </w:tcPr>
          <w:p w14:paraId="36C535EC" w14:textId="77777777" w:rsidR="00CA2851" w:rsidRPr="00E22872" w:rsidRDefault="00CA2851" w:rsidP="0035067E">
            <w:pPr>
              <w:jc w:val="right"/>
              <w:rPr>
                <w:rFonts w:eastAsia="Calibri"/>
                <w:bCs/>
                <w:color w:val="000000" w:themeColor="text1"/>
                <w:sz w:val="20"/>
                <w:szCs w:val="20"/>
              </w:rPr>
            </w:pPr>
          </w:p>
        </w:tc>
        <w:tc>
          <w:tcPr>
            <w:tcW w:w="438" w:type="pct"/>
            <w:tcBorders>
              <w:top w:val="dotted" w:sz="4" w:space="0" w:color="auto"/>
              <w:left w:val="single" w:sz="8" w:space="0" w:color="auto"/>
              <w:bottom w:val="nil"/>
            </w:tcBorders>
            <w:shd w:val="clear" w:color="auto" w:fill="FFFFFF"/>
            <w:tcMar>
              <w:left w:w="43" w:type="dxa"/>
              <w:right w:w="43" w:type="dxa"/>
            </w:tcMar>
            <w:vAlign w:val="center"/>
          </w:tcPr>
          <w:p w14:paraId="46B26BD6" w14:textId="77777777" w:rsidR="00CA2851" w:rsidRPr="00E22872" w:rsidRDefault="00CA2851" w:rsidP="0035067E">
            <w:pPr>
              <w:jc w:val="right"/>
              <w:rPr>
                <w:rFonts w:eastAsia="Calibri"/>
                <w:bCs/>
                <w:color w:val="000000" w:themeColor="text1"/>
                <w:sz w:val="20"/>
                <w:szCs w:val="20"/>
              </w:rPr>
            </w:pPr>
          </w:p>
        </w:tc>
        <w:tc>
          <w:tcPr>
            <w:tcW w:w="437" w:type="pct"/>
            <w:tcBorders>
              <w:top w:val="dotted" w:sz="4" w:space="0" w:color="auto"/>
              <w:bottom w:val="nil"/>
              <w:right w:val="double" w:sz="4" w:space="0" w:color="auto"/>
            </w:tcBorders>
            <w:shd w:val="clear" w:color="auto" w:fill="FFFFFF"/>
            <w:tcMar>
              <w:left w:w="43" w:type="dxa"/>
              <w:right w:w="43" w:type="dxa"/>
            </w:tcMar>
            <w:vAlign w:val="center"/>
          </w:tcPr>
          <w:p w14:paraId="45DFC70F" w14:textId="77777777" w:rsidR="00CA2851" w:rsidRPr="00E22872" w:rsidRDefault="00CA2851" w:rsidP="0035067E">
            <w:pPr>
              <w:jc w:val="right"/>
              <w:rPr>
                <w:rFonts w:eastAsia="Calibri"/>
                <w:bCs/>
                <w:color w:val="000000" w:themeColor="text1"/>
                <w:sz w:val="20"/>
                <w:szCs w:val="20"/>
              </w:rPr>
            </w:pPr>
          </w:p>
        </w:tc>
      </w:tr>
      <w:tr w:rsidR="006F3050" w:rsidRPr="008858C9" w14:paraId="046F073F" w14:textId="77777777" w:rsidTr="0069340B">
        <w:trPr>
          <w:trHeight w:val="288"/>
        </w:trPr>
        <w:tc>
          <w:tcPr>
            <w:tcW w:w="3200" w:type="pct"/>
            <w:tcBorders>
              <w:top w:val="nil"/>
              <w:left w:val="double" w:sz="4" w:space="0" w:color="auto"/>
              <w:bottom w:val="dotted" w:sz="4" w:space="0" w:color="auto"/>
              <w:right w:val="double" w:sz="4" w:space="0" w:color="auto"/>
            </w:tcBorders>
            <w:tcMar>
              <w:left w:w="43" w:type="dxa"/>
              <w:right w:w="43" w:type="dxa"/>
            </w:tcMar>
            <w:vAlign w:val="center"/>
          </w:tcPr>
          <w:p w14:paraId="3A582C00" w14:textId="257AC815" w:rsidR="00CA2851" w:rsidRPr="00E22872" w:rsidRDefault="00CA2851" w:rsidP="00565BCE">
            <w:pPr>
              <w:ind w:left="330"/>
              <w:rPr>
                <w:rFonts w:eastAsia="Calibri"/>
                <w:bCs/>
                <w:color w:val="000000" w:themeColor="text1"/>
                <w:sz w:val="20"/>
                <w:szCs w:val="20"/>
              </w:rPr>
            </w:pPr>
            <w:r w:rsidRPr="00E22872">
              <w:rPr>
                <w:rFonts w:eastAsia="Calibri"/>
                <w:bCs/>
                <w:color w:val="000000" w:themeColor="text1"/>
                <w:sz w:val="20"/>
                <w:szCs w:val="20"/>
              </w:rPr>
              <w:t>Population density ( ≥</w:t>
            </w:r>
            <w:r w:rsidRPr="00E22872">
              <w:rPr>
                <w:rFonts w:eastAsia="Times New Roman"/>
                <w:color w:val="000000" w:themeColor="text1"/>
                <w:sz w:val="20"/>
                <w:szCs w:val="20"/>
              </w:rPr>
              <w:t xml:space="preserve"> 0.00194 person/m</w:t>
            </w:r>
            <w:r w:rsidRPr="00E22872">
              <w:rPr>
                <w:rFonts w:eastAsia="Times New Roman"/>
                <w:color w:val="000000" w:themeColor="text1"/>
                <w:sz w:val="20"/>
                <w:szCs w:val="20"/>
                <w:vertAlign w:val="superscript"/>
              </w:rPr>
              <w:t xml:space="preserve">2 </w:t>
            </w:r>
            <w:r w:rsidRPr="00E22872">
              <w:rPr>
                <w:rFonts w:eastAsia="Calibri"/>
                <w:bCs/>
                <w:color w:val="000000" w:themeColor="text1"/>
                <w:sz w:val="20"/>
                <w:szCs w:val="20"/>
              </w:rPr>
              <w:t>[average]</w:t>
            </w:r>
            <w:r w:rsidR="009A6E84">
              <w:rPr>
                <w:rFonts w:eastAsia="Calibri"/>
                <w:bCs/>
                <w:color w:val="000000" w:themeColor="text1"/>
                <w:sz w:val="20"/>
                <w:szCs w:val="20"/>
              </w:rPr>
              <w:t>)</w:t>
            </w:r>
          </w:p>
        </w:tc>
        <w:tc>
          <w:tcPr>
            <w:tcW w:w="486" w:type="pct"/>
            <w:tcBorders>
              <w:top w:val="nil"/>
              <w:left w:val="double" w:sz="4" w:space="0" w:color="auto"/>
              <w:bottom w:val="dotted" w:sz="4" w:space="0" w:color="auto"/>
            </w:tcBorders>
            <w:tcMar>
              <w:left w:w="43" w:type="dxa"/>
              <w:right w:w="43" w:type="dxa"/>
            </w:tcMar>
            <w:vAlign w:val="bottom"/>
          </w:tcPr>
          <w:p w14:paraId="639CDEFA" w14:textId="77777777" w:rsidR="00CA2851" w:rsidRPr="00E22872" w:rsidRDefault="00CA2851" w:rsidP="0035067E">
            <w:pPr>
              <w:jc w:val="right"/>
              <w:rPr>
                <w:rFonts w:eastAsia="Calibri"/>
                <w:bCs/>
                <w:color w:val="000000" w:themeColor="text1"/>
                <w:sz w:val="20"/>
                <w:szCs w:val="20"/>
              </w:rPr>
            </w:pPr>
          </w:p>
        </w:tc>
        <w:tc>
          <w:tcPr>
            <w:tcW w:w="438" w:type="pct"/>
            <w:tcBorders>
              <w:top w:val="nil"/>
              <w:bottom w:val="dotted" w:sz="4" w:space="0" w:color="auto"/>
              <w:right w:val="single" w:sz="8" w:space="0" w:color="auto"/>
            </w:tcBorders>
            <w:tcMar>
              <w:left w:w="43" w:type="dxa"/>
              <w:right w:w="43" w:type="dxa"/>
            </w:tcMar>
            <w:vAlign w:val="bottom"/>
          </w:tcPr>
          <w:p w14:paraId="14231B01" w14:textId="77777777" w:rsidR="00CA2851" w:rsidRPr="00E22872" w:rsidRDefault="00CA2851" w:rsidP="0035067E">
            <w:pPr>
              <w:jc w:val="right"/>
              <w:rPr>
                <w:rFonts w:eastAsia="Calibri"/>
                <w:bCs/>
                <w:color w:val="000000" w:themeColor="text1"/>
                <w:sz w:val="20"/>
                <w:szCs w:val="20"/>
              </w:rPr>
            </w:pPr>
          </w:p>
        </w:tc>
        <w:tc>
          <w:tcPr>
            <w:tcW w:w="438" w:type="pct"/>
            <w:tcBorders>
              <w:top w:val="nil"/>
              <w:left w:val="single" w:sz="8" w:space="0" w:color="auto"/>
              <w:bottom w:val="dotted" w:sz="4" w:space="0" w:color="auto"/>
            </w:tcBorders>
            <w:shd w:val="clear" w:color="auto" w:fill="FFFFFF"/>
            <w:tcMar>
              <w:left w:w="43" w:type="dxa"/>
              <w:right w:w="43" w:type="dxa"/>
            </w:tcMar>
            <w:vAlign w:val="center"/>
          </w:tcPr>
          <w:p w14:paraId="21CFA458" w14:textId="720CC1C8"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-0.1</w:t>
            </w:r>
            <w:r w:rsidR="00DA249F">
              <w:rPr>
                <w:color w:val="000000" w:themeColor="text1"/>
                <w:sz w:val="20"/>
                <w:szCs w:val="20"/>
              </w:rPr>
              <w:t>29</w:t>
            </w:r>
          </w:p>
        </w:tc>
        <w:tc>
          <w:tcPr>
            <w:tcW w:w="437" w:type="pct"/>
            <w:tcBorders>
              <w:top w:val="nil"/>
              <w:bottom w:val="dotted" w:sz="4" w:space="0" w:color="auto"/>
              <w:right w:val="double" w:sz="4" w:space="0" w:color="auto"/>
            </w:tcBorders>
            <w:shd w:val="clear" w:color="auto" w:fill="FFFFFF"/>
            <w:tcMar>
              <w:left w:w="43" w:type="dxa"/>
              <w:right w:w="43" w:type="dxa"/>
            </w:tcMar>
            <w:vAlign w:val="center"/>
          </w:tcPr>
          <w:p w14:paraId="35E0998A" w14:textId="20061A58" w:rsidR="00CA2851" w:rsidRPr="00E22872" w:rsidRDefault="00DA249F" w:rsidP="0035067E">
            <w:pPr>
              <w:jc w:val="right"/>
              <w:rPr>
                <w:rFonts w:eastAsia="Calibri"/>
                <w:bCs/>
                <w:color w:val="000000" w:themeColor="text1"/>
                <w:sz w:val="20"/>
                <w:szCs w:val="20"/>
              </w:rPr>
            </w:pPr>
            <w:r>
              <w:rPr>
                <w:color w:val="000000" w:themeColor="text1"/>
                <w:sz w:val="20"/>
                <w:szCs w:val="20"/>
              </w:rPr>
              <w:t>-2.07</w:t>
            </w:r>
          </w:p>
        </w:tc>
      </w:tr>
      <w:tr w:rsidR="006F3050" w:rsidRPr="008858C9" w14:paraId="33EB2850" w14:textId="77777777" w:rsidTr="0069340B">
        <w:trPr>
          <w:trHeight w:val="288"/>
        </w:trPr>
        <w:tc>
          <w:tcPr>
            <w:tcW w:w="3200" w:type="pct"/>
            <w:tcBorders>
              <w:top w:val="single" w:sz="4" w:space="0" w:color="auto"/>
              <w:left w:val="double" w:sz="4" w:space="0" w:color="auto"/>
              <w:bottom w:val="double" w:sz="4" w:space="0" w:color="auto"/>
              <w:right w:val="double" w:sz="4" w:space="0" w:color="auto"/>
            </w:tcBorders>
            <w:tcMar>
              <w:left w:w="43" w:type="dxa"/>
              <w:right w:w="43" w:type="dxa"/>
            </w:tcMar>
            <w:vAlign w:val="center"/>
          </w:tcPr>
          <w:p w14:paraId="055284D7" w14:textId="77777777" w:rsidR="00CA2851" w:rsidRPr="00E22872" w:rsidRDefault="00CA2851" w:rsidP="00565BCE">
            <w:pPr>
              <w:rPr>
                <w:rFonts w:eastAsia="Calibri"/>
                <w:b/>
                <w:color w:val="000000" w:themeColor="text1"/>
                <w:sz w:val="20"/>
                <w:szCs w:val="20"/>
              </w:rPr>
            </w:pPr>
            <w:r w:rsidRPr="00E22872">
              <w:rPr>
                <w:rFonts w:eastAsia="Calibri"/>
                <w:b/>
                <w:color w:val="000000" w:themeColor="text1"/>
                <w:sz w:val="20"/>
                <w:szCs w:val="20"/>
              </w:rPr>
              <w:t>Threshold 0|1</w:t>
            </w:r>
          </w:p>
        </w:tc>
        <w:tc>
          <w:tcPr>
            <w:tcW w:w="486" w:type="pct"/>
            <w:tcBorders>
              <w:top w:val="single" w:sz="4" w:space="0" w:color="auto"/>
              <w:left w:val="double" w:sz="4" w:space="0" w:color="auto"/>
              <w:bottom w:val="double" w:sz="4" w:space="0" w:color="auto"/>
            </w:tcBorders>
            <w:tcMar>
              <w:left w:w="43" w:type="dxa"/>
              <w:right w:w="43" w:type="dxa"/>
            </w:tcMar>
            <w:vAlign w:val="center"/>
          </w:tcPr>
          <w:p w14:paraId="49BEE952" w14:textId="50B98716"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1.7</w:t>
            </w:r>
            <w:r w:rsidR="00DA249F">
              <w:rPr>
                <w:color w:val="000000" w:themeColor="text1"/>
                <w:sz w:val="20"/>
                <w:szCs w:val="20"/>
              </w:rPr>
              <w:t>34</w:t>
            </w:r>
          </w:p>
        </w:tc>
        <w:tc>
          <w:tcPr>
            <w:tcW w:w="438" w:type="pct"/>
            <w:tcBorders>
              <w:top w:val="single" w:sz="4" w:space="0" w:color="auto"/>
              <w:bottom w:val="double" w:sz="4" w:space="0" w:color="auto"/>
              <w:right w:val="single" w:sz="8" w:space="0" w:color="auto"/>
            </w:tcBorders>
            <w:tcMar>
              <w:left w:w="43" w:type="dxa"/>
              <w:right w:w="43" w:type="dxa"/>
            </w:tcMar>
            <w:vAlign w:val="center"/>
          </w:tcPr>
          <w:p w14:paraId="3C09D7FD" w14:textId="2E37819B"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16.</w:t>
            </w:r>
            <w:r w:rsidR="00DA249F">
              <w:rPr>
                <w:color w:val="000000" w:themeColor="text1"/>
                <w:sz w:val="20"/>
                <w:szCs w:val="20"/>
              </w:rPr>
              <w:t>07</w:t>
            </w:r>
          </w:p>
        </w:tc>
        <w:tc>
          <w:tcPr>
            <w:tcW w:w="438" w:type="pct"/>
            <w:tcBorders>
              <w:top w:val="single" w:sz="4" w:space="0" w:color="auto"/>
              <w:left w:val="single" w:sz="8" w:space="0" w:color="auto"/>
              <w:bottom w:val="double" w:sz="4" w:space="0" w:color="auto"/>
            </w:tcBorders>
            <w:shd w:val="clear" w:color="auto" w:fill="FFFFFF"/>
            <w:tcMar>
              <w:left w:w="43" w:type="dxa"/>
              <w:right w:w="43" w:type="dxa"/>
            </w:tcMar>
            <w:vAlign w:val="center"/>
          </w:tcPr>
          <w:p w14:paraId="60AFDFA6" w14:textId="511FFCB5" w:rsidR="00CA2851" w:rsidRPr="00E22872" w:rsidRDefault="00CA2851" w:rsidP="0035067E">
            <w:pPr>
              <w:jc w:val="right"/>
              <w:rPr>
                <w:rFonts w:eastAsia="Calibri"/>
                <w:bCs/>
                <w:color w:val="000000" w:themeColor="text1"/>
                <w:sz w:val="20"/>
                <w:szCs w:val="20"/>
              </w:rPr>
            </w:pPr>
            <w:r w:rsidRPr="00E22872">
              <w:rPr>
                <w:color w:val="000000" w:themeColor="text1"/>
                <w:sz w:val="20"/>
                <w:szCs w:val="20"/>
              </w:rPr>
              <w:t>0.88</w:t>
            </w:r>
            <w:r w:rsidR="00DA249F">
              <w:rPr>
                <w:color w:val="000000" w:themeColor="text1"/>
                <w:sz w:val="20"/>
                <w:szCs w:val="20"/>
              </w:rPr>
              <w:t>9</w:t>
            </w:r>
          </w:p>
        </w:tc>
        <w:tc>
          <w:tcPr>
            <w:tcW w:w="437" w:type="pct"/>
            <w:tcBorders>
              <w:top w:val="single" w:sz="4" w:space="0" w:color="auto"/>
              <w:bottom w:val="double" w:sz="4" w:space="0" w:color="auto"/>
              <w:right w:val="double" w:sz="4" w:space="0" w:color="auto"/>
            </w:tcBorders>
            <w:shd w:val="clear" w:color="auto" w:fill="FFFFFF"/>
            <w:tcMar>
              <w:left w:w="43" w:type="dxa"/>
              <w:right w:w="43" w:type="dxa"/>
            </w:tcMar>
            <w:vAlign w:val="center"/>
          </w:tcPr>
          <w:p w14:paraId="5623BBDE" w14:textId="77777777" w:rsidR="00CA2851" w:rsidRPr="00E22872" w:rsidRDefault="00CA2851" w:rsidP="0035067E">
            <w:pPr>
              <w:jc w:val="right"/>
              <w:rPr>
                <w:rFonts w:eastAsia="Calibri"/>
                <w:bCs/>
                <w:color w:val="000000" w:themeColor="text1"/>
                <w:sz w:val="20"/>
                <w:szCs w:val="20"/>
              </w:rPr>
            </w:pPr>
            <w:r w:rsidRPr="00E22872">
              <w:rPr>
                <w:rFonts w:eastAsia="Calibri"/>
                <w:bCs/>
                <w:color w:val="000000" w:themeColor="text1"/>
                <w:sz w:val="20"/>
                <w:szCs w:val="20"/>
              </w:rPr>
              <w:t>6.51</w:t>
            </w:r>
          </w:p>
        </w:tc>
      </w:tr>
    </w:tbl>
    <w:p w14:paraId="67220C41" w14:textId="6C47E776" w:rsidR="00CA2851" w:rsidRPr="008858C9" w:rsidRDefault="00CA2851" w:rsidP="008858C9">
      <w:pPr>
        <w:spacing w:after="0" w:line="240" w:lineRule="auto"/>
        <w:rPr>
          <w:rFonts w:eastAsia="Calibri"/>
          <w:bCs/>
          <w:sz w:val="20"/>
          <w:szCs w:val="20"/>
        </w:rPr>
        <w:sectPr w:rsidR="00CA2851" w:rsidRPr="008858C9" w:rsidSect="002F46AC">
          <w:pgSz w:w="12240" w:h="15840"/>
          <w:pgMar w:top="1440" w:right="1440" w:bottom="1440" w:left="1440" w:header="720" w:footer="720" w:gutter="0"/>
          <w:cols w:space="720"/>
          <w:docGrid w:linePitch="360"/>
        </w:sectPr>
      </w:pPr>
    </w:p>
    <w:p w14:paraId="47D9990E" w14:textId="3267DC4E" w:rsidR="0069340B" w:rsidRDefault="0069340B" w:rsidP="0069340B">
      <w:pPr>
        <w:pStyle w:val="Caption"/>
        <w:keepNext/>
        <w:spacing w:after="0"/>
        <w:jc w:val="left"/>
      </w:pPr>
      <w:bookmarkStart w:id="90" w:name="_Ref178945096"/>
      <w:bookmarkStart w:id="91" w:name="_Hlk165316290"/>
      <w:bookmarkStart w:id="92" w:name="_Hlk165545936"/>
      <w:r>
        <w:lastRenderedPageBreak/>
        <w:t xml:space="preserve">Table </w:t>
      </w:r>
      <w:r w:rsidR="00C425C0">
        <w:fldChar w:fldCharType="begin"/>
      </w:r>
      <w:r w:rsidR="00C425C0">
        <w:instrText xml:space="preserve"> SEQ Table \* ARABIC </w:instrText>
      </w:r>
      <w:r w:rsidR="00C425C0">
        <w:fldChar w:fldCharType="separate"/>
      </w:r>
      <w:r w:rsidR="008A3DCE">
        <w:rPr>
          <w:noProof/>
        </w:rPr>
        <w:t>5</w:t>
      </w:r>
      <w:r w:rsidR="00C425C0">
        <w:rPr>
          <w:noProof/>
        </w:rPr>
        <w:fldChar w:fldCharType="end"/>
      </w:r>
      <w:bookmarkEnd w:id="90"/>
      <w:r>
        <w:t xml:space="preserve">. Telemedicine </w:t>
      </w:r>
      <w:r w:rsidR="00ED7316">
        <w:t xml:space="preserve">Adoption </w:t>
      </w:r>
      <w:r>
        <w:t>Facilitator/Deterrent Reasons</w:t>
      </w:r>
    </w:p>
    <w:tbl>
      <w:tblPr>
        <w:tblW w:w="5085" w:type="pct"/>
        <w:tblLayout w:type="fixed"/>
        <w:tblCellMar>
          <w:left w:w="14" w:type="dxa"/>
          <w:right w:w="29" w:type="dxa"/>
        </w:tblCellMar>
        <w:tblLook w:val="04A0" w:firstRow="1" w:lastRow="0" w:firstColumn="1" w:lastColumn="0" w:noHBand="0" w:noVBand="1"/>
      </w:tblPr>
      <w:tblGrid>
        <w:gridCol w:w="3518"/>
        <w:gridCol w:w="700"/>
        <w:gridCol w:w="629"/>
        <w:gridCol w:w="715"/>
        <w:gridCol w:w="629"/>
        <w:gridCol w:w="623"/>
        <w:gridCol w:w="721"/>
        <w:gridCol w:w="623"/>
        <w:gridCol w:w="629"/>
        <w:gridCol w:w="623"/>
        <w:gridCol w:w="623"/>
        <w:gridCol w:w="623"/>
        <w:gridCol w:w="621"/>
        <w:gridCol w:w="621"/>
        <w:gridCol w:w="621"/>
        <w:gridCol w:w="631"/>
      </w:tblGrid>
      <w:tr w:rsidR="0069340B" w:rsidRPr="00DA249F" w14:paraId="58BB3505" w14:textId="52ECCF04" w:rsidTr="000B7F3C">
        <w:trPr>
          <w:trHeight w:val="20"/>
          <w:tblHeader/>
        </w:trPr>
        <w:tc>
          <w:tcPr>
            <w:tcW w:w="1338" w:type="pct"/>
            <w:vMerge w:val="restart"/>
            <w:tcBorders>
              <w:top w:val="double" w:sz="4" w:space="0" w:color="auto"/>
              <w:left w:val="double" w:sz="4" w:space="0" w:color="auto"/>
              <w:right w:val="double" w:sz="4" w:space="0" w:color="auto"/>
            </w:tcBorders>
            <w:shd w:val="clear" w:color="auto" w:fill="auto"/>
            <w:vAlign w:val="center"/>
            <w:hideMark/>
          </w:tcPr>
          <w:p w14:paraId="62014D75" w14:textId="5980082E" w:rsidR="0069340B" w:rsidRPr="00DA249F" w:rsidRDefault="0069340B" w:rsidP="0069340B">
            <w:pPr>
              <w:spacing w:after="0" w:line="240" w:lineRule="auto"/>
              <w:jc w:val="center"/>
              <w:rPr>
                <w:rFonts w:eastAsia="Times New Roman"/>
                <w:b/>
                <w:bCs/>
                <w:sz w:val="20"/>
                <w:szCs w:val="20"/>
              </w:rPr>
            </w:pPr>
            <w:r w:rsidRPr="00DA249F">
              <w:rPr>
                <w:rFonts w:eastAsia="Calibri"/>
                <w:b/>
                <w:bCs/>
                <w:sz w:val="20"/>
                <w:szCs w:val="20"/>
              </w:rPr>
              <w:t>Explanatory Variables</w:t>
            </w:r>
          </w:p>
        </w:tc>
        <w:tc>
          <w:tcPr>
            <w:tcW w:w="2003" w:type="pct"/>
            <w:gridSpan w:val="8"/>
            <w:tcBorders>
              <w:top w:val="double" w:sz="4" w:space="0" w:color="auto"/>
              <w:left w:val="double" w:sz="4" w:space="0" w:color="auto"/>
              <w:bottom w:val="single" w:sz="4" w:space="0" w:color="auto"/>
              <w:right w:val="single" w:sz="8" w:space="0" w:color="auto"/>
            </w:tcBorders>
            <w:shd w:val="clear" w:color="auto" w:fill="auto"/>
            <w:vAlign w:val="center"/>
            <w:hideMark/>
          </w:tcPr>
          <w:p w14:paraId="448FBA8D" w14:textId="2734E91E" w:rsidR="0069340B" w:rsidRPr="00DA249F" w:rsidRDefault="0069340B" w:rsidP="00BA2C9A">
            <w:pPr>
              <w:spacing w:after="0" w:line="240" w:lineRule="auto"/>
              <w:jc w:val="center"/>
              <w:rPr>
                <w:rFonts w:eastAsia="Times New Roman"/>
                <w:b/>
                <w:bCs/>
                <w:sz w:val="20"/>
                <w:szCs w:val="20"/>
              </w:rPr>
            </w:pPr>
            <w:bookmarkStart w:id="93" w:name="_Hlk166101172"/>
            <w:r w:rsidRPr="00DA249F">
              <w:rPr>
                <w:rFonts w:eastAsia="Calibri"/>
                <w:b/>
                <w:bCs/>
                <w:sz w:val="20"/>
                <w:szCs w:val="20"/>
              </w:rPr>
              <w:t xml:space="preserve">Telemedicine </w:t>
            </w:r>
            <w:r w:rsidR="00ED7316">
              <w:rPr>
                <w:rFonts w:eastAsia="Calibri"/>
                <w:b/>
                <w:bCs/>
                <w:sz w:val="20"/>
                <w:szCs w:val="20"/>
              </w:rPr>
              <w:t>Adoption</w:t>
            </w:r>
            <w:r w:rsidRPr="00DA249F">
              <w:rPr>
                <w:rFonts w:eastAsia="Calibri"/>
                <w:b/>
                <w:bCs/>
                <w:sz w:val="20"/>
                <w:szCs w:val="20"/>
              </w:rPr>
              <w:t xml:space="preserve"> Facilitator/Deterrent Reasons</w:t>
            </w:r>
            <w:bookmarkEnd w:id="93"/>
          </w:p>
        </w:tc>
        <w:tc>
          <w:tcPr>
            <w:tcW w:w="1659" w:type="pct"/>
            <w:gridSpan w:val="7"/>
            <w:tcBorders>
              <w:top w:val="double" w:sz="4" w:space="0" w:color="auto"/>
              <w:left w:val="single" w:sz="8" w:space="0" w:color="auto"/>
              <w:bottom w:val="single" w:sz="4" w:space="0" w:color="auto"/>
              <w:right w:val="double" w:sz="4" w:space="0" w:color="auto"/>
            </w:tcBorders>
            <w:vAlign w:val="center"/>
          </w:tcPr>
          <w:p w14:paraId="61CEC0AA" w14:textId="7308B6AD" w:rsidR="0069340B" w:rsidRPr="00DA249F" w:rsidRDefault="0069340B" w:rsidP="00BA2C9A">
            <w:pPr>
              <w:spacing w:after="0" w:line="240" w:lineRule="auto"/>
              <w:jc w:val="center"/>
              <w:rPr>
                <w:rFonts w:eastAsia="Times New Roman"/>
                <w:b/>
                <w:bCs/>
                <w:sz w:val="20"/>
                <w:szCs w:val="20"/>
              </w:rPr>
            </w:pPr>
            <w:r w:rsidRPr="00DA249F">
              <w:rPr>
                <w:rFonts w:eastAsia="Calibri"/>
                <w:b/>
                <w:bCs/>
                <w:sz w:val="20"/>
                <w:szCs w:val="20"/>
              </w:rPr>
              <w:t xml:space="preserve">Telemedicine </w:t>
            </w:r>
            <w:r w:rsidR="00ED7316">
              <w:rPr>
                <w:rFonts w:eastAsia="Calibri"/>
                <w:b/>
                <w:bCs/>
                <w:sz w:val="20"/>
                <w:szCs w:val="20"/>
              </w:rPr>
              <w:t>Adoption</w:t>
            </w:r>
            <w:r w:rsidRPr="00DA249F">
              <w:rPr>
                <w:rFonts w:eastAsia="Calibri"/>
                <w:b/>
                <w:bCs/>
                <w:sz w:val="20"/>
                <w:szCs w:val="20"/>
              </w:rPr>
              <w:t xml:space="preserve"> Facilitator/Deterrent Reasons</w:t>
            </w:r>
          </w:p>
        </w:tc>
      </w:tr>
      <w:tr w:rsidR="0069340B" w:rsidRPr="00DA249F" w14:paraId="4EC36D11" w14:textId="53C22F65" w:rsidTr="000B7F3C">
        <w:trPr>
          <w:trHeight w:val="20"/>
          <w:tblHeader/>
        </w:trPr>
        <w:tc>
          <w:tcPr>
            <w:tcW w:w="1338" w:type="pct"/>
            <w:vMerge/>
            <w:tcBorders>
              <w:left w:val="double" w:sz="4" w:space="0" w:color="auto"/>
              <w:bottom w:val="single" w:sz="4" w:space="0" w:color="auto"/>
              <w:right w:val="double" w:sz="4" w:space="0" w:color="auto"/>
            </w:tcBorders>
            <w:shd w:val="clear" w:color="auto" w:fill="auto"/>
            <w:vAlign w:val="center"/>
          </w:tcPr>
          <w:p w14:paraId="20EDEC91" w14:textId="0916D8CD" w:rsidR="0069340B" w:rsidRPr="00DA249F" w:rsidRDefault="0069340B" w:rsidP="00BA2C9A">
            <w:pPr>
              <w:spacing w:after="0" w:line="240" w:lineRule="auto"/>
              <w:jc w:val="center"/>
              <w:rPr>
                <w:rFonts w:ascii="Calibri" w:eastAsia="Times New Roman" w:hAnsi="Calibri" w:cs="Calibri"/>
                <w:sz w:val="22"/>
                <w:szCs w:val="22"/>
              </w:rPr>
            </w:pPr>
          </w:p>
        </w:tc>
        <w:tc>
          <w:tcPr>
            <w:tcW w:w="266" w:type="pct"/>
            <w:tcBorders>
              <w:top w:val="single" w:sz="4" w:space="0" w:color="auto"/>
              <w:left w:val="double" w:sz="4" w:space="0" w:color="auto"/>
              <w:bottom w:val="single" w:sz="4" w:space="0" w:color="auto"/>
              <w:right w:val="single" w:sz="4" w:space="0" w:color="auto"/>
            </w:tcBorders>
            <w:shd w:val="clear" w:color="auto" w:fill="auto"/>
            <w:vAlign w:val="center"/>
          </w:tcPr>
          <w:p w14:paraId="3D1E649C"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DIPA</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FAE0C6B"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TC</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6865B40"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TP</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E1E4E81"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TS</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3D6BA08"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CH</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EF9745D" w14:textId="77777777"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LCR</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5ECA21D"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LE</w:t>
            </w:r>
          </w:p>
        </w:tc>
        <w:tc>
          <w:tcPr>
            <w:tcW w:w="239" w:type="pct"/>
            <w:tcBorders>
              <w:top w:val="single" w:sz="4" w:space="0" w:color="auto"/>
              <w:left w:val="single" w:sz="4" w:space="0" w:color="auto"/>
              <w:bottom w:val="single" w:sz="4" w:space="0" w:color="auto"/>
              <w:right w:val="single" w:sz="8" w:space="0" w:color="auto"/>
            </w:tcBorders>
            <w:shd w:val="clear" w:color="auto" w:fill="auto"/>
            <w:vAlign w:val="center"/>
          </w:tcPr>
          <w:p w14:paraId="004612B1" w14:textId="77777777" w:rsidR="0069340B" w:rsidRPr="00DA249F" w:rsidRDefault="0069340B" w:rsidP="00BA2C9A">
            <w:pPr>
              <w:spacing w:after="0" w:line="240" w:lineRule="auto"/>
              <w:jc w:val="center"/>
              <w:rPr>
                <w:rFonts w:eastAsia="Calibri"/>
                <w:b/>
                <w:bCs/>
                <w:sz w:val="20"/>
                <w:szCs w:val="20"/>
              </w:rPr>
            </w:pPr>
            <w:r w:rsidRPr="00DA249F">
              <w:rPr>
                <w:rFonts w:eastAsia="Calibri"/>
                <w:b/>
                <w:bCs/>
                <w:sz w:val="20"/>
                <w:szCs w:val="20"/>
              </w:rPr>
              <w:t>FCO</w:t>
            </w:r>
          </w:p>
        </w:tc>
        <w:tc>
          <w:tcPr>
            <w:tcW w:w="237" w:type="pct"/>
            <w:tcBorders>
              <w:top w:val="single" w:sz="4" w:space="0" w:color="auto"/>
              <w:left w:val="single" w:sz="8" w:space="0" w:color="auto"/>
              <w:bottom w:val="single" w:sz="4" w:space="0" w:color="auto"/>
              <w:right w:val="single" w:sz="4" w:space="0" w:color="auto"/>
            </w:tcBorders>
            <w:vAlign w:val="center"/>
          </w:tcPr>
          <w:p w14:paraId="138A9B05" w14:textId="277FDDD1"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PTQ</w:t>
            </w:r>
          </w:p>
        </w:tc>
        <w:tc>
          <w:tcPr>
            <w:tcW w:w="237" w:type="pct"/>
            <w:tcBorders>
              <w:top w:val="single" w:sz="4" w:space="0" w:color="auto"/>
              <w:left w:val="single" w:sz="4" w:space="0" w:color="auto"/>
              <w:bottom w:val="single" w:sz="4" w:space="0" w:color="auto"/>
              <w:right w:val="single" w:sz="4" w:space="0" w:color="auto"/>
            </w:tcBorders>
            <w:vAlign w:val="center"/>
          </w:tcPr>
          <w:p w14:paraId="1171B977" w14:textId="6F6D5F42"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NIPT</w:t>
            </w:r>
          </w:p>
        </w:tc>
        <w:tc>
          <w:tcPr>
            <w:tcW w:w="237" w:type="pct"/>
            <w:tcBorders>
              <w:top w:val="single" w:sz="4" w:space="0" w:color="auto"/>
              <w:left w:val="single" w:sz="4" w:space="0" w:color="auto"/>
              <w:bottom w:val="single" w:sz="4" w:space="0" w:color="auto"/>
              <w:right w:val="single" w:sz="4" w:space="0" w:color="auto"/>
            </w:tcBorders>
            <w:vAlign w:val="center"/>
          </w:tcPr>
          <w:p w14:paraId="10D25C8C" w14:textId="51EC59FE"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TNA</w:t>
            </w:r>
          </w:p>
        </w:tc>
        <w:tc>
          <w:tcPr>
            <w:tcW w:w="236" w:type="pct"/>
            <w:tcBorders>
              <w:top w:val="single" w:sz="4" w:space="0" w:color="auto"/>
              <w:left w:val="single" w:sz="4" w:space="0" w:color="auto"/>
              <w:bottom w:val="single" w:sz="4" w:space="0" w:color="auto"/>
              <w:right w:val="single" w:sz="4" w:space="0" w:color="auto"/>
            </w:tcBorders>
            <w:vAlign w:val="center"/>
          </w:tcPr>
          <w:p w14:paraId="17BF768E" w14:textId="73453837"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POP</w:t>
            </w:r>
          </w:p>
        </w:tc>
        <w:tc>
          <w:tcPr>
            <w:tcW w:w="236" w:type="pct"/>
            <w:tcBorders>
              <w:top w:val="single" w:sz="4" w:space="0" w:color="auto"/>
              <w:left w:val="single" w:sz="4" w:space="0" w:color="auto"/>
              <w:bottom w:val="single" w:sz="4" w:space="0" w:color="auto"/>
              <w:right w:val="single" w:sz="4" w:space="0" w:color="auto"/>
            </w:tcBorders>
            <w:vAlign w:val="center"/>
          </w:tcPr>
          <w:p w14:paraId="60A8EEC2" w14:textId="418A991B"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IPC</w:t>
            </w:r>
          </w:p>
        </w:tc>
        <w:tc>
          <w:tcPr>
            <w:tcW w:w="236" w:type="pct"/>
            <w:tcBorders>
              <w:top w:val="single" w:sz="4" w:space="0" w:color="auto"/>
              <w:left w:val="single" w:sz="4" w:space="0" w:color="auto"/>
              <w:bottom w:val="single" w:sz="4" w:space="0" w:color="auto"/>
              <w:right w:val="single" w:sz="4" w:space="0" w:color="auto"/>
            </w:tcBorders>
            <w:vAlign w:val="center"/>
          </w:tcPr>
          <w:p w14:paraId="14D1EB6A" w14:textId="7D2075D9"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NTC</w:t>
            </w:r>
          </w:p>
        </w:tc>
        <w:tc>
          <w:tcPr>
            <w:tcW w:w="240" w:type="pct"/>
            <w:tcBorders>
              <w:top w:val="single" w:sz="4" w:space="0" w:color="auto"/>
              <w:left w:val="single" w:sz="4" w:space="0" w:color="auto"/>
              <w:bottom w:val="single" w:sz="4" w:space="0" w:color="auto"/>
              <w:right w:val="double" w:sz="4" w:space="0" w:color="auto"/>
            </w:tcBorders>
            <w:vAlign w:val="center"/>
          </w:tcPr>
          <w:p w14:paraId="5BA11646" w14:textId="61560C40" w:rsidR="0069340B" w:rsidRPr="00DA249F" w:rsidRDefault="0069340B" w:rsidP="00BA2C9A">
            <w:pPr>
              <w:spacing w:after="0" w:line="240" w:lineRule="auto"/>
              <w:jc w:val="center"/>
              <w:rPr>
                <w:rFonts w:eastAsia="Calibri"/>
                <w:b/>
                <w:bCs/>
                <w:sz w:val="20"/>
                <w:szCs w:val="20"/>
              </w:rPr>
            </w:pPr>
            <w:r w:rsidRPr="00DA249F">
              <w:rPr>
                <w:rFonts w:eastAsia="Times New Roman"/>
                <w:b/>
                <w:bCs/>
                <w:sz w:val="20"/>
                <w:szCs w:val="20"/>
              </w:rPr>
              <w:t>TSC</w:t>
            </w:r>
          </w:p>
        </w:tc>
      </w:tr>
      <w:tr w:rsidR="00BC4A8E" w:rsidRPr="00DA249F" w14:paraId="422D2C51" w14:textId="4A60FB81" w:rsidTr="009C6D74">
        <w:trPr>
          <w:trHeight w:val="20"/>
        </w:trPr>
        <w:tc>
          <w:tcPr>
            <w:tcW w:w="5000" w:type="pct"/>
            <w:gridSpan w:val="16"/>
            <w:tcBorders>
              <w:top w:val="single" w:sz="4" w:space="0" w:color="auto"/>
              <w:left w:val="double" w:sz="4" w:space="0" w:color="auto"/>
              <w:bottom w:val="single" w:sz="8" w:space="0" w:color="auto"/>
              <w:right w:val="double" w:sz="4" w:space="0" w:color="auto"/>
            </w:tcBorders>
            <w:shd w:val="clear" w:color="auto" w:fill="auto"/>
            <w:vAlign w:val="center"/>
            <w:hideMark/>
          </w:tcPr>
          <w:p w14:paraId="059D6BF1" w14:textId="3A7A65F4" w:rsidR="00BC4A8E" w:rsidRPr="00DA249F" w:rsidRDefault="00BC4A8E" w:rsidP="00BC4A8E">
            <w:pPr>
              <w:spacing w:after="0" w:line="240" w:lineRule="auto"/>
              <w:rPr>
                <w:rFonts w:eastAsia="Times New Roman"/>
                <w:sz w:val="20"/>
                <w:szCs w:val="20"/>
              </w:rPr>
            </w:pPr>
            <w:r w:rsidRPr="00DA249F">
              <w:rPr>
                <w:rFonts w:eastAsia="Calibri"/>
                <w:b/>
                <w:bCs/>
                <w:iCs/>
                <w:sz w:val="20"/>
                <w:szCs w:val="20"/>
              </w:rPr>
              <w:t>Individual/Household Sociodemographics</w:t>
            </w:r>
          </w:p>
        </w:tc>
      </w:tr>
      <w:tr w:rsidR="00EA446B" w:rsidRPr="00DA249F" w14:paraId="6CD5F188" w14:textId="0342BB7F" w:rsidTr="009C6D74">
        <w:trPr>
          <w:trHeight w:val="20"/>
        </w:trPr>
        <w:tc>
          <w:tcPr>
            <w:tcW w:w="1338" w:type="pct"/>
            <w:tcBorders>
              <w:top w:val="single" w:sz="8" w:space="0" w:color="auto"/>
              <w:left w:val="double" w:sz="4" w:space="0" w:color="auto"/>
              <w:bottom w:val="nil"/>
              <w:right w:val="double" w:sz="4" w:space="0" w:color="auto"/>
            </w:tcBorders>
            <w:shd w:val="clear" w:color="auto" w:fill="auto"/>
            <w:vAlign w:val="center"/>
            <w:hideMark/>
          </w:tcPr>
          <w:p w14:paraId="5A09FFB5" w14:textId="77777777" w:rsidR="00BA2C9A" w:rsidRPr="00DA249F" w:rsidRDefault="00BA2C9A" w:rsidP="00BA2C9A">
            <w:pPr>
              <w:spacing w:after="0" w:line="240" w:lineRule="auto"/>
              <w:rPr>
                <w:rFonts w:eastAsia="Times New Roman"/>
                <w:b/>
                <w:bCs/>
                <w:sz w:val="20"/>
                <w:szCs w:val="20"/>
              </w:rPr>
            </w:pPr>
            <w:r w:rsidRPr="00DA249F">
              <w:rPr>
                <w:rFonts w:eastAsia="Calibri"/>
                <w:b/>
                <w:bCs/>
                <w:sz w:val="20"/>
                <w:szCs w:val="20"/>
              </w:rPr>
              <w:t>Gender</w:t>
            </w:r>
          </w:p>
        </w:tc>
        <w:tc>
          <w:tcPr>
            <w:tcW w:w="266" w:type="pct"/>
            <w:tcBorders>
              <w:top w:val="single" w:sz="8" w:space="0" w:color="auto"/>
              <w:left w:val="double" w:sz="4" w:space="0" w:color="auto"/>
              <w:bottom w:val="nil"/>
              <w:right w:val="single" w:sz="4" w:space="0" w:color="auto"/>
            </w:tcBorders>
            <w:shd w:val="clear" w:color="auto" w:fill="FFFFFF" w:themeFill="background1"/>
            <w:vAlign w:val="center"/>
          </w:tcPr>
          <w:p w14:paraId="4CA3AC41" w14:textId="77777777" w:rsidR="00BA2C9A" w:rsidRPr="00DA249F" w:rsidRDefault="00BA2C9A"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4" w:space="0" w:color="auto"/>
            </w:tcBorders>
            <w:shd w:val="clear" w:color="auto" w:fill="FFFFFF" w:themeFill="background1"/>
            <w:vAlign w:val="center"/>
          </w:tcPr>
          <w:p w14:paraId="21CB2B5E" w14:textId="77777777" w:rsidR="00BA2C9A" w:rsidRPr="00DA249F" w:rsidRDefault="00BA2C9A" w:rsidP="00051CBF">
            <w:pPr>
              <w:spacing w:after="0" w:line="240" w:lineRule="auto"/>
              <w:jc w:val="right"/>
              <w:rPr>
                <w:rFonts w:eastAsia="Times New Roman"/>
                <w:sz w:val="20"/>
                <w:szCs w:val="20"/>
              </w:rPr>
            </w:pPr>
          </w:p>
        </w:tc>
        <w:tc>
          <w:tcPr>
            <w:tcW w:w="272" w:type="pct"/>
            <w:tcBorders>
              <w:top w:val="single" w:sz="8" w:space="0" w:color="auto"/>
              <w:left w:val="single" w:sz="4" w:space="0" w:color="auto"/>
              <w:bottom w:val="nil"/>
              <w:right w:val="single" w:sz="4" w:space="0" w:color="auto"/>
            </w:tcBorders>
            <w:shd w:val="clear" w:color="auto" w:fill="FFFFFF" w:themeFill="background1"/>
            <w:vAlign w:val="center"/>
          </w:tcPr>
          <w:p w14:paraId="0E3822EA" w14:textId="77777777" w:rsidR="00BA2C9A" w:rsidRPr="00DA249F" w:rsidRDefault="00BA2C9A"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4" w:space="0" w:color="auto"/>
            </w:tcBorders>
            <w:shd w:val="clear" w:color="auto" w:fill="FFFFFF" w:themeFill="background1"/>
            <w:vAlign w:val="center"/>
          </w:tcPr>
          <w:p w14:paraId="0DF1B360" w14:textId="77777777" w:rsidR="00BA2C9A" w:rsidRPr="00DA249F" w:rsidRDefault="00BA2C9A"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69C01BC3" w14:textId="77777777" w:rsidR="00BA2C9A" w:rsidRPr="00DA249F" w:rsidRDefault="00BA2C9A" w:rsidP="00051CBF">
            <w:pPr>
              <w:spacing w:after="0" w:line="240" w:lineRule="auto"/>
              <w:jc w:val="right"/>
              <w:rPr>
                <w:rFonts w:eastAsia="Times New Roman"/>
                <w:sz w:val="20"/>
                <w:szCs w:val="20"/>
              </w:rPr>
            </w:pPr>
          </w:p>
        </w:tc>
        <w:tc>
          <w:tcPr>
            <w:tcW w:w="274" w:type="pct"/>
            <w:tcBorders>
              <w:top w:val="single" w:sz="8" w:space="0" w:color="auto"/>
              <w:left w:val="single" w:sz="4" w:space="0" w:color="auto"/>
              <w:bottom w:val="nil"/>
              <w:right w:val="single" w:sz="4" w:space="0" w:color="auto"/>
            </w:tcBorders>
            <w:shd w:val="clear" w:color="auto" w:fill="FFFFFF" w:themeFill="background1"/>
            <w:vAlign w:val="center"/>
          </w:tcPr>
          <w:p w14:paraId="3C8E7777" w14:textId="77777777" w:rsidR="00BA2C9A" w:rsidRPr="00DA249F" w:rsidRDefault="00BA2C9A"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047B5683" w14:textId="77777777" w:rsidR="00BA2C9A" w:rsidRPr="00DA249F" w:rsidRDefault="00BA2C9A"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8" w:space="0" w:color="auto"/>
            </w:tcBorders>
            <w:shd w:val="clear" w:color="auto" w:fill="FFFFFF" w:themeFill="background1"/>
            <w:vAlign w:val="center"/>
          </w:tcPr>
          <w:p w14:paraId="7D036466" w14:textId="77777777" w:rsidR="00BA2C9A" w:rsidRPr="00DA249F" w:rsidRDefault="00BA2C9A" w:rsidP="00051CBF">
            <w:pPr>
              <w:spacing w:after="0" w:line="240" w:lineRule="auto"/>
              <w:jc w:val="right"/>
              <w:rPr>
                <w:rFonts w:eastAsia="Times New Roman"/>
                <w:sz w:val="20"/>
                <w:szCs w:val="20"/>
              </w:rPr>
            </w:pPr>
          </w:p>
        </w:tc>
        <w:tc>
          <w:tcPr>
            <w:tcW w:w="237" w:type="pct"/>
            <w:tcBorders>
              <w:top w:val="single" w:sz="8" w:space="0" w:color="auto"/>
              <w:left w:val="single" w:sz="8" w:space="0" w:color="auto"/>
              <w:bottom w:val="nil"/>
              <w:right w:val="single" w:sz="4" w:space="0" w:color="auto"/>
            </w:tcBorders>
            <w:shd w:val="clear" w:color="auto" w:fill="FFFFFF" w:themeFill="background1"/>
            <w:vAlign w:val="center"/>
          </w:tcPr>
          <w:p w14:paraId="70DF599D" w14:textId="77777777" w:rsidR="00BA2C9A" w:rsidRPr="00DA249F" w:rsidRDefault="00BA2C9A"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7E626700" w14:textId="77777777" w:rsidR="00BA2C9A" w:rsidRPr="00DA249F" w:rsidRDefault="00BA2C9A"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45475CCA" w14:textId="77777777" w:rsidR="00BA2C9A" w:rsidRPr="00DA249F" w:rsidRDefault="00BA2C9A"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427AC238" w14:textId="77777777" w:rsidR="00BA2C9A" w:rsidRPr="00DA249F" w:rsidRDefault="00BA2C9A"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71511849" w14:textId="77777777" w:rsidR="00BA2C9A" w:rsidRPr="00DA249F" w:rsidRDefault="00BA2C9A"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7AAF20D5" w14:textId="77777777" w:rsidR="00BA2C9A" w:rsidRPr="00DA249F" w:rsidRDefault="00BA2C9A" w:rsidP="00051CBF">
            <w:pPr>
              <w:spacing w:after="0" w:line="240" w:lineRule="auto"/>
              <w:jc w:val="right"/>
              <w:rPr>
                <w:rFonts w:eastAsia="Times New Roman"/>
                <w:sz w:val="20"/>
                <w:szCs w:val="20"/>
              </w:rPr>
            </w:pPr>
          </w:p>
        </w:tc>
        <w:tc>
          <w:tcPr>
            <w:tcW w:w="240" w:type="pct"/>
            <w:tcBorders>
              <w:top w:val="single" w:sz="8" w:space="0" w:color="auto"/>
              <w:left w:val="single" w:sz="4" w:space="0" w:color="auto"/>
              <w:bottom w:val="nil"/>
              <w:right w:val="double" w:sz="4" w:space="0" w:color="auto"/>
            </w:tcBorders>
            <w:shd w:val="clear" w:color="auto" w:fill="FFFFFF" w:themeFill="background1"/>
            <w:vAlign w:val="center"/>
          </w:tcPr>
          <w:p w14:paraId="321F9A6E" w14:textId="77777777" w:rsidR="00BA2C9A" w:rsidRPr="00DA249F" w:rsidRDefault="00BA2C9A" w:rsidP="00051CBF">
            <w:pPr>
              <w:spacing w:after="0" w:line="240" w:lineRule="auto"/>
              <w:jc w:val="right"/>
              <w:rPr>
                <w:rFonts w:eastAsia="Times New Roman"/>
                <w:sz w:val="20"/>
                <w:szCs w:val="20"/>
              </w:rPr>
            </w:pPr>
          </w:p>
        </w:tc>
      </w:tr>
      <w:tr w:rsidR="00EA446B" w:rsidRPr="00DA249F" w14:paraId="797A8309" w14:textId="017436A6" w:rsidTr="00392A30">
        <w:trPr>
          <w:trHeight w:val="20"/>
        </w:trPr>
        <w:tc>
          <w:tcPr>
            <w:tcW w:w="1338" w:type="pct"/>
            <w:tcBorders>
              <w:top w:val="nil"/>
              <w:left w:val="double" w:sz="4" w:space="0" w:color="auto"/>
              <w:bottom w:val="dotted" w:sz="4" w:space="0" w:color="auto"/>
              <w:right w:val="double" w:sz="4" w:space="0" w:color="auto"/>
            </w:tcBorders>
            <w:shd w:val="clear" w:color="auto" w:fill="auto"/>
            <w:vAlign w:val="center"/>
            <w:hideMark/>
          </w:tcPr>
          <w:p w14:paraId="669FD069" w14:textId="77777777" w:rsidR="00BA2C9A" w:rsidRPr="00DA249F" w:rsidRDefault="00BA2C9A" w:rsidP="00BA2C9A">
            <w:pPr>
              <w:spacing w:after="0" w:line="240" w:lineRule="auto"/>
              <w:ind w:left="229"/>
              <w:rPr>
                <w:rFonts w:eastAsia="Times New Roman"/>
                <w:sz w:val="20"/>
                <w:szCs w:val="20"/>
              </w:rPr>
            </w:pPr>
            <w:r w:rsidRPr="00DA249F">
              <w:rPr>
                <w:rFonts w:eastAsia="Calibri"/>
                <w:bCs/>
                <w:sz w:val="20"/>
                <w:szCs w:val="20"/>
              </w:rPr>
              <w:t xml:space="preserve">Woman </w:t>
            </w:r>
            <w:r w:rsidRPr="00DA249F">
              <w:rPr>
                <w:rFonts w:eastAsia="Calibri"/>
                <w:i/>
                <w:iCs/>
                <w:sz w:val="20"/>
                <w:szCs w:val="20"/>
              </w:rPr>
              <w:t>(base: man)</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1C0B3C77" w14:textId="3E8E55AD" w:rsidR="00BA2C9A" w:rsidRPr="00DA249F" w:rsidRDefault="00BA2C9A" w:rsidP="00051CBF">
            <w:pPr>
              <w:spacing w:after="0" w:line="240" w:lineRule="auto"/>
              <w:jc w:val="right"/>
              <w:rPr>
                <w:rFonts w:eastAsia="Times New Roman"/>
                <w:sz w:val="20"/>
                <w:szCs w:val="20"/>
              </w:rPr>
            </w:pPr>
            <w:r w:rsidRPr="00DA249F">
              <w:rPr>
                <w:sz w:val="20"/>
                <w:szCs w:val="20"/>
              </w:rPr>
              <w:t>0.238</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132882EF" w14:textId="23105AF6" w:rsidR="00BA2C9A" w:rsidRPr="00DA249F" w:rsidRDefault="00BA2C9A" w:rsidP="00051CBF">
            <w:pPr>
              <w:spacing w:after="0" w:line="240" w:lineRule="auto"/>
              <w:jc w:val="right"/>
              <w:rPr>
                <w:rFonts w:eastAsia="Times New Roman"/>
                <w:sz w:val="20"/>
                <w:szCs w:val="20"/>
              </w:rPr>
            </w:pPr>
            <w:r w:rsidRPr="00DA249F">
              <w:rPr>
                <w:sz w:val="20"/>
                <w:szCs w:val="20"/>
              </w:rPr>
              <w:t>0.164</w:t>
            </w: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23B5F801"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434FFC65"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06F9D62B" w14:textId="77777777" w:rsidR="00BA2C9A" w:rsidRPr="00DA249F" w:rsidRDefault="00BA2C9A" w:rsidP="00051CBF">
            <w:pPr>
              <w:spacing w:after="0" w:line="240" w:lineRule="auto"/>
              <w:jc w:val="right"/>
              <w:rPr>
                <w:rFonts w:eastAsia="Times New Roman"/>
                <w:sz w:val="20"/>
                <w:szCs w:val="20"/>
              </w:rPr>
            </w:pP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5F200DF6" w14:textId="0602D8F4" w:rsidR="00BA2C9A" w:rsidRPr="00DA249F" w:rsidRDefault="00BA2C9A" w:rsidP="00051CBF">
            <w:pPr>
              <w:spacing w:after="0" w:line="240" w:lineRule="auto"/>
              <w:jc w:val="right"/>
              <w:rPr>
                <w:rFonts w:eastAsia="Times New Roman"/>
                <w:sz w:val="20"/>
                <w:szCs w:val="20"/>
              </w:rPr>
            </w:pPr>
            <w:r w:rsidRPr="00DA249F">
              <w:rPr>
                <w:sz w:val="20"/>
                <w:szCs w:val="20"/>
              </w:rPr>
              <w:t>0.314</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AE6295A" w14:textId="3DC44495" w:rsidR="00BA2C9A" w:rsidRPr="00DA249F" w:rsidRDefault="00BA2C9A" w:rsidP="00051CBF">
            <w:pPr>
              <w:spacing w:after="0" w:line="240" w:lineRule="auto"/>
              <w:jc w:val="right"/>
              <w:rPr>
                <w:rFonts w:eastAsia="Times New Roman"/>
                <w:sz w:val="20"/>
                <w:szCs w:val="20"/>
              </w:rPr>
            </w:pPr>
            <w:r w:rsidRPr="00DA249F">
              <w:rPr>
                <w:sz w:val="20"/>
                <w:szCs w:val="20"/>
              </w:rPr>
              <w:t>-0.298</w:t>
            </w: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546B03B7"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4A802FA2" w14:textId="7027A0A8" w:rsidR="00BA2C9A" w:rsidRPr="00DA249F" w:rsidRDefault="00BA2C9A" w:rsidP="00051CBF">
            <w:pPr>
              <w:spacing w:after="0" w:line="240" w:lineRule="auto"/>
              <w:jc w:val="right"/>
              <w:rPr>
                <w:rFonts w:eastAsia="Times New Roman"/>
                <w:sz w:val="20"/>
                <w:szCs w:val="20"/>
              </w:rPr>
            </w:pPr>
            <w:r w:rsidRPr="00DA249F">
              <w:rPr>
                <w:rFonts w:eastAsia="Times New Roman"/>
                <w:sz w:val="20"/>
                <w:szCs w:val="20"/>
              </w:rPr>
              <w:t>-0.279</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189F8A42"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1A386544"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283D3009"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3D0FF349"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202C6AD8" w14:textId="77777777" w:rsidR="00BA2C9A" w:rsidRPr="00DA249F" w:rsidRDefault="00BA2C9A" w:rsidP="00051CBF">
            <w:pPr>
              <w:spacing w:after="0" w:line="240" w:lineRule="auto"/>
              <w:jc w:val="right"/>
              <w:rPr>
                <w:rFonts w:eastAsia="Times New Roman"/>
                <w:sz w:val="20"/>
                <w:szCs w:val="20"/>
              </w:rPr>
            </w:pP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626129C3" w14:textId="77777777" w:rsidR="00BA2C9A" w:rsidRPr="00DA249F" w:rsidRDefault="00BA2C9A" w:rsidP="00051CBF">
            <w:pPr>
              <w:spacing w:after="0" w:line="240" w:lineRule="auto"/>
              <w:jc w:val="right"/>
              <w:rPr>
                <w:rFonts w:eastAsia="Times New Roman"/>
                <w:sz w:val="20"/>
                <w:szCs w:val="20"/>
              </w:rPr>
            </w:pPr>
          </w:p>
        </w:tc>
      </w:tr>
      <w:tr w:rsidR="00EA446B" w:rsidRPr="00DA249F" w14:paraId="3060BD7D" w14:textId="448C052B"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6C01E90D" w14:textId="77777777" w:rsidR="00BA2C9A" w:rsidRPr="00DA249F" w:rsidRDefault="00BA2C9A" w:rsidP="00BA2C9A">
            <w:pPr>
              <w:spacing w:after="0" w:line="240" w:lineRule="auto"/>
              <w:rPr>
                <w:rFonts w:eastAsia="Times New Roman"/>
                <w:b/>
                <w:bCs/>
                <w:sz w:val="20"/>
                <w:szCs w:val="20"/>
              </w:rPr>
            </w:pPr>
            <w:r w:rsidRPr="00DA249F">
              <w:rPr>
                <w:rFonts w:eastAsia="Calibri"/>
                <w:b/>
                <w:bCs/>
                <w:sz w:val="20"/>
                <w:szCs w:val="20"/>
              </w:rPr>
              <w:t>Lifecycle variables</w:t>
            </w:r>
          </w:p>
        </w:tc>
        <w:tc>
          <w:tcPr>
            <w:tcW w:w="266" w:type="pct"/>
            <w:tcBorders>
              <w:top w:val="nil"/>
              <w:left w:val="double" w:sz="4" w:space="0" w:color="auto"/>
              <w:bottom w:val="nil"/>
              <w:right w:val="single" w:sz="4" w:space="0" w:color="auto"/>
            </w:tcBorders>
            <w:shd w:val="clear" w:color="auto" w:fill="FFFFFF" w:themeFill="background1"/>
            <w:vAlign w:val="center"/>
          </w:tcPr>
          <w:p w14:paraId="2056906F"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0F5051C3" w14:textId="77777777" w:rsidR="00BA2C9A" w:rsidRPr="00DA249F" w:rsidRDefault="00BA2C9A"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76BEE17C"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2E24A1ED"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E219B82" w14:textId="77777777" w:rsidR="00BA2C9A" w:rsidRPr="00DA249F" w:rsidRDefault="00BA2C9A"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4C837146"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56A396A9"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5877D27A"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2E4B6CFF" w14:textId="5779D4D3"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00512C5"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FA40E62"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1D4C519C"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FCD2669"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52F765E1" w14:textId="77777777" w:rsidR="00BA2C9A" w:rsidRPr="00DA249F" w:rsidRDefault="00BA2C9A"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4AAF1411" w14:textId="77777777" w:rsidR="00BA2C9A" w:rsidRPr="00DA249F" w:rsidRDefault="00BA2C9A" w:rsidP="00051CBF">
            <w:pPr>
              <w:spacing w:after="0" w:line="240" w:lineRule="auto"/>
              <w:jc w:val="right"/>
              <w:rPr>
                <w:rFonts w:eastAsia="Times New Roman"/>
                <w:sz w:val="20"/>
                <w:szCs w:val="20"/>
              </w:rPr>
            </w:pPr>
          </w:p>
        </w:tc>
      </w:tr>
      <w:tr w:rsidR="00EA446B" w:rsidRPr="00DA249F" w14:paraId="34F6BA12" w14:textId="39A1BB06"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0A522A3F" w14:textId="446FE426" w:rsidR="00BA2C9A" w:rsidRPr="00DA249F" w:rsidRDefault="00BA2C9A" w:rsidP="00BA2C9A">
            <w:pPr>
              <w:spacing w:after="0" w:line="240" w:lineRule="auto"/>
              <w:ind w:left="139"/>
              <w:rPr>
                <w:rFonts w:eastAsia="Times New Roman"/>
                <w:sz w:val="20"/>
                <w:szCs w:val="20"/>
              </w:rPr>
            </w:pPr>
            <w:r w:rsidRPr="00DA249F">
              <w:rPr>
                <w:rFonts w:eastAsia="Calibri"/>
                <w:bCs/>
                <w:sz w:val="20"/>
                <w:szCs w:val="20"/>
              </w:rPr>
              <w:t xml:space="preserve">Presence of children </w:t>
            </w:r>
            <w:r w:rsidRPr="00DA249F">
              <w:rPr>
                <w:rFonts w:eastAsia="Calibri"/>
                <w:bCs/>
                <w:i/>
                <w:iCs/>
                <w:sz w:val="20"/>
                <w:szCs w:val="20"/>
              </w:rPr>
              <w:t>(base: no children)</w:t>
            </w:r>
            <w:r w:rsidRPr="00DA249F">
              <w:rPr>
                <w:rFonts w:eastAsia="Calibri"/>
                <w:bCs/>
                <w:sz w:val="20"/>
                <w:szCs w:val="20"/>
              </w:rPr>
              <w:t xml:space="preserve"> </w:t>
            </w:r>
          </w:p>
        </w:tc>
        <w:tc>
          <w:tcPr>
            <w:tcW w:w="266" w:type="pct"/>
            <w:tcBorders>
              <w:top w:val="nil"/>
              <w:left w:val="double" w:sz="4" w:space="0" w:color="auto"/>
              <w:bottom w:val="nil"/>
              <w:right w:val="single" w:sz="4" w:space="0" w:color="auto"/>
            </w:tcBorders>
            <w:shd w:val="clear" w:color="auto" w:fill="FFFFFF" w:themeFill="background1"/>
            <w:vAlign w:val="center"/>
          </w:tcPr>
          <w:p w14:paraId="0D2B7175" w14:textId="2DF3696D" w:rsidR="00BA2C9A" w:rsidRPr="00DA249F" w:rsidRDefault="00BA2C9A" w:rsidP="00051CBF">
            <w:pPr>
              <w:spacing w:after="0" w:line="240" w:lineRule="auto"/>
              <w:jc w:val="right"/>
              <w:rPr>
                <w:rFonts w:eastAsia="Times New Roman"/>
                <w:sz w:val="20"/>
                <w:szCs w:val="20"/>
              </w:rPr>
            </w:pPr>
            <w:r w:rsidRPr="00DA249F">
              <w:rPr>
                <w:sz w:val="20"/>
                <w:szCs w:val="20"/>
              </w:rPr>
              <w:t>0.290</w:t>
            </w:r>
          </w:p>
        </w:tc>
        <w:tc>
          <w:tcPr>
            <w:tcW w:w="239" w:type="pct"/>
            <w:tcBorders>
              <w:top w:val="nil"/>
              <w:left w:val="single" w:sz="4" w:space="0" w:color="auto"/>
              <w:bottom w:val="nil"/>
              <w:right w:val="single" w:sz="4" w:space="0" w:color="auto"/>
            </w:tcBorders>
            <w:shd w:val="clear" w:color="auto" w:fill="FFFFFF" w:themeFill="background1"/>
            <w:vAlign w:val="center"/>
          </w:tcPr>
          <w:p w14:paraId="2892CCB7" w14:textId="77777777" w:rsidR="00BA2C9A" w:rsidRPr="00DA249F" w:rsidRDefault="00BA2C9A"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5E0ECE3C" w14:textId="29B009EE" w:rsidR="00BA2C9A" w:rsidRPr="00DA249F" w:rsidRDefault="00BA2C9A" w:rsidP="00051CBF">
            <w:pPr>
              <w:spacing w:after="0" w:line="240" w:lineRule="auto"/>
              <w:jc w:val="right"/>
              <w:rPr>
                <w:rFonts w:eastAsia="Times New Roman"/>
                <w:sz w:val="20"/>
                <w:szCs w:val="20"/>
              </w:rPr>
            </w:pPr>
            <w:r w:rsidRPr="00DA249F">
              <w:rPr>
                <w:sz w:val="20"/>
                <w:szCs w:val="20"/>
              </w:rPr>
              <w:t>0.237</w:t>
            </w:r>
          </w:p>
        </w:tc>
        <w:tc>
          <w:tcPr>
            <w:tcW w:w="239" w:type="pct"/>
            <w:tcBorders>
              <w:top w:val="nil"/>
              <w:left w:val="single" w:sz="4" w:space="0" w:color="auto"/>
              <w:bottom w:val="nil"/>
              <w:right w:val="single" w:sz="4" w:space="0" w:color="auto"/>
            </w:tcBorders>
            <w:shd w:val="clear" w:color="auto" w:fill="FFFFFF" w:themeFill="background1"/>
            <w:vAlign w:val="center"/>
          </w:tcPr>
          <w:p w14:paraId="2A8BAE30"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3C156DD" w14:textId="77777777" w:rsidR="00BA2C9A" w:rsidRPr="00DA249F" w:rsidRDefault="00BA2C9A"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64CE5317"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5E964A8"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6DBC1A3F" w14:textId="069E0EDF" w:rsidR="00BA2C9A" w:rsidRPr="00DA249F" w:rsidRDefault="00BA2C9A" w:rsidP="00051CBF">
            <w:pPr>
              <w:spacing w:after="0" w:line="240" w:lineRule="auto"/>
              <w:jc w:val="right"/>
              <w:rPr>
                <w:rFonts w:eastAsia="Times New Roman"/>
                <w:sz w:val="20"/>
                <w:szCs w:val="20"/>
              </w:rPr>
            </w:pPr>
            <w:r w:rsidRPr="00DA249F">
              <w:rPr>
                <w:sz w:val="20"/>
                <w:szCs w:val="20"/>
              </w:rPr>
              <w:t>0.278</w:t>
            </w:r>
          </w:p>
        </w:tc>
        <w:tc>
          <w:tcPr>
            <w:tcW w:w="237" w:type="pct"/>
            <w:tcBorders>
              <w:top w:val="nil"/>
              <w:left w:val="single" w:sz="8" w:space="0" w:color="auto"/>
              <w:bottom w:val="nil"/>
              <w:right w:val="single" w:sz="4" w:space="0" w:color="auto"/>
            </w:tcBorders>
            <w:shd w:val="clear" w:color="auto" w:fill="FFFFFF" w:themeFill="background1"/>
            <w:vAlign w:val="center"/>
          </w:tcPr>
          <w:p w14:paraId="2D53123E" w14:textId="4D0E451F" w:rsidR="00BA2C9A" w:rsidRPr="00DA249F" w:rsidRDefault="00BA2C9A" w:rsidP="00051CBF">
            <w:pPr>
              <w:spacing w:after="0" w:line="240" w:lineRule="auto"/>
              <w:jc w:val="right"/>
              <w:rPr>
                <w:sz w:val="20"/>
                <w:szCs w:val="20"/>
              </w:rPr>
            </w:pPr>
            <w:r w:rsidRPr="00DA249F">
              <w:rPr>
                <w:sz w:val="20"/>
                <w:szCs w:val="20"/>
              </w:rPr>
              <w:t>0.191</w:t>
            </w:r>
          </w:p>
        </w:tc>
        <w:tc>
          <w:tcPr>
            <w:tcW w:w="237" w:type="pct"/>
            <w:tcBorders>
              <w:top w:val="nil"/>
              <w:left w:val="single" w:sz="4" w:space="0" w:color="auto"/>
              <w:bottom w:val="nil"/>
              <w:right w:val="single" w:sz="4" w:space="0" w:color="auto"/>
            </w:tcBorders>
            <w:shd w:val="clear" w:color="auto" w:fill="FFFFFF" w:themeFill="background1"/>
            <w:vAlign w:val="center"/>
          </w:tcPr>
          <w:p w14:paraId="555E5B40" w14:textId="77777777" w:rsidR="00BA2C9A" w:rsidRPr="00DA249F" w:rsidRDefault="00BA2C9A" w:rsidP="00051CBF">
            <w:pPr>
              <w:spacing w:after="0" w:line="240" w:lineRule="auto"/>
              <w:jc w:val="right"/>
              <w:rPr>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7FA7150" w14:textId="77777777" w:rsidR="00BA2C9A" w:rsidRPr="00DA249F" w:rsidRDefault="00BA2C9A" w:rsidP="00051CBF">
            <w:pPr>
              <w:spacing w:after="0" w:line="240" w:lineRule="auto"/>
              <w:jc w:val="right"/>
              <w:rPr>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19432776" w14:textId="77777777" w:rsidR="00BA2C9A" w:rsidRPr="00DA249F" w:rsidRDefault="00BA2C9A" w:rsidP="00051CBF">
            <w:pPr>
              <w:spacing w:after="0" w:line="240" w:lineRule="auto"/>
              <w:jc w:val="right"/>
              <w:rPr>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5D3A852E" w14:textId="35BE6D27" w:rsidR="00BA2C9A" w:rsidRPr="00DA249F" w:rsidRDefault="008F0080" w:rsidP="00051CBF">
            <w:pPr>
              <w:tabs>
                <w:tab w:val="left" w:pos="255"/>
              </w:tabs>
              <w:spacing w:after="0" w:line="240" w:lineRule="auto"/>
              <w:jc w:val="right"/>
              <w:rPr>
                <w:sz w:val="20"/>
                <w:szCs w:val="20"/>
              </w:rPr>
            </w:pPr>
            <w:r w:rsidRPr="00DA249F">
              <w:rPr>
                <w:sz w:val="20"/>
                <w:szCs w:val="20"/>
              </w:rPr>
              <w:t>0.287</w:t>
            </w:r>
          </w:p>
        </w:tc>
        <w:tc>
          <w:tcPr>
            <w:tcW w:w="236" w:type="pct"/>
            <w:tcBorders>
              <w:top w:val="nil"/>
              <w:left w:val="single" w:sz="4" w:space="0" w:color="auto"/>
              <w:bottom w:val="nil"/>
              <w:right w:val="single" w:sz="4" w:space="0" w:color="auto"/>
            </w:tcBorders>
            <w:shd w:val="clear" w:color="auto" w:fill="FFFFFF" w:themeFill="background1"/>
            <w:vAlign w:val="center"/>
          </w:tcPr>
          <w:p w14:paraId="0C8AB51A" w14:textId="77777777" w:rsidR="00BA2C9A" w:rsidRPr="00DA249F" w:rsidRDefault="00BA2C9A" w:rsidP="00051CBF">
            <w:pPr>
              <w:spacing w:after="0" w:line="240" w:lineRule="auto"/>
              <w:jc w:val="right"/>
              <w:rPr>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0C90AFC5" w14:textId="77777777" w:rsidR="00BA2C9A" w:rsidRPr="00DA249F" w:rsidRDefault="00BA2C9A" w:rsidP="00051CBF">
            <w:pPr>
              <w:spacing w:after="0" w:line="240" w:lineRule="auto"/>
              <w:jc w:val="right"/>
              <w:rPr>
                <w:sz w:val="20"/>
                <w:szCs w:val="20"/>
              </w:rPr>
            </w:pPr>
          </w:p>
        </w:tc>
      </w:tr>
      <w:tr w:rsidR="00EA446B" w:rsidRPr="00DA249F" w14:paraId="66E60315" w14:textId="25B3E332" w:rsidTr="00392A30">
        <w:trPr>
          <w:trHeight w:val="20"/>
        </w:trPr>
        <w:tc>
          <w:tcPr>
            <w:tcW w:w="1338" w:type="pct"/>
            <w:tcBorders>
              <w:top w:val="dotted" w:sz="4" w:space="0" w:color="auto"/>
              <w:left w:val="double" w:sz="4" w:space="0" w:color="auto"/>
              <w:right w:val="double" w:sz="4" w:space="0" w:color="auto"/>
            </w:tcBorders>
            <w:shd w:val="clear" w:color="auto" w:fill="auto"/>
            <w:vAlign w:val="center"/>
          </w:tcPr>
          <w:p w14:paraId="784D03ED" w14:textId="58ECF510" w:rsidR="00BA2C9A" w:rsidRPr="00DA249F" w:rsidRDefault="00BA2C9A" w:rsidP="00BA2C9A">
            <w:pPr>
              <w:spacing w:after="0" w:line="240" w:lineRule="auto"/>
              <w:rPr>
                <w:rFonts w:eastAsia="Calibri"/>
                <w:bCs/>
                <w:sz w:val="20"/>
                <w:szCs w:val="20"/>
              </w:rPr>
            </w:pPr>
            <w:r w:rsidRPr="00DA249F">
              <w:rPr>
                <w:rFonts w:eastAsia="Calibri"/>
                <w:b/>
                <w:sz w:val="20"/>
                <w:szCs w:val="20"/>
              </w:rPr>
              <w:t>Race</w:t>
            </w:r>
            <w:r w:rsidRPr="00DA249F">
              <w:rPr>
                <w:rFonts w:eastAsia="Calibri"/>
                <w:bCs/>
                <w:sz w:val="20"/>
                <w:szCs w:val="20"/>
              </w:rPr>
              <w:t xml:space="preserve"> </w:t>
            </w:r>
            <w:r w:rsidRPr="00DA249F">
              <w:rPr>
                <w:rFonts w:eastAsia="Calibri"/>
                <w:bCs/>
                <w:i/>
                <w:iCs/>
                <w:sz w:val="20"/>
                <w:szCs w:val="20"/>
              </w:rPr>
              <w:t>(base: white)</w:t>
            </w:r>
          </w:p>
        </w:tc>
        <w:tc>
          <w:tcPr>
            <w:tcW w:w="266" w:type="pct"/>
            <w:tcBorders>
              <w:top w:val="dotted" w:sz="4" w:space="0" w:color="auto"/>
              <w:left w:val="double" w:sz="4" w:space="0" w:color="auto"/>
              <w:right w:val="single" w:sz="4" w:space="0" w:color="auto"/>
            </w:tcBorders>
            <w:shd w:val="clear" w:color="auto" w:fill="FFFFFF" w:themeFill="background1"/>
            <w:vAlign w:val="center"/>
          </w:tcPr>
          <w:p w14:paraId="3D9C8E90" w14:textId="77777777" w:rsidR="00BA2C9A" w:rsidRPr="00DA249F" w:rsidRDefault="00BA2C9A" w:rsidP="00051CBF">
            <w:pPr>
              <w:spacing w:after="0" w:line="240" w:lineRule="auto"/>
              <w:jc w:val="right"/>
              <w:rPr>
                <w:rFonts w:eastAsia="Times New Roman"/>
                <w:sz w:val="20"/>
                <w:szCs w:val="20"/>
              </w:rPr>
            </w:pPr>
          </w:p>
        </w:tc>
        <w:tc>
          <w:tcPr>
            <w:tcW w:w="239" w:type="pct"/>
            <w:tcBorders>
              <w:top w:val="dotted" w:sz="4" w:space="0" w:color="auto"/>
              <w:left w:val="single" w:sz="4" w:space="0" w:color="auto"/>
              <w:right w:val="single" w:sz="4" w:space="0" w:color="auto"/>
            </w:tcBorders>
            <w:shd w:val="clear" w:color="auto" w:fill="FFFFFF" w:themeFill="background1"/>
            <w:vAlign w:val="center"/>
          </w:tcPr>
          <w:p w14:paraId="7925E3C9" w14:textId="77777777" w:rsidR="00BA2C9A" w:rsidRPr="00DA249F" w:rsidRDefault="00BA2C9A" w:rsidP="00051CBF">
            <w:pPr>
              <w:spacing w:after="0" w:line="240" w:lineRule="auto"/>
              <w:jc w:val="right"/>
              <w:rPr>
                <w:rFonts w:eastAsia="Times New Roman"/>
                <w:sz w:val="20"/>
                <w:szCs w:val="20"/>
              </w:rPr>
            </w:pPr>
          </w:p>
        </w:tc>
        <w:tc>
          <w:tcPr>
            <w:tcW w:w="272" w:type="pct"/>
            <w:tcBorders>
              <w:top w:val="dotted" w:sz="4" w:space="0" w:color="auto"/>
              <w:left w:val="single" w:sz="4" w:space="0" w:color="auto"/>
              <w:right w:val="single" w:sz="4" w:space="0" w:color="auto"/>
            </w:tcBorders>
            <w:shd w:val="clear" w:color="auto" w:fill="FFFFFF" w:themeFill="background1"/>
            <w:vAlign w:val="center"/>
          </w:tcPr>
          <w:p w14:paraId="54485F1C" w14:textId="77777777" w:rsidR="00BA2C9A" w:rsidRPr="00DA249F" w:rsidRDefault="00BA2C9A" w:rsidP="00051CBF">
            <w:pPr>
              <w:spacing w:after="0" w:line="240" w:lineRule="auto"/>
              <w:jc w:val="right"/>
              <w:rPr>
                <w:rFonts w:eastAsia="Times New Roman"/>
                <w:sz w:val="20"/>
                <w:szCs w:val="20"/>
              </w:rPr>
            </w:pPr>
          </w:p>
        </w:tc>
        <w:tc>
          <w:tcPr>
            <w:tcW w:w="239" w:type="pct"/>
            <w:tcBorders>
              <w:top w:val="dotted" w:sz="4" w:space="0" w:color="auto"/>
              <w:left w:val="single" w:sz="4" w:space="0" w:color="auto"/>
              <w:right w:val="single" w:sz="4" w:space="0" w:color="auto"/>
            </w:tcBorders>
            <w:shd w:val="clear" w:color="auto" w:fill="FFFFFF" w:themeFill="background1"/>
            <w:vAlign w:val="center"/>
          </w:tcPr>
          <w:p w14:paraId="7432D54D" w14:textId="77777777" w:rsidR="00BA2C9A" w:rsidRPr="00DA249F" w:rsidRDefault="00BA2C9A"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45593275" w14:textId="77777777" w:rsidR="00BA2C9A" w:rsidRPr="00DA249F" w:rsidRDefault="00BA2C9A" w:rsidP="00051CBF">
            <w:pPr>
              <w:spacing w:after="0" w:line="240" w:lineRule="auto"/>
              <w:jc w:val="right"/>
              <w:rPr>
                <w:rFonts w:eastAsia="Times New Roman"/>
                <w:sz w:val="20"/>
                <w:szCs w:val="20"/>
              </w:rPr>
            </w:pPr>
          </w:p>
        </w:tc>
        <w:tc>
          <w:tcPr>
            <w:tcW w:w="274" w:type="pct"/>
            <w:tcBorders>
              <w:top w:val="dotted" w:sz="4" w:space="0" w:color="auto"/>
              <w:left w:val="single" w:sz="4" w:space="0" w:color="auto"/>
              <w:right w:val="single" w:sz="4" w:space="0" w:color="auto"/>
            </w:tcBorders>
            <w:shd w:val="clear" w:color="auto" w:fill="FFFFFF" w:themeFill="background1"/>
            <w:vAlign w:val="center"/>
          </w:tcPr>
          <w:p w14:paraId="126B401A" w14:textId="77777777" w:rsidR="00BA2C9A" w:rsidRPr="00DA249F" w:rsidRDefault="00BA2C9A"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4B67C577" w14:textId="77777777" w:rsidR="00BA2C9A" w:rsidRPr="00DA249F" w:rsidRDefault="00BA2C9A" w:rsidP="00051CBF">
            <w:pPr>
              <w:spacing w:after="0" w:line="240" w:lineRule="auto"/>
              <w:jc w:val="right"/>
              <w:rPr>
                <w:rFonts w:eastAsia="Times New Roman"/>
                <w:sz w:val="20"/>
                <w:szCs w:val="20"/>
              </w:rPr>
            </w:pPr>
          </w:p>
        </w:tc>
        <w:tc>
          <w:tcPr>
            <w:tcW w:w="239" w:type="pct"/>
            <w:tcBorders>
              <w:top w:val="dotted" w:sz="4" w:space="0" w:color="auto"/>
              <w:left w:val="single" w:sz="4" w:space="0" w:color="auto"/>
              <w:right w:val="single" w:sz="8" w:space="0" w:color="auto"/>
            </w:tcBorders>
            <w:shd w:val="clear" w:color="auto" w:fill="FFFFFF" w:themeFill="background1"/>
            <w:vAlign w:val="center"/>
          </w:tcPr>
          <w:p w14:paraId="51448B40" w14:textId="77777777" w:rsidR="00BA2C9A" w:rsidRPr="00DA249F" w:rsidRDefault="00BA2C9A" w:rsidP="00051CBF">
            <w:pPr>
              <w:spacing w:after="0" w:line="240" w:lineRule="auto"/>
              <w:jc w:val="right"/>
              <w:rPr>
                <w:rFonts w:eastAsia="Times New Roman"/>
                <w:sz w:val="20"/>
                <w:szCs w:val="20"/>
              </w:rPr>
            </w:pPr>
          </w:p>
        </w:tc>
        <w:tc>
          <w:tcPr>
            <w:tcW w:w="237" w:type="pct"/>
            <w:tcBorders>
              <w:top w:val="dotted" w:sz="4" w:space="0" w:color="auto"/>
              <w:left w:val="single" w:sz="8" w:space="0" w:color="auto"/>
              <w:right w:val="single" w:sz="4" w:space="0" w:color="auto"/>
            </w:tcBorders>
            <w:shd w:val="clear" w:color="auto" w:fill="FFFFFF" w:themeFill="background1"/>
            <w:vAlign w:val="center"/>
          </w:tcPr>
          <w:p w14:paraId="13461FDE" w14:textId="77777777" w:rsidR="00BA2C9A" w:rsidRPr="00DA249F" w:rsidRDefault="00BA2C9A"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6049B599" w14:textId="77777777" w:rsidR="00BA2C9A" w:rsidRPr="00DA249F" w:rsidRDefault="00BA2C9A"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5DF16518" w14:textId="77777777" w:rsidR="00BA2C9A" w:rsidRPr="00DA249F" w:rsidRDefault="00BA2C9A" w:rsidP="00051CBF">
            <w:pPr>
              <w:spacing w:after="0" w:line="240" w:lineRule="auto"/>
              <w:jc w:val="right"/>
              <w:rPr>
                <w:rFonts w:eastAsia="Times New Roman"/>
                <w:sz w:val="20"/>
                <w:szCs w:val="20"/>
              </w:rPr>
            </w:pPr>
          </w:p>
        </w:tc>
        <w:tc>
          <w:tcPr>
            <w:tcW w:w="236" w:type="pct"/>
            <w:tcBorders>
              <w:top w:val="dotted" w:sz="4" w:space="0" w:color="auto"/>
              <w:left w:val="single" w:sz="4" w:space="0" w:color="auto"/>
              <w:right w:val="single" w:sz="4" w:space="0" w:color="auto"/>
            </w:tcBorders>
            <w:shd w:val="clear" w:color="auto" w:fill="FFFFFF" w:themeFill="background1"/>
            <w:vAlign w:val="center"/>
          </w:tcPr>
          <w:p w14:paraId="7EBD8664" w14:textId="77777777" w:rsidR="00BA2C9A" w:rsidRPr="00DA249F" w:rsidRDefault="00BA2C9A" w:rsidP="00051CBF">
            <w:pPr>
              <w:spacing w:after="0" w:line="240" w:lineRule="auto"/>
              <w:jc w:val="right"/>
              <w:rPr>
                <w:rFonts w:eastAsia="Times New Roman"/>
                <w:sz w:val="20"/>
                <w:szCs w:val="20"/>
              </w:rPr>
            </w:pPr>
          </w:p>
        </w:tc>
        <w:tc>
          <w:tcPr>
            <w:tcW w:w="236" w:type="pct"/>
            <w:tcBorders>
              <w:top w:val="dotted" w:sz="4" w:space="0" w:color="auto"/>
              <w:left w:val="single" w:sz="4" w:space="0" w:color="auto"/>
              <w:right w:val="single" w:sz="4" w:space="0" w:color="auto"/>
            </w:tcBorders>
            <w:shd w:val="clear" w:color="auto" w:fill="FFFFFF" w:themeFill="background1"/>
            <w:vAlign w:val="center"/>
          </w:tcPr>
          <w:p w14:paraId="0645B09E" w14:textId="77777777" w:rsidR="00BA2C9A" w:rsidRPr="00DA249F" w:rsidRDefault="00BA2C9A" w:rsidP="00051CBF">
            <w:pPr>
              <w:spacing w:after="0" w:line="240" w:lineRule="auto"/>
              <w:jc w:val="right"/>
              <w:rPr>
                <w:rFonts w:eastAsia="Times New Roman"/>
                <w:sz w:val="20"/>
                <w:szCs w:val="20"/>
              </w:rPr>
            </w:pPr>
          </w:p>
        </w:tc>
        <w:tc>
          <w:tcPr>
            <w:tcW w:w="236" w:type="pct"/>
            <w:tcBorders>
              <w:top w:val="dotted" w:sz="4" w:space="0" w:color="auto"/>
              <w:left w:val="single" w:sz="4" w:space="0" w:color="auto"/>
              <w:right w:val="single" w:sz="4" w:space="0" w:color="auto"/>
            </w:tcBorders>
            <w:shd w:val="clear" w:color="auto" w:fill="FFFFFF" w:themeFill="background1"/>
            <w:vAlign w:val="center"/>
          </w:tcPr>
          <w:p w14:paraId="31311157" w14:textId="77777777" w:rsidR="00BA2C9A" w:rsidRPr="00DA249F" w:rsidRDefault="00BA2C9A" w:rsidP="00051CBF">
            <w:pPr>
              <w:spacing w:after="0" w:line="240" w:lineRule="auto"/>
              <w:jc w:val="right"/>
              <w:rPr>
                <w:rFonts w:eastAsia="Times New Roman"/>
                <w:sz w:val="20"/>
                <w:szCs w:val="20"/>
              </w:rPr>
            </w:pPr>
          </w:p>
        </w:tc>
        <w:tc>
          <w:tcPr>
            <w:tcW w:w="240" w:type="pct"/>
            <w:tcBorders>
              <w:top w:val="dotted" w:sz="4" w:space="0" w:color="auto"/>
              <w:left w:val="single" w:sz="4" w:space="0" w:color="auto"/>
              <w:right w:val="double" w:sz="4" w:space="0" w:color="auto"/>
            </w:tcBorders>
            <w:shd w:val="clear" w:color="auto" w:fill="FFFFFF" w:themeFill="background1"/>
            <w:vAlign w:val="center"/>
          </w:tcPr>
          <w:p w14:paraId="011FCBB6" w14:textId="77777777" w:rsidR="00BA2C9A" w:rsidRPr="00DA249F" w:rsidRDefault="00BA2C9A" w:rsidP="00051CBF">
            <w:pPr>
              <w:spacing w:after="0" w:line="240" w:lineRule="auto"/>
              <w:jc w:val="right"/>
              <w:rPr>
                <w:rFonts w:eastAsia="Times New Roman"/>
                <w:sz w:val="20"/>
                <w:szCs w:val="20"/>
              </w:rPr>
            </w:pPr>
          </w:p>
        </w:tc>
      </w:tr>
      <w:tr w:rsidR="00EA446B" w:rsidRPr="00DA249F" w14:paraId="7DC465FE" w14:textId="3BD6B0BA" w:rsidTr="00392A30">
        <w:trPr>
          <w:trHeight w:val="20"/>
        </w:trPr>
        <w:tc>
          <w:tcPr>
            <w:tcW w:w="1338" w:type="pct"/>
            <w:tcBorders>
              <w:left w:val="double" w:sz="4" w:space="0" w:color="auto"/>
              <w:bottom w:val="dotted" w:sz="4" w:space="0" w:color="auto"/>
              <w:right w:val="double" w:sz="4" w:space="0" w:color="auto"/>
            </w:tcBorders>
            <w:shd w:val="clear" w:color="auto" w:fill="auto"/>
            <w:vAlign w:val="center"/>
          </w:tcPr>
          <w:p w14:paraId="2111399D" w14:textId="3855958E" w:rsidR="00BA2C9A" w:rsidRPr="00DA249F" w:rsidRDefault="00BA2C9A" w:rsidP="00BA2C9A">
            <w:pPr>
              <w:spacing w:after="0" w:line="240" w:lineRule="auto"/>
              <w:ind w:left="139"/>
              <w:rPr>
                <w:rFonts w:eastAsia="Calibri"/>
                <w:bCs/>
                <w:sz w:val="20"/>
                <w:szCs w:val="20"/>
              </w:rPr>
            </w:pPr>
            <w:r w:rsidRPr="00DA249F">
              <w:rPr>
                <w:rFonts w:eastAsia="Calibri"/>
                <w:bCs/>
                <w:sz w:val="20"/>
                <w:szCs w:val="20"/>
              </w:rPr>
              <w:t>Non-white</w:t>
            </w:r>
          </w:p>
        </w:tc>
        <w:tc>
          <w:tcPr>
            <w:tcW w:w="266" w:type="pct"/>
            <w:tcBorders>
              <w:left w:val="double" w:sz="4" w:space="0" w:color="auto"/>
              <w:bottom w:val="dotted" w:sz="4" w:space="0" w:color="auto"/>
              <w:right w:val="single" w:sz="4" w:space="0" w:color="auto"/>
            </w:tcBorders>
            <w:shd w:val="clear" w:color="auto" w:fill="FFFFFF" w:themeFill="background1"/>
            <w:vAlign w:val="center"/>
          </w:tcPr>
          <w:p w14:paraId="2CDBEE9D" w14:textId="77777777" w:rsidR="00BA2C9A" w:rsidRPr="00DA249F" w:rsidRDefault="00BA2C9A" w:rsidP="00051CBF">
            <w:pPr>
              <w:spacing w:after="0" w:line="240" w:lineRule="auto"/>
              <w:jc w:val="right"/>
              <w:rPr>
                <w:rFonts w:eastAsia="Times New Roman"/>
                <w:sz w:val="20"/>
                <w:szCs w:val="20"/>
              </w:rPr>
            </w:pPr>
          </w:p>
        </w:tc>
        <w:tc>
          <w:tcPr>
            <w:tcW w:w="239" w:type="pct"/>
            <w:tcBorders>
              <w:left w:val="single" w:sz="4" w:space="0" w:color="auto"/>
              <w:bottom w:val="dotted" w:sz="4" w:space="0" w:color="auto"/>
              <w:right w:val="single" w:sz="4" w:space="0" w:color="auto"/>
            </w:tcBorders>
            <w:shd w:val="clear" w:color="auto" w:fill="FFFFFF" w:themeFill="background1"/>
            <w:vAlign w:val="center"/>
          </w:tcPr>
          <w:p w14:paraId="04C75B0C" w14:textId="77777777" w:rsidR="00BA2C9A" w:rsidRPr="00DA249F" w:rsidRDefault="00BA2C9A" w:rsidP="00051CBF">
            <w:pPr>
              <w:spacing w:after="0" w:line="240" w:lineRule="auto"/>
              <w:jc w:val="right"/>
              <w:rPr>
                <w:rFonts w:eastAsia="Times New Roman"/>
                <w:sz w:val="20"/>
                <w:szCs w:val="20"/>
              </w:rPr>
            </w:pPr>
          </w:p>
        </w:tc>
        <w:tc>
          <w:tcPr>
            <w:tcW w:w="272" w:type="pct"/>
            <w:tcBorders>
              <w:left w:val="single" w:sz="4" w:space="0" w:color="auto"/>
              <w:bottom w:val="dotted" w:sz="4" w:space="0" w:color="auto"/>
              <w:right w:val="single" w:sz="4" w:space="0" w:color="auto"/>
            </w:tcBorders>
            <w:shd w:val="clear" w:color="auto" w:fill="FFFFFF" w:themeFill="background1"/>
            <w:vAlign w:val="center"/>
          </w:tcPr>
          <w:p w14:paraId="67967538" w14:textId="465740C7" w:rsidR="00BA2C9A" w:rsidRPr="00DA249F" w:rsidRDefault="00BA2C9A" w:rsidP="00051CBF">
            <w:pPr>
              <w:spacing w:after="0" w:line="240" w:lineRule="auto"/>
              <w:jc w:val="right"/>
              <w:rPr>
                <w:rFonts w:eastAsia="Times New Roman"/>
                <w:sz w:val="20"/>
                <w:szCs w:val="20"/>
              </w:rPr>
            </w:pPr>
            <w:r w:rsidRPr="00DA249F">
              <w:rPr>
                <w:sz w:val="20"/>
                <w:szCs w:val="20"/>
              </w:rPr>
              <w:t>0.304</w:t>
            </w:r>
          </w:p>
        </w:tc>
        <w:tc>
          <w:tcPr>
            <w:tcW w:w="239" w:type="pct"/>
            <w:tcBorders>
              <w:left w:val="single" w:sz="4" w:space="0" w:color="auto"/>
              <w:bottom w:val="dotted" w:sz="4" w:space="0" w:color="auto"/>
              <w:right w:val="single" w:sz="4" w:space="0" w:color="auto"/>
            </w:tcBorders>
            <w:shd w:val="clear" w:color="auto" w:fill="FFFFFF" w:themeFill="background1"/>
            <w:vAlign w:val="center"/>
          </w:tcPr>
          <w:p w14:paraId="4E00BA0E" w14:textId="77777777" w:rsidR="00BA2C9A" w:rsidRPr="00DA249F" w:rsidRDefault="00BA2C9A" w:rsidP="00051CBF">
            <w:pPr>
              <w:spacing w:after="0" w:line="240" w:lineRule="auto"/>
              <w:jc w:val="right"/>
              <w:rPr>
                <w:rFonts w:eastAsia="Times New Roman"/>
                <w:sz w:val="20"/>
                <w:szCs w:val="20"/>
              </w:rPr>
            </w:pPr>
          </w:p>
        </w:tc>
        <w:tc>
          <w:tcPr>
            <w:tcW w:w="237" w:type="pct"/>
            <w:tcBorders>
              <w:left w:val="single" w:sz="4" w:space="0" w:color="auto"/>
              <w:bottom w:val="dotted" w:sz="4" w:space="0" w:color="auto"/>
              <w:right w:val="single" w:sz="4" w:space="0" w:color="auto"/>
            </w:tcBorders>
            <w:shd w:val="clear" w:color="auto" w:fill="FFFFFF" w:themeFill="background1"/>
            <w:vAlign w:val="center"/>
          </w:tcPr>
          <w:p w14:paraId="36EF7871" w14:textId="32A813DD" w:rsidR="00BA2C9A" w:rsidRPr="00DA249F" w:rsidRDefault="00BA2C9A" w:rsidP="00051CBF">
            <w:pPr>
              <w:spacing w:after="0" w:line="240" w:lineRule="auto"/>
              <w:jc w:val="right"/>
              <w:rPr>
                <w:rFonts w:eastAsia="Times New Roman"/>
                <w:sz w:val="20"/>
                <w:szCs w:val="20"/>
              </w:rPr>
            </w:pPr>
            <w:r w:rsidRPr="00DA249F">
              <w:rPr>
                <w:sz w:val="20"/>
                <w:szCs w:val="20"/>
              </w:rPr>
              <w:t>-0.177</w:t>
            </w:r>
          </w:p>
        </w:tc>
        <w:tc>
          <w:tcPr>
            <w:tcW w:w="274" w:type="pct"/>
            <w:tcBorders>
              <w:left w:val="single" w:sz="4" w:space="0" w:color="auto"/>
              <w:bottom w:val="dotted" w:sz="4" w:space="0" w:color="auto"/>
              <w:right w:val="single" w:sz="4" w:space="0" w:color="auto"/>
            </w:tcBorders>
            <w:shd w:val="clear" w:color="auto" w:fill="FFFFFF" w:themeFill="background1"/>
            <w:vAlign w:val="center"/>
          </w:tcPr>
          <w:p w14:paraId="53F7F766" w14:textId="77777777" w:rsidR="00BA2C9A" w:rsidRPr="00DA249F" w:rsidRDefault="00BA2C9A" w:rsidP="00051CBF">
            <w:pPr>
              <w:spacing w:after="0" w:line="240" w:lineRule="auto"/>
              <w:jc w:val="right"/>
              <w:rPr>
                <w:rFonts w:eastAsia="Times New Roman"/>
                <w:sz w:val="20"/>
                <w:szCs w:val="20"/>
              </w:rPr>
            </w:pPr>
          </w:p>
        </w:tc>
        <w:tc>
          <w:tcPr>
            <w:tcW w:w="237" w:type="pct"/>
            <w:tcBorders>
              <w:left w:val="single" w:sz="4" w:space="0" w:color="auto"/>
              <w:bottom w:val="dotted" w:sz="4" w:space="0" w:color="auto"/>
              <w:right w:val="single" w:sz="4" w:space="0" w:color="auto"/>
            </w:tcBorders>
            <w:shd w:val="clear" w:color="auto" w:fill="FFFFFF" w:themeFill="background1"/>
            <w:vAlign w:val="center"/>
          </w:tcPr>
          <w:p w14:paraId="6B6815E0" w14:textId="77777777" w:rsidR="00BA2C9A" w:rsidRPr="00DA249F" w:rsidRDefault="00BA2C9A" w:rsidP="00051CBF">
            <w:pPr>
              <w:spacing w:after="0" w:line="240" w:lineRule="auto"/>
              <w:jc w:val="right"/>
              <w:rPr>
                <w:rFonts w:eastAsia="Times New Roman"/>
                <w:sz w:val="20"/>
                <w:szCs w:val="20"/>
              </w:rPr>
            </w:pPr>
          </w:p>
        </w:tc>
        <w:tc>
          <w:tcPr>
            <w:tcW w:w="239" w:type="pct"/>
            <w:tcBorders>
              <w:left w:val="single" w:sz="4" w:space="0" w:color="auto"/>
              <w:bottom w:val="dotted" w:sz="4" w:space="0" w:color="auto"/>
              <w:right w:val="single" w:sz="8" w:space="0" w:color="auto"/>
            </w:tcBorders>
            <w:shd w:val="clear" w:color="auto" w:fill="FFFFFF" w:themeFill="background1"/>
            <w:vAlign w:val="center"/>
          </w:tcPr>
          <w:p w14:paraId="3A3ABB9E" w14:textId="012D13A1" w:rsidR="00BA2C9A" w:rsidRPr="00DA249F" w:rsidRDefault="00BA2C9A" w:rsidP="00051CBF">
            <w:pPr>
              <w:spacing w:after="0" w:line="240" w:lineRule="auto"/>
              <w:jc w:val="right"/>
              <w:rPr>
                <w:rFonts w:eastAsia="Times New Roman"/>
                <w:sz w:val="20"/>
                <w:szCs w:val="20"/>
              </w:rPr>
            </w:pPr>
            <w:r w:rsidRPr="00DA249F">
              <w:rPr>
                <w:sz w:val="20"/>
                <w:szCs w:val="20"/>
              </w:rPr>
              <w:t>0.250</w:t>
            </w:r>
          </w:p>
        </w:tc>
        <w:tc>
          <w:tcPr>
            <w:tcW w:w="237" w:type="pct"/>
            <w:tcBorders>
              <w:left w:val="single" w:sz="8" w:space="0" w:color="auto"/>
              <w:bottom w:val="dotted" w:sz="4" w:space="0" w:color="auto"/>
              <w:right w:val="single" w:sz="4" w:space="0" w:color="auto"/>
            </w:tcBorders>
            <w:shd w:val="clear" w:color="auto" w:fill="FFFFFF" w:themeFill="background1"/>
            <w:vAlign w:val="center"/>
          </w:tcPr>
          <w:p w14:paraId="555AEE3C" w14:textId="77777777" w:rsidR="00BA2C9A" w:rsidRPr="00DA249F" w:rsidRDefault="00BA2C9A" w:rsidP="00051CBF">
            <w:pPr>
              <w:spacing w:after="0" w:line="240" w:lineRule="auto"/>
              <w:jc w:val="right"/>
              <w:rPr>
                <w:sz w:val="20"/>
                <w:szCs w:val="20"/>
              </w:rPr>
            </w:pPr>
          </w:p>
        </w:tc>
        <w:tc>
          <w:tcPr>
            <w:tcW w:w="237" w:type="pct"/>
            <w:tcBorders>
              <w:left w:val="single" w:sz="4" w:space="0" w:color="auto"/>
              <w:bottom w:val="dotted" w:sz="4" w:space="0" w:color="auto"/>
              <w:right w:val="single" w:sz="4" w:space="0" w:color="auto"/>
            </w:tcBorders>
            <w:shd w:val="clear" w:color="auto" w:fill="FFFFFF" w:themeFill="background1"/>
            <w:vAlign w:val="center"/>
          </w:tcPr>
          <w:p w14:paraId="58962CD7" w14:textId="77777777" w:rsidR="00BA2C9A" w:rsidRPr="00DA249F" w:rsidRDefault="00BA2C9A" w:rsidP="00051CBF">
            <w:pPr>
              <w:spacing w:after="0" w:line="240" w:lineRule="auto"/>
              <w:jc w:val="right"/>
              <w:rPr>
                <w:sz w:val="20"/>
                <w:szCs w:val="20"/>
              </w:rPr>
            </w:pPr>
          </w:p>
        </w:tc>
        <w:tc>
          <w:tcPr>
            <w:tcW w:w="237" w:type="pct"/>
            <w:tcBorders>
              <w:left w:val="single" w:sz="4" w:space="0" w:color="auto"/>
              <w:bottom w:val="dotted" w:sz="4" w:space="0" w:color="auto"/>
              <w:right w:val="single" w:sz="4" w:space="0" w:color="auto"/>
            </w:tcBorders>
            <w:shd w:val="clear" w:color="auto" w:fill="FFFFFF" w:themeFill="background1"/>
            <w:vAlign w:val="center"/>
          </w:tcPr>
          <w:p w14:paraId="37182B80" w14:textId="77777777" w:rsidR="00BA2C9A" w:rsidRPr="00DA249F" w:rsidRDefault="00BA2C9A" w:rsidP="00051CBF">
            <w:pPr>
              <w:spacing w:after="0" w:line="240" w:lineRule="auto"/>
              <w:jc w:val="right"/>
              <w:rPr>
                <w:sz w:val="20"/>
                <w:szCs w:val="20"/>
              </w:rPr>
            </w:pPr>
          </w:p>
        </w:tc>
        <w:tc>
          <w:tcPr>
            <w:tcW w:w="236" w:type="pct"/>
            <w:tcBorders>
              <w:left w:val="single" w:sz="4" w:space="0" w:color="auto"/>
              <w:bottom w:val="dotted" w:sz="4" w:space="0" w:color="auto"/>
              <w:right w:val="single" w:sz="4" w:space="0" w:color="auto"/>
            </w:tcBorders>
            <w:shd w:val="clear" w:color="auto" w:fill="FFFFFF" w:themeFill="background1"/>
            <w:vAlign w:val="center"/>
          </w:tcPr>
          <w:p w14:paraId="02145051" w14:textId="77777777" w:rsidR="00BA2C9A" w:rsidRPr="00DA249F" w:rsidRDefault="00BA2C9A" w:rsidP="00051CBF">
            <w:pPr>
              <w:spacing w:after="0" w:line="240" w:lineRule="auto"/>
              <w:jc w:val="right"/>
              <w:rPr>
                <w:sz w:val="20"/>
                <w:szCs w:val="20"/>
              </w:rPr>
            </w:pPr>
          </w:p>
        </w:tc>
        <w:tc>
          <w:tcPr>
            <w:tcW w:w="236" w:type="pct"/>
            <w:tcBorders>
              <w:left w:val="single" w:sz="4" w:space="0" w:color="auto"/>
              <w:bottom w:val="dotted" w:sz="4" w:space="0" w:color="auto"/>
              <w:right w:val="single" w:sz="4" w:space="0" w:color="auto"/>
            </w:tcBorders>
            <w:shd w:val="clear" w:color="auto" w:fill="FFFFFF" w:themeFill="background1"/>
            <w:vAlign w:val="center"/>
          </w:tcPr>
          <w:p w14:paraId="0BBFC4E6" w14:textId="4E19408F" w:rsidR="00BA2C9A" w:rsidRPr="00DA249F" w:rsidRDefault="008F0080" w:rsidP="00051CBF">
            <w:pPr>
              <w:spacing w:after="0" w:line="240" w:lineRule="auto"/>
              <w:jc w:val="right"/>
              <w:rPr>
                <w:sz w:val="20"/>
                <w:szCs w:val="20"/>
              </w:rPr>
            </w:pPr>
            <w:r w:rsidRPr="00DA249F">
              <w:rPr>
                <w:sz w:val="20"/>
                <w:szCs w:val="20"/>
              </w:rPr>
              <w:t>0.283</w:t>
            </w:r>
          </w:p>
        </w:tc>
        <w:tc>
          <w:tcPr>
            <w:tcW w:w="236" w:type="pct"/>
            <w:tcBorders>
              <w:left w:val="single" w:sz="4" w:space="0" w:color="auto"/>
              <w:bottom w:val="dotted" w:sz="4" w:space="0" w:color="auto"/>
              <w:right w:val="single" w:sz="4" w:space="0" w:color="auto"/>
            </w:tcBorders>
            <w:shd w:val="clear" w:color="auto" w:fill="FFFFFF" w:themeFill="background1"/>
            <w:vAlign w:val="center"/>
          </w:tcPr>
          <w:p w14:paraId="51BE08EF" w14:textId="77777777" w:rsidR="00BA2C9A" w:rsidRPr="00DA249F" w:rsidRDefault="00BA2C9A" w:rsidP="00051CBF">
            <w:pPr>
              <w:spacing w:after="0" w:line="240" w:lineRule="auto"/>
              <w:jc w:val="right"/>
              <w:rPr>
                <w:sz w:val="20"/>
                <w:szCs w:val="20"/>
              </w:rPr>
            </w:pPr>
          </w:p>
        </w:tc>
        <w:tc>
          <w:tcPr>
            <w:tcW w:w="240" w:type="pct"/>
            <w:tcBorders>
              <w:left w:val="single" w:sz="4" w:space="0" w:color="auto"/>
              <w:bottom w:val="dotted" w:sz="4" w:space="0" w:color="auto"/>
              <w:right w:val="double" w:sz="4" w:space="0" w:color="auto"/>
            </w:tcBorders>
            <w:shd w:val="clear" w:color="auto" w:fill="FFFFFF" w:themeFill="background1"/>
            <w:vAlign w:val="center"/>
          </w:tcPr>
          <w:p w14:paraId="36469E79" w14:textId="77777777" w:rsidR="00BA2C9A" w:rsidRPr="00DA249F" w:rsidRDefault="00BA2C9A" w:rsidP="00051CBF">
            <w:pPr>
              <w:spacing w:after="0" w:line="240" w:lineRule="auto"/>
              <w:jc w:val="right"/>
              <w:rPr>
                <w:sz w:val="20"/>
                <w:szCs w:val="20"/>
              </w:rPr>
            </w:pPr>
          </w:p>
        </w:tc>
      </w:tr>
      <w:tr w:rsidR="00EA446B" w:rsidRPr="00DA249F" w14:paraId="327C153B" w14:textId="4E3A5129"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7289AE24" w14:textId="77777777" w:rsidR="00BA2C9A" w:rsidRPr="00DA249F" w:rsidRDefault="00BA2C9A" w:rsidP="00BA2C9A">
            <w:pPr>
              <w:spacing w:after="0" w:line="240" w:lineRule="auto"/>
              <w:rPr>
                <w:rFonts w:eastAsia="Times New Roman"/>
                <w:b/>
                <w:bCs/>
                <w:sz w:val="20"/>
                <w:szCs w:val="20"/>
              </w:rPr>
            </w:pPr>
            <w:r w:rsidRPr="00DA249F">
              <w:rPr>
                <w:rFonts w:eastAsia="Calibri"/>
                <w:b/>
                <w:bCs/>
                <w:sz w:val="20"/>
                <w:szCs w:val="20"/>
              </w:rPr>
              <w:t xml:space="preserve">Age </w:t>
            </w:r>
            <w:r w:rsidRPr="00DA249F">
              <w:rPr>
                <w:rFonts w:eastAsia="Calibri"/>
                <w:i/>
                <w:iCs/>
                <w:sz w:val="20"/>
                <w:szCs w:val="20"/>
              </w:rPr>
              <w:t>(base: 50 years or younger)</w:t>
            </w:r>
          </w:p>
        </w:tc>
        <w:tc>
          <w:tcPr>
            <w:tcW w:w="266" w:type="pct"/>
            <w:tcBorders>
              <w:top w:val="nil"/>
              <w:left w:val="double" w:sz="4" w:space="0" w:color="auto"/>
              <w:bottom w:val="nil"/>
              <w:right w:val="single" w:sz="4" w:space="0" w:color="auto"/>
            </w:tcBorders>
            <w:shd w:val="clear" w:color="auto" w:fill="FFFFFF" w:themeFill="background1"/>
            <w:vAlign w:val="center"/>
          </w:tcPr>
          <w:p w14:paraId="26EA986F"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7CF3C86D" w14:textId="77777777" w:rsidR="00BA2C9A" w:rsidRPr="00DA249F" w:rsidRDefault="00BA2C9A"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1EC364BD"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14E6D935"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28994AE" w14:textId="77777777" w:rsidR="00BA2C9A" w:rsidRPr="00DA249F" w:rsidRDefault="00BA2C9A"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7C5689A2"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799A519" w14:textId="77777777" w:rsidR="00BA2C9A" w:rsidRPr="00DA249F" w:rsidRDefault="00BA2C9A"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143E8252"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6B8BB02E"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F6041B5" w14:textId="77777777" w:rsidR="00BA2C9A" w:rsidRPr="00DA249F" w:rsidRDefault="00BA2C9A"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43596D4"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26C6F91"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3C393FF" w14:textId="77777777" w:rsidR="00BA2C9A" w:rsidRPr="00DA249F" w:rsidRDefault="00BA2C9A"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261861D9" w14:textId="77777777" w:rsidR="00BA2C9A" w:rsidRPr="00DA249F" w:rsidRDefault="00BA2C9A"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2E487D7E" w14:textId="77777777" w:rsidR="00BA2C9A" w:rsidRPr="00DA249F" w:rsidRDefault="00BA2C9A" w:rsidP="00051CBF">
            <w:pPr>
              <w:spacing w:after="0" w:line="240" w:lineRule="auto"/>
              <w:jc w:val="right"/>
              <w:rPr>
                <w:rFonts w:eastAsia="Times New Roman"/>
                <w:sz w:val="20"/>
                <w:szCs w:val="20"/>
              </w:rPr>
            </w:pPr>
          </w:p>
        </w:tc>
      </w:tr>
      <w:tr w:rsidR="00EA446B" w:rsidRPr="00DA249F" w14:paraId="1B6B33C1" w14:textId="77777777" w:rsidTr="00392A30">
        <w:trPr>
          <w:trHeight w:val="20"/>
        </w:trPr>
        <w:tc>
          <w:tcPr>
            <w:tcW w:w="1338" w:type="pct"/>
            <w:tcBorders>
              <w:top w:val="nil"/>
              <w:left w:val="double" w:sz="4" w:space="0" w:color="auto"/>
              <w:bottom w:val="nil"/>
              <w:right w:val="double" w:sz="4" w:space="0" w:color="auto"/>
            </w:tcBorders>
            <w:shd w:val="clear" w:color="auto" w:fill="auto"/>
            <w:vAlign w:val="center"/>
          </w:tcPr>
          <w:p w14:paraId="128A9AB3" w14:textId="4594A639" w:rsidR="008F0080" w:rsidRPr="00DA249F" w:rsidRDefault="008F0080" w:rsidP="008F0080">
            <w:pPr>
              <w:spacing w:after="0" w:line="240" w:lineRule="auto"/>
              <w:ind w:firstLine="135"/>
              <w:rPr>
                <w:rFonts w:eastAsia="Calibri"/>
                <w:sz w:val="20"/>
                <w:szCs w:val="20"/>
              </w:rPr>
            </w:pPr>
            <w:r w:rsidRPr="00DA249F">
              <w:rPr>
                <w:rFonts w:eastAsia="Calibri"/>
                <w:sz w:val="20"/>
                <w:szCs w:val="20"/>
              </w:rPr>
              <w:t>41 to 50 years old</w:t>
            </w:r>
          </w:p>
        </w:tc>
        <w:tc>
          <w:tcPr>
            <w:tcW w:w="266" w:type="pct"/>
            <w:tcBorders>
              <w:top w:val="nil"/>
              <w:left w:val="double" w:sz="4" w:space="0" w:color="auto"/>
              <w:bottom w:val="nil"/>
              <w:right w:val="single" w:sz="4" w:space="0" w:color="auto"/>
            </w:tcBorders>
            <w:shd w:val="clear" w:color="auto" w:fill="FFFFFF" w:themeFill="background1"/>
            <w:vAlign w:val="center"/>
          </w:tcPr>
          <w:p w14:paraId="6A5D9293"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22CD1188"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3026591C"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4A3564A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D645B6C"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0E1433E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816D2BF"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5E9FAFF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2F2E9AF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9FC598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5102D79F"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516D137"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7651EC0"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4D59514A" w14:textId="3E218905"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76905DCB" w14:textId="77777777" w:rsidR="008F0080" w:rsidRPr="00DA249F" w:rsidRDefault="008F0080" w:rsidP="00051CBF">
            <w:pPr>
              <w:spacing w:after="0" w:line="240" w:lineRule="auto"/>
              <w:jc w:val="right"/>
              <w:rPr>
                <w:rFonts w:eastAsia="Times New Roman"/>
                <w:sz w:val="20"/>
                <w:szCs w:val="20"/>
              </w:rPr>
            </w:pPr>
          </w:p>
        </w:tc>
      </w:tr>
      <w:tr w:rsidR="00EA446B" w:rsidRPr="00DA249F" w14:paraId="4CF9FB27" w14:textId="2E031E52"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5D473460" w14:textId="77777777" w:rsidR="008F0080" w:rsidRPr="00DA249F" w:rsidRDefault="008F0080" w:rsidP="008F0080">
            <w:pPr>
              <w:spacing w:after="0" w:line="240" w:lineRule="auto"/>
              <w:rPr>
                <w:rFonts w:eastAsia="Times New Roman"/>
                <w:b/>
                <w:bCs/>
                <w:sz w:val="20"/>
                <w:szCs w:val="20"/>
              </w:rPr>
            </w:pPr>
            <w:r w:rsidRPr="00DA249F">
              <w:rPr>
                <w:rFonts w:eastAsia="Calibri"/>
                <w:b/>
                <w:bCs/>
                <w:sz w:val="20"/>
                <w:szCs w:val="20"/>
              </w:rPr>
              <w:t xml:space="preserve">   </w:t>
            </w:r>
            <w:r w:rsidRPr="00DA249F">
              <w:rPr>
                <w:rFonts w:eastAsia="Calibri"/>
                <w:sz w:val="20"/>
                <w:szCs w:val="20"/>
              </w:rPr>
              <w:t>51 to 60 years old</w:t>
            </w:r>
          </w:p>
        </w:tc>
        <w:tc>
          <w:tcPr>
            <w:tcW w:w="266" w:type="pct"/>
            <w:tcBorders>
              <w:top w:val="nil"/>
              <w:left w:val="double" w:sz="4" w:space="0" w:color="auto"/>
              <w:bottom w:val="nil"/>
              <w:right w:val="single" w:sz="4" w:space="0" w:color="auto"/>
            </w:tcBorders>
            <w:shd w:val="clear" w:color="auto" w:fill="FFFFFF" w:themeFill="background1"/>
            <w:vAlign w:val="center"/>
          </w:tcPr>
          <w:p w14:paraId="0FB12CB5"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54998610"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73004023" w14:textId="73D5CFA5" w:rsidR="008F0080" w:rsidRPr="00DA249F" w:rsidRDefault="008F0080" w:rsidP="00051CBF">
            <w:pPr>
              <w:spacing w:after="0" w:line="240" w:lineRule="auto"/>
              <w:jc w:val="right"/>
              <w:rPr>
                <w:rFonts w:eastAsia="Times New Roman"/>
                <w:sz w:val="20"/>
                <w:szCs w:val="20"/>
              </w:rPr>
            </w:pPr>
            <w:r w:rsidRPr="00DA249F">
              <w:rPr>
                <w:sz w:val="20"/>
                <w:szCs w:val="20"/>
              </w:rPr>
              <w:t>0.446</w:t>
            </w:r>
          </w:p>
        </w:tc>
        <w:tc>
          <w:tcPr>
            <w:tcW w:w="239" w:type="pct"/>
            <w:tcBorders>
              <w:top w:val="nil"/>
              <w:left w:val="single" w:sz="4" w:space="0" w:color="auto"/>
              <w:bottom w:val="nil"/>
              <w:right w:val="single" w:sz="4" w:space="0" w:color="auto"/>
            </w:tcBorders>
            <w:shd w:val="clear" w:color="auto" w:fill="FFFFFF" w:themeFill="background1"/>
            <w:vAlign w:val="center"/>
          </w:tcPr>
          <w:p w14:paraId="5EBF02F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5F4912D1"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3CA50AD2" w14:textId="3FDF21F0" w:rsidR="008F0080" w:rsidRPr="00DA249F" w:rsidRDefault="008F0080" w:rsidP="00051CBF">
            <w:pPr>
              <w:spacing w:after="0" w:line="240" w:lineRule="auto"/>
              <w:jc w:val="right"/>
              <w:rPr>
                <w:rFonts w:eastAsia="Times New Roman"/>
                <w:sz w:val="20"/>
                <w:szCs w:val="20"/>
              </w:rPr>
            </w:pPr>
            <w:r w:rsidRPr="00DA249F">
              <w:rPr>
                <w:sz w:val="20"/>
                <w:szCs w:val="20"/>
              </w:rPr>
              <w:t>0.356</w:t>
            </w:r>
          </w:p>
        </w:tc>
        <w:tc>
          <w:tcPr>
            <w:tcW w:w="237" w:type="pct"/>
            <w:tcBorders>
              <w:top w:val="nil"/>
              <w:left w:val="single" w:sz="4" w:space="0" w:color="auto"/>
              <w:bottom w:val="nil"/>
              <w:right w:val="single" w:sz="4" w:space="0" w:color="auto"/>
            </w:tcBorders>
            <w:shd w:val="clear" w:color="auto" w:fill="FFFFFF" w:themeFill="background1"/>
            <w:vAlign w:val="center"/>
          </w:tcPr>
          <w:p w14:paraId="77B385A9"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6802194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46ED460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D4847A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5E65E58"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51BB224C"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121C434B"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A51EC74" w14:textId="52DB0336" w:rsidR="008F0080" w:rsidRPr="00DA249F" w:rsidRDefault="008F0080" w:rsidP="00051CBF">
            <w:pPr>
              <w:spacing w:after="0" w:line="240" w:lineRule="auto"/>
              <w:jc w:val="right"/>
              <w:rPr>
                <w:rFonts w:eastAsia="Times New Roman"/>
                <w:sz w:val="20"/>
                <w:szCs w:val="20"/>
              </w:rPr>
            </w:pPr>
            <w:r w:rsidRPr="00DA249F">
              <w:rPr>
                <w:sz w:val="20"/>
                <w:szCs w:val="20"/>
              </w:rPr>
              <w:t>0.2</w:t>
            </w:r>
            <w:r w:rsidR="00DA249F" w:rsidRPr="00DA249F">
              <w:rPr>
                <w:sz w:val="20"/>
                <w:szCs w:val="20"/>
              </w:rPr>
              <w:t>09</w:t>
            </w:r>
          </w:p>
        </w:tc>
        <w:tc>
          <w:tcPr>
            <w:tcW w:w="240" w:type="pct"/>
            <w:tcBorders>
              <w:top w:val="nil"/>
              <w:left w:val="single" w:sz="4" w:space="0" w:color="auto"/>
              <w:bottom w:val="nil"/>
              <w:right w:val="double" w:sz="4" w:space="0" w:color="auto"/>
            </w:tcBorders>
            <w:shd w:val="clear" w:color="auto" w:fill="FFFFFF" w:themeFill="background1"/>
            <w:vAlign w:val="center"/>
          </w:tcPr>
          <w:p w14:paraId="48AEF792" w14:textId="77777777" w:rsidR="008F0080" w:rsidRPr="00DA249F" w:rsidRDefault="008F0080" w:rsidP="00051CBF">
            <w:pPr>
              <w:spacing w:after="0" w:line="240" w:lineRule="auto"/>
              <w:jc w:val="right"/>
              <w:rPr>
                <w:rFonts w:eastAsia="Times New Roman"/>
                <w:sz w:val="20"/>
                <w:szCs w:val="20"/>
              </w:rPr>
            </w:pPr>
          </w:p>
        </w:tc>
      </w:tr>
      <w:tr w:rsidR="00EA446B" w:rsidRPr="00DA249F" w14:paraId="5609AD99" w14:textId="7B5C7653" w:rsidTr="00392A30">
        <w:trPr>
          <w:trHeight w:val="20"/>
        </w:trPr>
        <w:tc>
          <w:tcPr>
            <w:tcW w:w="1338" w:type="pct"/>
            <w:tcBorders>
              <w:top w:val="nil"/>
              <w:left w:val="double" w:sz="4" w:space="0" w:color="auto"/>
              <w:bottom w:val="dotted" w:sz="4" w:space="0" w:color="auto"/>
              <w:right w:val="double" w:sz="4" w:space="0" w:color="auto"/>
            </w:tcBorders>
            <w:shd w:val="clear" w:color="auto" w:fill="auto"/>
            <w:vAlign w:val="center"/>
            <w:hideMark/>
          </w:tcPr>
          <w:p w14:paraId="2D24DBD7" w14:textId="77777777" w:rsidR="008F0080" w:rsidRPr="00DA249F" w:rsidRDefault="008F0080" w:rsidP="008F0080">
            <w:pPr>
              <w:spacing w:after="0" w:line="240" w:lineRule="auto"/>
              <w:rPr>
                <w:rFonts w:eastAsia="Times New Roman"/>
                <w:sz w:val="20"/>
                <w:szCs w:val="20"/>
              </w:rPr>
            </w:pPr>
            <w:r w:rsidRPr="00DA249F">
              <w:rPr>
                <w:rFonts w:eastAsia="Calibri"/>
                <w:bCs/>
                <w:sz w:val="20"/>
                <w:szCs w:val="20"/>
              </w:rPr>
              <w:t xml:space="preserve">   61 years or older</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7A128452"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30C392A6"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2B89B350" w14:textId="3C769A9E" w:rsidR="008F0080" w:rsidRPr="00DA249F" w:rsidRDefault="008F0080" w:rsidP="00051CBF">
            <w:pPr>
              <w:spacing w:after="0" w:line="240" w:lineRule="auto"/>
              <w:jc w:val="right"/>
              <w:rPr>
                <w:rFonts w:eastAsia="Times New Roman"/>
                <w:sz w:val="20"/>
                <w:szCs w:val="20"/>
              </w:rPr>
            </w:pPr>
            <w:r w:rsidRPr="00DA249F">
              <w:rPr>
                <w:sz w:val="20"/>
                <w:szCs w:val="20"/>
              </w:rPr>
              <w:t>0.446</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072CA4E1" w14:textId="626072EC" w:rsidR="008F0080" w:rsidRPr="00DA249F" w:rsidRDefault="008F0080" w:rsidP="00051CBF">
            <w:pPr>
              <w:spacing w:after="0" w:line="240" w:lineRule="auto"/>
              <w:jc w:val="right"/>
              <w:rPr>
                <w:rFonts w:eastAsia="Times New Roman"/>
                <w:sz w:val="20"/>
                <w:szCs w:val="20"/>
              </w:rPr>
            </w:pPr>
            <w:r w:rsidRPr="00DA249F">
              <w:rPr>
                <w:sz w:val="20"/>
                <w:szCs w:val="20"/>
              </w:rPr>
              <w:t>-0.254</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531145D9"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2C1E33C0" w14:textId="206B1F17" w:rsidR="008F0080" w:rsidRPr="00DA249F" w:rsidRDefault="008F0080" w:rsidP="00051CBF">
            <w:pPr>
              <w:spacing w:after="0" w:line="240" w:lineRule="auto"/>
              <w:jc w:val="right"/>
              <w:rPr>
                <w:rFonts w:eastAsia="Times New Roman"/>
                <w:sz w:val="20"/>
                <w:szCs w:val="20"/>
              </w:rPr>
            </w:pPr>
            <w:r w:rsidRPr="00DA249F">
              <w:rPr>
                <w:sz w:val="20"/>
                <w:szCs w:val="20"/>
              </w:rPr>
              <w:t>0.356</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209B7EAA"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0AD7F54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1E9DC53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CC646BA" w14:textId="6A4E6A30"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0.182</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A705085"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416EA101"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15B1C3E6" w14:textId="5A6870DB"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0.202</w:t>
            </w: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127179F5" w14:textId="371716B2" w:rsidR="008F0080" w:rsidRPr="00DA249F" w:rsidRDefault="00DA249F" w:rsidP="00051CBF">
            <w:pPr>
              <w:spacing w:after="0" w:line="240" w:lineRule="auto"/>
              <w:jc w:val="right"/>
              <w:rPr>
                <w:rFonts w:eastAsia="Times New Roman"/>
                <w:sz w:val="20"/>
                <w:szCs w:val="20"/>
              </w:rPr>
            </w:pPr>
            <w:r w:rsidRPr="00DA249F">
              <w:rPr>
                <w:rFonts w:eastAsia="Times New Roman"/>
                <w:sz w:val="20"/>
                <w:szCs w:val="20"/>
              </w:rPr>
              <w:t>0.209</w:t>
            </w:r>
            <w:r w:rsidR="008F0080" w:rsidRPr="00DA249F">
              <w:rPr>
                <w:rFonts w:eastAsia="Times New Roman"/>
                <w:sz w:val="20"/>
                <w:szCs w:val="20"/>
              </w:rPr>
              <w:t xml:space="preserve"> </w:t>
            </w: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253449A3" w14:textId="77777777" w:rsidR="008F0080" w:rsidRPr="00DA249F" w:rsidRDefault="008F0080" w:rsidP="00051CBF">
            <w:pPr>
              <w:spacing w:after="0" w:line="240" w:lineRule="auto"/>
              <w:jc w:val="right"/>
              <w:rPr>
                <w:rFonts w:eastAsia="Times New Roman"/>
                <w:sz w:val="20"/>
                <w:szCs w:val="20"/>
              </w:rPr>
            </w:pPr>
          </w:p>
        </w:tc>
      </w:tr>
      <w:tr w:rsidR="00EA446B" w:rsidRPr="00DA249F" w14:paraId="3FAA121A" w14:textId="61F9B2E0"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4C559901" w14:textId="2D5DCCB5" w:rsidR="008F0080" w:rsidRPr="00DA249F" w:rsidRDefault="008F0080" w:rsidP="008F0080">
            <w:pPr>
              <w:spacing w:after="0" w:line="240" w:lineRule="auto"/>
              <w:rPr>
                <w:rFonts w:eastAsia="Times New Roman"/>
                <w:b/>
                <w:bCs/>
                <w:sz w:val="20"/>
                <w:szCs w:val="20"/>
              </w:rPr>
            </w:pPr>
            <w:bookmarkStart w:id="94" w:name="_Hlk178773466"/>
            <w:r w:rsidRPr="00DA249F">
              <w:rPr>
                <w:rFonts w:eastAsia="Calibri"/>
                <w:b/>
                <w:bCs/>
                <w:sz w:val="20"/>
                <w:szCs w:val="20"/>
              </w:rPr>
              <w:t xml:space="preserve">Formal </w:t>
            </w:r>
            <w:r w:rsidR="00E82A53">
              <w:rPr>
                <w:rFonts w:eastAsia="Calibri"/>
                <w:b/>
                <w:bCs/>
                <w:sz w:val="20"/>
                <w:szCs w:val="20"/>
              </w:rPr>
              <w:t>e</w:t>
            </w:r>
            <w:r w:rsidRPr="00DA249F">
              <w:rPr>
                <w:rFonts w:eastAsia="Calibri"/>
                <w:b/>
                <w:bCs/>
                <w:sz w:val="20"/>
                <w:szCs w:val="20"/>
              </w:rPr>
              <w:t xml:space="preserve">ducation </w:t>
            </w:r>
            <w:r w:rsidR="00E82A53">
              <w:rPr>
                <w:rFonts w:eastAsia="Calibri"/>
                <w:b/>
                <w:bCs/>
                <w:sz w:val="20"/>
                <w:szCs w:val="20"/>
              </w:rPr>
              <w:t>l</w:t>
            </w:r>
            <w:r w:rsidRPr="00DA249F">
              <w:rPr>
                <w:rFonts w:eastAsia="Calibri"/>
                <w:b/>
                <w:bCs/>
                <w:sz w:val="20"/>
                <w:szCs w:val="20"/>
              </w:rPr>
              <w:t xml:space="preserve">evel </w:t>
            </w:r>
            <w:bookmarkEnd w:id="94"/>
            <w:r w:rsidRPr="00DA249F">
              <w:rPr>
                <w:rFonts w:eastAsia="Calibri"/>
                <w:i/>
                <w:iCs/>
                <w:sz w:val="20"/>
                <w:szCs w:val="20"/>
              </w:rPr>
              <w:t>(base: &lt; Bachelor’s degree)</w:t>
            </w:r>
          </w:p>
        </w:tc>
        <w:tc>
          <w:tcPr>
            <w:tcW w:w="266" w:type="pct"/>
            <w:tcBorders>
              <w:top w:val="nil"/>
              <w:left w:val="double" w:sz="4" w:space="0" w:color="auto"/>
              <w:bottom w:val="nil"/>
              <w:right w:val="single" w:sz="4" w:space="0" w:color="auto"/>
            </w:tcBorders>
            <w:shd w:val="clear" w:color="auto" w:fill="FFFFFF" w:themeFill="background1"/>
            <w:vAlign w:val="center"/>
          </w:tcPr>
          <w:p w14:paraId="0ADB8DB7"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3BAEB9A3"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604CE94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0467CAE2"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ED1C1D8"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4A78A22C"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C84361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5C2FA642"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6592382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A8A3882"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6484A64"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9D196B2"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3D66A6B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5969ECCC"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43503236" w14:textId="77777777" w:rsidR="008F0080" w:rsidRPr="00DA249F" w:rsidRDefault="008F0080" w:rsidP="00051CBF">
            <w:pPr>
              <w:spacing w:after="0" w:line="240" w:lineRule="auto"/>
              <w:jc w:val="right"/>
              <w:rPr>
                <w:rFonts w:eastAsia="Times New Roman"/>
                <w:sz w:val="20"/>
                <w:szCs w:val="20"/>
              </w:rPr>
            </w:pPr>
          </w:p>
        </w:tc>
      </w:tr>
      <w:tr w:rsidR="00EA446B" w:rsidRPr="00DA249F" w14:paraId="08C18007" w14:textId="76A31E9A" w:rsidTr="00392A30">
        <w:trPr>
          <w:trHeight w:val="20"/>
        </w:trPr>
        <w:tc>
          <w:tcPr>
            <w:tcW w:w="1338" w:type="pct"/>
            <w:tcBorders>
              <w:top w:val="nil"/>
              <w:left w:val="double" w:sz="4" w:space="0" w:color="auto"/>
              <w:bottom w:val="dotted" w:sz="4" w:space="0" w:color="auto"/>
              <w:right w:val="double" w:sz="4" w:space="0" w:color="auto"/>
            </w:tcBorders>
            <w:shd w:val="clear" w:color="auto" w:fill="auto"/>
            <w:vAlign w:val="center"/>
            <w:hideMark/>
          </w:tcPr>
          <w:p w14:paraId="7A853DF8" w14:textId="77777777" w:rsidR="008F0080" w:rsidRPr="00DA249F" w:rsidRDefault="008F0080" w:rsidP="008F0080">
            <w:pPr>
              <w:spacing w:after="0" w:line="240" w:lineRule="auto"/>
              <w:ind w:left="139"/>
              <w:rPr>
                <w:rFonts w:eastAsia="Times New Roman"/>
                <w:sz w:val="20"/>
                <w:szCs w:val="20"/>
              </w:rPr>
            </w:pPr>
            <w:r w:rsidRPr="00DA249F">
              <w:rPr>
                <w:rFonts w:eastAsia="Calibri"/>
                <w:bCs/>
                <w:sz w:val="20"/>
                <w:szCs w:val="20"/>
              </w:rPr>
              <w:t>Bachelor’s degree or higher</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64A73AB8"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3D334348" w14:textId="2CED8973" w:rsidR="008F0080" w:rsidRPr="00DA249F" w:rsidRDefault="008F0080" w:rsidP="00051CBF">
            <w:pPr>
              <w:spacing w:after="0" w:line="240" w:lineRule="auto"/>
              <w:jc w:val="right"/>
              <w:rPr>
                <w:rFonts w:eastAsia="Times New Roman"/>
                <w:sz w:val="20"/>
                <w:szCs w:val="20"/>
              </w:rPr>
            </w:pPr>
            <w:r w:rsidRPr="00DA249F">
              <w:rPr>
                <w:sz w:val="20"/>
                <w:szCs w:val="20"/>
              </w:rPr>
              <w:t>0.431</w:t>
            </w: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543102A8"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66C25B0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3E6E6C6B"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5A0BDB8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41E7F685"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5BF3EF0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4BDE3B37" w14:textId="55088BF8" w:rsidR="008F0080" w:rsidRPr="00DA249F" w:rsidRDefault="008F0080" w:rsidP="00051CBF">
            <w:pPr>
              <w:tabs>
                <w:tab w:val="left" w:pos="300"/>
              </w:tabs>
              <w:spacing w:after="0" w:line="240" w:lineRule="auto"/>
              <w:jc w:val="right"/>
              <w:rPr>
                <w:rFonts w:eastAsia="Times New Roman"/>
                <w:sz w:val="20"/>
                <w:szCs w:val="20"/>
              </w:rPr>
            </w:pPr>
            <w:r w:rsidRPr="00DA249F">
              <w:rPr>
                <w:rFonts w:eastAsia="Times New Roman"/>
                <w:sz w:val="20"/>
                <w:szCs w:val="20"/>
              </w:rPr>
              <w:t>0.354</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58C67F5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1187754F"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29D354F0"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5B1CC8FB" w14:textId="37170BF7"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-0.274</w:t>
            </w: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66455233"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6AD9E3BE" w14:textId="77777777" w:rsidR="008F0080" w:rsidRPr="00DA249F" w:rsidRDefault="008F0080" w:rsidP="00051CBF">
            <w:pPr>
              <w:spacing w:after="0" w:line="240" w:lineRule="auto"/>
              <w:jc w:val="right"/>
              <w:rPr>
                <w:rFonts w:eastAsia="Times New Roman"/>
                <w:sz w:val="20"/>
                <w:szCs w:val="20"/>
              </w:rPr>
            </w:pPr>
          </w:p>
        </w:tc>
      </w:tr>
      <w:tr w:rsidR="00EA446B" w:rsidRPr="00DA249F" w14:paraId="630D1168" w14:textId="4402DC25"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02592F64" w14:textId="790003FA" w:rsidR="008F0080" w:rsidRPr="00DA249F" w:rsidRDefault="00E82A53" w:rsidP="008F0080">
            <w:pPr>
              <w:spacing w:after="0" w:line="240" w:lineRule="auto"/>
              <w:rPr>
                <w:rFonts w:eastAsia="Times New Roman"/>
                <w:b/>
                <w:bCs/>
                <w:sz w:val="20"/>
                <w:szCs w:val="20"/>
              </w:rPr>
            </w:pPr>
            <w:r>
              <w:rPr>
                <w:rFonts w:eastAsia="Calibri"/>
                <w:b/>
                <w:bCs/>
                <w:sz w:val="20"/>
                <w:szCs w:val="20"/>
              </w:rPr>
              <w:t>Household i</w:t>
            </w:r>
            <w:r w:rsidR="008F0080" w:rsidRPr="00DA249F">
              <w:rPr>
                <w:rFonts w:eastAsia="Calibri"/>
                <w:b/>
                <w:bCs/>
                <w:sz w:val="20"/>
                <w:szCs w:val="20"/>
              </w:rPr>
              <w:t xml:space="preserve">ncome </w:t>
            </w:r>
            <w:r w:rsidR="008F0080" w:rsidRPr="00DA249F">
              <w:rPr>
                <w:rFonts w:eastAsia="Calibri"/>
                <w:i/>
                <w:iCs/>
                <w:sz w:val="20"/>
                <w:szCs w:val="20"/>
              </w:rPr>
              <w:t xml:space="preserve">(base: </w:t>
            </w:r>
            <w:r>
              <w:rPr>
                <w:rFonts w:eastAsia="Calibri"/>
                <w:i/>
                <w:iCs/>
                <w:sz w:val="20"/>
                <w:szCs w:val="20"/>
              </w:rPr>
              <w:t>&lt;</w:t>
            </w:r>
            <w:r w:rsidR="008F0080" w:rsidRPr="00DA249F">
              <w:rPr>
                <w:rFonts w:eastAsia="Calibri"/>
                <w:i/>
                <w:iCs/>
                <w:sz w:val="20"/>
                <w:szCs w:val="20"/>
              </w:rPr>
              <w:t xml:space="preserve"> $75,000)</w:t>
            </w:r>
          </w:p>
        </w:tc>
        <w:tc>
          <w:tcPr>
            <w:tcW w:w="266" w:type="pct"/>
            <w:tcBorders>
              <w:top w:val="nil"/>
              <w:left w:val="double" w:sz="4" w:space="0" w:color="auto"/>
              <w:bottom w:val="nil"/>
              <w:right w:val="single" w:sz="4" w:space="0" w:color="auto"/>
            </w:tcBorders>
            <w:shd w:val="clear" w:color="auto" w:fill="FFFFFF" w:themeFill="background1"/>
            <w:vAlign w:val="center"/>
          </w:tcPr>
          <w:p w14:paraId="327BAE33"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3FE0EDB0"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5328DCD6"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40CE4A2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3F3ACFF"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12DEB29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ADC0D2C"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22EBD7A1"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3DF4395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85BB556"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5CB5F51"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3D711C63"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DB23F4D"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262399B5"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3CC4557A" w14:textId="77777777" w:rsidR="008F0080" w:rsidRPr="00DA249F" w:rsidRDefault="008F0080" w:rsidP="00051CBF">
            <w:pPr>
              <w:spacing w:after="0" w:line="240" w:lineRule="auto"/>
              <w:jc w:val="right"/>
              <w:rPr>
                <w:rFonts w:eastAsia="Times New Roman"/>
                <w:sz w:val="20"/>
                <w:szCs w:val="20"/>
              </w:rPr>
            </w:pPr>
          </w:p>
        </w:tc>
      </w:tr>
      <w:tr w:rsidR="00EA446B" w:rsidRPr="00DA249F" w14:paraId="7790E01F" w14:textId="53100196" w:rsidTr="00392A30">
        <w:trPr>
          <w:trHeight w:val="20"/>
        </w:trPr>
        <w:tc>
          <w:tcPr>
            <w:tcW w:w="1338" w:type="pct"/>
            <w:tcBorders>
              <w:top w:val="nil"/>
              <w:left w:val="double" w:sz="4" w:space="0" w:color="auto"/>
              <w:bottom w:val="nil"/>
              <w:right w:val="double" w:sz="4" w:space="0" w:color="auto"/>
            </w:tcBorders>
            <w:shd w:val="clear" w:color="auto" w:fill="auto"/>
            <w:vAlign w:val="center"/>
          </w:tcPr>
          <w:p w14:paraId="0761ABD6" w14:textId="77777777" w:rsidR="008F0080" w:rsidRPr="00DA249F" w:rsidRDefault="008F0080" w:rsidP="008F0080">
            <w:pPr>
              <w:spacing w:after="0" w:line="240" w:lineRule="auto"/>
              <w:ind w:left="139"/>
              <w:rPr>
                <w:rFonts w:eastAsia="Calibri"/>
                <w:b/>
                <w:bCs/>
                <w:sz w:val="20"/>
                <w:szCs w:val="20"/>
              </w:rPr>
            </w:pPr>
            <w:r w:rsidRPr="00DA249F">
              <w:rPr>
                <w:rFonts w:eastAsia="Calibri"/>
                <w:sz w:val="20"/>
                <w:szCs w:val="20"/>
              </w:rPr>
              <w:t>$75,000 to $99,999</w:t>
            </w:r>
          </w:p>
        </w:tc>
        <w:tc>
          <w:tcPr>
            <w:tcW w:w="266" w:type="pct"/>
            <w:tcBorders>
              <w:top w:val="nil"/>
              <w:left w:val="double" w:sz="4" w:space="0" w:color="auto"/>
              <w:bottom w:val="nil"/>
              <w:right w:val="single" w:sz="4" w:space="0" w:color="auto"/>
            </w:tcBorders>
            <w:shd w:val="clear" w:color="auto" w:fill="FFFFFF" w:themeFill="background1"/>
            <w:vAlign w:val="center"/>
          </w:tcPr>
          <w:p w14:paraId="4909D72E"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66021BDD"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1DE7C637" w14:textId="69FDE951" w:rsidR="008F0080" w:rsidRPr="00DA249F" w:rsidRDefault="008F0080" w:rsidP="00051CBF">
            <w:pPr>
              <w:spacing w:after="0" w:line="240" w:lineRule="auto"/>
              <w:jc w:val="right"/>
              <w:rPr>
                <w:rFonts w:eastAsia="Times New Roman"/>
                <w:sz w:val="20"/>
                <w:szCs w:val="20"/>
              </w:rPr>
            </w:pPr>
            <w:r w:rsidRPr="00DA249F">
              <w:rPr>
                <w:sz w:val="20"/>
                <w:szCs w:val="20"/>
              </w:rPr>
              <w:t>-0.463</w:t>
            </w:r>
          </w:p>
        </w:tc>
        <w:tc>
          <w:tcPr>
            <w:tcW w:w="239" w:type="pct"/>
            <w:tcBorders>
              <w:top w:val="nil"/>
              <w:left w:val="single" w:sz="4" w:space="0" w:color="auto"/>
              <w:bottom w:val="nil"/>
              <w:right w:val="single" w:sz="4" w:space="0" w:color="auto"/>
            </w:tcBorders>
            <w:shd w:val="clear" w:color="auto" w:fill="FFFFFF" w:themeFill="background1"/>
            <w:vAlign w:val="center"/>
          </w:tcPr>
          <w:p w14:paraId="603816B5" w14:textId="6A89305A" w:rsidR="008F0080" w:rsidRPr="00DA249F" w:rsidRDefault="008F0080" w:rsidP="00051CBF">
            <w:pPr>
              <w:spacing w:after="0" w:line="240" w:lineRule="auto"/>
              <w:jc w:val="right"/>
              <w:rPr>
                <w:rFonts w:eastAsia="Times New Roman"/>
                <w:sz w:val="20"/>
                <w:szCs w:val="20"/>
              </w:rPr>
            </w:pPr>
            <w:r w:rsidRPr="00DA249F">
              <w:rPr>
                <w:sz w:val="20"/>
                <w:szCs w:val="20"/>
              </w:rPr>
              <w:t>0.254</w:t>
            </w:r>
          </w:p>
        </w:tc>
        <w:tc>
          <w:tcPr>
            <w:tcW w:w="237" w:type="pct"/>
            <w:tcBorders>
              <w:top w:val="nil"/>
              <w:left w:val="single" w:sz="4" w:space="0" w:color="auto"/>
              <w:bottom w:val="nil"/>
              <w:right w:val="single" w:sz="4" w:space="0" w:color="auto"/>
            </w:tcBorders>
            <w:shd w:val="clear" w:color="auto" w:fill="FFFFFF" w:themeFill="background1"/>
            <w:vAlign w:val="center"/>
          </w:tcPr>
          <w:p w14:paraId="4972AB06" w14:textId="6D02B6D8" w:rsidR="008F0080" w:rsidRPr="00DA249F" w:rsidRDefault="008F0080" w:rsidP="00051CBF">
            <w:pPr>
              <w:spacing w:after="0" w:line="240" w:lineRule="auto"/>
              <w:jc w:val="right"/>
              <w:rPr>
                <w:rFonts w:eastAsia="Times New Roman"/>
                <w:sz w:val="20"/>
                <w:szCs w:val="20"/>
              </w:rPr>
            </w:pPr>
            <w:r w:rsidRPr="00DA249F">
              <w:rPr>
                <w:sz w:val="20"/>
                <w:szCs w:val="20"/>
              </w:rPr>
              <w:t>-0.264</w:t>
            </w:r>
          </w:p>
        </w:tc>
        <w:tc>
          <w:tcPr>
            <w:tcW w:w="274" w:type="pct"/>
            <w:tcBorders>
              <w:top w:val="nil"/>
              <w:left w:val="single" w:sz="4" w:space="0" w:color="auto"/>
              <w:bottom w:val="nil"/>
              <w:right w:val="single" w:sz="4" w:space="0" w:color="auto"/>
            </w:tcBorders>
            <w:shd w:val="clear" w:color="auto" w:fill="FFFFFF" w:themeFill="background1"/>
            <w:vAlign w:val="center"/>
          </w:tcPr>
          <w:p w14:paraId="6212D1A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5D8E6328"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316CD89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1A1A2DC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6952C3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58CC21EE"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32872CD4"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29121DA" w14:textId="1C368E9E"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4656A81C"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2819B049" w14:textId="77777777" w:rsidR="008F0080" w:rsidRPr="00DA249F" w:rsidRDefault="008F0080" w:rsidP="00051CBF">
            <w:pPr>
              <w:spacing w:after="0" w:line="240" w:lineRule="auto"/>
              <w:jc w:val="right"/>
              <w:rPr>
                <w:rFonts w:eastAsia="Times New Roman"/>
                <w:sz w:val="20"/>
                <w:szCs w:val="20"/>
              </w:rPr>
            </w:pPr>
          </w:p>
        </w:tc>
      </w:tr>
      <w:tr w:rsidR="00EA446B" w:rsidRPr="00DA249F" w14:paraId="73482253" w14:textId="7C8C9D5C" w:rsidTr="00392A30">
        <w:trPr>
          <w:trHeight w:val="20"/>
        </w:trPr>
        <w:tc>
          <w:tcPr>
            <w:tcW w:w="1338" w:type="pct"/>
            <w:tcBorders>
              <w:top w:val="nil"/>
              <w:left w:val="double" w:sz="4" w:space="0" w:color="auto"/>
              <w:bottom w:val="nil"/>
              <w:right w:val="double" w:sz="4" w:space="0" w:color="auto"/>
            </w:tcBorders>
            <w:shd w:val="clear" w:color="auto" w:fill="auto"/>
            <w:vAlign w:val="center"/>
          </w:tcPr>
          <w:p w14:paraId="0BF2FE20" w14:textId="77777777" w:rsidR="008F0080" w:rsidRPr="00DA249F" w:rsidRDefault="008F0080" w:rsidP="008F0080">
            <w:pPr>
              <w:spacing w:after="0" w:line="240" w:lineRule="auto"/>
              <w:ind w:left="139"/>
              <w:rPr>
                <w:rFonts w:eastAsia="Calibri"/>
                <w:sz w:val="20"/>
                <w:szCs w:val="20"/>
              </w:rPr>
            </w:pPr>
            <w:r w:rsidRPr="00DA249F">
              <w:rPr>
                <w:rFonts w:eastAsia="Calibri"/>
                <w:sz w:val="20"/>
                <w:szCs w:val="20"/>
              </w:rPr>
              <w:t>$100,000 to $149,999</w:t>
            </w:r>
          </w:p>
        </w:tc>
        <w:tc>
          <w:tcPr>
            <w:tcW w:w="266" w:type="pct"/>
            <w:tcBorders>
              <w:top w:val="nil"/>
              <w:left w:val="double" w:sz="4" w:space="0" w:color="auto"/>
              <w:bottom w:val="nil"/>
              <w:right w:val="single" w:sz="4" w:space="0" w:color="auto"/>
            </w:tcBorders>
            <w:shd w:val="clear" w:color="auto" w:fill="FFFFFF" w:themeFill="background1"/>
            <w:vAlign w:val="center"/>
          </w:tcPr>
          <w:p w14:paraId="040BC4A8" w14:textId="679BFCFD" w:rsidR="008F0080" w:rsidRPr="00DA249F" w:rsidRDefault="008F0080" w:rsidP="00051CBF">
            <w:pPr>
              <w:spacing w:after="0" w:line="240" w:lineRule="auto"/>
              <w:jc w:val="right"/>
              <w:rPr>
                <w:rFonts w:eastAsia="Times New Roman"/>
                <w:sz w:val="20"/>
                <w:szCs w:val="20"/>
              </w:rPr>
            </w:pPr>
            <w:r w:rsidRPr="00DA249F">
              <w:rPr>
                <w:sz w:val="20"/>
                <w:szCs w:val="20"/>
              </w:rPr>
              <w:t>-0.267</w:t>
            </w:r>
          </w:p>
        </w:tc>
        <w:tc>
          <w:tcPr>
            <w:tcW w:w="239" w:type="pct"/>
            <w:tcBorders>
              <w:top w:val="nil"/>
              <w:left w:val="single" w:sz="4" w:space="0" w:color="auto"/>
              <w:bottom w:val="nil"/>
              <w:right w:val="single" w:sz="4" w:space="0" w:color="auto"/>
            </w:tcBorders>
            <w:shd w:val="clear" w:color="auto" w:fill="FFFFFF" w:themeFill="background1"/>
            <w:vAlign w:val="center"/>
          </w:tcPr>
          <w:p w14:paraId="2E5604F2"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22B8A2B6" w14:textId="2E9AE1B0" w:rsidR="008F0080" w:rsidRPr="00DA249F" w:rsidRDefault="008F0080" w:rsidP="00051CBF">
            <w:pPr>
              <w:spacing w:after="0" w:line="240" w:lineRule="auto"/>
              <w:jc w:val="right"/>
              <w:rPr>
                <w:rFonts w:eastAsia="Times New Roman"/>
                <w:sz w:val="20"/>
                <w:szCs w:val="20"/>
              </w:rPr>
            </w:pPr>
            <w:r w:rsidRPr="00DA249F">
              <w:rPr>
                <w:sz w:val="20"/>
                <w:szCs w:val="20"/>
              </w:rPr>
              <w:t>-0.501</w:t>
            </w:r>
          </w:p>
        </w:tc>
        <w:tc>
          <w:tcPr>
            <w:tcW w:w="239" w:type="pct"/>
            <w:tcBorders>
              <w:top w:val="nil"/>
              <w:left w:val="single" w:sz="4" w:space="0" w:color="auto"/>
              <w:bottom w:val="nil"/>
              <w:right w:val="single" w:sz="4" w:space="0" w:color="auto"/>
            </w:tcBorders>
            <w:shd w:val="clear" w:color="auto" w:fill="FFFFFF" w:themeFill="background1"/>
            <w:vAlign w:val="center"/>
          </w:tcPr>
          <w:p w14:paraId="5D23E6DB" w14:textId="462FDF75" w:rsidR="008F0080" w:rsidRPr="00DA249F" w:rsidRDefault="008F0080" w:rsidP="00051CBF">
            <w:pPr>
              <w:spacing w:after="0" w:line="240" w:lineRule="auto"/>
              <w:jc w:val="right"/>
              <w:rPr>
                <w:rFonts w:eastAsia="Times New Roman"/>
                <w:sz w:val="20"/>
                <w:szCs w:val="20"/>
              </w:rPr>
            </w:pPr>
            <w:r w:rsidRPr="00DA249F">
              <w:rPr>
                <w:sz w:val="20"/>
                <w:szCs w:val="20"/>
              </w:rPr>
              <w:t>0.254</w:t>
            </w:r>
          </w:p>
        </w:tc>
        <w:tc>
          <w:tcPr>
            <w:tcW w:w="237" w:type="pct"/>
            <w:tcBorders>
              <w:top w:val="nil"/>
              <w:left w:val="single" w:sz="4" w:space="0" w:color="auto"/>
              <w:bottom w:val="nil"/>
              <w:right w:val="single" w:sz="4" w:space="0" w:color="auto"/>
            </w:tcBorders>
            <w:shd w:val="clear" w:color="auto" w:fill="FFFFFF" w:themeFill="background1"/>
            <w:vAlign w:val="center"/>
          </w:tcPr>
          <w:p w14:paraId="019C46FE" w14:textId="68C43DF9" w:rsidR="008F0080" w:rsidRPr="00DA249F" w:rsidRDefault="008F0080" w:rsidP="00051CBF">
            <w:pPr>
              <w:spacing w:after="0" w:line="240" w:lineRule="auto"/>
              <w:jc w:val="right"/>
              <w:rPr>
                <w:rFonts w:eastAsia="Times New Roman"/>
                <w:sz w:val="20"/>
                <w:szCs w:val="20"/>
              </w:rPr>
            </w:pPr>
            <w:r w:rsidRPr="00DA249F">
              <w:rPr>
                <w:sz w:val="20"/>
                <w:szCs w:val="20"/>
              </w:rPr>
              <w:t>-0.264</w:t>
            </w:r>
          </w:p>
        </w:tc>
        <w:tc>
          <w:tcPr>
            <w:tcW w:w="274" w:type="pct"/>
            <w:tcBorders>
              <w:top w:val="nil"/>
              <w:left w:val="single" w:sz="4" w:space="0" w:color="auto"/>
              <w:bottom w:val="nil"/>
              <w:right w:val="single" w:sz="4" w:space="0" w:color="auto"/>
            </w:tcBorders>
            <w:shd w:val="clear" w:color="auto" w:fill="FFFFFF" w:themeFill="background1"/>
            <w:vAlign w:val="center"/>
          </w:tcPr>
          <w:p w14:paraId="63CABA7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EC4202D"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5E22D25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166CEE3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9C074C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C186B74"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5C231BD"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5887AB9" w14:textId="7A5638D4"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-0.186</w:t>
            </w:r>
          </w:p>
        </w:tc>
        <w:tc>
          <w:tcPr>
            <w:tcW w:w="236" w:type="pct"/>
            <w:tcBorders>
              <w:top w:val="nil"/>
              <w:left w:val="single" w:sz="4" w:space="0" w:color="auto"/>
              <w:bottom w:val="nil"/>
              <w:right w:val="single" w:sz="4" w:space="0" w:color="auto"/>
            </w:tcBorders>
            <w:shd w:val="clear" w:color="auto" w:fill="FFFFFF" w:themeFill="background1"/>
            <w:vAlign w:val="center"/>
          </w:tcPr>
          <w:p w14:paraId="03B9AD09" w14:textId="1A3D677F" w:rsidR="008F0080" w:rsidRPr="00DA249F" w:rsidRDefault="008F0080" w:rsidP="00051CBF">
            <w:pPr>
              <w:spacing w:after="0" w:line="240" w:lineRule="auto"/>
              <w:jc w:val="right"/>
              <w:rPr>
                <w:rFonts w:eastAsia="Times New Roman"/>
                <w:sz w:val="20"/>
                <w:szCs w:val="20"/>
              </w:rPr>
            </w:pPr>
            <w:r w:rsidRPr="00DA249F">
              <w:rPr>
                <w:sz w:val="20"/>
                <w:szCs w:val="20"/>
              </w:rPr>
              <w:t>-0.2</w:t>
            </w:r>
            <w:r w:rsidR="00DA249F" w:rsidRPr="00DA249F">
              <w:rPr>
                <w:sz w:val="20"/>
                <w:szCs w:val="20"/>
              </w:rPr>
              <w:t>71</w:t>
            </w:r>
          </w:p>
        </w:tc>
        <w:tc>
          <w:tcPr>
            <w:tcW w:w="240" w:type="pct"/>
            <w:tcBorders>
              <w:top w:val="nil"/>
              <w:left w:val="single" w:sz="4" w:space="0" w:color="auto"/>
              <w:bottom w:val="nil"/>
              <w:right w:val="double" w:sz="4" w:space="0" w:color="auto"/>
            </w:tcBorders>
            <w:shd w:val="clear" w:color="auto" w:fill="FFFFFF" w:themeFill="background1"/>
            <w:vAlign w:val="center"/>
          </w:tcPr>
          <w:p w14:paraId="397DBF25" w14:textId="233AA976" w:rsidR="008F0080" w:rsidRPr="00DA249F" w:rsidRDefault="008F0080" w:rsidP="00051CBF">
            <w:pPr>
              <w:spacing w:after="0" w:line="240" w:lineRule="auto"/>
              <w:jc w:val="right"/>
              <w:rPr>
                <w:rFonts w:eastAsia="Times New Roman"/>
                <w:sz w:val="20"/>
                <w:szCs w:val="20"/>
              </w:rPr>
            </w:pPr>
            <w:r w:rsidRPr="00DA249F">
              <w:rPr>
                <w:sz w:val="20"/>
                <w:szCs w:val="20"/>
              </w:rPr>
              <w:t>-0.277</w:t>
            </w:r>
          </w:p>
        </w:tc>
      </w:tr>
      <w:tr w:rsidR="00EA446B" w:rsidRPr="00DA249F" w14:paraId="2B7EE6FE" w14:textId="281AB780" w:rsidTr="00392A30">
        <w:trPr>
          <w:trHeight w:val="20"/>
        </w:trPr>
        <w:tc>
          <w:tcPr>
            <w:tcW w:w="1338" w:type="pct"/>
            <w:tcBorders>
              <w:top w:val="nil"/>
              <w:left w:val="double" w:sz="4" w:space="0" w:color="auto"/>
              <w:bottom w:val="nil"/>
              <w:right w:val="double" w:sz="4" w:space="0" w:color="auto"/>
            </w:tcBorders>
            <w:shd w:val="clear" w:color="auto" w:fill="auto"/>
            <w:vAlign w:val="center"/>
          </w:tcPr>
          <w:p w14:paraId="3159B2FA" w14:textId="77777777" w:rsidR="008F0080" w:rsidRPr="00DA249F" w:rsidRDefault="008F0080" w:rsidP="008F0080">
            <w:pPr>
              <w:spacing w:after="0" w:line="240" w:lineRule="auto"/>
              <w:ind w:left="139"/>
              <w:rPr>
                <w:rFonts w:eastAsia="Calibri"/>
                <w:b/>
                <w:bCs/>
                <w:sz w:val="20"/>
                <w:szCs w:val="20"/>
              </w:rPr>
            </w:pPr>
            <w:r w:rsidRPr="00DA249F">
              <w:rPr>
                <w:rFonts w:eastAsia="Calibri"/>
                <w:sz w:val="20"/>
                <w:szCs w:val="20"/>
              </w:rPr>
              <w:t>$150,000 to $199,999</w:t>
            </w:r>
          </w:p>
        </w:tc>
        <w:tc>
          <w:tcPr>
            <w:tcW w:w="266" w:type="pct"/>
            <w:tcBorders>
              <w:top w:val="nil"/>
              <w:left w:val="double" w:sz="4" w:space="0" w:color="auto"/>
              <w:bottom w:val="nil"/>
              <w:right w:val="single" w:sz="4" w:space="0" w:color="auto"/>
            </w:tcBorders>
            <w:shd w:val="clear" w:color="auto" w:fill="FFFFFF" w:themeFill="background1"/>
            <w:vAlign w:val="center"/>
          </w:tcPr>
          <w:p w14:paraId="5933FF27" w14:textId="0EBB535E" w:rsidR="008F0080" w:rsidRPr="00DA249F" w:rsidRDefault="008F0080" w:rsidP="00051CBF">
            <w:pPr>
              <w:spacing w:after="0" w:line="240" w:lineRule="auto"/>
              <w:jc w:val="right"/>
              <w:rPr>
                <w:rFonts w:eastAsia="Times New Roman"/>
                <w:sz w:val="20"/>
                <w:szCs w:val="20"/>
              </w:rPr>
            </w:pPr>
            <w:r w:rsidRPr="00DA249F">
              <w:rPr>
                <w:sz w:val="20"/>
                <w:szCs w:val="20"/>
              </w:rPr>
              <w:t>-0.267</w:t>
            </w:r>
          </w:p>
        </w:tc>
        <w:tc>
          <w:tcPr>
            <w:tcW w:w="239" w:type="pct"/>
            <w:tcBorders>
              <w:top w:val="nil"/>
              <w:left w:val="single" w:sz="4" w:space="0" w:color="auto"/>
              <w:bottom w:val="nil"/>
              <w:right w:val="single" w:sz="4" w:space="0" w:color="auto"/>
            </w:tcBorders>
            <w:shd w:val="clear" w:color="auto" w:fill="FFFFFF" w:themeFill="background1"/>
            <w:vAlign w:val="center"/>
          </w:tcPr>
          <w:p w14:paraId="694AF201"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6CF06BCF" w14:textId="2151C8F4" w:rsidR="008F0080" w:rsidRPr="00DA249F" w:rsidRDefault="008F0080" w:rsidP="00051CBF">
            <w:pPr>
              <w:spacing w:after="0" w:line="240" w:lineRule="auto"/>
              <w:jc w:val="right"/>
              <w:rPr>
                <w:rFonts w:eastAsia="Times New Roman"/>
                <w:sz w:val="20"/>
                <w:szCs w:val="20"/>
              </w:rPr>
            </w:pPr>
            <w:r w:rsidRPr="00DA249F">
              <w:rPr>
                <w:sz w:val="20"/>
                <w:szCs w:val="20"/>
              </w:rPr>
              <w:t>-0.420</w:t>
            </w:r>
          </w:p>
        </w:tc>
        <w:tc>
          <w:tcPr>
            <w:tcW w:w="239" w:type="pct"/>
            <w:tcBorders>
              <w:top w:val="nil"/>
              <w:left w:val="single" w:sz="4" w:space="0" w:color="auto"/>
              <w:bottom w:val="nil"/>
              <w:right w:val="single" w:sz="4" w:space="0" w:color="auto"/>
            </w:tcBorders>
            <w:shd w:val="clear" w:color="auto" w:fill="FFFFFF" w:themeFill="background1"/>
            <w:vAlign w:val="center"/>
          </w:tcPr>
          <w:p w14:paraId="5C3CBBF6" w14:textId="347062EE" w:rsidR="008F0080" w:rsidRPr="00DA249F" w:rsidRDefault="008F0080" w:rsidP="00051CBF">
            <w:pPr>
              <w:spacing w:after="0" w:line="240" w:lineRule="auto"/>
              <w:jc w:val="right"/>
              <w:rPr>
                <w:rFonts w:eastAsia="Times New Roman"/>
                <w:sz w:val="20"/>
                <w:szCs w:val="20"/>
              </w:rPr>
            </w:pPr>
            <w:r w:rsidRPr="00DA249F">
              <w:rPr>
                <w:sz w:val="20"/>
                <w:szCs w:val="20"/>
              </w:rPr>
              <w:t>0.254</w:t>
            </w:r>
          </w:p>
        </w:tc>
        <w:tc>
          <w:tcPr>
            <w:tcW w:w="237" w:type="pct"/>
            <w:tcBorders>
              <w:top w:val="nil"/>
              <w:left w:val="single" w:sz="4" w:space="0" w:color="auto"/>
              <w:bottom w:val="nil"/>
              <w:right w:val="single" w:sz="4" w:space="0" w:color="auto"/>
            </w:tcBorders>
            <w:shd w:val="clear" w:color="auto" w:fill="FFFFFF" w:themeFill="background1"/>
            <w:vAlign w:val="center"/>
          </w:tcPr>
          <w:p w14:paraId="265396AD" w14:textId="4D9BCA8F" w:rsidR="008F0080" w:rsidRPr="00DA249F" w:rsidRDefault="008F0080" w:rsidP="00051CBF">
            <w:pPr>
              <w:spacing w:after="0" w:line="240" w:lineRule="auto"/>
              <w:jc w:val="right"/>
              <w:rPr>
                <w:rFonts w:eastAsia="Times New Roman"/>
                <w:sz w:val="20"/>
                <w:szCs w:val="20"/>
              </w:rPr>
            </w:pPr>
            <w:r w:rsidRPr="00DA249F">
              <w:rPr>
                <w:sz w:val="20"/>
                <w:szCs w:val="20"/>
              </w:rPr>
              <w:t>-0.264</w:t>
            </w:r>
          </w:p>
        </w:tc>
        <w:tc>
          <w:tcPr>
            <w:tcW w:w="274" w:type="pct"/>
            <w:tcBorders>
              <w:top w:val="nil"/>
              <w:left w:val="single" w:sz="4" w:space="0" w:color="auto"/>
              <w:bottom w:val="nil"/>
              <w:right w:val="single" w:sz="4" w:space="0" w:color="auto"/>
            </w:tcBorders>
            <w:shd w:val="clear" w:color="auto" w:fill="FFFFFF" w:themeFill="background1"/>
            <w:vAlign w:val="center"/>
          </w:tcPr>
          <w:p w14:paraId="6C4B7BC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1EBAE05"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3E08046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59160147" w14:textId="2470A0EA" w:rsidR="008F0080" w:rsidRPr="00DA249F" w:rsidRDefault="008F0080" w:rsidP="00051CBF">
            <w:pPr>
              <w:tabs>
                <w:tab w:val="left" w:pos="255"/>
              </w:tabs>
              <w:spacing w:after="0" w:line="240" w:lineRule="auto"/>
              <w:jc w:val="right"/>
              <w:rPr>
                <w:rFonts w:eastAsia="Times New Roman"/>
                <w:sz w:val="20"/>
                <w:szCs w:val="20"/>
              </w:rPr>
            </w:pPr>
            <w:r w:rsidRPr="00DA249F">
              <w:rPr>
                <w:rFonts w:eastAsia="Times New Roman"/>
                <w:sz w:val="20"/>
                <w:szCs w:val="20"/>
              </w:rPr>
              <w:t>0.201</w:t>
            </w:r>
          </w:p>
        </w:tc>
        <w:tc>
          <w:tcPr>
            <w:tcW w:w="237" w:type="pct"/>
            <w:tcBorders>
              <w:top w:val="nil"/>
              <w:left w:val="single" w:sz="4" w:space="0" w:color="auto"/>
              <w:bottom w:val="nil"/>
              <w:right w:val="single" w:sz="4" w:space="0" w:color="auto"/>
            </w:tcBorders>
            <w:shd w:val="clear" w:color="auto" w:fill="FFFFFF" w:themeFill="background1"/>
            <w:vAlign w:val="center"/>
          </w:tcPr>
          <w:p w14:paraId="16109A19"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D48DEC8"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8C3CF5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1BD6DAB" w14:textId="58CF1E31"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-0.186</w:t>
            </w:r>
          </w:p>
        </w:tc>
        <w:tc>
          <w:tcPr>
            <w:tcW w:w="236" w:type="pct"/>
            <w:tcBorders>
              <w:top w:val="nil"/>
              <w:left w:val="single" w:sz="4" w:space="0" w:color="auto"/>
              <w:bottom w:val="nil"/>
              <w:right w:val="single" w:sz="4" w:space="0" w:color="auto"/>
            </w:tcBorders>
            <w:shd w:val="clear" w:color="auto" w:fill="FFFFFF" w:themeFill="background1"/>
            <w:vAlign w:val="center"/>
          </w:tcPr>
          <w:p w14:paraId="16DEA0F8" w14:textId="5764AF3A" w:rsidR="008F0080" w:rsidRPr="00DA249F" w:rsidRDefault="008F0080" w:rsidP="00051CBF">
            <w:pPr>
              <w:spacing w:after="0" w:line="240" w:lineRule="auto"/>
              <w:jc w:val="right"/>
              <w:rPr>
                <w:rFonts w:eastAsia="Times New Roman"/>
                <w:sz w:val="20"/>
                <w:szCs w:val="20"/>
              </w:rPr>
            </w:pPr>
            <w:r w:rsidRPr="00DA249F">
              <w:rPr>
                <w:sz w:val="20"/>
                <w:szCs w:val="20"/>
              </w:rPr>
              <w:t>-0.4</w:t>
            </w:r>
            <w:r w:rsidR="00DA249F" w:rsidRPr="00DA249F">
              <w:rPr>
                <w:sz w:val="20"/>
                <w:szCs w:val="20"/>
              </w:rPr>
              <w:t>22</w:t>
            </w:r>
          </w:p>
        </w:tc>
        <w:tc>
          <w:tcPr>
            <w:tcW w:w="240" w:type="pct"/>
            <w:tcBorders>
              <w:top w:val="nil"/>
              <w:left w:val="single" w:sz="4" w:space="0" w:color="auto"/>
              <w:bottom w:val="nil"/>
              <w:right w:val="double" w:sz="4" w:space="0" w:color="auto"/>
            </w:tcBorders>
            <w:shd w:val="clear" w:color="auto" w:fill="FFFFFF" w:themeFill="background1"/>
            <w:vAlign w:val="center"/>
          </w:tcPr>
          <w:p w14:paraId="23FE60CD" w14:textId="1C83DC1A" w:rsidR="008F0080" w:rsidRPr="00DA249F" w:rsidRDefault="008F0080" w:rsidP="00051CBF">
            <w:pPr>
              <w:spacing w:after="0" w:line="240" w:lineRule="auto"/>
              <w:jc w:val="right"/>
              <w:rPr>
                <w:rFonts w:eastAsia="Times New Roman"/>
                <w:sz w:val="20"/>
                <w:szCs w:val="20"/>
              </w:rPr>
            </w:pPr>
            <w:r w:rsidRPr="00DA249F">
              <w:rPr>
                <w:sz w:val="20"/>
                <w:szCs w:val="20"/>
              </w:rPr>
              <w:t>-0.277</w:t>
            </w:r>
          </w:p>
        </w:tc>
      </w:tr>
      <w:tr w:rsidR="00EA446B" w:rsidRPr="00DA249F" w14:paraId="42A0283B" w14:textId="70D44DE5" w:rsidTr="00392A30">
        <w:trPr>
          <w:trHeight w:val="20"/>
        </w:trPr>
        <w:tc>
          <w:tcPr>
            <w:tcW w:w="1338" w:type="pct"/>
            <w:tcBorders>
              <w:top w:val="nil"/>
              <w:left w:val="double" w:sz="4" w:space="0" w:color="auto"/>
              <w:bottom w:val="dotted" w:sz="4" w:space="0" w:color="auto"/>
              <w:right w:val="double" w:sz="4" w:space="0" w:color="auto"/>
            </w:tcBorders>
            <w:shd w:val="clear" w:color="auto" w:fill="auto"/>
            <w:vAlign w:val="center"/>
            <w:hideMark/>
          </w:tcPr>
          <w:p w14:paraId="3E70672E"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$200,000 or more</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79331F6E" w14:textId="64AD979C" w:rsidR="008F0080" w:rsidRPr="00DA249F" w:rsidRDefault="008F0080" w:rsidP="00051CBF">
            <w:pPr>
              <w:spacing w:after="0" w:line="240" w:lineRule="auto"/>
              <w:jc w:val="right"/>
              <w:rPr>
                <w:rFonts w:eastAsia="Times New Roman"/>
                <w:sz w:val="20"/>
                <w:szCs w:val="20"/>
              </w:rPr>
            </w:pPr>
            <w:r w:rsidRPr="00DA249F">
              <w:rPr>
                <w:sz w:val="20"/>
                <w:szCs w:val="20"/>
              </w:rPr>
              <w:t>-0.267</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5EBE6E6A" w14:textId="7F78AFF8" w:rsidR="008F0080" w:rsidRPr="00DA249F" w:rsidRDefault="008F0080" w:rsidP="00051CBF">
            <w:pPr>
              <w:spacing w:after="0" w:line="240" w:lineRule="auto"/>
              <w:jc w:val="right"/>
              <w:rPr>
                <w:rFonts w:eastAsia="Times New Roman"/>
                <w:sz w:val="20"/>
                <w:szCs w:val="20"/>
              </w:rPr>
            </w:pPr>
            <w:r w:rsidRPr="00DA249F">
              <w:rPr>
                <w:sz w:val="20"/>
                <w:szCs w:val="20"/>
              </w:rPr>
              <w:t>0.516</w:t>
            </w: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4865CCE3" w14:textId="579D1BDD" w:rsidR="008F0080" w:rsidRPr="00DA249F" w:rsidRDefault="008F0080" w:rsidP="00051CBF">
            <w:pPr>
              <w:spacing w:after="0" w:line="240" w:lineRule="auto"/>
              <w:jc w:val="right"/>
              <w:rPr>
                <w:rFonts w:eastAsia="Times New Roman"/>
                <w:sz w:val="20"/>
                <w:szCs w:val="20"/>
              </w:rPr>
            </w:pPr>
            <w:r w:rsidRPr="00DA249F">
              <w:rPr>
                <w:sz w:val="20"/>
                <w:szCs w:val="20"/>
              </w:rPr>
              <w:t>-0.420</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24852989" w14:textId="3886A173" w:rsidR="008F0080" w:rsidRPr="00DA249F" w:rsidRDefault="008F0080" w:rsidP="00051CBF">
            <w:pPr>
              <w:spacing w:after="0" w:line="240" w:lineRule="auto"/>
              <w:jc w:val="right"/>
              <w:rPr>
                <w:rFonts w:eastAsia="Times New Roman"/>
                <w:sz w:val="20"/>
                <w:szCs w:val="20"/>
              </w:rPr>
            </w:pPr>
            <w:r w:rsidRPr="00DA249F">
              <w:rPr>
                <w:sz w:val="20"/>
                <w:szCs w:val="20"/>
              </w:rPr>
              <w:t>0.254</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79636F8B" w14:textId="4589281F" w:rsidR="008F0080" w:rsidRPr="00DA249F" w:rsidRDefault="008F0080" w:rsidP="00051CBF">
            <w:pPr>
              <w:spacing w:after="0" w:line="240" w:lineRule="auto"/>
              <w:jc w:val="right"/>
              <w:rPr>
                <w:rFonts w:eastAsia="Times New Roman"/>
                <w:sz w:val="20"/>
                <w:szCs w:val="20"/>
              </w:rPr>
            </w:pPr>
            <w:r w:rsidRPr="00DA249F">
              <w:rPr>
                <w:sz w:val="20"/>
                <w:szCs w:val="20"/>
              </w:rPr>
              <w:t>-0.264</w:t>
            </w: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061122A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48805E72"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3C15DF79"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610B35D4" w14:textId="7BAFC3F7"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0.201</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5F6029F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2842DDD3" w14:textId="53CEA167"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0.323</w:t>
            </w: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1FEA343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3427E927" w14:textId="7409F346"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-0.186</w:t>
            </w: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17C80FDF" w14:textId="2C3D3D19" w:rsidR="008F0080" w:rsidRPr="00DA249F" w:rsidRDefault="008F0080" w:rsidP="00051CBF">
            <w:pPr>
              <w:spacing w:after="0" w:line="240" w:lineRule="auto"/>
              <w:jc w:val="right"/>
              <w:rPr>
                <w:rFonts w:eastAsia="Times New Roman"/>
                <w:sz w:val="20"/>
                <w:szCs w:val="20"/>
              </w:rPr>
            </w:pPr>
            <w:r w:rsidRPr="00DA249F">
              <w:rPr>
                <w:sz w:val="20"/>
                <w:szCs w:val="20"/>
              </w:rPr>
              <w:t>-0.65</w:t>
            </w:r>
            <w:r w:rsidR="00DA249F" w:rsidRPr="00DA249F">
              <w:rPr>
                <w:sz w:val="20"/>
                <w:szCs w:val="20"/>
              </w:rPr>
              <w:t>1</w:t>
            </w: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1BBD3797" w14:textId="099F88D2" w:rsidR="008F0080" w:rsidRPr="00DA249F" w:rsidRDefault="008F0080" w:rsidP="00051CBF">
            <w:pPr>
              <w:spacing w:after="0" w:line="240" w:lineRule="auto"/>
              <w:jc w:val="right"/>
              <w:rPr>
                <w:rFonts w:eastAsia="Times New Roman"/>
                <w:sz w:val="20"/>
                <w:szCs w:val="20"/>
              </w:rPr>
            </w:pPr>
            <w:r w:rsidRPr="00DA249F">
              <w:rPr>
                <w:sz w:val="20"/>
                <w:szCs w:val="20"/>
              </w:rPr>
              <w:t>-0.277</w:t>
            </w:r>
          </w:p>
        </w:tc>
      </w:tr>
      <w:tr w:rsidR="00EA446B" w:rsidRPr="00DA249F" w14:paraId="421486BB" w14:textId="450A56D3" w:rsidTr="0069340B">
        <w:trPr>
          <w:trHeight w:val="20"/>
        </w:trPr>
        <w:tc>
          <w:tcPr>
            <w:tcW w:w="1338" w:type="pct"/>
            <w:tcBorders>
              <w:top w:val="nil"/>
              <w:left w:val="double" w:sz="4" w:space="0" w:color="auto"/>
              <w:right w:val="double" w:sz="4" w:space="0" w:color="auto"/>
            </w:tcBorders>
            <w:shd w:val="clear" w:color="auto" w:fill="auto"/>
            <w:vAlign w:val="center"/>
            <w:hideMark/>
          </w:tcPr>
          <w:p w14:paraId="15342DBD" w14:textId="10A575C0" w:rsidR="008F0080" w:rsidRPr="00DA249F" w:rsidRDefault="008F0080" w:rsidP="008F0080">
            <w:pPr>
              <w:spacing w:after="0" w:line="240" w:lineRule="auto"/>
              <w:rPr>
                <w:rFonts w:eastAsia="Times New Roman"/>
                <w:b/>
                <w:bCs/>
                <w:sz w:val="20"/>
                <w:szCs w:val="20"/>
              </w:rPr>
            </w:pPr>
            <w:r w:rsidRPr="00DA249F">
              <w:rPr>
                <w:rFonts w:eastAsia="Calibri"/>
                <w:b/>
                <w:bCs/>
                <w:sz w:val="20"/>
                <w:szCs w:val="20"/>
              </w:rPr>
              <w:t xml:space="preserve">Income </w:t>
            </w:r>
            <w:r w:rsidR="00E82A53">
              <w:rPr>
                <w:rFonts w:eastAsia="Calibri"/>
                <w:b/>
                <w:bCs/>
                <w:sz w:val="20"/>
                <w:szCs w:val="20"/>
              </w:rPr>
              <w:t>c</w:t>
            </w:r>
            <w:r w:rsidRPr="00DA249F">
              <w:rPr>
                <w:rFonts w:eastAsia="Calibri"/>
                <w:b/>
                <w:bCs/>
                <w:sz w:val="20"/>
                <w:szCs w:val="20"/>
              </w:rPr>
              <w:t xml:space="preserve">hange </w:t>
            </w:r>
            <w:r w:rsidRPr="00DA249F">
              <w:rPr>
                <w:rFonts w:eastAsia="Calibri"/>
                <w:i/>
                <w:iCs/>
                <w:sz w:val="20"/>
                <w:szCs w:val="20"/>
              </w:rPr>
              <w:t>(base: no change or increase)</w:t>
            </w:r>
          </w:p>
        </w:tc>
        <w:tc>
          <w:tcPr>
            <w:tcW w:w="266" w:type="pct"/>
            <w:tcBorders>
              <w:top w:val="nil"/>
              <w:left w:val="double" w:sz="4" w:space="0" w:color="auto"/>
              <w:right w:val="single" w:sz="4" w:space="0" w:color="auto"/>
            </w:tcBorders>
            <w:shd w:val="clear" w:color="auto" w:fill="FFFFFF" w:themeFill="background1"/>
            <w:vAlign w:val="center"/>
          </w:tcPr>
          <w:p w14:paraId="0DCB5805"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right w:val="single" w:sz="4" w:space="0" w:color="auto"/>
            </w:tcBorders>
            <w:shd w:val="clear" w:color="auto" w:fill="FFFFFF" w:themeFill="background1"/>
            <w:vAlign w:val="center"/>
          </w:tcPr>
          <w:p w14:paraId="0DBACABF"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right w:val="single" w:sz="4" w:space="0" w:color="auto"/>
            </w:tcBorders>
            <w:shd w:val="clear" w:color="auto" w:fill="FFFFFF" w:themeFill="background1"/>
            <w:vAlign w:val="center"/>
          </w:tcPr>
          <w:p w14:paraId="7ED42337"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right w:val="single" w:sz="4" w:space="0" w:color="auto"/>
            </w:tcBorders>
            <w:shd w:val="clear" w:color="auto" w:fill="FFFFFF" w:themeFill="background1"/>
            <w:vAlign w:val="center"/>
          </w:tcPr>
          <w:p w14:paraId="6677741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672F4488"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right w:val="single" w:sz="4" w:space="0" w:color="auto"/>
            </w:tcBorders>
            <w:shd w:val="clear" w:color="auto" w:fill="FFFFFF" w:themeFill="background1"/>
            <w:vAlign w:val="center"/>
          </w:tcPr>
          <w:p w14:paraId="0CB658F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37DD5CA5"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right w:val="single" w:sz="8" w:space="0" w:color="auto"/>
            </w:tcBorders>
            <w:shd w:val="clear" w:color="auto" w:fill="FFFFFF" w:themeFill="background1"/>
            <w:vAlign w:val="center"/>
          </w:tcPr>
          <w:p w14:paraId="759978A6"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right w:val="single" w:sz="4" w:space="0" w:color="auto"/>
            </w:tcBorders>
            <w:shd w:val="clear" w:color="auto" w:fill="FFFFFF" w:themeFill="background1"/>
            <w:vAlign w:val="center"/>
          </w:tcPr>
          <w:p w14:paraId="215F3136"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6E5CCBAE"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6CFFBBA3"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right w:val="single" w:sz="4" w:space="0" w:color="auto"/>
            </w:tcBorders>
            <w:shd w:val="clear" w:color="auto" w:fill="FFFFFF" w:themeFill="background1"/>
            <w:vAlign w:val="center"/>
          </w:tcPr>
          <w:p w14:paraId="64E8B34B"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right w:val="single" w:sz="4" w:space="0" w:color="auto"/>
            </w:tcBorders>
            <w:shd w:val="clear" w:color="auto" w:fill="FFFFFF" w:themeFill="background1"/>
            <w:vAlign w:val="center"/>
          </w:tcPr>
          <w:p w14:paraId="7606B745"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right w:val="single" w:sz="4" w:space="0" w:color="auto"/>
            </w:tcBorders>
            <w:shd w:val="clear" w:color="auto" w:fill="FFFFFF" w:themeFill="background1"/>
            <w:vAlign w:val="center"/>
          </w:tcPr>
          <w:p w14:paraId="66C8540F"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right w:val="double" w:sz="4" w:space="0" w:color="auto"/>
            </w:tcBorders>
            <w:shd w:val="clear" w:color="auto" w:fill="FFFFFF" w:themeFill="background1"/>
            <w:vAlign w:val="center"/>
          </w:tcPr>
          <w:p w14:paraId="38B1B49E" w14:textId="77777777" w:rsidR="008F0080" w:rsidRPr="00DA249F" w:rsidRDefault="008F0080" w:rsidP="00051CBF">
            <w:pPr>
              <w:spacing w:after="0" w:line="240" w:lineRule="auto"/>
              <w:jc w:val="right"/>
              <w:rPr>
                <w:rFonts w:eastAsia="Times New Roman"/>
                <w:sz w:val="20"/>
                <w:szCs w:val="20"/>
              </w:rPr>
            </w:pPr>
          </w:p>
        </w:tc>
      </w:tr>
      <w:tr w:rsidR="00EA446B" w:rsidRPr="00DA249F" w14:paraId="65C1351E" w14:textId="146AF4AE" w:rsidTr="0069340B">
        <w:trPr>
          <w:trHeight w:val="20"/>
        </w:trPr>
        <w:tc>
          <w:tcPr>
            <w:tcW w:w="1338" w:type="pct"/>
            <w:tcBorders>
              <w:top w:val="nil"/>
              <w:left w:val="double" w:sz="4" w:space="0" w:color="auto"/>
              <w:bottom w:val="dotted" w:sz="4" w:space="0" w:color="auto"/>
              <w:right w:val="double" w:sz="4" w:space="0" w:color="auto"/>
            </w:tcBorders>
            <w:shd w:val="clear" w:color="auto" w:fill="auto"/>
            <w:vAlign w:val="center"/>
            <w:hideMark/>
          </w:tcPr>
          <w:p w14:paraId="2881841C"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Income decreased during COVID</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0BB5E74A" w14:textId="1DFE783A" w:rsidR="008F0080" w:rsidRPr="00DA249F" w:rsidRDefault="008F0080" w:rsidP="00051CBF">
            <w:pPr>
              <w:spacing w:after="0" w:line="240" w:lineRule="auto"/>
              <w:jc w:val="right"/>
              <w:rPr>
                <w:rFonts w:eastAsia="Times New Roman"/>
                <w:sz w:val="20"/>
                <w:szCs w:val="20"/>
              </w:rPr>
            </w:pPr>
            <w:r w:rsidRPr="00DA249F">
              <w:rPr>
                <w:sz w:val="20"/>
                <w:szCs w:val="20"/>
              </w:rPr>
              <w:t>0.304</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5035464F"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2875E661"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6D6AC591"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51CE152D"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67703CD2"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79CF452"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765C4BB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115A260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348395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BF8CF69"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1C496A52"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11BCFFC0"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74EDD6A7"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66398489" w14:textId="77777777" w:rsidR="008F0080" w:rsidRPr="00DA249F" w:rsidRDefault="008F0080" w:rsidP="00051CBF">
            <w:pPr>
              <w:spacing w:after="0" w:line="240" w:lineRule="auto"/>
              <w:jc w:val="right"/>
              <w:rPr>
                <w:rFonts w:eastAsia="Times New Roman"/>
                <w:sz w:val="20"/>
                <w:szCs w:val="20"/>
              </w:rPr>
            </w:pPr>
          </w:p>
        </w:tc>
      </w:tr>
      <w:tr w:rsidR="00EA446B" w:rsidRPr="00DA249F" w14:paraId="28E532FE" w14:textId="479E66FE" w:rsidTr="0069340B">
        <w:trPr>
          <w:trHeight w:val="20"/>
        </w:trPr>
        <w:tc>
          <w:tcPr>
            <w:tcW w:w="1338" w:type="pct"/>
            <w:tcBorders>
              <w:top w:val="dotted" w:sz="4" w:space="0" w:color="auto"/>
              <w:left w:val="double" w:sz="4" w:space="0" w:color="auto"/>
              <w:right w:val="double" w:sz="4" w:space="0" w:color="auto"/>
            </w:tcBorders>
            <w:shd w:val="clear" w:color="auto" w:fill="auto"/>
            <w:vAlign w:val="center"/>
            <w:hideMark/>
          </w:tcPr>
          <w:p w14:paraId="401FA2F4" w14:textId="36A30EC2" w:rsidR="008F0080" w:rsidRPr="00DA249F" w:rsidRDefault="00E82A53" w:rsidP="008F0080">
            <w:pPr>
              <w:spacing w:after="0" w:line="240" w:lineRule="auto"/>
              <w:rPr>
                <w:rFonts w:eastAsia="Times New Roman"/>
                <w:b/>
                <w:bCs/>
                <w:sz w:val="20"/>
                <w:szCs w:val="20"/>
              </w:rPr>
            </w:pPr>
            <w:r>
              <w:rPr>
                <w:rFonts w:eastAsia="Calibri"/>
                <w:b/>
                <w:color w:val="000000" w:themeColor="text1"/>
                <w:sz w:val="20"/>
                <w:szCs w:val="20"/>
              </w:rPr>
              <w:t>Number of motorized vehicles</w:t>
            </w:r>
            <w:r w:rsidR="008F0080" w:rsidRPr="00DA249F">
              <w:rPr>
                <w:rFonts w:eastAsia="Calibri"/>
                <w:b/>
                <w:bCs/>
                <w:sz w:val="20"/>
                <w:szCs w:val="20"/>
              </w:rPr>
              <w:t xml:space="preserve"> </w:t>
            </w:r>
            <w:r w:rsidR="008F0080" w:rsidRPr="00DA249F">
              <w:rPr>
                <w:rFonts w:eastAsia="Calibri"/>
                <w:i/>
                <w:iCs/>
                <w:sz w:val="20"/>
                <w:szCs w:val="20"/>
              </w:rPr>
              <w:t>(base: ≥1 vehicle)</w:t>
            </w:r>
          </w:p>
        </w:tc>
        <w:tc>
          <w:tcPr>
            <w:tcW w:w="266" w:type="pct"/>
            <w:tcBorders>
              <w:top w:val="dotted" w:sz="4" w:space="0" w:color="auto"/>
              <w:left w:val="double" w:sz="4" w:space="0" w:color="auto"/>
              <w:right w:val="single" w:sz="4" w:space="0" w:color="auto"/>
            </w:tcBorders>
            <w:shd w:val="clear" w:color="auto" w:fill="FFFFFF" w:themeFill="background1"/>
            <w:vAlign w:val="center"/>
          </w:tcPr>
          <w:p w14:paraId="18BB496D" w14:textId="77777777" w:rsidR="008F0080" w:rsidRPr="00DA249F" w:rsidRDefault="008F0080" w:rsidP="00051CBF">
            <w:pPr>
              <w:spacing w:after="0" w:line="240" w:lineRule="auto"/>
              <w:jc w:val="right"/>
              <w:rPr>
                <w:rFonts w:eastAsia="Times New Roman"/>
                <w:sz w:val="20"/>
                <w:szCs w:val="20"/>
              </w:rPr>
            </w:pPr>
          </w:p>
        </w:tc>
        <w:tc>
          <w:tcPr>
            <w:tcW w:w="239" w:type="pct"/>
            <w:tcBorders>
              <w:top w:val="dotted" w:sz="4" w:space="0" w:color="auto"/>
              <w:left w:val="single" w:sz="4" w:space="0" w:color="auto"/>
              <w:right w:val="single" w:sz="4" w:space="0" w:color="auto"/>
            </w:tcBorders>
            <w:shd w:val="clear" w:color="auto" w:fill="FFFFFF" w:themeFill="background1"/>
            <w:vAlign w:val="center"/>
          </w:tcPr>
          <w:p w14:paraId="6F586D3B" w14:textId="77777777" w:rsidR="008F0080" w:rsidRPr="00DA249F" w:rsidRDefault="008F0080" w:rsidP="00051CBF">
            <w:pPr>
              <w:spacing w:after="0" w:line="240" w:lineRule="auto"/>
              <w:jc w:val="right"/>
              <w:rPr>
                <w:rFonts w:eastAsia="Times New Roman"/>
                <w:sz w:val="20"/>
                <w:szCs w:val="20"/>
              </w:rPr>
            </w:pPr>
          </w:p>
        </w:tc>
        <w:tc>
          <w:tcPr>
            <w:tcW w:w="272" w:type="pct"/>
            <w:tcBorders>
              <w:top w:val="dotted" w:sz="4" w:space="0" w:color="auto"/>
              <w:left w:val="single" w:sz="4" w:space="0" w:color="auto"/>
              <w:right w:val="single" w:sz="4" w:space="0" w:color="auto"/>
            </w:tcBorders>
            <w:shd w:val="clear" w:color="auto" w:fill="FFFFFF" w:themeFill="background1"/>
            <w:vAlign w:val="center"/>
          </w:tcPr>
          <w:p w14:paraId="341C3A9F" w14:textId="77777777" w:rsidR="008F0080" w:rsidRPr="00DA249F" w:rsidRDefault="008F0080" w:rsidP="00051CBF">
            <w:pPr>
              <w:spacing w:after="0" w:line="240" w:lineRule="auto"/>
              <w:jc w:val="right"/>
              <w:rPr>
                <w:rFonts w:eastAsia="Times New Roman"/>
                <w:sz w:val="20"/>
                <w:szCs w:val="20"/>
              </w:rPr>
            </w:pPr>
          </w:p>
        </w:tc>
        <w:tc>
          <w:tcPr>
            <w:tcW w:w="239" w:type="pct"/>
            <w:tcBorders>
              <w:top w:val="dotted" w:sz="4" w:space="0" w:color="auto"/>
              <w:left w:val="single" w:sz="4" w:space="0" w:color="auto"/>
              <w:right w:val="single" w:sz="4" w:space="0" w:color="auto"/>
            </w:tcBorders>
            <w:shd w:val="clear" w:color="auto" w:fill="FFFFFF" w:themeFill="background1"/>
            <w:vAlign w:val="center"/>
          </w:tcPr>
          <w:p w14:paraId="6D8E063B"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06908B2E" w14:textId="77777777" w:rsidR="008F0080" w:rsidRPr="00DA249F" w:rsidRDefault="008F0080" w:rsidP="00051CBF">
            <w:pPr>
              <w:spacing w:after="0" w:line="240" w:lineRule="auto"/>
              <w:jc w:val="right"/>
              <w:rPr>
                <w:rFonts w:eastAsia="Times New Roman"/>
                <w:sz w:val="20"/>
                <w:szCs w:val="20"/>
              </w:rPr>
            </w:pPr>
          </w:p>
        </w:tc>
        <w:tc>
          <w:tcPr>
            <w:tcW w:w="274" w:type="pct"/>
            <w:tcBorders>
              <w:top w:val="dotted" w:sz="4" w:space="0" w:color="auto"/>
              <w:left w:val="single" w:sz="4" w:space="0" w:color="auto"/>
              <w:right w:val="single" w:sz="4" w:space="0" w:color="auto"/>
            </w:tcBorders>
            <w:shd w:val="clear" w:color="auto" w:fill="FFFFFF" w:themeFill="background1"/>
            <w:vAlign w:val="center"/>
          </w:tcPr>
          <w:p w14:paraId="6AE474DE"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7B81CBAA" w14:textId="77777777" w:rsidR="008F0080" w:rsidRPr="00DA249F" w:rsidRDefault="008F0080" w:rsidP="00051CBF">
            <w:pPr>
              <w:spacing w:after="0" w:line="240" w:lineRule="auto"/>
              <w:jc w:val="right"/>
              <w:rPr>
                <w:rFonts w:eastAsia="Times New Roman"/>
                <w:sz w:val="20"/>
                <w:szCs w:val="20"/>
              </w:rPr>
            </w:pPr>
          </w:p>
        </w:tc>
        <w:tc>
          <w:tcPr>
            <w:tcW w:w="239" w:type="pct"/>
            <w:tcBorders>
              <w:top w:val="dotted" w:sz="4" w:space="0" w:color="auto"/>
              <w:left w:val="single" w:sz="4" w:space="0" w:color="auto"/>
              <w:right w:val="single" w:sz="8" w:space="0" w:color="auto"/>
            </w:tcBorders>
            <w:shd w:val="clear" w:color="auto" w:fill="FFFFFF" w:themeFill="background1"/>
            <w:vAlign w:val="center"/>
          </w:tcPr>
          <w:p w14:paraId="6D81B75A"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8" w:space="0" w:color="auto"/>
              <w:right w:val="single" w:sz="4" w:space="0" w:color="auto"/>
            </w:tcBorders>
            <w:shd w:val="clear" w:color="auto" w:fill="FFFFFF" w:themeFill="background1"/>
            <w:vAlign w:val="center"/>
          </w:tcPr>
          <w:p w14:paraId="701D2E64"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18855924"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right w:val="single" w:sz="4" w:space="0" w:color="auto"/>
            </w:tcBorders>
            <w:shd w:val="clear" w:color="auto" w:fill="FFFFFF" w:themeFill="background1"/>
            <w:vAlign w:val="center"/>
          </w:tcPr>
          <w:p w14:paraId="1D9ABDF2" w14:textId="77777777" w:rsidR="008F0080" w:rsidRPr="00DA249F" w:rsidRDefault="008F0080" w:rsidP="00051CBF">
            <w:pPr>
              <w:spacing w:after="0" w:line="240" w:lineRule="auto"/>
              <w:jc w:val="right"/>
              <w:rPr>
                <w:rFonts w:eastAsia="Times New Roman"/>
                <w:sz w:val="20"/>
                <w:szCs w:val="20"/>
              </w:rPr>
            </w:pPr>
          </w:p>
        </w:tc>
        <w:tc>
          <w:tcPr>
            <w:tcW w:w="236" w:type="pct"/>
            <w:tcBorders>
              <w:top w:val="dotted" w:sz="4" w:space="0" w:color="auto"/>
              <w:left w:val="single" w:sz="4" w:space="0" w:color="auto"/>
              <w:right w:val="single" w:sz="4" w:space="0" w:color="auto"/>
            </w:tcBorders>
            <w:shd w:val="clear" w:color="auto" w:fill="FFFFFF" w:themeFill="background1"/>
            <w:vAlign w:val="center"/>
          </w:tcPr>
          <w:p w14:paraId="273D69C6" w14:textId="77777777" w:rsidR="008F0080" w:rsidRPr="00DA249F" w:rsidRDefault="008F0080" w:rsidP="00051CBF">
            <w:pPr>
              <w:spacing w:after="0" w:line="240" w:lineRule="auto"/>
              <w:jc w:val="right"/>
              <w:rPr>
                <w:rFonts w:eastAsia="Times New Roman"/>
                <w:sz w:val="20"/>
                <w:szCs w:val="20"/>
              </w:rPr>
            </w:pPr>
          </w:p>
        </w:tc>
        <w:tc>
          <w:tcPr>
            <w:tcW w:w="236" w:type="pct"/>
            <w:tcBorders>
              <w:top w:val="dotted" w:sz="4" w:space="0" w:color="auto"/>
              <w:left w:val="single" w:sz="4" w:space="0" w:color="auto"/>
              <w:right w:val="single" w:sz="4" w:space="0" w:color="auto"/>
            </w:tcBorders>
            <w:shd w:val="clear" w:color="auto" w:fill="FFFFFF" w:themeFill="background1"/>
            <w:vAlign w:val="center"/>
          </w:tcPr>
          <w:p w14:paraId="5745346E" w14:textId="77777777" w:rsidR="008F0080" w:rsidRPr="00DA249F" w:rsidRDefault="008F0080" w:rsidP="00051CBF">
            <w:pPr>
              <w:spacing w:after="0" w:line="240" w:lineRule="auto"/>
              <w:jc w:val="right"/>
              <w:rPr>
                <w:rFonts w:eastAsia="Times New Roman"/>
                <w:sz w:val="20"/>
                <w:szCs w:val="20"/>
              </w:rPr>
            </w:pPr>
          </w:p>
        </w:tc>
        <w:tc>
          <w:tcPr>
            <w:tcW w:w="236" w:type="pct"/>
            <w:tcBorders>
              <w:top w:val="dotted" w:sz="4" w:space="0" w:color="auto"/>
              <w:left w:val="single" w:sz="4" w:space="0" w:color="auto"/>
              <w:right w:val="single" w:sz="4" w:space="0" w:color="auto"/>
            </w:tcBorders>
            <w:shd w:val="clear" w:color="auto" w:fill="FFFFFF" w:themeFill="background1"/>
            <w:vAlign w:val="center"/>
          </w:tcPr>
          <w:p w14:paraId="2A92484C" w14:textId="77777777" w:rsidR="008F0080" w:rsidRPr="00DA249F" w:rsidRDefault="008F0080" w:rsidP="00051CBF">
            <w:pPr>
              <w:spacing w:after="0" w:line="240" w:lineRule="auto"/>
              <w:jc w:val="right"/>
              <w:rPr>
                <w:rFonts w:eastAsia="Times New Roman"/>
                <w:sz w:val="20"/>
                <w:szCs w:val="20"/>
              </w:rPr>
            </w:pPr>
          </w:p>
        </w:tc>
        <w:tc>
          <w:tcPr>
            <w:tcW w:w="240" w:type="pct"/>
            <w:tcBorders>
              <w:top w:val="dotted" w:sz="4" w:space="0" w:color="auto"/>
              <w:left w:val="single" w:sz="4" w:space="0" w:color="auto"/>
              <w:right w:val="double" w:sz="4" w:space="0" w:color="auto"/>
            </w:tcBorders>
            <w:shd w:val="clear" w:color="auto" w:fill="FFFFFF" w:themeFill="background1"/>
            <w:vAlign w:val="center"/>
          </w:tcPr>
          <w:p w14:paraId="22E1F558" w14:textId="77777777" w:rsidR="008F0080" w:rsidRPr="00DA249F" w:rsidRDefault="008F0080" w:rsidP="00051CBF">
            <w:pPr>
              <w:spacing w:after="0" w:line="240" w:lineRule="auto"/>
              <w:jc w:val="right"/>
              <w:rPr>
                <w:rFonts w:eastAsia="Times New Roman"/>
                <w:sz w:val="20"/>
                <w:szCs w:val="20"/>
              </w:rPr>
            </w:pPr>
          </w:p>
        </w:tc>
      </w:tr>
      <w:tr w:rsidR="00EA446B" w:rsidRPr="00DA249F" w14:paraId="222D64A3" w14:textId="518DE6FE" w:rsidTr="00392A30">
        <w:trPr>
          <w:trHeight w:val="66"/>
        </w:trPr>
        <w:tc>
          <w:tcPr>
            <w:tcW w:w="1338" w:type="pct"/>
            <w:tcBorders>
              <w:top w:val="nil"/>
              <w:left w:val="double" w:sz="4" w:space="0" w:color="auto"/>
              <w:bottom w:val="single" w:sz="4" w:space="0" w:color="auto"/>
              <w:right w:val="double" w:sz="4" w:space="0" w:color="auto"/>
            </w:tcBorders>
            <w:shd w:val="clear" w:color="auto" w:fill="auto"/>
            <w:vAlign w:val="center"/>
            <w:hideMark/>
          </w:tcPr>
          <w:p w14:paraId="7BE2008E"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0 vehicles</w:t>
            </w:r>
          </w:p>
        </w:tc>
        <w:tc>
          <w:tcPr>
            <w:tcW w:w="266" w:type="pct"/>
            <w:tcBorders>
              <w:top w:val="nil"/>
              <w:left w:val="double" w:sz="4" w:space="0" w:color="auto"/>
              <w:bottom w:val="single" w:sz="4" w:space="0" w:color="auto"/>
              <w:right w:val="single" w:sz="4" w:space="0" w:color="auto"/>
            </w:tcBorders>
            <w:shd w:val="clear" w:color="auto" w:fill="FFFFFF" w:themeFill="background1"/>
            <w:vAlign w:val="center"/>
          </w:tcPr>
          <w:p w14:paraId="283C2FF6" w14:textId="12B18850" w:rsidR="008F0080" w:rsidRPr="00DA249F" w:rsidRDefault="008F0080" w:rsidP="00051CBF">
            <w:pPr>
              <w:spacing w:after="0" w:line="240" w:lineRule="auto"/>
              <w:jc w:val="right"/>
              <w:rPr>
                <w:rFonts w:eastAsia="Times New Roman"/>
                <w:sz w:val="20"/>
                <w:szCs w:val="20"/>
              </w:rPr>
            </w:pPr>
            <w:r w:rsidRPr="00DA249F">
              <w:rPr>
                <w:sz w:val="20"/>
                <w:szCs w:val="20"/>
              </w:rPr>
              <w:t>0.785</w:t>
            </w:r>
          </w:p>
        </w:tc>
        <w:tc>
          <w:tcPr>
            <w:tcW w:w="239" w:type="pct"/>
            <w:tcBorders>
              <w:top w:val="nil"/>
              <w:left w:val="single" w:sz="4" w:space="0" w:color="auto"/>
              <w:bottom w:val="single" w:sz="4" w:space="0" w:color="auto"/>
              <w:right w:val="single" w:sz="4" w:space="0" w:color="auto"/>
            </w:tcBorders>
            <w:shd w:val="clear" w:color="auto" w:fill="FFFFFF" w:themeFill="background1"/>
            <w:vAlign w:val="center"/>
          </w:tcPr>
          <w:p w14:paraId="746A631D"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single" w:sz="4" w:space="0" w:color="auto"/>
              <w:right w:val="single" w:sz="4" w:space="0" w:color="auto"/>
            </w:tcBorders>
            <w:shd w:val="clear" w:color="auto" w:fill="FFFFFF" w:themeFill="background1"/>
            <w:vAlign w:val="center"/>
          </w:tcPr>
          <w:p w14:paraId="502DF98C"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4" w:space="0" w:color="auto"/>
              <w:right w:val="single" w:sz="4" w:space="0" w:color="auto"/>
            </w:tcBorders>
            <w:shd w:val="clear" w:color="auto" w:fill="FFFFFF" w:themeFill="background1"/>
            <w:vAlign w:val="center"/>
          </w:tcPr>
          <w:p w14:paraId="2AE226A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4" w:space="0" w:color="auto"/>
              <w:right w:val="single" w:sz="4" w:space="0" w:color="auto"/>
            </w:tcBorders>
            <w:shd w:val="clear" w:color="auto" w:fill="FFFFFF" w:themeFill="background1"/>
            <w:vAlign w:val="center"/>
          </w:tcPr>
          <w:p w14:paraId="120B6B0D"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single" w:sz="4" w:space="0" w:color="auto"/>
              <w:right w:val="single" w:sz="4" w:space="0" w:color="auto"/>
            </w:tcBorders>
            <w:shd w:val="clear" w:color="auto" w:fill="FFFFFF" w:themeFill="background1"/>
            <w:vAlign w:val="center"/>
          </w:tcPr>
          <w:p w14:paraId="0899775E"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4" w:space="0" w:color="auto"/>
              <w:right w:val="single" w:sz="4" w:space="0" w:color="auto"/>
            </w:tcBorders>
            <w:shd w:val="clear" w:color="auto" w:fill="FFFFFF" w:themeFill="background1"/>
            <w:vAlign w:val="center"/>
          </w:tcPr>
          <w:p w14:paraId="4673844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4" w:space="0" w:color="auto"/>
              <w:right w:val="single" w:sz="8" w:space="0" w:color="auto"/>
            </w:tcBorders>
            <w:shd w:val="clear" w:color="auto" w:fill="FFFFFF" w:themeFill="background1"/>
            <w:vAlign w:val="center"/>
          </w:tcPr>
          <w:p w14:paraId="5CC224E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single" w:sz="4" w:space="0" w:color="auto"/>
              <w:right w:val="single" w:sz="4" w:space="0" w:color="auto"/>
            </w:tcBorders>
            <w:shd w:val="clear" w:color="auto" w:fill="FFFFFF" w:themeFill="background1"/>
            <w:vAlign w:val="center"/>
          </w:tcPr>
          <w:p w14:paraId="7AFE11E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4" w:space="0" w:color="auto"/>
              <w:right w:val="single" w:sz="4" w:space="0" w:color="auto"/>
            </w:tcBorders>
            <w:shd w:val="clear" w:color="auto" w:fill="FFFFFF" w:themeFill="background1"/>
            <w:vAlign w:val="center"/>
          </w:tcPr>
          <w:p w14:paraId="3AF1AF2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4" w:space="0" w:color="auto"/>
              <w:right w:val="single" w:sz="4" w:space="0" w:color="auto"/>
            </w:tcBorders>
            <w:shd w:val="clear" w:color="auto" w:fill="FFFFFF" w:themeFill="background1"/>
            <w:vAlign w:val="center"/>
          </w:tcPr>
          <w:p w14:paraId="4103FD93"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4" w:space="0" w:color="auto"/>
              <w:right w:val="single" w:sz="4" w:space="0" w:color="auto"/>
            </w:tcBorders>
            <w:shd w:val="clear" w:color="auto" w:fill="FFFFFF" w:themeFill="background1"/>
            <w:vAlign w:val="center"/>
          </w:tcPr>
          <w:p w14:paraId="44063109"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4" w:space="0" w:color="auto"/>
              <w:right w:val="single" w:sz="4" w:space="0" w:color="auto"/>
            </w:tcBorders>
            <w:shd w:val="clear" w:color="auto" w:fill="FFFFFF" w:themeFill="background1"/>
            <w:vAlign w:val="center"/>
          </w:tcPr>
          <w:p w14:paraId="3C474FD0"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4" w:space="0" w:color="auto"/>
              <w:right w:val="single" w:sz="4" w:space="0" w:color="auto"/>
            </w:tcBorders>
            <w:shd w:val="clear" w:color="auto" w:fill="FFFFFF" w:themeFill="background1"/>
            <w:vAlign w:val="center"/>
          </w:tcPr>
          <w:p w14:paraId="2E61B0F2"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single" w:sz="4" w:space="0" w:color="auto"/>
              <w:right w:val="double" w:sz="4" w:space="0" w:color="auto"/>
            </w:tcBorders>
            <w:shd w:val="clear" w:color="auto" w:fill="FFFFFF" w:themeFill="background1"/>
            <w:vAlign w:val="center"/>
          </w:tcPr>
          <w:p w14:paraId="4BE376B0" w14:textId="77777777" w:rsidR="008F0080" w:rsidRPr="00DA249F" w:rsidRDefault="008F0080" w:rsidP="00051CBF">
            <w:pPr>
              <w:spacing w:after="0" w:line="240" w:lineRule="auto"/>
              <w:jc w:val="right"/>
              <w:rPr>
                <w:rFonts w:eastAsia="Times New Roman"/>
                <w:sz w:val="20"/>
                <w:szCs w:val="20"/>
              </w:rPr>
            </w:pPr>
          </w:p>
        </w:tc>
      </w:tr>
      <w:tr w:rsidR="00BC4A8E" w:rsidRPr="00DA249F" w14:paraId="2D01412E" w14:textId="704D24A9" w:rsidTr="009C6D74">
        <w:trPr>
          <w:trHeight w:val="20"/>
        </w:trPr>
        <w:tc>
          <w:tcPr>
            <w:tcW w:w="5000" w:type="pct"/>
            <w:gridSpan w:val="16"/>
            <w:tcBorders>
              <w:top w:val="single" w:sz="4" w:space="0" w:color="auto"/>
              <w:left w:val="double" w:sz="4" w:space="0" w:color="auto"/>
              <w:bottom w:val="single" w:sz="8" w:space="0" w:color="auto"/>
              <w:right w:val="double" w:sz="4" w:space="0" w:color="auto"/>
            </w:tcBorders>
            <w:shd w:val="clear" w:color="auto" w:fill="auto"/>
            <w:vAlign w:val="center"/>
            <w:hideMark/>
          </w:tcPr>
          <w:p w14:paraId="5A8468B8" w14:textId="586A42D9" w:rsidR="00BC4A8E" w:rsidRPr="00DA249F" w:rsidRDefault="00BC4A8E" w:rsidP="00BC4A8E">
            <w:pPr>
              <w:spacing w:after="0" w:line="240" w:lineRule="auto"/>
              <w:rPr>
                <w:rFonts w:eastAsia="Times New Roman"/>
                <w:sz w:val="20"/>
                <w:szCs w:val="20"/>
              </w:rPr>
            </w:pPr>
            <w:r w:rsidRPr="00DA249F">
              <w:rPr>
                <w:rFonts w:eastAsia="Calibri"/>
                <w:b/>
                <w:bCs/>
                <w:iCs/>
                <w:sz w:val="20"/>
                <w:szCs w:val="20"/>
              </w:rPr>
              <w:t>Employment Characteristics</w:t>
            </w:r>
          </w:p>
        </w:tc>
      </w:tr>
      <w:tr w:rsidR="00EA446B" w:rsidRPr="00DA249F" w14:paraId="1FF4C6F3" w14:textId="24B24877" w:rsidTr="009C6D74">
        <w:trPr>
          <w:trHeight w:val="20"/>
        </w:trPr>
        <w:tc>
          <w:tcPr>
            <w:tcW w:w="1338" w:type="pct"/>
            <w:tcBorders>
              <w:top w:val="single" w:sz="8" w:space="0" w:color="auto"/>
              <w:left w:val="double" w:sz="4" w:space="0" w:color="auto"/>
              <w:bottom w:val="nil"/>
              <w:right w:val="double" w:sz="4" w:space="0" w:color="auto"/>
            </w:tcBorders>
            <w:shd w:val="clear" w:color="auto" w:fill="auto"/>
            <w:vAlign w:val="center"/>
            <w:hideMark/>
          </w:tcPr>
          <w:p w14:paraId="242E564F" w14:textId="2879F14F" w:rsidR="008F0080" w:rsidRPr="00DA249F" w:rsidRDefault="008F0080" w:rsidP="008F0080">
            <w:pPr>
              <w:spacing w:after="0" w:line="240" w:lineRule="auto"/>
              <w:rPr>
                <w:rFonts w:eastAsia="Times New Roman"/>
                <w:b/>
                <w:bCs/>
                <w:sz w:val="20"/>
                <w:szCs w:val="20"/>
              </w:rPr>
            </w:pPr>
            <w:r w:rsidRPr="00DA249F">
              <w:rPr>
                <w:rFonts w:eastAsia="Calibri"/>
                <w:b/>
                <w:bCs/>
                <w:sz w:val="20"/>
                <w:szCs w:val="20"/>
              </w:rPr>
              <w:t xml:space="preserve">Employment </w:t>
            </w:r>
            <w:r w:rsidR="00E82A53">
              <w:rPr>
                <w:rFonts w:eastAsia="Calibri"/>
                <w:b/>
                <w:bCs/>
                <w:sz w:val="20"/>
                <w:szCs w:val="20"/>
              </w:rPr>
              <w:t>s</w:t>
            </w:r>
            <w:r w:rsidRPr="00DA249F">
              <w:rPr>
                <w:rFonts w:eastAsia="Calibri"/>
                <w:b/>
                <w:bCs/>
                <w:sz w:val="20"/>
                <w:szCs w:val="20"/>
              </w:rPr>
              <w:t xml:space="preserve">tatus </w:t>
            </w:r>
            <w:r w:rsidRPr="00DA249F">
              <w:rPr>
                <w:rFonts w:eastAsia="Calibri"/>
                <w:i/>
                <w:iCs/>
                <w:sz w:val="20"/>
                <w:szCs w:val="20"/>
              </w:rPr>
              <w:t>(base: not employed)</w:t>
            </w:r>
          </w:p>
        </w:tc>
        <w:tc>
          <w:tcPr>
            <w:tcW w:w="266" w:type="pct"/>
            <w:tcBorders>
              <w:top w:val="single" w:sz="8" w:space="0" w:color="auto"/>
              <w:left w:val="double" w:sz="4" w:space="0" w:color="auto"/>
              <w:bottom w:val="nil"/>
              <w:right w:val="single" w:sz="4" w:space="0" w:color="auto"/>
            </w:tcBorders>
            <w:shd w:val="clear" w:color="auto" w:fill="FFFFFF" w:themeFill="background1"/>
            <w:vAlign w:val="center"/>
          </w:tcPr>
          <w:p w14:paraId="20B1CAF3"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4" w:space="0" w:color="auto"/>
            </w:tcBorders>
            <w:shd w:val="clear" w:color="auto" w:fill="FFFFFF" w:themeFill="background1"/>
            <w:vAlign w:val="center"/>
          </w:tcPr>
          <w:p w14:paraId="6CF43F28" w14:textId="77777777" w:rsidR="008F0080" w:rsidRPr="00DA249F" w:rsidRDefault="008F0080" w:rsidP="00051CBF">
            <w:pPr>
              <w:spacing w:after="0" w:line="240" w:lineRule="auto"/>
              <w:jc w:val="right"/>
              <w:rPr>
                <w:rFonts w:eastAsia="Times New Roman"/>
                <w:sz w:val="20"/>
                <w:szCs w:val="20"/>
              </w:rPr>
            </w:pPr>
          </w:p>
        </w:tc>
        <w:tc>
          <w:tcPr>
            <w:tcW w:w="272" w:type="pct"/>
            <w:tcBorders>
              <w:top w:val="single" w:sz="8" w:space="0" w:color="auto"/>
              <w:left w:val="single" w:sz="4" w:space="0" w:color="auto"/>
              <w:bottom w:val="nil"/>
              <w:right w:val="single" w:sz="4" w:space="0" w:color="auto"/>
            </w:tcBorders>
            <w:shd w:val="clear" w:color="auto" w:fill="FFFFFF" w:themeFill="background1"/>
            <w:vAlign w:val="center"/>
          </w:tcPr>
          <w:p w14:paraId="2261F72A"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4" w:space="0" w:color="auto"/>
            </w:tcBorders>
            <w:shd w:val="clear" w:color="auto" w:fill="FFFFFF" w:themeFill="background1"/>
            <w:vAlign w:val="center"/>
          </w:tcPr>
          <w:p w14:paraId="637E341D"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18BEFED2" w14:textId="77777777" w:rsidR="008F0080" w:rsidRPr="00DA249F" w:rsidRDefault="008F0080" w:rsidP="00051CBF">
            <w:pPr>
              <w:spacing w:after="0" w:line="240" w:lineRule="auto"/>
              <w:jc w:val="right"/>
              <w:rPr>
                <w:rFonts w:eastAsia="Times New Roman"/>
                <w:sz w:val="20"/>
                <w:szCs w:val="20"/>
              </w:rPr>
            </w:pPr>
          </w:p>
        </w:tc>
        <w:tc>
          <w:tcPr>
            <w:tcW w:w="274" w:type="pct"/>
            <w:tcBorders>
              <w:top w:val="single" w:sz="8" w:space="0" w:color="auto"/>
              <w:left w:val="single" w:sz="4" w:space="0" w:color="auto"/>
              <w:bottom w:val="nil"/>
              <w:right w:val="single" w:sz="4" w:space="0" w:color="auto"/>
            </w:tcBorders>
            <w:shd w:val="clear" w:color="auto" w:fill="FFFFFF" w:themeFill="background1"/>
            <w:vAlign w:val="center"/>
          </w:tcPr>
          <w:p w14:paraId="7A35BC52"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168016AE"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8" w:space="0" w:color="auto"/>
            </w:tcBorders>
            <w:shd w:val="clear" w:color="auto" w:fill="FFFFFF" w:themeFill="background1"/>
            <w:vAlign w:val="center"/>
          </w:tcPr>
          <w:p w14:paraId="61504480"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8" w:space="0" w:color="auto"/>
              <w:bottom w:val="nil"/>
              <w:right w:val="single" w:sz="4" w:space="0" w:color="auto"/>
            </w:tcBorders>
            <w:shd w:val="clear" w:color="auto" w:fill="FFFFFF" w:themeFill="background1"/>
            <w:vAlign w:val="center"/>
          </w:tcPr>
          <w:p w14:paraId="3E95342C"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3994EF39"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42BE12B3"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73444300"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2712ABA0"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30C3D4B8" w14:textId="77777777" w:rsidR="008F0080" w:rsidRPr="00DA249F" w:rsidRDefault="008F0080" w:rsidP="00051CBF">
            <w:pPr>
              <w:spacing w:after="0" w:line="240" w:lineRule="auto"/>
              <w:jc w:val="right"/>
              <w:rPr>
                <w:rFonts w:eastAsia="Times New Roman"/>
                <w:sz w:val="20"/>
                <w:szCs w:val="20"/>
              </w:rPr>
            </w:pPr>
          </w:p>
        </w:tc>
        <w:tc>
          <w:tcPr>
            <w:tcW w:w="240" w:type="pct"/>
            <w:tcBorders>
              <w:top w:val="single" w:sz="8" w:space="0" w:color="auto"/>
              <w:left w:val="single" w:sz="4" w:space="0" w:color="auto"/>
              <w:bottom w:val="nil"/>
              <w:right w:val="double" w:sz="4" w:space="0" w:color="auto"/>
            </w:tcBorders>
            <w:shd w:val="clear" w:color="auto" w:fill="FFFFFF" w:themeFill="background1"/>
            <w:vAlign w:val="center"/>
          </w:tcPr>
          <w:p w14:paraId="6692CD1A" w14:textId="77777777" w:rsidR="008F0080" w:rsidRPr="00DA249F" w:rsidRDefault="008F0080" w:rsidP="00051CBF">
            <w:pPr>
              <w:spacing w:after="0" w:line="240" w:lineRule="auto"/>
              <w:jc w:val="right"/>
              <w:rPr>
                <w:rFonts w:eastAsia="Times New Roman"/>
                <w:sz w:val="20"/>
                <w:szCs w:val="20"/>
              </w:rPr>
            </w:pPr>
          </w:p>
        </w:tc>
      </w:tr>
      <w:tr w:rsidR="00EA446B" w:rsidRPr="00DA249F" w14:paraId="69BDB4C2" w14:textId="28D3506A" w:rsidTr="00392A30">
        <w:trPr>
          <w:trHeight w:val="72"/>
        </w:trPr>
        <w:tc>
          <w:tcPr>
            <w:tcW w:w="1338" w:type="pct"/>
            <w:tcBorders>
              <w:top w:val="nil"/>
              <w:left w:val="double" w:sz="4" w:space="0" w:color="auto"/>
              <w:bottom w:val="dotted" w:sz="4" w:space="0" w:color="auto"/>
              <w:right w:val="double" w:sz="4" w:space="0" w:color="auto"/>
            </w:tcBorders>
            <w:shd w:val="clear" w:color="auto" w:fill="auto"/>
            <w:vAlign w:val="center"/>
            <w:hideMark/>
          </w:tcPr>
          <w:p w14:paraId="0C8110DA"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 xml:space="preserve">Employed full-time or part-time </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4E7033FE" w14:textId="7B0956CF" w:rsidR="008F0080" w:rsidRPr="00DA249F" w:rsidRDefault="008F0080" w:rsidP="00051CBF">
            <w:pPr>
              <w:spacing w:after="0" w:line="240" w:lineRule="auto"/>
              <w:jc w:val="right"/>
              <w:rPr>
                <w:rFonts w:eastAsia="Times New Roman"/>
                <w:sz w:val="20"/>
                <w:szCs w:val="20"/>
              </w:rPr>
            </w:pPr>
            <w:r w:rsidRPr="00DA249F">
              <w:rPr>
                <w:sz w:val="20"/>
                <w:szCs w:val="20"/>
              </w:rPr>
              <w:t>-0.459</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02398C29"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6ECD5851" w14:textId="4D096EB7" w:rsidR="008F0080" w:rsidRPr="00DA249F" w:rsidRDefault="008F0080" w:rsidP="00051CBF">
            <w:pPr>
              <w:spacing w:after="0" w:line="240" w:lineRule="auto"/>
              <w:jc w:val="right"/>
              <w:rPr>
                <w:rFonts w:eastAsia="Times New Roman"/>
                <w:sz w:val="20"/>
                <w:szCs w:val="20"/>
              </w:rPr>
            </w:pPr>
            <w:r w:rsidRPr="00DA249F">
              <w:rPr>
                <w:sz w:val="20"/>
                <w:szCs w:val="20"/>
              </w:rPr>
              <w:t>0.503</w:t>
            </w: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7045FA4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1F9FE296" w14:textId="0DFE7847" w:rsidR="008F0080" w:rsidRPr="00DA249F" w:rsidRDefault="008F0080" w:rsidP="00051CBF">
            <w:pPr>
              <w:spacing w:after="0" w:line="240" w:lineRule="auto"/>
              <w:jc w:val="right"/>
              <w:rPr>
                <w:rFonts w:eastAsia="Times New Roman"/>
                <w:sz w:val="20"/>
                <w:szCs w:val="20"/>
              </w:rPr>
            </w:pPr>
            <w:r w:rsidRPr="00DA249F">
              <w:rPr>
                <w:sz w:val="20"/>
                <w:szCs w:val="20"/>
              </w:rPr>
              <w:t>-0.363</w:t>
            </w: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2FFAB96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48465A9D"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35B271C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67D7907D"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1824FE6D" w14:textId="4E0E9B7A" w:rsidR="008F0080" w:rsidRPr="00DA249F" w:rsidRDefault="008F0080" w:rsidP="00051CBF">
            <w:pPr>
              <w:tabs>
                <w:tab w:val="left" w:pos="285"/>
              </w:tabs>
              <w:spacing w:after="0" w:line="240" w:lineRule="auto"/>
              <w:jc w:val="right"/>
              <w:rPr>
                <w:rFonts w:eastAsia="Times New Roman"/>
                <w:sz w:val="20"/>
                <w:szCs w:val="20"/>
              </w:rPr>
            </w:pPr>
            <w:r w:rsidRPr="00DA249F">
              <w:rPr>
                <w:rFonts w:eastAsia="Times New Roman"/>
                <w:sz w:val="20"/>
                <w:szCs w:val="20"/>
              </w:rPr>
              <w:t>-0.252</w:t>
            </w: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06DBFAD9"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3FF4369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7567D1F7"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02ADB50B"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4DC0B08C" w14:textId="77777777" w:rsidR="008F0080" w:rsidRPr="00DA249F" w:rsidRDefault="008F0080" w:rsidP="00051CBF">
            <w:pPr>
              <w:spacing w:after="0" w:line="240" w:lineRule="auto"/>
              <w:jc w:val="right"/>
              <w:rPr>
                <w:rFonts w:eastAsia="Times New Roman"/>
                <w:sz w:val="20"/>
                <w:szCs w:val="20"/>
              </w:rPr>
            </w:pPr>
          </w:p>
        </w:tc>
      </w:tr>
      <w:tr w:rsidR="00EA446B" w:rsidRPr="00DA249F" w14:paraId="571C20E0" w14:textId="7441D3FB"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2DCC5A6F" w14:textId="692B2C74" w:rsidR="008F0080" w:rsidRPr="00DA249F" w:rsidRDefault="008F0080" w:rsidP="008F0080">
            <w:pPr>
              <w:spacing w:after="0" w:line="240" w:lineRule="auto"/>
              <w:rPr>
                <w:rFonts w:eastAsia="Times New Roman"/>
                <w:b/>
                <w:bCs/>
                <w:sz w:val="20"/>
                <w:szCs w:val="20"/>
              </w:rPr>
            </w:pPr>
            <w:r w:rsidRPr="00DA249F">
              <w:rPr>
                <w:rFonts w:eastAsia="Calibri"/>
                <w:b/>
                <w:bCs/>
                <w:sz w:val="20"/>
                <w:szCs w:val="20"/>
              </w:rPr>
              <w:t xml:space="preserve">Telework </w:t>
            </w:r>
            <w:r w:rsidR="00E82A53">
              <w:rPr>
                <w:rFonts w:eastAsia="Calibri"/>
                <w:b/>
                <w:bCs/>
                <w:sz w:val="20"/>
                <w:szCs w:val="20"/>
              </w:rPr>
              <w:t>a</w:t>
            </w:r>
            <w:r w:rsidRPr="00DA249F">
              <w:rPr>
                <w:rFonts w:eastAsia="Calibri"/>
                <w:b/>
                <w:bCs/>
                <w:sz w:val="20"/>
                <w:szCs w:val="20"/>
              </w:rPr>
              <w:t xml:space="preserve">rrangements </w:t>
            </w:r>
            <w:r w:rsidRPr="00DA249F">
              <w:rPr>
                <w:rFonts w:eastAsia="Calibri"/>
                <w:i/>
                <w:iCs/>
                <w:sz w:val="20"/>
                <w:szCs w:val="20"/>
              </w:rPr>
              <w:t>(base: no telework or telework less than once a week)</w:t>
            </w:r>
          </w:p>
        </w:tc>
        <w:tc>
          <w:tcPr>
            <w:tcW w:w="266" w:type="pct"/>
            <w:tcBorders>
              <w:top w:val="nil"/>
              <w:left w:val="double" w:sz="4" w:space="0" w:color="auto"/>
              <w:bottom w:val="nil"/>
              <w:right w:val="single" w:sz="4" w:space="0" w:color="auto"/>
            </w:tcBorders>
            <w:shd w:val="clear" w:color="auto" w:fill="FFFFFF" w:themeFill="background1"/>
            <w:vAlign w:val="center"/>
          </w:tcPr>
          <w:p w14:paraId="13B613A4"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15EB608F"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2479145D"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5F400AAC"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B2674D7"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0CFF4A2D"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6386CC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3319B51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484B1FB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A863D7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01F75E3"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1ACB7B22"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2B8F734B"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39830C0"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1C6E3E52" w14:textId="77777777" w:rsidR="008F0080" w:rsidRPr="00DA249F" w:rsidRDefault="008F0080" w:rsidP="00051CBF">
            <w:pPr>
              <w:spacing w:after="0" w:line="240" w:lineRule="auto"/>
              <w:jc w:val="right"/>
              <w:rPr>
                <w:rFonts w:eastAsia="Times New Roman"/>
                <w:sz w:val="20"/>
                <w:szCs w:val="20"/>
              </w:rPr>
            </w:pPr>
          </w:p>
        </w:tc>
      </w:tr>
      <w:tr w:rsidR="00EA446B" w:rsidRPr="00DA249F" w14:paraId="59C5DFAD" w14:textId="4C598643"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6D260E35" w14:textId="77777777" w:rsidR="008F0080" w:rsidRPr="00DA249F" w:rsidRDefault="008F0080" w:rsidP="008F0080">
            <w:pPr>
              <w:spacing w:after="0" w:line="240" w:lineRule="auto"/>
              <w:ind w:left="139"/>
              <w:rPr>
                <w:rFonts w:eastAsia="Times New Roman"/>
                <w:sz w:val="20"/>
                <w:szCs w:val="20"/>
              </w:rPr>
            </w:pPr>
            <w:r w:rsidRPr="00DA249F">
              <w:rPr>
                <w:rFonts w:eastAsia="Times New Roman"/>
                <w:sz w:val="20"/>
                <w:szCs w:val="20"/>
              </w:rPr>
              <w:t>Telework daily</w:t>
            </w:r>
          </w:p>
        </w:tc>
        <w:tc>
          <w:tcPr>
            <w:tcW w:w="266" w:type="pct"/>
            <w:tcBorders>
              <w:top w:val="nil"/>
              <w:left w:val="double" w:sz="4" w:space="0" w:color="auto"/>
              <w:bottom w:val="nil"/>
              <w:right w:val="single" w:sz="4" w:space="0" w:color="auto"/>
            </w:tcBorders>
            <w:shd w:val="clear" w:color="auto" w:fill="FFFFFF" w:themeFill="background1"/>
            <w:vAlign w:val="center"/>
          </w:tcPr>
          <w:p w14:paraId="67FC097A"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06F5B388"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46C5CF96"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41449CA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46EC364" w14:textId="254A10C5" w:rsidR="008F0080" w:rsidRPr="00DA249F" w:rsidRDefault="008F0080" w:rsidP="00051CBF">
            <w:pPr>
              <w:spacing w:after="0" w:line="240" w:lineRule="auto"/>
              <w:jc w:val="right"/>
              <w:rPr>
                <w:rFonts w:eastAsia="Times New Roman"/>
                <w:sz w:val="20"/>
                <w:szCs w:val="20"/>
              </w:rPr>
            </w:pPr>
            <w:r w:rsidRPr="00DA249F">
              <w:rPr>
                <w:sz w:val="20"/>
                <w:szCs w:val="20"/>
              </w:rPr>
              <w:t>0.232</w:t>
            </w:r>
          </w:p>
        </w:tc>
        <w:tc>
          <w:tcPr>
            <w:tcW w:w="274" w:type="pct"/>
            <w:tcBorders>
              <w:top w:val="nil"/>
              <w:left w:val="single" w:sz="4" w:space="0" w:color="auto"/>
              <w:bottom w:val="nil"/>
              <w:right w:val="single" w:sz="4" w:space="0" w:color="auto"/>
            </w:tcBorders>
            <w:shd w:val="clear" w:color="auto" w:fill="FFFFFF" w:themeFill="background1"/>
            <w:vAlign w:val="center"/>
          </w:tcPr>
          <w:p w14:paraId="38B07354" w14:textId="513EC712" w:rsidR="008F0080" w:rsidRPr="00DA249F" w:rsidRDefault="008F0080" w:rsidP="00051CBF">
            <w:pPr>
              <w:spacing w:after="0" w:line="240" w:lineRule="auto"/>
              <w:jc w:val="right"/>
              <w:rPr>
                <w:rFonts w:eastAsia="Times New Roman"/>
                <w:sz w:val="20"/>
                <w:szCs w:val="20"/>
              </w:rPr>
            </w:pPr>
            <w:r w:rsidRPr="00DA249F">
              <w:rPr>
                <w:sz w:val="20"/>
                <w:szCs w:val="20"/>
              </w:rPr>
              <w:t>0.214</w:t>
            </w:r>
          </w:p>
        </w:tc>
        <w:tc>
          <w:tcPr>
            <w:tcW w:w="237" w:type="pct"/>
            <w:tcBorders>
              <w:top w:val="nil"/>
              <w:left w:val="single" w:sz="4" w:space="0" w:color="auto"/>
              <w:bottom w:val="nil"/>
              <w:right w:val="single" w:sz="4" w:space="0" w:color="auto"/>
            </w:tcBorders>
            <w:shd w:val="clear" w:color="auto" w:fill="FFFFFF" w:themeFill="background1"/>
            <w:vAlign w:val="center"/>
          </w:tcPr>
          <w:p w14:paraId="4DC2B73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037D3C9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5C36B11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72FEF2D"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04CF451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1CD0CEC5" w14:textId="132FC2FD"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-0.195</w:t>
            </w:r>
          </w:p>
        </w:tc>
        <w:tc>
          <w:tcPr>
            <w:tcW w:w="236" w:type="pct"/>
            <w:tcBorders>
              <w:top w:val="nil"/>
              <w:left w:val="single" w:sz="4" w:space="0" w:color="auto"/>
              <w:bottom w:val="nil"/>
              <w:right w:val="single" w:sz="4" w:space="0" w:color="auto"/>
            </w:tcBorders>
            <w:shd w:val="clear" w:color="auto" w:fill="FFFFFF" w:themeFill="background1"/>
            <w:vAlign w:val="center"/>
          </w:tcPr>
          <w:p w14:paraId="6E1EEB08" w14:textId="551FCB72" w:rsidR="008F0080" w:rsidRPr="00DA249F" w:rsidRDefault="008F0080" w:rsidP="00051CBF">
            <w:pPr>
              <w:spacing w:after="0" w:line="240" w:lineRule="auto"/>
              <w:jc w:val="right"/>
              <w:rPr>
                <w:rFonts w:eastAsia="Times New Roman"/>
                <w:sz w:val="20"/>
                <w:szCs w:val="20"/>
              </w:rPr>
            </w:pPr>
            <w:r w:rsidRPr="00DA249F">
              <w:rPr>
                <w:sz w:val="20"/>
                <w:szCs w:val="20"/>
              </w:rPr>
              <w:t>-0.345</w:t>
            </w:r>
          </w:p>
        </w:tc>
        <w:tc>
          <w:tcPr>
            <w:tcW w:w="236" w:type="pct"/>
            <w:tcBorders>
              <w:top w:val="nil"/>
              <w:left w:val="single" w:sz="4" w:space="0" w:color="auto"/>
              <w:bottom w:val="nil"/>
              <w:right w:val="single" w:sz="4" w:space="0" w:color="auto"/>
            </w:tcBorders>
            <w:shd w:val="clear" w:color="auto" w:fill="FFFFFF" w:themeFill="background1"/>
            <w:vAlign w:val="center"/>
          </w:tcPr>
          <w:p w14:paraId="1989CEFA"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21809434" w14:textId="77777777" w:rsidR="008F0080" w:rsidRPr="00DA249F" w:rsidRDefault="008F0080" w:rsidP="00051CBF">
            <w:pPr>
              <w:spacing w:after="0" w:line="240" w:lineRule="auto"/>
              <w:jc w:val="right"/>
              <w:rPr>
                <w:rFonts w:eastAsia="Times New Roman"/>
                <w:sz w:val="20"/>
                <w:szCs w:val="20"/>
              </w:rPr>
            </w:pPr>
          </w:p>
        </w:tc>
      </w:tr>
      <w:tr w:rsidR="00EA446B" w:rsidRPr="00DA249F" w14:paraId="0CB00F6A" w14:textId="5CC25CE4"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1722D72D" w14:textId="77777777" w:rsidR="008F0080" w:rsidRPr="00DA249F" w:rsidRDefault="008F0080" w:rsidP="008F0080">
            <w:pPr>
              <w:spacing w:after="0" w:line="240" w:lineRule="auto"/>
              <w:ind w:left="139"/>
              <w:rPr>
                <w:rFonts w:eastAsia="Times New Roman"/>
                <w:sz w:val="20"/>
                <w:szCs w:val="20"/>
              </w:rPr>
            </w:pPr>
            <w:r w:rsidRPr="00DA249F">
              <w:rPr>
                <w:rFonts w:eastAsia="Times New Roman"/>
                <w:sz w:val="20"/>
                <w:szCs w:val="20"/>
              </w:rPr>
              <w:t>Telework multiple times per week</w:t>
            </w:r>
          </w:p>
        </w:tc>
        <w:tc>
          <w:tcPr>
            <w:tcW w:w="266" w:type="pct"/>
            <w:tcBorders>
              <w:top w:val="nil"/>
              <w:left w:val="double" w:sz="4" w:space="0" w:color="auto"/>
              <w:bottom w:val="nil"/>
              <w:right w:val="single" w:sz="4" w:space="0" w:color="auto"/>
            </w:tcBorders>
            <w:shd w:val="clear" w:color="auto" w:fill="FFFFFF" w:themeFill="background1"/>
            <w:vAlign w:val="center"/>
          </w:tcPr>
          <w:p w14:paraId="2EA59F55"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45251089"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0234F81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4B0D9F01"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A698D7B" w14:textId="13274994" w:rsidR="008F0080" w:rsidRPr="00DA249F" w:rsidRDefault="008F0080" w:rsidP="00051CBF">
            <w:pPr>
              <w:spacing w:after="0" w:line="240" w:lineRule="auto"/>
              <w:jc w:val="right"/>
              <w:rPr>
                <w:rFonts w:eastAsia="Times New Roman"/>
                <w:sz w:val="20"/>
                <w:szCs w:val="20"/>
              </w:rPr>
            </w:pPr>
            <w:r w:rsidRPr="00DA249F">
              <w:rPr>
                <w:sz w:val="20"/>
                <w:szCs w:val="20"/>
              </w:rPr>
              <w:t>0.232</w:t>
            </w:r>
          </w:p>
        </w:tc>
        <w:tc>
          <w:tcPr>
            <w:tcW w:w="274" w:type="pct"/>
            <w:tcBorders>
              <w:top w:val="nil"/>
              <w:left w:val="single" w:sz="4" w:space="0" w:color="auto"/>
              <w:bottom w:val="nil"/>
              <w:right w:val="single" w:sz="4" w:space="0" w:color="auto"/>
            </w:tcBorders>
            <w:shd w:val="clear" w:color="auto" w:fill="FFFFFF" w:themeFill="background1"/>
            <w:vAlign w:val="center"/>
          </w:tcPr>
          <w:p w14:paraId="5C8D6525" w14:textId="34D3D6FA" w:rsidR="008F0080" w:rsidRPr="00DA249F" w:rsidRDefault="008F0080" w:rsidP="00051CBF">
            <w:pPr>
              <w:spacing w:after="0" w:line="240" w:lineRule="auto"/>
              <w:jc w:val="right"/>
              <w:rPr>
                <w:rFonts w:eastAsia="Times New Roman"/>
                <w:sz w:val="20"/>
                <w:szCs w:val="20"/>
              </w:rPr>
            </w:pPr>
            <w:r w:rsidRPr="00DA249F">
              <w:rPr>
                <w:sz w:val="20"/>
                <w:szCs w:val="20"/>
              </w:rPr>
              <w:t>0.214</w:t>
            </w:r>
          </w:p>
        </w:tc>
        <w:tc>
          <w:tcPr>
            <w:tcW w:w="237" w:type="pct"/>
            <w:tcBorders>
              <w:top w:val="nil"/>
              <w:left w:val="single" w:sz="4" w:space="0" w:color="auto"/>
              <w:bottom w:val="nil"/>
              <w:right w:val="single" w:sz="4" w:space="0" w:color="auto"/>
            </w:tcBorders>
            <w:shd w:val="clear" w:color="auto" w:fill="FFFFFF" w:themeFill="background1"/>
            <w:vAlign w:val="center"/>
          </w:tcPr>
          <w:p w14:paraId="172E24C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43AAFC0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3982CD2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034608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F7B28A4"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38198836" w14:textId="4D34759D"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-0.195</w:t>
            </w:r>
          </w:p>
        </w:tc>
        <w:tc>
          <w:tcPr>
            <w:tcW w:w="236" w:type="pct"/>
            <w:tcBorders>
              <w:top w:val="nil"/>
              <w:left w:val="single" w:sz="4" w:space="0" w:color="auto"/>
              <w:bottom w:val="nil"/>
              <w:right w:val="single" w:sz="4" w:space="0" w:color="auto"/>
            </w:tcBorders>
            <w:shd w:val="clear" w:color="auto" w:fill="FFFFFF" w:themeFill="background1"/>
            <w:vAlign w:val="center"/>
          </w:tcPr>
          <w:p w14:paraId="2A34E679" w14:textId="3F94C3FC" w:rsidR="008F0080" w:rsidRPr="00DA249F" w:rsidRDefault="008F0080" w:rsidP="00051CBF">
            <w:pPr>
              <w:spacing w:after="0" w:line="240" w:lineRule="auto"/>
              <w:jc w:val="right"/>
              <w:rPr>
                <w:rFonts w:eastAsia="Times New Roman"/>
                <w:sz w:val="20"/>
                <w:szCs w:val="20"/>
              </w:rPr>
            </w:pPr>
            <w:r w:rsidRPr="00DA249F">
              <w:rPr>
                <w:sz w:val="20"/>
                <w:szCs w:val="20"/>
              </w:rPr>
              <w:t>-0.345</w:t>
            </w:r>
          </w:p>
        </w:tc>
        <w:tc>
          <w:tcPr>
            <w:tcW w:w="236" w:type="pct"/>
            <w:tcBorders>
              <w:top w:val="nil"/>
              <w:left w:val="single" w:sz="4" w:space="0" w:color="auto"/>
              <w:bottom w:val="nil"/>
              <w:right w:val="single" w:sz="4" w:space="0" w:color="auto"/>
            </w:tcBorders>
            <w:shd w:val="clear" w:color="auto" w:fill="FFFFFF" w:themeFill="background1"/>
            <w:vAlign w:val="center"/>
          </w:tcPr>
          <w:p w14:paraId="6A54DB19"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2772740A" w14:textId="77777777" w:rsidR="008F0080" w:rsidRPr="00DA249F" w:rsidRDefault="008F0080" w:rsidP="00051CBF">
            <w:pPr>
              <w:spacing w:after="0" w:line="240" w:lineRule="auto"/>
              <w:jc w:val="right"/>
              <w:rPr>
                <w:rFonts w:eastAsia="Times New Roman"/>
                <w:sz w:val="20"/>
                <w:szCs w:val="20"/>
              </w:rPr>
            </w:pPr>
          </w:p>
        </w:tc>
      </w:tr>
      <w:tr w:rsidR="00EA446B" w:rsidRPr="00DA249F" w14:paraId="499AF3FB" w14:textId="6CDA7BF9" w:rsidTr="00392A30">
        <w:trPr>
          <w:trHeight w:val="20"/>
        </w:trPr>
        <w:tc>
          <w:tcPr>
            <w:tcW w:w="1338" w:type="pct"/>
            <w:tcBorders>
              <w:top w:val="nil"/>
              <w:left w:val="double" w:sz="4" w:space="0" w:color="auto"/>
              <w:right w:val="double" w:sz="4" w:space="0" w:color="auto"/>
            </w:tcBorders>
            <w:shd w:val="clear" w:color="auto" w:fill="auto"/>
            <w:vAlign w:val="center"/>
            <w:hideMark/>
          </w:tcPr>
          <w:p w14:paraId="594C0E74" w14:textId="77777777" w:rsidR="008F0080" w:rsidRPr="00DA249F" w:rsidRDefault="008F0080" w:rsidP="008F0080">
            <w:pPr>
              <w:spacing w:after="0" w:line="240" w:lineRule="auto"/>
              <w:rPr>
                <w:rFonts w:eastAsia="Times New Roman"/>
                <w:b/>
                <w:bCs/>
                <w:sz w:val="20"/>
                <w:szCs w:val="20"/>
              </w:rPr>
            </w:pPr>
            <w:r w:rsidRPr="00DA249F">
              <w:rPr>
                <w:rFonts w:eastAsia="Calibri"/>
                <w:b/>
                <w:bCs/>
                <w:sz w:val="20"/>
                <w:szCs w:val="20"/>
              </w:rPr>
              <w:t xml:space="preserve">Student </w:t>
            </w:r>
            <w:r w:rsidRPr="00DA249F">
              <w:rPr>
                <w:rFonts w:eastAsia="Calibri"/>
                <w:i/>
                <w:iCs/>
                <w:sz w:val="20"/>
                <w:szCs w:val="20"/>
              </w:rPr>
              <w:t>(base: not student)</w:t>
            </w:r>
          </w:p>
        </w:tc>
        <w:tc>
          <w:tcPr>
            <w:tcW w:w="266" w:type="pct"/>
            <w:tcBorders>
              <w:top w:val="nil"/>
              <w:left w:val="double" w:sz="4" w:space="0" w:color="auto"/>
              <w:right w:val="single" w:sz="4" w:space="0" w:color="auto"/>
            </w:tcBorders>
            <w:shd w:val="clear" w:color="auto" w:fill="FFFFFF" w:themeFill="background1"/>
            <w:vAlign w:val="center"/>
          </w:tcPr>
          <w:p w14:paraId="55D353C7"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right w:val="single" w:sz="4" w:space="0" w:color="auto"/>
            </w:tcBorders>
            <w:shd w:val="clear" w:color="auto" w:fill="FFFFFF" w:themeFill="background1"/>
            <w:vAlign w:val="center"/>
          </w:tcPr>
          <w:p w14:paraId="24252753"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right w:val="single" w:sz="4" w:space="0" w:color="auto"/>
            </w:tcBorders>
            <w:shd w:val="clear" w:color="auto" w:fill="FFFFFF" w:themeFill="background1"/>
            <w:vAlign w:val="center"/>
          </w:tcPr>
          <w:p w14:paraId="1BCA6A79"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right w:val="single" w:sz="4" w:space="0" w:color="auto"/>
            </w:tcBorders>
            <w:shd w:val="clear" w:color="auto" w:fill="FFFFFF" w:themeFill="background1"/>
            <w:vAlign w:val="center"/>
          </w:tcPr>
          <w:p w14:paraId="656AFD76"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6315A66D"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right w:val="single" w:sz="4" w:space="0" w:color="auto"/>
            </w:tcBorders>
            <w:shd w:val="clear" w:color="auto" w:fill="FFFFFF" w:themeFill="background1"/>
            <w:vAlign w:val="center"/>
          </w:tcPr>
          <w:p w14:paraId="6DF983EE"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0005501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right w:val="single" w:sz="8" w:space="0" w:color="auto"/>
            </w:tcBorders>
            <w:shd w:val="clear" w:color="auto" w:fill="FFFFFF" w:themeFill="background1"/>
            <w:vAlign w:val="center"/>
          </w:tcPr>
          <w:p w14:paraId="4F65D7F5"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right w:val="single" w:sz="4" w:space="0" w:color="auto"/>
            </w:tcBorders>
            <w:shd w:val="clear" w:color="auto" w:fill="FFFFFF" w:themeFill="background1"/>
            <w:vAlign w:val="center"/>
          </w:tcPr>
          <w:p w14:paraId="6435B30D"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1C42340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right w:val="single" w:sz="4" w:space="0" w:color="auto"/>
            </w:tcBorders>
            <w:shd w:val="clear" w:color="auto" w:fill="FFFFFF" w:themeFill="background1"/>
            <w:vAlign w:val="center"/>
          </w:tcPr>
          <w:p w14:paraId="0D976FA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right w:val="single" w:sz="4" w:space="0" w:color="auto"/>
            </w:tcBorders>
            <w:shd w:val="clear" w:color="auto" w:fill="FFFFFF" w:themeFill="background1"/>
            <w:vAlign w:val="center"/>
          </w:tcPr>
          <w:p w14:paraId="6AA612A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right w:val="single" w:sz="4" w:space="0" w:color="auto"/>
            </w:tcBorders>
            <w:shd w:val="clear" w:color="auto" w:fill="FFFFFF" w:themeFill="background1"/>
            <w:vAlign w:val="center"/>
          </w:tcPr>
          <w:p w14:paraId="593ED1B4"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right w:val="single" w:sz="4" w:space="0" w:color="auto"/>
            </w:tcBorders>
            <w:shd w:val="clear" w:color="auto" w:fill="FFFFFF" w:themeFill="background1"/>
            <w:vAlign w:val="center"/>
          </w:tcPr>
          <w:p w14:paraId="72D083F5"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right w:val="double" w:sz="4" w:space="0" w:color="auto"/>
            </w:tcBorders>
            <w:shd w:val="clear" w:color="auto" w:fill="FFFFFF" w:themeFill="background1"/>
            <w:vAlign w:val="center"/>
          </w:tcPr>
          <w:p w14:paraId="14D2DF38" w14:textId="77777777" w:rsidR="008F0080" w:rsidRPr="00DA249F" w:rsidRDefault="008F0080" w:rsidP="00051CBF">
            <w:pPr>
              <w:spacing w:after="0" w:line="240" w:lineRule="auto"/>
              <w:jc w:val="right"/>
              <w:rPr>
                <w:rFonts w:eastAsia="Times New Roman"/>
                <w:sz w:val="20"/>
                <w:szCs w:val="20"/>
              </w:rPr>
            </w:pPr>
          </w:p>
        </w:tc>
      </w:tr>
      <w:tr w:rsidR="00EA446B" w:rsidRPr="00DA249F" w14:paraId="60FEE6C8" w14:textId="78CA2036" w:rsidTr="00392A30">
        <w:trPr>
          <w:trHeight w:val="20"/>
        </w:trPr>
        <w:tc>
          <w:tcPr>
            <w:tcW w:w="1338" w:type="pct"/>
            <w:tcBorders>
              <w:top w:val="nil"/>
              <w:left w:val="double" w:sz="4" w:space="0" w:color="auto"/>
              <w:bottom w:val="dotted" w:sz="4" w:space="0" w:color="auto"/>
              <w:right w:val="double" w:sz="4" w:space="0" w:color="auto"/>
            </w:tcBorders>
            <w:shd w:val="clear" w:color="auto" w:fill="auto"/>
            <w:vAlign w:val="center"/>
          </w:tcPr>
          <w:p w14:paraId="588ECE81" w14:textId="77777777" w:rsidR="008F0080" w:rsidRPr="00DA249F" w:rsidRDefault="008F0080" w:rsidP="008F0080">
            <w:pPr>
              <w:spacing w:after="0" w:line="240" w:lineRule="auto"/>
              <w:ind w:left="139"/>
              <w:rPr>
                <w:rFonts w:eastAsia="Calibri"/>
                <w:b/>
                <w:bCs/>
                <w:sz w:val="20"/>
                <w:szCs w:val="20"/>
              </w:rPr>
            </w:pPr>
            <w:r w:rsidRPr="00DA249F">
              <w:rPr>
                <w:rFonts w:eastAsia="Calibri"/>
                <w:sz w:val="20"/>
                <w:szCs w:val="20"/>
              </w:rPr>
              <w:t>Student</w:t>
            </w:r>
          </w:p>
        </w:tc>
        <w:tc>
          <w:tcPr>
            <w:tcW w:w="266" w:type="pct"/>
            <w:tcBorders>
              <w:top w:val="nil"/>
              <w:left w:val="double" w:sz="4" w:space="0" w:color="auto"/>
              <w:bottom w:val="dotted" w:sz="4" w:space="0" w:color="auto"/>
              <w:right w:val="single" w:sz="4" w:space="0" w:color="auto"/>
            </w:tcBorders>
            <w:shd w:val="clear" w:color="auto" w:fill="FFFFFF" w:themeFill="background1"/>
            <w:vAlign w:val="center"/>
          </w:tcPr>
          <w:p w14:paraId="79952166"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51F28E66"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dotted" w:sz="4" w:space="0" w:color="auto"/>
              <w:right w:val="single" w:sz="4" w:space="0" w:color="auto"/>
            </w:tcBorders>
            <w:shd w:val="clear" w:color="auto" w:fill="FFFFFF" w:themeFill="background1"/>
            <w:vAlign w:val="center"/>
          </w:tcPr>
          <w:p w14:paraId="014A31DF"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4" w:space="0" w:color="auto"/>
            </w:tcBorders>
            <w:shd w:val="clear" w:color="auto" w:fill="FFFFFF" w:themeFill="background1"/>
            <w:vAlign w:val="center"/>
          </w:tcPr>
          <w:p w14:paraId="2B63105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7F18627F"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dotted" w:sz="4" w:space="0" w:color="auto"/>
              <w:right w:val="single" w:sz="4" w:space="0" w:color="auto"/>
            </w:tcBorders>
            <w:shd w:val="clear" w:color="auto" w:fill="FFFFFF" w:themeFill="background1"/>
            <w:vAlign w:val="center"/>
          </w:tcPr>
          <w:p w14:paraId="1D8A3AFB"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79111A47"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dotted" w:sz="4" w:space="0" w:color="auto"/>
              <w:right w:val="single" w:sz="8" w:space="0" w:color="auto"/>
            </w:tcBorders>
            <w:shd w:val="clear" w:color="auto" w:fill="FFFFFF" w:themeFill="background1"/>
            <w:vAlign w:val="center"/>
          </w:tcPr>
          <w:p w14:paraId="09AEC88F" w14:textId="27FDDEC3" w:rsidR="008F0080" w:rsidRPr="00DA249F" w:rsidRDefault="008F0080" w:rsidP="00051CBF">
            <w:pPr>
              <w:spacing w:after="0" w:line="240" w:lineRule="auto"/>
              <w:jc w:val="right"/>
              <w:rPr>
                <w:rFonts w:eastAsia="Times New Roman"/>
                <w:sz w:val="20"/>
                <w:szCs w:val="20"/>
              </w:rPr>
            </w:pPr>
            <w:r w:rsidRPr="00DA249F">
              <w:rPr>
                <w:sz w:val="20"/>
                <w:szCs w:val="20"/>
              </w:rPr>
              <w:t>0.352</w:t>
            </w:r>
          </w:p>
        </w:tc>
        <w:tc>
          <w:tcPr>
            <w:tcW w:w="237" w:type="pct"/>
            <w:tcBorders>
              <w:top w:val="nil"/>
              <w:left w:val="single" w:sz="8" w:space="0" w:color="auto"/>
              <w:bottom w:val="dotted" w:sz="4" w:space="0" w:color="auto"/>
              <w:right w:val="single" w:sz="4" w:space="0" w:color="auto"/>
            </w:tcBorders>
            <w:shd w:val="clear" w:color="auto" w:fill="FFFFFF" w:themeFill="background1"/>
            <w:vAlign w:val="center"/>
          </w:tcPr>
          <w:p w14:paraId="045FB2DD" w14:textId="77777777" w:rsidR="008F0080" w:rsidRPr="00DA249F" w:rsidRDefault="008F0080" w:rsidP="00051CBF">
            <w:pPr>
              <w:spacing w:after="0" w:line="240" w:lineRule="auto"/>
              <w:jc w:val="right"/>
              <w:rPr>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A6ED935" w14:textId="77777777" w:rsidR="008F0080" w:rsidRPr="00DA249F" w:rsidRDefault="008F0080" w:rsidP="00051CBF">
            <w:pPr>
              <w:spacing w:after="0" w:line="240" w:lineRule="auto"/>
              <w:jc w:val="right"/>
              <w:rPr>
                <w:sz w:val="20"/>
                <w:szCs w:val="20"/>
              </w:rPr>
            </w:pPr>
          </w:p>
        </w:tc>
        <w:tc>
          <w:tcPr>
            <w:tcW w:w="237" w:type="pct"/>
            <w:tcBorders>
              <w:top w:val="nil"/>
              <w:left w:val="single" w:sz="4" w:space="0" w:color="auto"/>
              <w:bottom w:val="dotted" w:sz="4" w:space="0" w:color="auto"/>
              <w:right w:val="single" w:sz="4" w:space="0" w:color="auto"/>
            </w:tcBorders>
            <w:shd w:val="clear" w:color="auto" w:fill="FFFFFF" w:themeFill="background1"/>
            <w:vAlign w:val="center"/>
          </w:tcPr>
          <w:p w14:paraId="6E165CF9" w14:textId="77777777" w:rsidR="008F0080" w:rsidRPr="00DA249F" w:rsidRDefault="008F0080" w:rsidP="00051CBF">
            <w:pPr>
              <w:spacing w:after="0" w:line="240" w:lineRule="auto"/>
              <w:jc w:val="right"/>
              <w:rPr>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732BED68" w14:textId="77777777" w:rsidR="008F0080" w:rsidRPr="00DA249F" w:rsidRDefault="008F0080" w:rsidP="00051CBF">
            <w:pPr>
              <w:spacing w:after="0" w:line="240" w:lineRule="auto"/>
              <w:jc w:val="right"/>
              <w:rPr>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45CBAE98" w14:textId="77777777" w:rsidR="008F0080" w:rsidRPr="00DA249F" w:rsidRDefault="008F0080" w:rsidP="00051CBF">
            <w:pPr>
              <w:spacing w:after="0" w:line="240" w:lineRule="auto"/>
              <w:jc w:val="right"/>
              <w:rPr>
                <w:sz w:val="20"/>
                <w:szCs w:val="20"/>
              </w:rPr>
            </w:pPr>
          </w:p>
        </w:tc>
        <w:tc>
          <w:tcPr>
            <w:tcW w:w="236" w:type="pct"/>
            <w:tcBorders>
              <w:top w:val="nil"/>
              <w:left w:val="single" w:sz="4" w:space="0" w:color="auto"/>
              <w:bottom w:val="dotted" w:sz="4" w:space="0" w:color="auto"/>
              <w:right w:val="single" w:sz="4" w:space="0" w:color="auto"/>
            </w:tcBorders>
            <w:shd w:val="clear" w:color="auto" w:fill="FFFFFF" w:themeFill="background1"/>
            <w:vAlign w:val="center"/>
          </w:tcPr>
          <w:p w14:paraId="2F6048BA" w14:textId="77777777" w:rsidR="008F0080" w:rsidRPr="00DA249F" w:rsidRDefault="008F0080" w:rsidP="00051CBF">
            <w:pPr>
              <w:spacing w:after="0" w:line="240" w:lineRule="auto"/>
              <w:jc w:val="right"/>
              <w:rPr>
                <w:sz w:val="20"/>
                <w:szCs w:val="20"/>
              </w:rPr>
            </w:pPr>
          </w:p>
        </w:tc>
        <w:tc>
          <w:tcPr>
            <w:tcW w:w="240" w:type="pct"/>
            <w:tcBorders>
              <w:top w:val="nil"/>
              <w:left w:val="single" w:sz="4" w:space="0" w:color="auto"/>
              <w:bottom w:val="dotted" w:sz="4" w:space="0" w:color="auto"/>
              <w:right w:val="double" w:sz="4" w:space="0" w:color="auto"/>
            </w:tcBorders>
            <w:shd w:val="clear" w:color="auto" w:fill="FFFFFF" w:themeFill="background1"/>
            <w:vAlign w:val="center"/>
          </w:tcPr>
          <w:p w14:paraId="7D42B2A5" w14:textId="77777777" w:rsidR="008F0080" w:rsidRPr="00DA249F" w:rsidRDefault="008F0080" w:rsidP="00051CBF">
            <w:pPr>
              <w:spacing w:after="0" w:line="240" w:lineRule="auto"/>
              <w:jc w:val="right"/>
              <w:rPr>
                <w:sz w:val="20"/>
                <w:szCs w:val="20"/>
              </w:rPr>
            </w:pPr>
          </w:p>
        </w:tc>
      </w:tr>
      <w:tr w:rsidR="00EA446B" w:rsidRPr="00DA249F" w14:paraId="714B0795" w14:textId="02CC6E0A" w:rsidTr="00392A30">
        <w:trPr>
          <w:trHeight w:val="20"/>
        </w:trPr>
        <w:tc>
          <w:tcPr>
            <w:tcW w:w="1338" w:type="pct"/>
            <w:tcBorders>
              <w:top w:val="dotted" w:sz="4" w:space="0" w:color="auto"/>
              <w:left w:val="double" w:sz="4" w:space="0" w:color="auto"/>
              <w:bottom w:val="nil"/>
              <w:right w:val="double" w:sz="4" w:space="0" w:color="auto"/>
            </w:tcBorders>
            <w:shd w:val="clear" w:color="auto" w:fill="auto"/>
            <w:vAlign w:val="center"/>
          </w:tcPr>
          <w:p w14:paraId="2DE860DF" w14:textId="3855464B" w:rsidR="008F0080" w:rsidRPr="00DA249F" w:rsidRDefault="008F0080" w:rsidP="008F0080">
            <w:pPr>
              <w:spacing w:after="0" w:line="240" w:lineRule="auto"/>
              <w:rPr>
                <w:rFonts w:eastAsia="Calibri"/>
                <w:b/>
                <w:bCs/>
                <w:sz w:val="20"/>
                <w:szCs w:val="20"/>
              </w:rPr>
            </w:pPr>
            <w:r w:rsidRPr="00DA249F">
              <w:rPr>
                <w:rFonts w:eastAsia="Calibri"/>
                <w:b/>
                <w:bCs/>
                <w:sz w:val="20"/>
                <w:szCs w:val="20"/>
              </w:rPr>
              <w:lastRenderedPageBreak/>
              <w:t xml:space="preserve">Commute </w:t>
            </w:r>
            <w:r w:rsidR="00E82A53">
              <w:rPr>
                <w:rFonts w:eastAsia="Calibri"/>
                <w:b/>
                <w:bCs/>
                <w:sz w:val="20"/>
                <w:szCs w:val="20"/>
              </w:rPr>
              <w:t>m</w:t>
            </w:r>
            <w:r w:rsidRPr="00DA249F">
              <w:rPr>
                <w:rFonts w:eastAsia="Calibri"/>
                <w:b/>
                <w:bCs/>
                <w:sz w:val="20"/>
                <w:szCs w:val="20"/>
              </w:rPr>
              <w:t xml:space="preserve">ode </w:t>
            </w:r>
            <w:r w:rsidRPr="00DA249F">
              <w:rPr>
                <w:rFonts w:eastAsia="Calibri"/>
                <w:i/>
                <w:iCs/>
                <w:sz w:val="20"/>
                <w:szCs w:val="20"/>
              </w:rPr>
              <w:t>(base: not car)</w:t>
            </w:r>
          </w:p>
        </w:tc>
        <w:tc>
          <w:tcPr>
            <w:tcW w:w="266" w:type="pct"/>
            <w:tcBorders>
              <w:top w:val="dotted" w:sz="4" w:space="0" w:color="auto"/>
              <w:left w:val="double" w:sz="4" w:space="0" w:color="auto"/>
              <w:bottom w:val="nil"/>
              <w:right w:val="single" w:sz="4" w:space="0" w:color="auto"/>
            </w:tcBorders>
            <w:shd w:val="clear" w:color="auto" w:fill="FFFFFF" w:themeFill="background1"/>
            <w:vAlign w:val="center"/>
          </w:tcPr>
          <w:p w14:paraId="46D91929" w14:textId="77777777" w:rsidR="008F0080" w:rsidRPr="00DA249F" w:rsidRDefault="008F0080" w:rsidP="00051CBF">
            <w:pPr>
              <w:spacing w:after="0" w:line="240" w:lineRule="auto"/>
              <w:jc w:val="right"/>
              <w:rPr>
                <w:rFonts w:eastAsia="Times New Roman"/>
                <w:sz w:val="20"/>
                <w:szCs w:val="20"/>
              </w:rPr>
            </w:pPr>
          </w:p>
        </w:tc>
        <w:tc>
          <w:tcPr>
            <w:tcW w:w="239" w:type="pct"/>
            <w:tcBorders>
              <w:top w:val="dotted" w:sz="4" w:space="0" w:color="auto"/>
              <w:left w:val="single" w:sz="4" w:space="0" w:color="auto"/>
              <w:bottom w:val="nil"/>
              <w:right w:val="single" w:sz="4" w:space="0" w:color="auto"/>
            </w:tcBorders>
            <w:shd w:val="clear" w:color="auto" w:fill="FFFFFF" w:themeFill="background1"/>
            <w:vAlign w:val="center"/>
          </w:tcPr>
          <w:p w14:paraId="5444E718" w14:textId="77777777" w:rsidR="008F0080" w:rsidRPr="00DA249F" w:rsidRDefault="008F0080" w:rsidP="00051CBF">
            <w:pPr>
              <w:spacing w:after="0" w:line="240" w:lineRule="auto"/>
              <w:jc w:val="right"/>
              <w:rPr>
                <w:rFonts w:eastAsia="Times New Roman"/>
                <w:sz w:val="20"/>
                <w:szCs w:val="20"/>
              </w:rPr>
            </w:pPr>
          </w:p>
        </w:tc>
        <w:tc>
          <w:tcPr>
            <w:tcW w:w="272" w:type="pct"/>
            <w:tcBorders>
              <w:top w:val="dotted" w:sz="4" w:space="0" w:color="auto"/>
              <w:left w:val="single" w:sz="4" w:space="0" w:color="auto"/>
              <w:bottom w:val="nil"/>
              <w:right w:val="single" w:sz="4" w:space="0" w:color="auto"/>
            </w:tcBorders>
            <w:shd w:val="clear" w:color="auto" w:fill="FFFFFF" w:themeFill="background1"/>
            <w:vAlign w:val="center"/>
          </w:tcPr>
          <w:p w14:paraId="43ABDD1C" w14:textId="77777777" w:rsidR="008F0080" w:rsidRPr="00DA249F" w:rsidRDefault="008F0080" w:rsidP="00051CBF">
            <w:pPr>
              <w:spacing w:after="0" w:line="240" w:lineRule="auto"/>
              <w:jc w:val="right"/>
              <w:rPr>
                <w:rFonts w:eastAsia="Times New Roman"/>
                <w:sz w:val="20"/>
                <w:szCs w:val="20"/>
              </w:rPr>
            </w:pPr>
          </w:p>
        </w:tc>
        <w:tc>
          <w:tcPr>
            <w:tcW w:w="239" w:type="pct"/>
            <w:tcBorders>
              <w:top w:val="dotted" w:sz="4" w:space="0" w:color="auto"/>
              <w:left w:val="single" w:sz="4" w:space="0" w:color="auto"/>
              <w:bottom w:val="nil"/>
              <w:right w:val="single" w:sz="4" w:space="0" w:color="auto"/>
            </w:tcBorders>
            <w:shd w:val="clear" w:color="auto" w:fill="FFFFFF" w:themeFill="background1"/>
            <w:vAlign w:val="center"/>
          </w:tcPr>
          <w:p w14:paraId="6198894F"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bottom w:val="nil"/>
              <w:right w:val="single" w:sz="4" w:space="0" w:color="auto"/>
            </w:tcBorders>
            <w:shd w:val="clear" w:color="auto" w:fill="FFFFFF" w:themeFill="background1"/>
            <w:vAlign w:val="center"/>
          </w:tcPr>
          <w:p w14:paraId="142D2945" w14:textId="77777777" w:rsidR="008F0080" w:rsidRPr="00DA249F" w:rsidRDefault="008F0080" w:rsidP="00051CBF">
            <w:pPr>
              <w:spacing w:after="0" w:line="240" w:lineRule="auto"/>
              <w:jc w:val="right"/>
              <w:rPr>
                <w:rFonts w:eastAsia="Times New Roman"/>
                <w:sz w:val="20"/>
                <w:szCs w:val="20"/>
              </w:rPr>
            </w:pPr>
          </w:p>
        </w:tc>
        <w:tc>
          <w:tcPr>
            <w:tcW w:w="274" w:type="pct"/>
            <w:tcBorders>
              <w:top w:val="dotted" w:sz="4" w:space="0" w:color="auto"/>
              <w:left w:val="single" w:sz="4" w:space="0" w:color="auto"/>
              <w:bottom w:val="nil"/>
              <w:right w:val="single" w:sz="4" w:space="0" w:color="auto"/>
            </w:tcBorders>
            <w:shd w:val="clear" w:color="auto" w:fill="FFFFFF" w:themeFill="background1"/>
            <w:vAlign w:val="center"/>
          </w:tcPr>
          <w:p w14:paraId="263A5C33"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bottom w:val="nil"/>
              <w:right w:val="single" w:sz="4" w:space="0" w:color="auto"/>
            </w:tcBorders>
            <w:shd w:val="clear" w:color="auto" w:fill="FFFFFF" w:themeFill="background1"/>
            <w:vAlign w:val="center"/>
          </w:tcPr>
          <w:p w14:paraId="3991AEBC" w14:textId="77777777" w:rsidR="008F0080" w:rsidRPr="00DA249F" w:rsidRDefault="008F0080" w:rsidP="00051CBF">
            <w:pPr>
              <w:spacing w:after="0" w:line="240" w:lineRule="auto"/>
              <w:jc w:val="right"/>
              <w:rPr>
                <w:rFonts w:eastAsia="Times New Roman"/>
                <w:sz w:val="20"/>
                <w:szCs w:val="20"/>
              </w:rPr>
            </w:pPr>
          </w:p>
        </w:tc>
        <w:tc>
          <w:tcPr>
            <w:tcW w:w="239" w:type="pct"/>
            <w:tcBorders>
              <w:top w:val="dotted" w:sz="4" w:space="0" w:color="auto"/>
              <w:left w:val="single" w:sz="4" w:space="0" w:color="auto"/>
              <w:bottom w:val="nil"/>
              <w:right w:val="single" w:sz="8" w:space="0" w:color="auto"/>
            </w:tcBorders>
            <w:shd w:val="clear" w:color="auto" w:fill="FFFFFF" w:themeFill="background1"/>
            <w:vAlign w:val="center"/>
          </w:tcPr>
          <w:p w14:paraId="231C57BC"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8" w:space="0" w:color="auto"/>
              <w:bottom w:val="nil"/>
              <w:right w:val="single" w:sz="4" w:space="0" w:color="auto"/>
            </w:tcBorders>
            <w:shd w:val="clear" w:color="auto" w:fill="FFFFFF" w:themeFill="background1"/>
            <w:vAlign w:val="center"/>
          </w:tcPr>
          <w:p w14:paraId="2D0B265F"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bottom w:val="nil"/>
              <w:right w:val="single" w:sz="4" w:space="0" w:color="auto"/>
            </w:tcBorders>
            <w:shd w:val="clear" w:color="auto" w:fill="FFFFFF" w:themeFill="background1"/>
            <w:vAlign w:val="center"/>
          </w:tcPr>
          <w:p w14:paraId="5A2DBA27" w14:textId="77777777" w:rsidR="008F0080" w:rsidRPr="00DA249F" w:rsidRDefault="008F0080" w:rsidP="00051CBF">
            <w:pPr>
              <w:spacing w:after="0" w:line="240" w:lineRule="auto"/>
              <w:jc w:val="right"/>
              <w:rPr>
                <w:rFonts w:eastAsia="Times New Roman"/>
                <w:sz w:val="20"/>
                <w:szCs w:val="20"/>
              </w:rPr>
            </w:pPr>
          </w:p>
        </w:tc>
        <w:tc>
          <w:tcPr>
            <w:tcW w:w="237" w:type="pct"/>
            <w:tcBorders>
              <w:top w:val="dotted" w:sz="4" w:space="0" w:color="auto"/>
              <w:left w:val="single" w:sz="4" w:space="0" w:color="auto"/>
              <w:bottom w:val="nil"/>
              <w:right w:val="single" w:sz="4" w:space="0" w:color="auto"/>
            </w:tcBorders>
            <w:shd w:val="clear" w:color="auto" w:fill="FFFFFF" w:themeFill="background1"/>
            <w:vAlign w:val="center"/>
          </w:tcPr>
          <w:p w14:paraId="07A269C5" w14:textId="77777777" w:rsidR="008F0080" w:rsidRPr="00DA249F" w:rsidRDefault="008F0080" w:rsidP="00051CBF">
            <w:pPr>
              <w:spacing w:after="0" w:line="240" w:lineRule="auto"/>
              <w:jc w:val="right"/>
              <w:rPr>
                <w:rFonts w:eastAsia="Times New Roman"/>
                <w:sz w:val="20"/>
                <w:szCs w:val="20"/>
              </w:rPr>
            </w:pPr>
          </w:p>
        </w:tc>
        <w:tc>
          <w:tcPr>
            <w:tcW w:w="236" w:type="pct"/>
            <w:tcBorders>
              <w:top w:val="dotted" w:sz="4" w:space="0" w:color="auto"/>
              <w:left w:val="single" w:sz="4" w:space="0" w:color="auto"/>
              <w:bottom w:val="nil"/>
              <w:right w:val="single" w:sz="4" w:space="0" w:color="auto"/>
            </w:tcBorders>
            <w:shd w:val="clear" w:color="auto" w:fill="FFFFFF" w:themeFill="background1"/>
            <w:vAlign w:val="center"/>
          </w:tcPr>
          <w:p w14:paraId="61CCB23B" w14:textId="77777777" w:rsidR="008F0080" w:rsidRPr="00DA249F" w:rsidRDefault="008F0080" w:rsidP="00051CBF">
            <w:pPr>
              <w:spacing w:after="0" w:line="240" w:lineRule="auto"/>
              <w:jc w:val="right"/>
              <w:rPr>
                <w:rFonts w:eastAsia="Times New Roman"/>
                <w:sz w:val="20"/>
                <w:szCs w:val="20"/>
              </w:rPr>
            </w:pPr>
          </w:p>
        </w:tc>
        <w:tc>
          <w:tcPr>
            <w:tcW w:w="236" w:type="pct"/>
            <w:tcBorders>
              <w:top w:val="dotted" w:sz="4" w:space="0" w:color="auto"/>
              <w:left w:val="single" w:sz="4" w:space="0" w:color="auto"/>
              <w:bottom w:val="nil"/>
              <w:right w:val="single" w:sz="4" w:space="0" w:color="auto"/>
            </w:tcBorders>
            <w:shd w:val="clear" w:color="auto" w:fill="FFFFFF" w:themeFill="background1"/>
            <w:vAlign w:val="center"/>
          </w:tcPr>
          <w:p w14:paraId="3F174E52" w14:textId="77777777" w:rsidR="008F0080" w:rsidRPr="00DA249F" w:rsidRDefault="008F0080" w:rsidP="00051CBF">
            <w:pPr>
              <w:spacing w:after="0" w:line="240" w:lineRule="auto"/>
              <w:jc w:val="right"/>
              <w:rPr>
                <w:rFonts w:eastAsia="Times New Roman"/>
                <w:sz w:val="20"/>
                <w:szCs w:val="20"/>
              </w:rPr>
            </w:pPr>
          </w:p>
        </w:tc>
        <w:tc>
          <w:tcPr>
            <w:tcW w:w="236" w:type="pct"/>
            <w:tcBorders>
              <w:top w:val="dotted" w:sz="4" w:space="0" w:color="auto"/>
              <w:left w:val="single" w:sz="4" w:space="0" w:color="auto"/>
              <w:bottom w:val="nil"/>
              <w:right w:val="single" w:sz="4" w:space="0" w:color="auto"/>
            </w:tcBorders>
            <w:shd w:val="clear" w:color="auto" w:fill="FFFFFF" w:themeFill="background1"/>
            <w:vAlign w:val="center"/>
          </w:tcPr>
          <w:p w14:paraId="006115E3" w14:textId="77777777" w:rsidR="008F0080" w:rsidRPr="00DA249F" w:rsidRDefault="008F0080" w:rsidP="00051CBF">
            <w:pPr>
              <w:spacing w:after="0" w:line="240" w:lineRule="auto"/>
              <w:jc w:val="right"/>
              <w:rPr>
                <w:rFonts w:eastAsia="Times New Roman"/>
                <w:sz w:val="20"/>
                <w:szCs w:val="20"/>
              </w:rPr>
            </w:pPr>
          </w:p>
        </w:tc>
        <w:tc>
          <w:tcPr>
            <w:tcW w:w="240" w:type="pct"/>
            <w:tcBorders>
              <w:top w:val="dotted" w:sz="4" w:space="0" w:color="auto"/>
              <w:left w:val="single" w:sz="4" w:space="0" w:color="auto"/>
              <w:bottom w:val="nil"/>
              <w:right w:val="double" w:sz="4" w:space="0" w:color="auto"/>
            </w:tcBorders>
            <w:shd w:val="clear" w:color="auto" w:fill="FFFFFF" w:themeFill="background1"/>
            <w:vAlign w:val="center"/>
          </w:tcPr>
          <w:p w14:paraId="77A6201D" w14:textId="77777777" w:rsidR="008F0080" w:rsidRPr="00DA249F" w:rsidRDefault="008F0080" w:rsidP="00051CBF">
            <w:pPr>
              <w:spacing w:after="0" w:line="240" w:lineRule="auto"/>
              <w:jc w:val="right"/>
              <w:rPr>
                <w:rFonts w:eastAsia="Times New Roman"/>
                <w:sz w:val="20"/>
                <w:szCs w:val="20"/>
              </w:rPr>
            </w:pPr>
          </w:p>
        </w:tc>
      </w:tr>
      <w:tr w:rsidR="00EA446B" w:rsidRPr="00DA249F" w14:paraId="34617076" w14:textId="3B2AF85E" w:rsidTr="00392A30">
        <w:trPr>
          <w:trHeight w:val="20"/>
        </w:trPr>
        <w:tc>
          <w:tcPr>
            <w:tcW w:w="1338" w:type="pct"/>
            <w:tcBorders>
              <w:top w:val="nil"/>
              <w:left w:val="double" w:sz="4" w:space="0" w:color="auto"/>
              <w:bottom w:val="single" w:sz="8" w:space="0" w:color="auto"/>
              <w:right w:val="double" w:sz="4" w:space="0" w:color="auto"/>
            </w:tcBorders>
            <w:shd w:val="clear" w:color="auto" w:fill="auto"/>
            <w:vAlign w:val="center"/>
            <w:hideMark/>
          </w:tcPr>
          <w:p w14:paraId="666EC58E"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Car</w:t>
            </w:r>
          </w:p>
        </w:tc>
        <w:tc>
          <w:tcPr>
            <w:tcW w:w="266" w:type="pct"/>
            <w:tcBorders>
              <w:top w:val="nil"/>
              <w:left w:val="double" w:sz="4" w:space="0" w:color="auto"/>
              <w:bottom w:val="single" w:sz="8" w:space="0" w:color="auto"/>
              <w:right w:val="single" w:sz="4" w:space="0" w:color="auto"/>
            </w:tcBorders>
            <w:shd w:val="clear" w:color="auto" w:fill="FFFFFF" w:themeFill="background1"/>
            <w:vAlign w:val="center"/>
          </w:tcPr>
          <w:p w14:paraId="429DBE1D"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8" w:space="0" w:color="auto"/>
              <w:right w:val="single" w:sz="4" w:space="0" w:color="auto"/>
            </w:tcBorders>
            <w:shd w:val="clear" w:color="auto" w:fill="FFFFFF" w:themeFill="background1"/>
            <w:vAlign w:val="center"/>
          </w:tcPr>
          <w:p w14:paraId="039BA467" w14:textId="4E8A86ED" w:rsidR="008F0080" w:rsidRPr="00DA249F" w:rsidRDefault="008F0080" w:rsidP="00051CBF">
            <w:pPr>
              <w:spacing w:after="0" w:line="240" w:lineRule="auto"/>
              <w:jc w:val="right"/>
              <w:rPr>
                <w:rFonts w:eastAsia="Times New Roman"/>
                <w:sz w:val="20"/>
                <w:szCs w:val="20"/>
              </w:rPr>
            </w:pPr>
            <w:r w:rsidRPr="00DA249F">
              <w:rPr>
                <w:sz w:val="20"/>
                <w:szCs w:val="20"/>
              </w:rPr>
              <w:t>-0.249</w:t>
            </w:r>
          </w:p>
        </w:tc>
        <w:tc>
          <w:tcPr>
            <w:tcW w:w="272" w:type="pct"/>
            <w:tcBorders>
              <w:top w:val="nil"/>
              <w:left w:val="single" w:sz="4" w:space="0" w:color="auto"/>
              <w:bottom w:val="single" w:sz="8" w:space="0" w:color="auto"/>
              <w:right w:val="single" w:sz="4" w:space="0" w:color="auto"/>
            </w:tcBorders>
            <w:shd w:val="clear" w:color="auto" w:fill="FFFFFF" w:themeFill="background1"/>
            <w:vAlign w:val="center"/>
          </w:tcPr>
          <w:p w14:paraId="3C00124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8" w:space="0" w:color="auto"/>
              <w:right w:val="single" w:sz="4" w:space="0" w:color="auto"/>
            </w:tcBorders>
            <w:shd w:val="clear" w:color="auto" w:fill="FFFFFF" w:themeFill="background1"/>
            <w:vAlign w:val="center"/>
          </w:tcPr>
          <w:p w14:paraId="5D781CFC"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7544FB6F"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single" w:sz="8" w:space="0" w:color="auto"/>
              <w:right w:val="single" w:sz="4" w:space="0" w:color="auto"/>
            </w:tcBorders>
            <w:shd w:val="clear" w:color="auto" w:fill="FFFFFF" w:themeFill="background1"/>
            <w:vAlign w:val="center"/>
          </w:tcPr>
          <w:p w14:paraId="1EB12DA7"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10418FDE"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8" w:space="0" w:color="auto"/>
              <w:right w:val="single" w:sz="8" w:space="0" w:color="auto"/>
            </w:tcBorders>
            <w:shd w:val="clear" w:color="auto" w:fill="FFFFFF" w:themeFill="background1"/>
            <w:vAlign w:val="center"/>
          </w:tcPr>
          <w:p w14:paraId="2C05153E"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single" w:sz="8" w:space="0" w:color="auto"/>
              <w:right w:val="single" w:sz="4" w:space="0" w:color="auto"/>
            </w:tcBorders>
            <w:shd w:val="clear" w:color="auto" w:fill="FFFFFF" w:themeFill="background1"/>
            <w:vAlign w:val="center"/>
          </w:tcPr>
          <w:p w14:paraId="6C885C6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0D06F7B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7DCFFC0A"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8" w:space="0" w:color="auto"/>
              <w:right w:val="single" w:sz="4" w:space="0" w:color="auto"/>
            </w:tcBorders>
            <w:shd w:val="clear" w:color="auto" w:fill="FFFFFF" w:themeFill="background1"/>
            <w:vAlign w:val="center"/>
          </w:tcPr>
          <w:p w14:paraId="65A4ACF5"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8" w:space="0" w:color="auto"/>
              <w:right w:val="single" w:sz="4" w:space="0" w:color="auto"/>
            </w:tcBorders>
            <w:shd w:val="clear" w:color="auto" w:fill="FFFFFF" w:themeFill="background1"/>
            <w:vAlign w:val="center"/>
          </w:tcPr>
          <w:p w14:paraId="1D49D373"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8" w:space="0" w:color="auto"/>
              <w:right w:val="single" w:sz="4" w:space="0" w:color="auto"/>
            </w:tcBorders>
            <w:shd w:val="clear" w:color="auto" w:fill="FFFFFF" w:themeFill="background1"/>
            <w:vAlign w:val="center"/>
          </w:tcPr>
          <w:p w14:paraId="0CAC5722"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single" w:sz="8" w:space="0" w:color="auto"/>
              <w:right w:val="double" w:sz="4" w:space="0" w:color="auto"/>
            </w:tcBorders>
            <w:shd w:val="clear" w:color="auto" w:fill="FFFFFF" w:themeFill="background1"/>
            <w:vAlign w:val="center"/>
          </w:tcPr>
          <w:p w14:paraId="7A86F40E" w14:textId="77777777" w:rsidR="008F0080" w:rsidRPr="00DA249F" w:rsidRDefault="008F0080" w:rsidP="00051CBF">
            <w:pPr>
              <w:spacing w:after="0" w:line="240" w:lineRule="auto"/>
              <w:jc w:val="right"/>
              <w:rPr>
                <w:rFonts w:eastAsia="Times New Roman"/>
                <w:sz w:val="20"/>
                <w:szCs w:val="20"/>
              </w:rPr>
            </w:pPr>
          </w:p>
        </w:tc>
      </w:tr>
      <w:tr w:rsidR="00BC4A8E" w:rsidRPr="00DA249F" w14:paraId="76356D18" w14:textId="264DA8FC" w:rsidTr="009C6D74">
        <w:trPr>
          <w:trHeight w:val="20"/>
        </w:trPr>
        <w:tc>
          <w:tcPr>
            <w:tcW w:w="5000" w:type="pct"/>
            <w:gridSpan w:val="16"/>
            <w:tcBorders>
              <w:top w:val="nil"/>
              <w:left w:val="double" w:sz="4" w:space="0" w:color="auto"/>
              <w:bottom w:val="single" w:sz="8" w:space="0" w:color="auto"/>
              <w:right w:val="double" w:sz="4" w:space="0" w:color="auto"/>
            </w:tcBorders>
            <w:shd w:val="clear" w:color="auto" w:fill="auto"/>
            <w:vAlign w:val="center"/>
            <w:hideMark/>
          </w:tcPr>
          <w:p w14:paraId="0C58949B" w14:textId="1B5C1BB8" w:rsidR="00BC4A8E" w:rsidRPr="00DA249F" w:rsidRDefault="00BC4A8E" w:rsidP="00BC4A8E">
            <w:pPr>
              <w:spacing w:after="0" w:line="240" w:lineRule="auto"/>
              <w:rPr>
                <w:rFonts w:eastAsia="Times New Roman"/>
                <w:sz w:val="20"/>
                <w:szCs w:val="20"/>
              </w:rPr>
            </w:pPr>
            <w:r w:rsidRPr="00DA249F">
              <w:rPr>
                <w:rFonts w:eastAsia="Calibri"/>
                <w:b/>
                <w:bCs/>
                <w:iCs/>
                <w:sz w:val="20"/>
                <w:szCs w:val="20"/>
              </w:rPr>
              <w:t>Personal Traits</w:t>
            </w:r>
          </w:p>
        </w:tc>
      </w:tr>
      <w:tr w:rsidR="00EA446B" w:rsidRPr="00DA249F" w14:paraId="27EF9D9E" w14:textId="3D49B59B" w:rsidTr="00392A30">
        <w:trPr>
          <w:trHeight w:val="20"/>
        </w:trPr>
        <w:tc>
          <w:tcPr>
            <w:tcW w:w="1338" w:type="pct"/>
            <w:tcBorders>
              <w:top w:val="single" w:sz="8" w:space="0" w:color="auto"/>
              <w:left w:val="double" w:sz="4" w:space="0" w:color="auto"/>
              <w:bottom w:val="single" w:sz="4" w:space="0" w:color="auto"/>
              <w:right w:val="double" w:sz="4" w:space="0" w:color="auto"/>
            </w:tcBorders>
            <w:shd w:val="clear" w:color="auto" w:fill="auto"/>
            <w:vAlign w:val="center"/>
            <w:hideMark/>
          </w:tcPr>
          <w:p w14:paraId="7AA717C5"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 xml:space="preserve">Enjoy working from home </w:t>
            </w:r>
            <w:r w:rsidRPr="00DA249F">
              <w:rPr>
                <w:rFonts w:eastAsia="Calibri"/>
                <w:i/>
                <w:iCs/>
                <w:sz w:val="20"/>
                <w:szCs w:val="20"/>
              </w:rPr>
              <w:t>(base: do not enjoy)</w:t>
            </w:r>
          </w:p>
        </w:tc>
        <w:tc>
          <w:tcPr>
            <w:tcW w:w="266" w:type="pct"/>
            <w:tcBorders>
              <w:top w:val="single" w:sz="8" w:space="0" w:color="auto"/>
              <w:left w:val="double" w:sz="4" w:space="0" w:color="auto"/>
              <w:bottom w:val="single" w:sz="4" w:space="0" w:color="auto"/>
              <w:right w:val="single" w:sz="4" w:space="0" w:color="auto"/>
            </w:tcBorders>
            <w:shd w:val="clear" w:color="auto" w:fill="FFFFFF" w:themeFill="background1"/>
            <w:vAlign w:val="center"/>
          </w:tcPr>
          <w:p w14:paraId="7747C9B0" w14:textId="71818392" w:rsidR="008F0080" w:rsidRPr="00DA249F" w:rsidRDefault="008F0080" w:rsidP="00051CBF">
            <w:pPr>
              <w:spacing w:after="0" w:line="240" w:lineRule="auto"/>
              <w:jc w:val="right"/>
              <w:rPr>
                <w:rFonts w:eastAsia="Times New Roman"/>
                <w:sz w:val="20"/>
                <w:szCs w:val="20"/>
              </w:rPr>
            </w:pPr>
            <w:r w:rsidRPr="00DA249F">
              <w:rPr>
                <w:sz w:val="20"/>
                <w:szCs w:val="20"/>
              </w:rPr>
              <w:t>0.235</w:t>
            </w:r>
          </w:p>
        </w:tc>
        <w:tc>
          <w:tcPr>
            <w:tcW w:w="23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6D7BF22B" w14:textId="77777777" w:rsidR="008F0080" w:rsidRPr="00DA249F" w:rsidRDefault="008F0080" w:rsidP="00051CBF">
            <w:pPr>
              <w:spacing w:after="0" w:line="240" w:lineRule="auto"/>
              <w:jc w:val="right"/>
              <w:rPr>
                <w:rFonts w:eastAsia="Times New Roman"/>
                <w:sz w:val="20"/>
                <w:szCs w:val="20"/>
              </w:rPr>
            </w:pPr>
          </w:p>
        </w:tc>
        <w:tc>
          <w:tcPr>
            <w:tcW w:w="272"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8A1AF1F"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16DC9F9"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B03FA68" w14:textId="77777777" w:rsidR="008F0080" w:rsidRPr="00DA249F" w:rsidRDefault="008F0080" w:rsidP="00051CBF">
            <w:pPr>
              <w:spacing w:after="0" w:line="240" w:lineRule="auto"/>
              <w:jc w:val="right"/>
              <w:rPr>
                <w:rFonts w:eastAsia="Times New Roman"/>
                <w:sz w:val="20"/>
                <w:szCs w:val="20"/>
              </w:rPr>
            </w:pPr>
          </w:p>
        </w:tc>
        <w:tc>
          <w:tcPr>
            <w:tcW w:w="274"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40C9754"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BE5AFC7"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single" w:sz="4" w:space="0" w:color="auto"/>
              <w:right w:val="single" w:sz="8" w:space="0" w:color="auto"/>
            </w:tcBorders>
            <w:shd w:val="clear" w:color="auto" w:fill="FFFFFF" w:themeFill="background1"/>
            <w:vAlign w:val="center"/>
          </w:tcPr>
          <w:p w14:paraId="694DA7E7"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08A2E3EA"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26F6ABB2"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53B8174F"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719D2D41" w14:textId="24C557CA"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-0.203</w:t>
            </w:r>
          </w:p>
        </w:tc>
        <w:tc>
          <w:tcPr>
            <w:tcW w:w="23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463A4725"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single" w:sz="4" w:space="0" w:color="auto"/>
              <w:right w:val="single" w:sz="4" w:space="0" w:color="auto"/>
            </w:tcBorders>
            <w:shd w:val="clear" w:color="auto" w:fill="FFFFFF" w:themeFill="background1"/>
            <w:vAlign w:val="center"/>
          </w:tcPr>
          <w:p w14:paraId="1124498F" w14:textId="77777777" w:rsidR="008F0080" w:rsidRPr="00DA249F" w:rsidRDefault="008F0080" w:rsidP="00051CBF">
            <w:pPr>
              <w:spacing w:after="0" w:line="240" w:lineRule="auto"/>
              <w:jc w:val="right"/>
              <w:rPr>
                <w:rFonts w:eastAsia="Times New Roman"/>
                <w:sz w:val="20"/>
                <w:szCs w:val="20"/>
              </w:rPr>
            </w:pPr>
          </w:p>
        </w:tc>
        <w:tc>
          <w:tcPr>
            <w:tcW w:w="240" w:type="pct"/>
            <w:tcBorders>
              <w:top w:val="single" w:sz="8" w:space="0" w:color="auto"/>
              <w:left w:val="single" w:sz="4" w:space="0" w:color="auto"/>
              <w:bottom w:val="single" w:sz="4" w:space="0" w:color="auto"/>
              <w:right w:val="double" w:sz="4" w:space="0" w:color="auto"/>
            </w:tcBorders>
            <w:shd w:val="clear" w:color="auto" w:fill="FFFFFF" w:themeFill="background1"/>
            <w:vAlign w:val="center"/>
          </w:tcPr>
          <w:p w14:paraId="4FC8D718" w14:textId="53BB7A89" w:rsidR="008F0080" w:rsidRPr="00DA249F" w:rsidRDefault="008F0080" w:rsidP="00051CBF">
            <w:pPr>
              <w:spacing w:after="0" w:line="240" w:lineRule="auto"/>
              <w:jc w:val="right"/>
              <w:rPr>
                <w:rFonts w:eastAsia="Times New Roman"/>
                <w:sz w:val="20"/>
                <w:szCs w:val="20"/>
              </w:rPr>
            </w:pPr>
            <w:r w:rsidRPr="00DA249F">
              <w:rPr>
                <w:sz w:val="20"/>
                <w:szCs w:val="20"/>
              </w:rPr>
              <w:t>-0.222</w:t>
            </w:r>
          </w:p>
        </w:tc>
      </w:tr>
      <w:tr w:rsidR="00BC4A8E" w:rsidRPr="00DA249F" w14:paraId="5C75450F" w14:textId="66F0A11D" w:rsidTr="009C6D74">
        <w:trPr>
          <w:trHeight w:val="20"/>
        </w:trPr>
        <w:tc>
          <w:tcPr>
            <w:tcW w:w="5000" w:type="pct"/>
            <w:gridSpan w:val="16"/>
            <w:tcBorders>
              <w:top w:val="single" w:sz="4" w:space="0" w:color="auto"/>
              <w:left w:val="double" w:sz="4" w:space="0" w:color="auto"/>
              <w:bottom w:val="single" w:sz="8" w:space="0" w:color="auto"/>
              <w:right w:val="double" w:sz="4" w:space="0" w:color="auto"/>
            </w:tcBorders>
            <w:shd w:val="clear" w:color="auto" w:fill="auto"/>
            <w:vAlign w:val="center"/>
            <w:hideMark/>
          </w:tcPr>
          <w:p w14:paraId="3861B6DE" w14:textId="6D01B955" w:rsidR="00BC4A8E" w:rsidRPr="00DA249F" w:rsidRDefault="00BC4A8E" w:rsidP="00BC4A8E">
            <w:pPr>
              <w:spacing w:after="0" w:line="240" w:lineRule="auto"/>
              <w:rPr>
                <w:rFonts w:eastAsia="Times New Roman"/>
                <w:sz w:val="20"/>
                <w:szCs w:val="20"/>
              </w:rPr>
            </w:pPr>
            <w:r w:rsidRPr="00DA249F">
              <w:rPr>
                <w:rFonts w:eastAsia="Calibri"/>
                <w:b/>
                <w:bCs/>
                <w:iCs/>
                <w:sz w:val="20"/>
                <w:szCs w:val="20"/>
              </w:rPr>
              <w:t xml:space="preserve">Residential </w:t>
            </w:r>
            <w:r w:rsidR="007210D9">
              <w:rPr>
                <w:rFonts w:eastAsia="Calibri"/>
                <w:b/>
                <w:bCs/>
                <w:iCs/>
                <w:sz w:val="20"/>
                <w:szCs w:val="20"/>
              </w:rPr>
              <w:t xml:space="preserve">Location </w:t>
            </w:r>
            <w:r w:rsidRPr="00DA249F">
              <w:rPr>
                <w:rFonts w:eastAsia="Calibri"/>
                <w:b/>
                <w:bCs/>
                <w:iCs/>
                <w:sz w:val="20"/>
                <w:szCs w:val="20"/>
              </w:rPr>
              <w:t>Attributes</w:t>
            </w:r>
          </w:p>
        </w:tc>
      </w:tr>
      <w:tr w:rsidR="00EA446B" w:rsidRPr="00DA249F" w14:paraId="7DC05767" w14:textId="17B13A9E" w:rsidTr="009C6D74">
        <w:trPr>
          <w:trHeight w:val="20"/>
        </w:trPr>
        <w:tc>
          <w:tcPr>
            <w:tcW w:w="1338" w:type="pct"/>
            <w:tcBorders>
              <w:top w:val="single" w:sz="8" w:space="0" w:color="auto"/>
              <w:left w:val="double" w:sz="4" w:space="0" w:color="auto"/>
              <w:bottom w:val="nil"/>
              <w:right w:val="double" w:sz="4" w:space="0" w:color="auto"/>
            </w:tcBorders>
            <w:shd w:val="clear" w:color="auto" w:fill="auto"/>
            <w:vAlign w:val="center"/>
            <w:hideMark/>
          </w:tcPr>
          <w:p w14:paraId="19E74078" w14:textId="6CDFD110" w:rsidR="008F0080" w:rsidRPr="00DA249F" w:rsidRDefault="008F0080" w:rsidP="008F0080">
            <w:pPr>
              <w:spacing w:after="0" w:line="240" w:lineRule="auto"/>
              <w:rPr>
                <w:rFonts w:eastAsia="Times New Roman"/>
                <w:b/>
                <w:bCs/>
                <w:sz w:val="20"/>
                <w:szCs w:val="20"/>
              </w:rPr>
            </w:pPr>
            <w:r w:rsidRPr="00DA249F">
              <w:rPr>
                <w:rFonts w:eastAsia="Calibri"/>
                <w:b/>
                <w:bCs/>
                <w:sz w:val="20"/>
                <w:szCs w:val="20"/>
              </w:rPr>
              <w:t xml:space="preserve">Access to </w:t>
            </w:r>
            <w:r w:rsidR="00E82A53">
              <w:rPr>
                <w:rFonts w:eastAsia="Calibri"/>
                <w:b/>
                <w:bCs/>
                <w:sz w:val="20"/>
                <w:szCs w:val="20"/>
              </w:rPr>
              <w:t>h</w:t>
            </w:r>
            <w:r w:rsidRPr="00DA249F">
              <w:rPr>
                <w:rFonts w:eastAsia="Calibri"/>
                <w:b/>
                <w:bCs/>
                <w:sz w:val="20"/>
                <w:szCs w:val="20"/>
              </w:rPr>
              <w:t xml:space="preserve">ealthcare </w:t>
            </w:r>
            <w:r w:rsidR="00E82A53">
              <w:rPr>
                <w:rFonts w:eastAsia="Calibri"/>
                <w:b/>
                <w:bCs/>
                <w:sz w:val="20"/>
                <w:szCs w:val="20"/>
              </w:rPr>
              <w:t>s</w:t>
            </w:r>
            <w:r w:rsidRPr="00DA249F">
              <w:rPr>
                <w:rFonts w:eastAsia="Calibri"/>
                <w:b/>
                <w:bCs/>
                <w:sz w:val="20"/>
                <w:szCs w:val="20"/>
              </w:rPr>
              <w:t>ervices</w:t>
            </w:r>
          </w:p>
        </w:tc>
        <w:tc>
          <w:tcPr>
            <w:tcW w:w="266" w:type="pct"/>
            <w:tcBorders>
              <w:top w:val="single" w:sz="8" w:space="0" w:color="auto"/>
              <w:left w:val="double" w:sz="4" w:space="0" w:color="auto"/>
              <w:bottom w:val="nil"/>
              <w:right w:val="single" w:sz="4" w:space="0" w:color="auto"/>
            </w:tcBorders>
            <w:shd w:val="clear" w:color="auto" w:fill="FFFFFF" w:themeFill="background1"/>
            <w:vAlign w:val="center"/>
          </w:tcPr>
          <w:p w14:paraId="57A10446"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4" w:space="0" w:color="auto"/>
            </w:tcBorders>
            <w:shd w:val="clear" w:color="auto" w:fill="FFFFFF" w:themeFill="background1"/>
            <w:vAlign w:val="center"/>
          </w:tcPr>
          <w:p w14:paraId="13F59B11" w14:textId="77777777" w:rsidR="008F0080" w:rsidRPr="00DA249F" w:rsidRDefault="008F0080" w:rsidP="00051CBF">
            <w:pPr>
              <w:spacing w:after="0" w:line="240" w:lineRule="auto"/>
              <w:jc w:val="right"/>
              <w:rPr>
                <w:rFonts w:eastAsia="Times New Roman"/>
                <w:sz w:val="20"/>
                <w:szCs w:val="20"/>
              </w:rPr>
            </w:pPr>
          </w:p>
        </w:tc>
        <w:tc>
          <w:tcPr>
            <w:tcW w:w="272" w:type="pct"/>
            <w:tcBorders>
              <w:top w:val="single" w:sz="8" w:space="0" w:color="auto"/>
              <w:left w:val="single" w:sz="4" w:space="0" w:color="auto"/>
              <w:bottom w:val="nil"/>
              <w:right w:val="single" w:sz="4" w:space="0" w:color="auto"/>
            </w:tcBorders>
            <w:shd w:val="clear" w:color="auto" w:fill="FFFFFF" w:themeFill="background1"/>
            <w:vAlign w:val="center"/>
          </w:tcPr>
          <w:p w14:paraId="59F5CFD1"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4" w:space="0" w:color="auto"/>
            </w:tcBorders>
            <w:shd w:val="clear" w:color="auto" w:fill="FFFFFF" w:themeFill="background1"/>
            <w:vAlign w:val="center"/>
          </w:tcPr>
          <w:p w14:paraId="19136CB8"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0DEC5789" w14:textId="77777777" w:rsidR="008F0080" w:rsidRPr="00DA249F" w:rsidRDefault="008F0080" w:rsidP="00051CBF">
            <w:pPr>
              <w:spacing w:after="0" w:line="240" w:lineRule="auto"/>
              <w:jc w:val="right"/>
              <w:rPr>
                <w:rFonts w:eastAsia="Times New Roman"/>
                <w:sz w:val="20"/>
                <w:szCs w:val="20"/>
              </w:rPr>
            </w:pPr>
          </w:p>
        </w:tc>
        <w:tc>
          <w:tcPr>
            <w:tcW w:w="274" w:type="pct"/>
            <w:tcBorders>
              <w:top w:val="single" w:sz="8" w:space="0" w:color="auto"/>
              <w:left w:val="single" w:sz="4" w:space="0" w:color="auto"/>
              <w:bottom w:val="nil"/>
              <w:right w:val="single" w:sz="4" w:space="0" w:color="auto"/>
            </w:tcBorders>
            <w:shd w:val="clear" w:color="auto" w:fill="FFFFFF" w:themeFill="background1"/>
            <w:vAlign w:val="center"/>
          </w:tcPr>
          <w:p w14:paraId="3706D3F5"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0346A46B" w14:textId="77777777" w:rsidR="008F0080" w:rsidRPr="00DA249F" w:rsidRDefault="008F0080" w:rsidP="00051CBF">
            <w:pPr>
              <w:spacing w:after="0" w:line="240" w:lineRule="auto"/>
              <w:jc w:val="right"/>
              <w:rPr>
                <w:rFonts w:eastAsia="Times New Roman"/>
                <w:sz w:val="20"/>
                <w:szCs w:val="20"/>
              </w:rPr>
            </w:pPr>
          </w:p>
        </w:tc>
        <w:tc>
          <w:tcPr>
            <w:tcW w:w="239" w:type="pct"/>
            <w:tcBorders>
              <w:top w:val="single" w:sz="8" w:space="0" w:color="auto"/>
              <w:left w:val="single" w:sz="4" w:space="0" w:color="auto"/>
              <w:bottom w:val="nil"/>
              <w:right w:val="single" w:sz="8" w:space="0" w:color="auto"/>
            </w:tcBorders>
            <w:shd w:val="clear" w:color="auto" w:fill="FFFFFF" w:themeFill="background1"/>
            <w:vAlign w:val="center"/>
          </w:tcPr>
          <w:p w14:paraId="504D5D5D"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8" w:space="0" w:color="auto"/>
              <w:bottom w:val="nil"/>
              <w:right w:val="single" w:sz="4" w:space="0" w:color="auto"/>
            </w:tcBorders>
            <w:shd w:val="clear" w:color="auto" w:fill="FFFFFF" w:themeFill="background1"/>
            <w:vAlign w:val="center"/>
          </w:tcPr>
          <w:p w14:paraId="518012EC"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2FA1FA29" w14:textId="77777777" w:rsidR="008F0080" w:rsidRPr="00DA249F" w:rsidRDefault="008F0080" w:rsidP="00051CBF">
            <w:pPr>
              <w:spacing w:after="0" w:line="240" w:lineRule="auto"/>
              <w:jc w:val="right"/>
              <w:rPr>
                <w:rFonts w:eastAsia="Times New Roman"/>
                <w:sz w:val="20"/>
                <w:szCs w:val="20"/>
              </w:rPr>
            </w:pPr>
          </w:p>
        </w:tc>
        <w:tc>
          <w:tcPr>
            <w:tcW w:w="237" w:type="pct"/>
            <w:tcBorders>
              <w:top w:val="single" w:sz="8" w:space="0" w:color="auto"/>
              <w:left w:val="single" w:sz="4" w:space="0" w:color="auto"/>
              <w:bottom w:val="nil"/>
              <w:right w:val="single" w:sz="4" w:space="0" w:color="auto"/>
            </w:tcBorders>
            <w:shd w:val="clear" w:color="auto" w:fill="FFFFFF" w:themeFill="background1"/>
            <w:vAlign w:val="center"/>
          </w:tcPr>
          <w:p w14:paraId="5F4D3C64"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0418F6F3"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3C4F1C0C" w14:textId="77777777" w:rsidR="008F0080" w:rsidRPr="00DA249F" w:rsidRDefault="008F0080" w:rsidP="00051CBF">
            <w:pPr>
              <w:spacing w:after="0" w:line="240" w:lineRule="auto"/>
              <w:jc w:val="right"/>
              <w:rPr>
                <w:rFonts w:eastAsia="Times New Roman"/>
                <w:sz w:val="20"/>
                <w:szCs w:val="20"/>
              </w:rPr>
            </w:pPr>
          </w:p>
        </w:tc>
        <w:tc>
          <w:tcPr>
            <w:tcW w:w="236" w:type="pct"/>
            <w:tcBorders>
              <w:top w:val="single" w:sz="8" w:space="0" w:color="auto"/>
              <w:left w:val="single" w:sz="4" w:space="0" w:color="auto"/>
              <w:bottom w:val="nil"/>
              <w:right w:val="single" w:sz="4" w:space="0" w:color="auto"/>
            </w:tcBorders>
            <w:shd w:val="clear" w:color="auto" w:fill="FFFFFF" w:themeFill="background1"/>
            <w:vAlign w:val="center"/>
          </w:tcPr>
          <w:p w14:paraId="0E274D1E" w14:textId="77777777" w:rsidR="008F0080" w:rsidRPr="00DA249F" w:rsidRDefault="008F0080" w:rsidP="00051CBF">
            <w:pPr>
              <w:spacing w:after="0" w:line="240" w:lineRule="auto"/>
              <w:jc w:val="right"/>
              <w:rPr>
                <w:rFonts w:eastAsia="Times New Roman"/>
                <w:sz w:val="20"/>
                <w:szCs w:val="20"/>
              </w:rPr>
            </w:pPr>
          </w:p>
        </w:tc>
        <w:tc>
          <w:tcPr>
            <w:tcW w:w="240" w:type="pct"/>
            <w:tcBorders>
              <w:top w:val="single" w:sz="8" w:space="0" w:color="auto"/>
              <w:left w:val="single" w:sz="4" w:space="0" w:color="auto"/>
              <w:bottom w:val="nil"/>
              <w:right w:val="double" w:sz="4" w:space="0" w:color="auto"/>
            </w:tcBorders>
            <w:shd w:val="clear" w:color="auto" w:fill="FFFFFF" w:themeFill="background1"/>
            <w:vAlign w:val="center"/>
          </w:tcPr>
          <w:p w14:paraId="05227C52" w14:textId="77777777" w:rsidR="008F0080" w:rsidRPr="00DA249F" w:rsidRDefault="008F0080" w:rsidP="00051CBF">
            <w:pPr>
              <w:spacing w:after="0" w:line="240" w:lineRule="auto"/>
              <w:jc w:val="right"/>
              <w:rPr>
                <w:rFonts w:eastAsia="Times New Roman"/>
                <w:sz w:val="20"/>
                <w:szCs w:val="20"/>
              </w:rPr>
            </w:pPr>
          </w:p>
        </w:tc>
      </w:tr>
      <w:tr w:rsidR="00EA446B" w:rsidRPr="00DA249F" w14:paraId="606E0D11" w14:textId="1707FCC1" w:rsidTr="00392A30">
        <w:trPr>
          <w:trHeight w:val="20"/>
        </w:trPr>
        <w:tc>
          <w:tcPr>
            <w:tcW w:w="1338" w:type="pct"/>
            <w:tcBorders>
              <w:top w:val="nil"/>
              <w:left w:val="double" w:sz="4" w:space="0" w:color="auto"/>
              <w:bottom w:val="nil"/>
              <w:right w:val="double" w:sz="4" w:space="0" w:color="auto"/>
            </w:tcBorders>
            <w:shd w:val="clear" w:color="auto" w:fill="auto"/>
            <w:vAlign w:val="center"/>
            <w:hideMark/>
          </w:tcPr>
          <w:p w14:paraId="56E600CE" w14:textId="0EF37BF3" w:rsidR="008F0080" w:rsidRPr="00DA249F" w:rsidRDefault="008F0080" w:rsidP="008F0080">
            <w:pPr>
              <w:spacing w:after="0" w:line="240" w:lineRule="auto"/>
              <w:ind w:left="139"/>
              <w:rPr>
                <w:rFonts w:eastAsia="Times New Roman"/>
                <w:sz w:val="20"/>
                <w:szCs w:val="20"/>
              </w:rPr>
            </w:pPr>
            <w:r w:rsidRPr="00DA249F">
              <w:rPr>
                <w:rFonts w:eastAsia="Calibri"/>
                <w:bCs/>
                <w:sz w:val="20"/>
                <w:szCs w:val="20"/>
              </w:rPr>
              <w:t># of physicians’ offices in zip code</w:t>
            </w:r>
            <w:r w:rsidRPr="00DA249F">
              <w:rPr>
                <w:rFonts w:eastAsia="Calibri"/>
                <w:i/>
                <w:iCs/>
                <w:sz w:val="20"/>
                <w:szCs w:val="20"/>
              </w:rPr>
              <w:t xml:space="preserve"> (count variable)</w:t>
            </w:r>
          </w:p>
        </w:tc>
        <w:tc>
          <w:tcPr>
            <w:tcW w:w="266" w:type="pct"/>
            <w:tcBorders>
              <w:top w:val="nil"/>
              <w:left w:val="double" w:sz="4" w:space="0" w:color="auto"/>
              <w:bottom w:val="nil"/>
              <w:right w:val="single" w:sz="4" w:space="0" w:color="auto"/>
            </w:tcBorders>
            <w:shd w:val="clear" w:color="auto" w:fill="FFFFFF" w:themeFill="background1"/>
            <w:vAlign w:val="center"/>
          </w:tcPr>
          <w:p w14:paraId="50B9B860" w14:textId="08A6FA66" w:rsidR="008F0080" w:rsidRPr="00DA249F" w:rsidRDefault="008F0080" w:rsidP="00051CBF">
            <w:pPr>
              <w:spacing w:after="0" w:line="240" w:lineRule="auto"/>
              <w:jc w:val="right"/>
              <w:rPr>
                <w:rFonts w:eastAsia="Times New Roman"/>
                <w:sz w:val="20"/>
                <w:szCs w:val="20"/>
              </w:rPr>
            </w:pPr>
            <w:r w:rsidRPr="00DA249F">
              <w:rPr>
                <w:sz w:val="20"/>
                <w:szCs w:val="20"/>
              </w:rPr>
              <w:t>-0.005</w:t>
            </w:r>
          </w:p>
        </w:tc>
        <w:tc>
          <w:tcPr>
            <w:tcW w:w="239" w:type="pct"/>
            <w:tcBorders>
              <w:top w:val="nil"/>
              <w:left w:val="single" w:sz="4" w:space="0" w:color="auto"/>
              <w:bottom w:val="nil"/>
              <w:right w:val="single" w:sz="4" w:space="0" w:color="auto"/>
            </w:tcBorders>
            <w:shd w:val="clear" w:color="auto" w:fill="FFFFFF" w:themeFill="background1"/>
            <w:vAlign w:val="center"/>
          </w:tcPr>
          <w:p w14:paraId="45F79E25"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4AE13155" w14:textId="15442F66" w:rsidR="008F0080" w:rsidRPr="00DA249F" w:rsidRDefault="008F0080" w:rsidP="00051CBF">
            <w:pPr>
              <w:spacing w:after="0" w:line="240" w:lineRule="auto"/>
              <w:jc w:val="right"/>
              <w:rPr>
                <w:rFonts w:eastAsia="Times New Roman"/>
                <w:sz w:val="20"/>
                <w:szCs w:val="20"/>
              </w:rPr>
            </w:pPr>
            <w:r w:rsidRPr="00DA249F">
              <w:rPr>
                <w:sz w:val="20"/>
                <w:szCs w:val="20"/>
              </w:rPr>
              <w:t>-0.004</w:t>
            </w:r>
          </w:p>
        </w:tc>
        <w:tc>
          <w:tcPr>
            <w:tcW w:w="239" w:type="pct"/>
            <w:tcBorders>
              <w:top w:val="nil"/>
              <w:left w:val="single" w:sz="4" w:space="0" w:color="auto"/>
              <w:bottom w:val="nil"/>
              <w:right w:val="single" w:sz="4" w:space="0" w:color="auto"/>
            </w:tcBorders>
            <w:shd w:val="clear" w:color="auto" w:fill="FFFFFF" w:themeFill="background1"/>
            <w:vAlign w:val="center"/>
          </w:tcPr>
          <w:p w14:paraId="58DCF0B9"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4C18CF0"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431689C4"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6BFC60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34B41EEC"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1D0D918D"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50F67A2"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54E217D"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7524B12E"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43C23857" w14:textId="0E2B00B2"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0.002</w:t>
            </w:r>
          </w:p>
        </w:tc>
        <w:tc>
          <w:tcPr>
            <w:tcW w:w="236" w:type="pct"/>
            <w:tcBorders>
              <w:top w:val="nil"/>
              <w:left w:val="single" w:sz="4" w:space="0" w:color="auto"/>
              <w:bottom w:val="nil"/>
              <w:right w:val="single" w:sz="4" w:space="0" w:color="auto"/>
            </w:tcBorders>
            <w:shd w:val="clear" w:color="auto" w:fill="FFFFFF" w:themeFill="background1"/>
            <w:vAlign w:val="center"/>
          </w:tcPr>
          <w:p w14:paraId="0F7E0A71"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28783CF9" w14:textId="77777777" w:rsidR="008F0080" w:rsidRPr="00DA249F" w:rsidRDefault="008F0080" w:rsidP="00051CBF">
            <w:pPr>
              <w:spacing w:after="0" w:line="240" w:lineRule="auto"/>
              <w:jc w:val="right"/>
              <w:rPr>
                <w:rFonts w:eastAsia="Times New Roman"/>
                <w:sz w:val="20"/>
                <w:szCs w:val="20"/>
              </w:rPr>
            </w:pPr>
          </w:p>
        </w:tc>
      </w:tr>
      <w:tr w:rsidR="00EA446B" w:rsidRPr="00DA249F" w14:paraId="24222611" w14:textId="27C7F387" w:rsidTr="00392A30">
        <w:trPr>
          <w:trHeight w:val="170"/>
        </w:trPr>
        <w:tc>
          <w:tcPr>
            <w:tcW w:w="1338" w:type="pct"/>
            <w:tcBorders>
              <w:top w:val="nil"/>
              <w:left w:val="double" w:sz="4" w:space="0" w:color="auto"/>
              <w:bottom w:val="nil"/>
              <w:right w:val="double" w:sz="4" w:space="0" w:color="auto"/>
            </w:tcBorders>
            <w:shd w:val="clear" w:color="auto" w:fill="auto"/>
            <w:vAlign w:val="center"/>
            <w:hideMark/>
          </w:tcPr>
          <w:p w14:paraId="78F823A8" w14:textId="4669E886" w:rsidR="008F0080" w:rsidRPr="00DA249F" w:rsidRDefault="007210D9" w:rsidP="008F0080">
            <w:pPr>
              <w:spacing w:after="0" w:line="240" w:lineRule="auto"/>
              <w:rPr>
                <w:rFonts w:eastAsia="Times New Roman"/>
                <w:b/>
                <w:bCs/>
                <w:sz w:val="20"/>
                <w:szCs w:val="20"/>
              </w:rPr>
            </w:pPr>
            <w:r>
              <w:rPr>
                <w:rFonts w:eastAsia="Calibri"/>
                <w:b/>
                <w:bCs/>
                <w:sz w:val="20"/>
                <w:szCs w:val="20"/>
              </w:rPr>
              <w:t xml:space="preserve">Census </w:t>
            </w:r>
            <w:r w:rsidR="00ED7316">
              <w:rPr>
                <w:rFonts w:eastAsia="Calibri"/>
                <w:b/>
                <w:bCs/>
                <w:sz w:val="20"/>
                <w:szCs w:val="20"/>
              </w:rPr>
              <w:t>r</w:t>
            </w:r>
            <w:r w:rsidR="008F0080" w:rsidRPr="00DA249F">
              <w:rPr>
                <w:rFonts w:eastAsia="Calibri"/>
                <w:b/>
                <w:bCs/>
                <w:sz w:val="20"/>
                <w:szCs w:val="20"/>
              </w:rPr>
              <w:t xml:space="preserve">egion </w:t>
            </w:r>
            <w:r w:rsidR="008F0080" w:rsidRPr="00DA249F">
              <w:rPr>
                <w:rFonts w:eastAsia="Calibri"/>
                <w:i/>
                <w:iCs/>
                <w:sz w:val="20"/>
                <w:szCs w:val="20"/>
              </w:rPr>
              <w:t>(base: Northeast)</w:t>
            </w:r>
          </w:p>
        </w:tc>
        <w:tc>
          <w:tcPr>
            <w:tcW w:w="266" w:type="pct"/>
            <w:tcBorders>
              <w:top w:val="nil"/>
              <w:left w:val="double" w:sz="4" w:space="0" w:color="auto"/>
              <w:bottom w:val="nil"/>
              <w:right w:val="single" w:sz="4" w:space="0" w:color="auto"/>
            </w:tcBorders>
            <w:shd w:val="clear" w:color="auto" w:fill="FFFFFF" w:themeFill="background1"/>
            <w:vAlign w:val="center"/>
          </w:tcPr>
          <w:p w14:paraId="627CE61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18086341"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33598FA6"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3241766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DE3E4EB"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2044E67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4D57299"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61283EC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7FEDD291"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9F46913"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CC45A09"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2ACC78E"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2C467C7B"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84BA097"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3CD63811" w14:textId="77777777" w:rsidR="008F0080" w:rsidRPr="00DA249F" w:rsidRDefault="008F0080" w:rsidP="00051CBF">
            <w:pPr>
              <w:spacing w:after="0" w:line="240" w:lineRule="auto"/>
              <w:jc w:val="right"/>
              <w:rPr>
                <w:rFonts w:eastAsia="Times New Roman"/>
                <w:sz w:val="20"/>
                <w:szCs w:val="20"/>
              </w:rPr>
            </w:pPr>
          </w:p>
        </w:tc>
      </w:tr>
      <w:tr w:rsidR="00EA446B" w:rsidRPr="00DA249F" w14:paraId="51F4C25C" w14:textId="0131BC98" w:rsidTr="00392A30">
        <w:trPr>
          <w:trHeight w:val="20"/>
        </w:trPr>
        <w:tc>
          <w:tcPr>
            <w:tcW w:w="1338" w:type="pct"/>
            <w:tcBorders>
              <w:top w:val="nil"/>
              <w:left w:val="double" w:sz="4" w:space="0" w:color="auto"/>
              <w:bottom w:val="nil"/>
              <w:right w:val="double" w:sz="4" w:space="0" w:color="auto"/>
            </w:tcBorders>
            <w:shd w:val="clear" w:color="auto" w:fill="auto"/>
            <w:vAlign w:val="center"/>
          </w:tcPr>
          <w:p w14:paraId="4D1B1A64" w14:textId="77777777" w:rsidR="008F0080" w:rsidRPr="00DA249F" w:rsidRDefault="008F0080" w:rsidP="008F0080">
            <w:pPr>
              <w:spacing w:after="0" w:line="240" w:lineRule="auto"/>
              <w:ind w:left="139"/>
              <w:rPr>
                <w:rFonts w:eastAsia="Calibri"/>
                <w:sz w:val="20"/>
                <w:szCs w:val="20"/>
              </w:rPr>
            </w:pPr>
            <w:r w:rsidRPr="00DA249F">
              <w:rPr>
                <w:rFonts w:eastAsia="Calibri"/>
                <w:sz w:val="20"/>
                <w:szCs w:val="20"/>
              </w:rPr>
              <w:t>Midwest</w:t>
            </w:r>
          </w:p>
        </w:tc>
        <w:tc>
          <w:tcPr>
            <w:tcW w:w="266" w:type="pct"/>
            <w:tcBorders>
              <w:top w:val="nil"/>
              <w:left w:val="double" w:sz="4" w:space="0" w:color="auto"/>
              <w:bottom w:val="nil"/>
              <w:right w:val="single" w:sz="4" w:space="0" w:color="auto"/>
            </w:tcBorders>
            <w:shd w:val="clear" w:color="auto" w:fill="FFFFFF" w:themeFill="background1"/>
            <w:vAlign w:val="center"/>
          </w:tcPr>
          <w:p w14:paraId="23D03B5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3FB13A55" w14:textId="11993541" w:rsidR="008F0080" w:rsidRPr="00DA249F" w:rsidRDefault="008F0080" w:rsidP="00051CBF">
            <w:pPr>
              <w:spacing w:after="0" w:line="240" w:lineRule="auto"/>
              <w:jc w:val="right"/>
              <w:rPr>
                <w:rFonts w:eastAsia="Times New Roman"/>
                <w:sz w:val="20"/>
                <w:szCs w:val="20"/>
              </w:rPr>
            </w:pPr>
            <w:r w:rsidRPr="00DA249F">
              <w:rPr>
                <w:sz w:val="20"/>
                <w:szCs w:val="20"/>
              </w:rPr>
              <w:t>0.216</w:t>
            </w:r>
          </w:p>
        </w:tc>
        <w:tc>
          <w:tcPr>
            <w:tcW w:w="272" w:type="pct"/>
            <w:tcBorders>
              <w:top w:val="nil"/>
              <w:left w:val="single" w:sz="4" w:space="0" w:color="auto"/>
              <w:bottom w:val="nil"/>
              <w:right w:val="single" w:sz="4" w:space="0" w:color="auto"/>
            </w:tcBorders>
            <w:shd w:val="clear" w:color="auto" w:fill="FFFFFF" w:themeFill="background1"/>
            <w:vAlign w:val="center"/>
          </w:tcPr>
          <w:p w14:paraId="5FD8AAB4" w14:textId="1B831D51" w:rsidR="008F0080" w:rsidRPr="00DA249F" w:rsidRDefault="008F0080" w:rsidP="00051CBF">
            <w:pPr>
              <w:spacing w:after="0" w:line="240" w:lineRule="auto"/>
              <w:jc w:val="right"/>
              <w:rPr>
                <w:rFonts w:eastAsia="Times New Roman"/>
                <w:sz w:val="20"/>
                <w:szCs w:val="20"/>
              </w:rPr>
            </w:pPr>
            <w:r w:rsidRPr="00DA249F">
              <w:rPr>
                <w:sz w:val="20"/>
                <w:szCs w:val="20"/>
              </w:rPr>
              <w:t>-0.303</w:t>
            </w:r>
          </w:p>
        </w:tc>
        <w:tc>
          <w:tcPr>
            <w:tcW w:w="239" w:type="pct"/>
            <w:tcBorders>
              <w:top w:val="nil"/>
              <w:left w:val="single" w:sz="4" w:space="0" w:color="auto"/>
              <w:bottom w:val="nil"/>
              <w:right w:val="single" w:sz="4" w:space="0" w:color="auto"/>
            </w:tcBorders>
            <w:shd w:val="clear" w:color="auto" w:fill="FFFFFF" w:themeFill="background1"/>
            <w:vAlign w:val="center"/>
          </w:tcPr>
          <w:p w14:paraId="7147AA0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36D1F01D"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1713AB51"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5D66FC8B"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5A03108A"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4ED643F8"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43A22169"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6CCFDBB2" w14:textId="7017E9D7"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-0.24</w:t>
            </w:r>
            <w:r w:rsidR="00444B47">
              <w:rPr>
                <w:rFonts w:eastAsia="Times New Roman"/>
                <w:sz w:val="20"/>
                <w:szCs w:val="20"/>
              </w:rPr>
              <w:t>7</w:t>
            </w:r>
          </w:p>
        </w:tc>
        <w:tc>
          <w:tcPr>
            <w:tcW w:w="236" w:type="pct"/>
            <w:tcBorders>
              <w:top w:val="nil"/>
              <w:left w:val="single" w:sz="4" w:space="0" w:color="auto"/>
              <w:bottom w:val="nil"/>
              <w:right w:val="single" w:sz="4" w:space="0" w:color="auto"/>
            </w:tcBorders>
            <w:shd w:val="clear" w:color="auto" w:fill="FFFFFF" w:themeFill="background1"/>
            <w:vAlign w:val="center"/>
          </w:tcPr>
          <w:p w14:paraId="22DDC9C2"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9737CF9"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D3B3A4F"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6C1CD394" w14:textId="77777777" w:rsidR="008F0080" w:rsidRPr="00DA249F" w:rsidRDefault="008F0080" w:rsidP="00051CBF">
            <w:pPr>
              <w:spacing w:after="0" w:line="240" w:lineRule="auto"/>
              <w:jc w:val="right"/>
              <w:rPr>
                <w:rFonts w:eastAsia="Times New Roman"/>
                <w:sz w:val="20"/>
                <w:szCs w:val="20"/>
              </w:rPr>
            </w:pPr>
          </w:p>
        </w:tc>
      </w:tr>
      <w:tr w:rsidR="00EA446B" w:rsidRPr="00DA249F" w14:paraId="5D9FB8D8" w14:textId="28EDD618" w:rsidTr="00392A30">
        <w:trPr>
          <w:trHeight w:val="20"/>
        </w:trPr>
        <w:tc>
          <w:tcPr>
            <w:tcW w:w="1338" w:type="pct"/>
            <w:tcBorders>
              <w:top w:val="nil"/>
              <w:left w:val="double" w:sz="4" w:space="0" w:color="auto"/>
              <w:bottom w:val="nil"/>
              <w:right w:val="double" w:sz="4" w:space="0" w:color="auto"/>
            </w:tcBorders>
            <w:shd w:val="clear" w:color="auto" w:fill="auto"/>
            <w:vAlign w:val="center"/>
          </w:tcPr>
          <w:p w14:paraId="35D113BF" w14:textId="77777777" w:rsidR="008F0080" w:rsidRPr="00DA249F" w:rsidRDefault="008F0080" w:rsidP="008F0080">
            <w:pPr>
              <w:spacing w:after="0" w:line="240" w:lineRule="auto"/>
              <w:ind w:left="139"/>
              <w:rPr>
                <w:rFonts w:eastAsia="Calibri"/>
                <w:sz w:val="20"/>
                <w:szCs w:val="20"/>
              </w:rPr>
            </w:pPr>
            <w:r w:rsidRPr="00DA249F">
              <w:rPr>
                <w:rFonts w:eastAsia="Calibri"/>
                <w:sz w:val="20"/>
                <w:szCs w:val="20"/>
              </w:rPr>
              <w:t>South</w:t>
            </w:r>
          </w:p>
        </w:tc>
        <w:tc>
          <w:tcPr>
            <w:tcW w:w="266" w:type="pct"/>
            <w:tcBorders>
              <w:top w:val="nil"/>
              <w:left w:val="double" w:sz="4" w:space="0" w:color="auto"/>
              <w:bottom w:val="nil"/>
              <w:right w:val="single" w:sz="4" w:space="0" w:color="auto"/>
            </w:tcBorders>
            <w:shd w:val="clear" w:color="auto" w:fill="FFFFFF" w:themeFill="background1"/>
            <w:vAlign w:val="center"/>
          </w:tcPr>
          <w:p w14:paraId="30EF5570"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4" w:space="0" w:color="auto"/>
            </w:tcBorders>
            <w:shd w:val="clear" w:color="auto" w:fill="FFFFFF" w:themeFill="background1"/>
            <w:vAlign w:val="center"/>
          </w:tcPr>
          <w:p w14:paraId="617C5C28"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nil"/>
              <w:right w:val="single" w:sz="4" w:space="0" w:color="auto"/>
            </w:tcBorders>
            <w:shd w:val="clear" w:color="auto" w:fill="FFFFFF" w:themeFill="background1"/>
            <w:vAlign w:val="center"/>
          </w:tcPr>
          <w:p w14:paraId="3D400EEA" w14:textId="7BCB74C7" w:rsidR="008F0080" w:rsidRPr="00DA249F" w:rsidRDefault="008F0080" w:rsidP="00051CBF">
            <w:pPr>
              <w:spacing w:after="0" w:line="240" w:lineRule="auto"/>
              <w:jc w:val="right"/>
              <w:rPr>
                <w:rFonts w:eastAsia="Times New Roman"/>
                <w:sz w:val="20"/>
                <w:szCs w:val="20"/>
              </w:rPr>
            </w:pPr>
            <w:r w:rsidRPr="00DA249F">
              <w:rPr>
                <w:sz w:val="20"/>
                <w:szCs w:val="20"/>
              </w:rPr>
              <w:t>-0.303</w:t>
            </w:r>
          </w:p>
        </w:tc>
        <w:tc>
          <w:tcPr>
            <w:tcW w:w="239" w:type="pct"/>
            <w:tcBorders>
              <w:top w:val="nil"/>
              <w:left w:val="single" w:sz="4" w:space="0" w:color="auto"/>
              <w:bottom w:val="nil"/>
              <w:right w:val="single" w:sz="4" w:space="0" w:color="auto"/>
            </w:tcBorders>
            <w:shd w:val="clear" w:color="auto" w:fill="FFFFFF" w:themeFill="background1"/>
            <w:vAlign w:val="center"/>
          </w:tcPr>
          <w:p w14:paraId="6BDB5789"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76FC464A"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nil"/>
              <w:right w:val="single" w:sz="4" w:space="0" w:color="auto"/>
            </w:tcBorders>
            <w:shd w:val="clear" w:color="auto" w:fill="FFFFFF" w:themeFill="background1"/>
            <w:vAlign w:val="center"/>
          </w:tcPr>
          <w:p w14:paraId="69636C89"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913A631"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nil"/>
              <w:right w:val="single" w:sz="8" w:space="0" w:color="auto"/>
            </w:tcBorders>
            <w:shd w:val="clear" w:color="auto" w:fill="FFFFFF" w:themeFill="background1"/>
            <w:vAlign w:val="center"/>
          </w:tcPr>
          <w:p w14:paraId="0BCDF2FD"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nil"/>
              <w:right w:val="single" w:sz="4" w:space="0" w:color="auto"/>
            </w:tcBorders>
            <w:shd w:val="clear" w:color="auto" w:fill="FFFFFF" w:themeFill="background1"/>
            <w:vAlign w:val="center"/>
          </w:tcPr>
          <w:p w14:paraId="7CF7E38D" w14:textId="5DBBBD27"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-0.269</w:t>
            </w:r>
          </w:p>
        </w:tc>
        <w:tc>
          <w:tcPr>
            <w:tcW w:w="237" w:type="pct"/>
            <w:tcBorders>
              <w:top w:val="nil"/>
              <w:left w:val="single" w:sz="4" w:space="0" w:color="auto"/>
              <w:bottom w:val="nil"/>
              <w:right w:val="single" w:sz="4" w:space="0" w:color="auto"/>
            </w:tcBorders>
            <w:shd w:val="clear" w:color="auto" w:fill="FFFFFF" w:themeFill="background1"/>
            <w:vAlign w:val="center"/>
          </w:tcPr>
          <w:p w14:paraId="1FE84D6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nil"/>
              <w:right w:val="single" w:sz="4" w:space="0" w:color="auto"/>
            </w:tcBorders>
            <w:shd w:val="clear" w:color="auto" w:fill="FFFFFF" w:themeFill="background1"/>
            <w:vAlign w:val="center"/>
          </w:tcPr>
          <w:p w14:paraId="232CFA67"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41E73B85"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03667506"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nil"/>
              <w:right w:val="single" w:sz="4" w:space="0" w:color="auto"/>
            </w:tcBorders>
            <w:shd w:val="clear" w:color="auto" w:fill="FFFFFF" w:themeFill="background1"/>
            <w:vAlign w:val="center"/>
          </w:tcPr>
          <w:p w14:paraId="630A1D2B"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nil"/>
              <w:right w:val="double" w:sz="4" w:space="0" w:color="auto"/>
            </w:tcBorders>
            <w:shd w:val="clear" w:color="auto" w:fill="FFFFFF" w:themeFill="background1"/>
            <w:vAlign w:val="center"/>
          </w:tcPr>
          <w:p w14:paraId="473B295D" w14:textId="77777777" w:rsidR="008F0080" w:rsidRPr="00DA249F" w:rsidRDefault="008F0080" w:rsidP="00051CBF">
            <w:pPr>
              <w:spacing w:after="0" w:line="240" w:lineRule="auto"/>
              <w:jc w:val="right"/>
              <w:rPr>
                <w:rFonts w:eastAsia="Times New Roman"/>
                <w:sz w:val="20"/>
                <w:szCs w:val="20"/>
              </w:rPr>
            </w:pPr>
          </w:p>
        </w:tc>
      </w:tr>
      <w:tr w:rsidR="00EA446B" w:rsidRPr="00DA249F" w14:paraId="3C157B6A" w14:textId="43AEBC09" w:rsidTr="009C6D74">
        <w:trPr>
          <w:trHeight w:val="20"/>
        </w:trPr>
        <w:tc>
          <w:tcPr>
            <w:tcW w:w="1338" w:type="pct"/>
            <w:tcBorders>
              <w:top w:val="nil"/>
              <w:left w:val="double" w:sz="4" w:space="0" w:color="auto"/>
              <w:bottom w:val="single" w:sz="8" w:space="0" w:color="auto"/>
              <w:right w:val="double" w:sz="4" w:space="0" w:color="auto"/>
            </w:tcBorders>
            <w:shd w:val="clear" w:color="auto" w:fill="auto"/>
            <w:vAlign w:val="center"/>
            <w:hideMark/>
          </w:tcPr>
          <w:p w14:paraId="53831600" w14:textId="77777777" w:rsidR="008F0080" w:rsidRPr="00DA249F" w:rsidRDefault="008F0080" w:rsidP="008F0080">
            <w:pPr>
              <w:spacing w:after="0" w:line="240" w:lineRule="auto"/>
              <w:ind w:left="139"/>
              <w:rPr>
                <w:rFonts w:eastAsia="Times New Roman"/>
                <w:sz w:val="20"/>
                <w:szCs w:val="20"/>
              </w:rPr>
            </w:pPr>
            <w:r w:rsidRPr="00DA249F">
              <w:rPr>
                <w:rFonts w:eastAsia="Calibri"/>
                <w:sz w:val="20"/>
                <w:szCs w:val="20"/>
              </w:rPr>
              <w:t>West</w:t>
            </w:r>
          </w:p>
        </w:tc>
        <w:tc>
          <w:tcPr>
            <w:tcW w:w="266" w:type="pct"/>
            <w:tcBorders>
              <w:top w:val="nil"/>
              <w:left w:val="double" w:sz="4" w:space="0" w:color="auto"/>
              <w:bottom w:val="single" w:sz="8" w:space="0" w:color="auto"/>
              <w:right w:val="single" w:sz="4" w:space="0" w:color="auto"/>
            </w:tcBorders>
            <w:shd w:val="clear" w:color="auto" w:fill="FFFFFF" w:themeFill="background1"/>
            <w:vAlign w:val="center"/>
          </w:tcPr>
          <w:p w14:paraId="66EFEE8A"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8" w:space="0" w:color="auto"/>
              <w:right w:val="single" w:sz="4" w:space="0" w:color="auto"/>
            </w:tcBorders>
            <w:shd w:val="clear" w:color="auto" w:fill="FFFFFF" w:themeFill="background1"/>
            <w:vAlign w:val="center"/>
          </w:tcPr>
          <w:p w14:paraId="7C3F148D" w14:textId="77777777" w:rsidR="008F0080" w:rsidRPr="00DA249F" w:rsidRDefault="008F0080" w:rsidP="00051CBF">
            <w:pPr>
              <w:spacing w:after="0" w:line="240" w:lineRule="auto"/>
              <w:jc w:val="right"/>
              <w:rPr>
                <w:rFonts w:eastAsia="Times New Roman"/>
                <w:sz w:val="20"/>
                <w:szCs w:val="20"/>
              </w:rPr>
            </w:pPr>
          </w:p>
        </w:tc>
        <w:tc>
          <w:tcPr>
            <w:tcW w:w="272" w:type="pct"/>
            <w:tcBorders>
              <w:top w:val="nil"/>
              <w:left w:val="single" w:sz="4" w:space="0" w:color="auto"/>
              <w:bottom w:val="single" w:sz="8" w:space="0" w:color="auto"/>
              <w:right w:val="single" w:sz="4" w:space="0" w:color="auto"/>
            </w:tcBorders>
            <w:shd w:val="clear" w:color="auto" w:fill="FFFFFF" w:themeFill="background1"/>
            <w:vAlign w:val="center"/>
          </w:tcPr>
          <w:p w14:paraId="10B9EF1C" w14:textId="29F2DD2B" w:rsidR="008F0080" w:rsidRPr="00DA249F" w:rsidRDefault="008F0080" w:rsidP="00051CBF">
            <w:pPr>
              <w:spacing w:after="0" w:line="240" w:lineRule="auto"/>
              <w:jc w:val="right"/>
              <w:rPr>
                <w:rFonts w:eastAsia="Times New Roman"/>
                <w:sz w:val="20"/>
                <w:szCs w:val="20"/>
              </w:rPr>
            </w:pPr>
            <w:r w:rsidRPr="00DA249F">
              <w:rPr>
                <w:sz w:val="20"/>
                <w:szCs w:val="20"/>
              </w:rPr>
              <w:t>-0.484</w:t>
            </w:r>
          </w:p>
        </w:tc>
        <w:tc>
          <w:tcPr>
            <w:tcW w:w="239" w:type="pct"/>
            <w:tcBorders>
              <w:top w:val="nil"/>
              <w:left w:val="single" w:sz="4" w:space="0" w:color="auto"/>
              <w:bottom w:val="single" w:sz="8" w:space="0" w:color="auto"/>
              <w:right w:val="single" w:sz="4" w:space="0" w:color="auto"/>
            </w:tcBorders>
            <w:shd w:val="clear" w:color="auto" w:fill="FFFFFF" w:themeFill="background1"/>
            <w:vAlign w:val="center"/>
          </w:tcPr>
          <w:p w14:paraId="2B26A4E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7852BEBF" w14:textId="77777777" w:rsidR="008F0080" w:rsidRPr="00DA249F" w:rsidRDefault="008F0080" w:rsidP="00051CBF">
            <w:pPr>
              <w:spacing w:after="0" w:line="240" w:lineRule="auto"/>
              <w:jc w:val="right"/>
              <w:rPr>
                <w:rFonts w:eastAsia="Times New Roman"/>
                <w:sz w:val="20"/>
                <w:szCs w:val="20"/>
              </w:rPr>
            </w:pPr>
          </w:p>
        </w:tc>
        <w:tc>
          <w:tcPr>
            <w:tcW w:w="274" w:type="pct"/>
            <w:tcBorders>
              <w:top w:val="nil"/>
              <w:left w:val="single" w:sz="4" w:space="0" w:color="auto"/>
              <w:bottom w:val="single" w:sz="8" w:space="0" w:color="auto"/>
              <w:right w:val="single" w:sz="4" w:space="0" w:color="auto"/>
            </w:tcBorders>
            <w:shd w:val="clear" w:color="auto" w:fill="FFFFFF" w:themeFill="background1"/>
            <w:vAlign w:val="center"/>
          </w:tcPr>
          <w:p w14:paraId="7867002F"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7BB8B8F4" w14:textId="77777777" w:rsidR="008F0080" w:rsidRPr="00DA249F" w:rsidRDefault="008F0080" w:rsidP="00051CBF">
            <w:pPr>
              <w:spacing w:after="0" w:line="240" w:lineRule="auto"/>
              <w:jc w:val="right"/>
              <w:rPr>
                <w:rFonts w:eastAsia="Times New Roman"/>
                <w:sz w:val="20"/>
                <w:szCs w:val="20"/>
              </w:rPr>
            </w:pPr>
          </w:p>
        </w:tc>
        <w:tc>
          <w:tcPr>
            <w:tcW w:w="239" w:type="pct"/>
            <w:tcBorders>
              <w:top w:val="nil"/>
              <w:left w:val="single" w:sz="4" w:space="0" w:color="auto"/>
              <w:bottom w:val="single" w:sz="8" w:space="0" w:color="auto"/>
              <w:right w:val="single" w:sz="8" w:space="0" w:color="auto"/>
            </w:tcBorders>
            <w:shd w:val="clear" w:color="auto" w:fill="FFFFFF" w:themeFill="background1"/>
            <w:vAlign w:val="center"/>
          </w:tcPr>
          <w:p w14:paraId="20C5B6F1"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8" w:space="0" w:color="auto"/>
              <w:bottom w:val="single" w:sz="8" w:space="0" w:color="auto"/>
              <w:right w:val="single" w:sz="4" w:space="0" w:color="auto"/>
            </w:tcBorders>
            <w:shd w:val="clear" w:color="auto" w:fill="FFFFFF" w:themeFill="background1"/>
            <w:vAlign w:val="center"/>
          </w:tcPr>
          <w:p w14:paraId="0525C4D6"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7B643680" w14:textId="77777777" w:rsidR="008F0080" w:rsidRPr="00DA249F" w:rsidRDefault="008F0080" w:rsidP="00051CBF">
            <w:pPr>
              <w:spacing w:after="0" w:line="240" w:lineRule="auto"/>
              <w:jc w:val="right"/>
              <w:rPr>
                <w:rFonts w:eastAsia="Times New Roman"/>
                <w:sz w:val="20"/>
                <w:szCs w:val="20"/>
              </w:rPr>
            </w:pPr>
          </w:p>
        </w:tc>
        <w:tc>
          <w:tcPr>
            <w:tcW w:w="237" w:type="pct"/>
            <w:tcBorders>
              <w:top w:val="nil"/>
              <w:left w:val="single" w:sz="4" w:space="0" w:color="auto"/>
              <w:bottom w:val="single" w:sz="8" w:space="0" w:color="auto"/>
              <w:right w:val="single" w:sz="4" w:space="0" w:color="auto"/>
            </w:tcBorders>
            <w:shd w:val="clear" w:color="auto" w:fill="FFFFFF" w:themeFill="background1"/>
            <w:vAlign w:val="center"/>
          </w:tcPr>
          <w:p w14:paraId="7D35A5C1" w14:textId="4FE5E77C" w:rsidR="008F0080" w:rsidRPr="00DA249F" w:rsidRDefault="008F0080" w:rsidP="00051CBF">
            <w:pPr>
              <w:spacing w:after="0" w:line="240" w:lineRule="auto"/>
              <w:jc w:val="right"/>
              <w:rPr>
                <w:rFonts w:eastAsia="Times New Roman"/>
                <w:sz w:val="20"/>
                <w:szCs w:val="20"/>
              </w:rPr>
            </w:pPr>
            <w:r w:rsidRPr="00DA249F">
              <w:rPr>
                <w:rFonts w:eastAsia="Times New Roman"/>
                <w:sz w:val="20"/>
                <w:szCs w:val="20"/>
              </w:rPr>
              <w:t>-0.24</w:t>
            </w:r>
            <w:r w:rsidR="00444B47">
              <w:rPr>
                <w:rFonts w:eastAsia="Times New Roman"/>
                <w:sz w:val="20"/>
                <w:szCs w:val="20"/>
              </w:rPr>
              <w:t>3</w:t>
            </w:r>
          </w:p>
        </w:tc>
        <w:tc>
          <w:tcPr>
            <w:tcW w:w="236" w:type="pct"/>
            <w:tcBorders>
              <w:top w:val="nil"/>
              <w:left w:val="single" w:sz="4" w:space="0" w:color="auto"/>
              <w:bottom w:val="single" w:sz="8" w:space="0" w:color="auto"/>
              <w:right w:val="single" w:sz="4" w:space="0" w:color="auto"/>
            </w:tcBorders>
            <w:shd w:val="clear" w:color="auto" w:fill="FFFFFF" w:themeFill="background1"/>
            <w:vAlign w:val="center"/>
          </w:tcPr>
          <w:p w14:paraId="4BF62027"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8" w:space="0" w:color="auto"/>
              <w:right w:val="single" w:sz="4" w:space="0" w:color="auto"/>
            </w:tcBorders>
            <w:shd w:val="clear" w:color="auto" w:fill="FFFFFF" w:themeFill="background1"/>
            <w:vAlign w:val="center"/>
          </w:tcPr>
          <w:p w14:paraId="0DC4FA89" w14:textId="77777777" w:rsidR="008F0080" w:rsidRPr="00DA249F" w:rsidRDefault="008F0080" w:rsidP="00051CBF">
            <w:pPr>
              <w:spacing w:after="0" w:line="240" w:lineRule="auto"/>
              <w:jc w:val="right"/>
              <w:rPr>
                <w:rFonts w:eastAsia="Times New Roman"/>
                <w:sz w:val="20"/>
                <w:szCs w:val="20"/>
              </w:rPr>
            </w:pPr>
          </w:p>
        </w:tc>
        <w:tc>
          <w:tcPr>
            <w:tcW w:w="236" w:type="pct"/>
            <w:tcBorders>
              <w:top w:val="nil"/>
              <w:left w:val="single" w:sz="4" w:space="0" w:color="auto"/>
              <w:bottom w:val="single" w:sz="8" w:space="0" w:color="auto"/>
              <w:right w:val="single" w:sz="4" w:space="0" w:color="auto"/>
            </w:tcBorders>
            <w:shd w:val="clear" w:color="auto" w:fill="FFFFFF" w:themeFill="background1"/>
            <w:vAlign w:val="center"/>
          </w:tcPr>
          <w:p w14:paraId="2D76CF34" w14:textId="77777777" w:rsidR="008F0080" w:rsidRPr="00DA249F" w:rsidRDefault="008F0080" w:rsidP="00051CBF">
            <w:pPr>
              <w:spacing w:after="0" w:line="240" w:lineRule="auto"/>
              <w:jc w:val="right"/>
              <w:rPr>
                <w:rFonts w:eastAsia="Times New Roman"/>
                <w:sz w:val="20"/>
                <w:szCs w:val="20"/>
              </w:rPr>
            </w:pPr>
          </w:p>
        </w:tc>
        <w:tc>
          <w:tcPr>
            <w:tcW w:w="240" w:type="pct"/>
            <w:tcBorders>
              <w:top w:val="nil"/>
              <w:left w:val="single" w:sz="4" w:space="0" w:color="auto"/>
              <w:bottom w:val="single" w:sz="8" w:space="0" w:color="auto"/>
              <w:right w:val="double" w:sz="4" w:space="0" w:color="auto"/>
            </w:tcBorders>
            <w:shd w:val="clear" w:color="auto" w:fill="FFFFFF" w:themeFill="background1"/>
            <w:vAlign w:val="center"/>
          </w:tcPr>
          <w:p w14:paraId="21708AA6" w14:textId="77777777" w:rsidR="008F0080" w:rsidRPr="00DA249F" w:rsidRDefault="008F0080" w:rsidP="00051CBF">
            <w:pPr>
              <w:spacing w:after="0" w:line="240" w:lineRule="auto"/>
              <w:jc w:val="right"/>
              <w:rPr>
                <w:rFonts w:eastAsia="Times New Roman"/>
                <w:sz w:val="20"/>
                <w:szCs w:val="20"/>
              </w:rPr>
            </w:pPr>
          </w:p>
        </w:tc>
      </w:tr>
      <w:tr w:rsidR="00EA446B" w:rsidRPr="00DA249F" w14:paraId="28827253" w14:textId="7583D2ED" w:rsidTr="009C6D74">
        <w:trPr>
          <w:trHeight w:val="79"/>
        </w:trPr>
        <w:tc>
          <w:tcPr>
            <w:tcW w:w="1338" w:type="pct"/>
            <w:tcBorders>
              <w:top w:val="single" w:sz="8" w:space="0" w:color="auto"/>
              <w:left w:val="double" w:sz="4" w:space="0" w:color="auto"/>
              <w:bottom w:val="double" w:sz="4" w:space="0" w:color="auto"/>
              <w:right w:val="double" w:sz="4" w:space="0" w:color="auto"/>
            </w:tcBorders>
            <w:shd w:val="clear" w:color="auto" w:fill="auto"/>
            <w:vAlign w:val="center"/>
            <w:hideMark/>
          </w:tcPr>
          <w:p w14:paraId="1F2C76E3" w14:textId="2217DA61" w:rsidR="008F0080" w:rsidRPr="00DA249F" w:rsidRDefault="008F0080" w:rsidP="008F0080">
            <w:pPr>
              <w:spacing w:after="0" w:line="240" w:lineRule="auto"/>
              <w:rPr>
                <w:rFonts w:eastAsia="Times New Roman"/>
                <w:b/>
                <w:bCs/>
                <w:sz w:val="20"/>
                <w:szCs w:val="20"/>
              </w:rPr>
            </w:pPr>
            <w:r w:rsidRPr="00DA249F">
              <w:rPr>
                <w:rFonts w:eastAsia="Calibri"/>
                <w:b/>
                <w:sz w:val="20"/>
                <w:szCs w:val="20"/>
              </w:rPr>
              <w:t>Threshold 0|1</w:t>
            </w:r>
          </w:p>
        </w:tc>
        <w:tc>
          <w:tcPr>
            <w:tcW w:w="266" w:type="pct"/>
            <w:tcBorders>
              <w:top w:val="single" w:sz="8" w:space="0" w:color="auto"/>
              <w:left w:val="double" w:sz="4" w:space="0" w:color="auto"/>
              <w:bottom w:val="double" w:sz="4" w:space="0" w:color="auto"/>
              <w:right w:val="single" w:sz="4" w:space="0" w:color="auto"/>
            </w:tcBorders>
            <w:shd w:val="clear" w:color="auto" w:fill="FFFFFF" w:themeFill="background1"/>
            <w:vAlign w:val="center"/>
          </w:tcPr>
          <w:p w14:paraId="07D9B317" w14:textId="772BE339" w:rsidR="008F0080" w:rsidRPr="00DA249F" w:rsidRDefault="002D4722" w:rsidP="00051CBF">
            <w:pPr>
              <w:spacing w:after="0" w:line="240" w:lineRule="auto"/>
              <w:jc w:val="right"/>
              <w:rPr>
                <w:rFonts w:eastAsia="Times New Roman"/>
                <w:sz w:val="20"/>
                <w:szCs w:val="20"/>
              </w:rPr>
            </w:pPr>
            <w:r>
              <w:rPr>
                <w:rFonts w:eastAsia="Times New Roman"/>
                <w:sz w:val="20"/>
                <w:szCs w:val="20"/>
              </w:rPr>
              <w:t>1.023</w:t>
            </w:r>
          </w:p>
        </w:tc>
        <w:tc>
          <w:tcPr>
            <w:tcW w:w="239"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482C1B90" w14:textId="42234968" w:rsidR="008F0080" w:rsidRPr="00DA249F" w:rsidRDefault="002D4722" w:rsidP="00051CBF">
            <w:pPr>
              <w:spacing w:after="0" w:line="240" w:lineRule="auto"/>
              <w:jc w:val="right"/>
              <w:rPr>
                <w:rFonts w:eastAsia="Times New Roman"/>
                <w:sz w:val="20"/>
                <w:szCs w:val="20"/>
              </w:rPr>
            </w:pPr>
            <w:r>
              <w:rPr>
                <w:rFonts w:eastAsia="Times New Roman"/>
                <w:sz w:val="20"/>
                <w:szCs w:val="20"/>
              </w:rPr>
              <w:t>-0.606</w:t>
            </w:r>
          </w:p>
        </w:tc>
        <w:tc>
          <w:tcPr>
            <w:tcW w:w="272"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7552F1FD" w14:textId="2B6B1174" w:rsidR="008F0080" w:rsidRPr="00DA249F" w:rsidRDefault="002D4722" w:rsidP="00051CBF">
            <w:pPr>
              <w:spacing w:after="0" w:line="240" w:lineRule="auto"/>
              <w:jc w:val="right"/>
              <w:rPr>
                <w:rFonts w:eastAsia="Times New Roman"/>
                <w:sz w:val="20"/>
                <w:szCs w:val="20"/>
              </w:rPr>
            </w:pPr>
            <w:r>
              <w:rPr>
                <w:rFonts w:eastAsia="Times New Roman"/>
                <w:sz w:val="20"/>
                <w:szCs w:val="20"/>
              </w:rPr>
              <w:t>0.342</w:t>
            </w:r>
          </w:p>
        </w:tc>
        <w:tc>
          <w:tcPr>
            <w:tcW w:w="239"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32A378F1" w14:textId="178F8579" w:rsidR="008F0080" w:rsidRPr="00DA249F" w:rsidRDefault="002D4722" w:rsidP="00051CBF">
            <w:pPr>
              <w:spacing w:after="0" w:line="240" w:lineRule="auto"/>
              <w:jc w:val="right"/>
              <w:rPr>
                <w:rFonts w:eastAsia="Times New Roman"/>
                <w:sz w:val="20"/>
                <w:szCs w:val="20"/>
              </w:rPr>
            </w:pPr>
            <w:r>
              <w:rPr>
                <w:rFonts w:eastAsia="Times New Roman"/>
                <w:sz w:val="20"/>
                <w:szCs w:val="20"/>
              </w:rPr>
              <w:t>-0.060</w:t>
            </w:r>
          </w:p>
        </w:tc>
        <w:tc>
          <w:tcPr>
            <w:tcW w:w="237"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379E023D" w14:textId="13EB7A86" w:rsidR="008F0080" w:rsidRPr="00DA249F" w:rsidRDefault="002D4722" w:rsidP="00051CBF">
            <w:pPr>
              <w:spacing w:after="0" w:line="240" w:lineRule="auto"/>
              <w:jc w:val="right"/>
              <w:rPr>
                <w:rFonts w:eastAsia="Times New Roman"/>
                <w:sz w:val="20"/>
                <w:szCs w:val="20"/>
              </w:rPr>
            </w:pPr>
            <w:r>
              <w:rPr>
                <w:rFonts w:eastAsia="Times New Roman"/>
                <w:sz w:val="20"/>
                <w:szCs w:val="20"/>
              </w:rPr>
              <w:t>-0.149</w:t>
            </w:r>
          </w:p>
        </w:tc>
        <w:tc>
          <w:tcPr>
            <w:tcW w:w="274"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03F4A472" w14:textId="17DAE6FC" w:rsidR="008F0080" w:rsidRPr="00DA249F" w:rsidRDefault="002D4722" w:rsidP="00051CBF">
            <w:pPr>
              <w:spacing w:after="0" w:line="240" w:lineRule="auto"/>
              <w:jc w:val="right"/>
              <w:rPr>
                <w:rFonts w:eastAsia="Times New Roman"/>
                <w:sz w:val="20"/>
                <w:szCs w:val="20"/>
              </w:rPr>
            </w:pPr>
            <w:r>
              <w:rPr>
                <w:rFonts w:eastAsia="Times New Roman"/>
                <w:sz w:val="20"/>
                <w:szCs w:val="20"/>
              </w:rPr>
              <w:t>0.323</w:t>
            </w:r>
          </w:p>
        </w:tc>
        <w:tc>
          <w:tcPr>
            <w:tcW w:w="237"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7623F9A0" w14:textId="75EA4262" w:rsidR="008F0080" w:rsidRPr="00DA249F" w:rsidRDefault="002D4722" w:rsidP="00051CBF">
            <w:pPr>
              <w:spacing w:after="0" w:line="240" w:lineRule="auto"/>
              <w:jc w:val="right"/>
              <w:rPr>
                <w:rFonts w:eastAsia="Times New Roman"/>
                <w:sz w:val="20"/>
                <w:szCs w:val="20"/>
              </w:rPr>
            </w:pPr>
            <w:r>
              <w:rPr>
                <w:rFonts w:eastAsia="Times New Roman"/>
                <w:sz w:val="20"/>
                <w:szCs w:val="20"/>
              </w:rPr>
              <w:t>0.705</w:t>
            </w:r>
          </w:p>
        </w:tc>
        <w:tc>
          <w:tcPr>
            <w:tcW w:w="239" w:type="pct"/>
            <w:tcBorders>
              <w:top w:val="single" w:sz="8" w:space="0" w:color="auto"/>
              <w:left w:val="single" w:sz="4" w:space="0" w:color="auto"/>
              <w:bottom w:val="double" w:sz="4" w:space="0" w:color="auto"/>
              <w:right w:val="single" w:sz="8" w:space="0" w:color="auto"/>
            </w:tcBorders>
            <w:shd w:val="clear" w:color="auto" w:fill="FFFFFF" w:themeFill="background1"/>
            <w:vAlign w:val="center"/>
          </w:tcPr>
          <w:p w14:paraId="0A9E3360" w14:textId="719EEEEE" w:rsidR="008F0080" w:rsidRPr="00DA249F" w:rsidRDefault="002D4722" w:rsidP="00051CBF">
            <w:pPr>
              <w:spacing w:after="0" w:line="240" w:lineRule="auto"/>
              <w:jc w:val="right"/>
              <w:rPr>
                <w:rFonts w:eastAsia="Times New Roman"/>
                <w:sz w:val="20"/>
                <w:szCs w:val="20"/>
              </w:rPr>
            </w:pPr>
            <w:r>
              <w:rPr>
                <w:rFonts w:eastAsia="Times New Roman"/>
                <w:sz w:val="20"/>
                <w:szCs w:val="20"/>
              </w:rPr>
              <w:t>1.004</w:t>
            </w:r>
          </w:p>
        </w:tc>
        <w:tc>
          <w:tcPr>
            <w:tcW w:w="237" w:type="pct"/>
            <w:tcBorders>
              <w:top w:val="single" w:sz="8" w:space="0" w:color="auto"/>
              <w:left w:val="single" w:sz="8" w:space="0" w:color="auto"/>
              <w:bottom w:val="double" w:sz="4" w:space="0" w:color="auto"/>
              <w:right w:val="single" w:sz="4" w:space="0" w:color="auto"/>
            </w:tcBorders>
            <w:shd w:val="clear" w:color="auto" w:fill="FFFFFF" w:themeFill="background1"/>
            <w:vAlign w:val="center"/>
          </w:tcPr>
          <w:p w14:paraId="45AFE503" w14:textId="1C07AAC1" w:rsidR="008F0080" w:rsidRPr="00DA249F" w:rsidRDefault="002D4722" w:rsidP="00051CBF">
            <w:pPr>
              <w:spacing w:after="0" w:line="240" w:lineRule="auto"/>
              <w:jc w:val="right"/>
              <w:rPr>
                <w:sz w:val="20"/>
                <w:szCs w:val="20"/>
              </w:rPr>
            </w:pPr>
            <w:r>
              <w:rPr>
                <w:sz w:val="20"/>
                <w:szCs w:val="20"/>
              </w:rPr>
              <w:t>1.026</w:t>
            </w:r>
          </w:p>
        </w:tc>
        <w:tc>
          <w:tcPr>
            <w:tcW w:w="237"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64052977" w14:textId="3649EDC7" w:rsidR="008F0080" w:rsidRPr="00DA249F" w:rsidRDefault="002D4722" w:rsidP="00051CBF">
            <w:pPr>
              <w:spacing w:after="0" w:line="240" w:lineRule="auto"/>
              <w:jc w:val="right"/>
              <w:rPr>
                <w:sz w:val="20"/>
                <w:szCs w:val="20"/>
              </w:rPr>
            </w:pPr>
            <w:r>
              <w:rPr>
                <w:sz w:val="20"/>
                <w:szCs w:val="20"/>
              </w:rPr>
              <w:t>-0.212</w:t>
            </w:r>
          </w:p>
        </w:tc>
        <w:tc>
          <w:tcPr>
            <w:tcW w:w="237"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345A200F" w14:textId="3D131DF8" w:rsidR="008F0080" w:rsidRPr="00DA249F" w:rsidRDefault="002D4722" w:rsidP="00051CBF">
            <w:pPr>
              <w:spacing w:after="0" w:line="240" w:lineRule="auto"/>
              <w:jc w:val="right"/>
              <w:rPr>
                <w:sz w:val="20"/>
                <w:szCs w:val="20"/>
              </w:rPr>
            </w:pPr>
            <w:r>
              <w:rPr>
                <w:sz w:val="20"/>
                <w:szCs w:val="20"/>
              </w:rPr>
              <w:t>1.221</w:t>
            </w:r>
          </w:p>
        </w:tc>
        <w:tc>
          <w:tcPr>
            <w:tcW w:w="236"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7361CE88" w14:textId="48A0D399" w:rsidR="008F0080" w:rsidRPr="00DA249F" w:rsidRDefault="002D4722" w:rsidP="00051CBF">
            <w:pPr>
              <w:spacing w:after="0" w:line="240" w:lineRule="auto"/>
              <w:jc w:val="right"/>
              <w:rPr>
                <w:sz w:val="20"/>
                <w:szCs w:val="20"/>
              </w:rPr>
            </w:pPr>
            <w:r>
              <w:rPr>
                <w:sz w:val="20"/>
                <w:szCs w:val="20"/>
              </w:rPr>
              <w:t>0.346</w:t>
            </w:r>
          </w:p>
        </w:tc>
        <w:tc>
          <w:tcPr>
            <w:tcW w:w="236"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28053179" w14:textId="215159F5" w:rsidR="008F0080" w:rsidRPr="00DA249F" w:rsidRDefault="002D4722" w:rsidP="00051CBF">
            <w:pPr>
              <w:spacing w:after="0" w:line="240" w:lineRule="auto"/>
              <w:jc w:val="right"/>
              <w:rPr>
                <w:sz w:val="20"/>
                <w:szCs w:val="20"/>
              </w:rPr>
            </w:pPr>
            <w:r>
              <w:rPr>
                <w:sz w:val="20"/>
                <w:szCs w:val="20"/>
              </w:rPr>
              <w:t>-0.164</w:t>
            </w:r>
          </w:p>
        </w:tc>
        <w:tc>
          <w:tcPr>
            <w:tcW w:w="236" w:type="pct"/>
            <w:tcBorders>
              <w:top w:val="single" w:sz="8" w:space="0" w:color="auto"/>
              <w:left w:val="single" w:sz="4" w:space="0" w:color="auto"/>
              <w:bottom w:val="double" w:sz="4" w:space="0" w:color="auto"/>
              <w:right w:val="single" w:sz="4" w:space="0" w:color="auto"/>
            </w:tcBorders>
            <w:shd w:val="clear" w:color="auto" w:fill="FFFFFF" w:themeFill="background1"/>
            <w:vAlign w:val="center"/>
          </w:tcPr>
          <w:p w14:paraId="57E0435C" w14:textId="537514A8" w:rsidR="008F0080" w:rsidRPr="00DA249F" w:rsidRDefault="002D4722" w:rsidP="00051CBF">
            <w:pPr>
              <w:spacing w:after="0" w:line="240" w:lineRule="auto"/>
              <w:jc w:val="right"/>
              <w:rPr>
                <w:sz w:val="20"/>
                <w:szCs w:val="20"/>
              </w:rPr>
            </w:pPr>
            <w:r>
              <w:rPr>
                <w:sz w:val="20"/>
                <w:szCs w:val="20"/>
              </w:rPr>
              <w:t>0.839</w:t>
            </w:r>
          </w:p>
        </w:tc>
        <w:tc>
          <w:tcPr>
            <w:tcW w:w="240" w:type="pct"/>
            <w:tcBorders>
              <w:top w:val="single" w:sz="8" w:space="0" w:color="auto"/>
              <w:left w:val="single" w:sz="4" w:space="0" w:color="auto"/>
              <w:bottom w:val="double" w:sz="4" w:space="0" w:color="auto"/>
              <w:right w:val="double" w:sz="4" w:space="0" w:color="auto"/>
            </w:tcBorders>
            <w:shd w:val="clear" w:color="auto" w:fill="FFFFFF" w:themeFill="background1"/>
            <w:vAlign w:val="center"/>
          </w:tcPr>
          <w:p w14:paraId="5D3FB905" w14:textId="4B00F861" w:rsidR="008F0080" w:rsidRPr="00DA249F" w:rsidRDefault="002D4722" w:rsidP="00051CBF">
            <w:pPr>
              <w:spacing w:after="0" w:line="240" w:lineRule="auto"/>
              <w:jc w:val="right"/>
              <w:rPr>
                <w:sz w:val="20"/>
                <w:szCs w:val="20"/>
              </w:rPr>
            </w:pPr>
            <w:r>
              <w:rPr>
                <w:sz w:val="20"/>
                <w:szCs w:val="20"/>
              </w:rPr>
              <w:t>0.966</w:t>
            </w:r>
          </w:p>
        </w:tc>
      </w:tr>
    </w:tbl>
    <w:p w14:paraId="73D8D5FA" w14:textId="77777777" w:rsidR="001D73B7" w:rsidRDefault="001D73B7" w:rsidP="00EA446B">
      <w:pPr>
        <w:spacing w:after="0" w:line="240" w:lineRule="auto"/>
        <w:jc w:val="both"/>
        <w:rPr>
          <w:rFonts w:eastAsia="Calibri"/>
          <w:bCs/>
          <w:sz w:val="20"/>
          <w:szCs w:val="20"/>
        </w:rPr>
      </w:pPr>
      <w:bookmarkStart w:id="95" w:name="_Hlk167973635"/>
      <w:bookmarkEnd w:id="91"/>
      <w:bookmarkEnd w:id="92"/>
      <w:r w:rsidRPr="001D73B7">
        <w:rPr>
          <w:rFonts w:eastAsia="Calibri"/>
          <w:bCs/>
          <w:sz w:val="20"/>
          <w:szCs w:val="20"/>
        </w:rPr>
        <w:t>DIPA - Getting to medical appointments is difficult for me; PTQ - The quality of care is worse; TC - Telemedicine is more convenient for me; NIPT - Most of my medical appointments require in-person tests or procedures; TP - I like the privacy offered by telemedicine; TNA - I do not expect my healthcare provider to offer telemedicine; TS - I do not have to wait as long; POP - I like the privacy of a healthcare provider's office; CH - My home is more comfortable than a healthcare provider's office; IPC - In-person appointments are more convenient; LCR - I do not have to risk getting sick from others in a healthcare provider's office; NTC - I am not confident using technology to access my appointments; LE - Telemedicine is cheaper; TSC - I am concerned about security with telemedicine; FCO - I can go see healthcare providers more often</w:t>
      </w:r>
    </w:p>
    <w:bookmarkEnd w:id="95"/>
    <w:p w14:paraId="701CE975" w14:textId="190058A1" w:rsidR="001D73B7" w:rsidRDefault="001D73B7">
      <w:pPr>
        <w:rPr>
          <w:rFonts w:eastAsia="Calibri"/>
          <w:bCs/>
          <w:sz w:val="20"/>
          <w:szCs w:val="20"/>
        </w:rPr>
      </w:pPr>
      <w:r>
        <w:rPr>
          <w:rFonts w:eastAsia="Calibri"/>
          <w:bCs/>
          <w:sz w:val="20"/>
          <w:szCs w:val="20"/>
        </w:rPr>
        <w:br w:type="page"/>
      </w:r>
    </w:p>
    <w:p w14:paraId="66416208" w14:textId="77777777" w:rsidR="00EA446B" w:rsidRDefault="00EA446B" w:rsidP="00EA446B">
      <w:pPr>
        <w:spacing w:after="0"/>
        <w:jc w:val="both"/>
        <w:rPr>
          <w:b/>
          <w:bCs/>
        </w:rPr>
        <w:sectPr w:rsidR="00EA446B" w:rsidSect="00EA446B">
          <w:pgSz w:w="15840" w:h="12240" w:orient="landscape"/>
          <w:pgMar w:top="1440" w:right="1440" w:bottom="1440" w:left="1440" w:header="720" w:footer="720" w:gutter="0"/>
          <w:cols w:space="720"/>
          <w:docGrid w:linePitch="360"/>
        </w:sectPr>
      </w:pPr>
    </w:p>
    <w:p w14:paraId="49DA9C99" w14:textId="3E49D32E" w:rsidR="0069340B" w:rsidRDefault="0069340B" w:rsidP="00C37174">
      <w:pPr>
        <w:pStyle w:val="Caption"/>
        <w:keepNext/>
        <w:spacing w:after="0"/>
        <w:jc w:val="left"/>
      </w:pPr>
      <w:bookmarkStart w:id="96" w:name="_Ref178945178"/>
      <w:r>
        <w:lastRenderedPageBreak/>
        <w:t xml:space="preserve">Table </w:t>
      </w:r>
      <w:r w:rsidR="00C425C0">
        <w:fldChar w:fldCharType="begin"/>
      </w:r>
      <w:r w:rsidR="00C425C0">
        <w:instrText xml:space="preserve"> SEQ Table \* ARABIC </w:instrText>
      </w:r>
      <w:r w:rsidR="00C425C0">
        <w:fldChar w:fldCharType="separate"/>
      </w:r>
      <w:r w:rsidR="008A3DCE">
        <w:rPr>
          <w:noProof/>
        </w:rPr>
        <w:t>6</w:t>
      </w:r>
      <w:r w:rsidR="00C425C0">
        <w:rPr>
          <w:noProof/>
        </w:rPr>
        <w:fldChar w:fldCharType="end"/>
      </w:r>
      <w:bookmarkEnd w:id="96"/>
      <w:r>
        <w:t xml:space="preserve">. </w:t>
      </w:r>
      <w:r w:rsidRPr="00CA2851">
        <w:t>Correlation Matrix</w:t>
      </w:r>
    </w:p>
    <w:tbl>
      <w:tblPr>
        <w:tblW w:w="12916" w:type="dxa"/>
        <w:tblInd w:w="-15" w:type="dxa"/>
        <w:tblLayout w:type="fixed"/>
        <w:tblCellMar>
          <w:left w:w="14" w:type="dxa"/>
          <w:right w:w="43" w:type="dxa"/>
        </w:tblCellMar>
        <w:tblLook w:val="04A0" w:firstRow="1" w:lastRow="0" w:firstColumn="1" w:lastColumn="0" w:noHBand="0" w:noVBand="1"/>
      </w:tblPr>
      <w:tblGrid>
        <w:gridCol w:w="1350"/>
        <w:gridCol w:w="1385"/>
        <w:gridCol w:w="565"/>
        <w:gridCol w:w="566"/>
        <w:gridCol w:w="565"/>
        <w:gridCol w:w="566"/>
        <w:gridCol w:w="566"/>
        <w:gridCol w:w="565"/>
        <w:gridCol w:w="566"/>
        <w:gridCol w:w="565"/>
        <w:gridCol w:w="566"/>
        <w:gridCol w:w="566"/>
        <w:gridCol w:w="565"/>
        <w:gridCol w:w="566"/>
        <w:gridCol w:w="565"/>
        <w:gridCol w:w="566"/>
        <w:gridCol w:w="566"/>
        <w:gridCol w:w="565"/>
        <w:gridCol w:w="566"/>
        <w:gridCol w:w="566"/>
      </w:tblGrid>
      <w:tr w:rsidR="00A312E0" w:rsidRPr="008858C9" w14:paraId="6215223A" w14:textId="77777777" w:rsidTr="009C6D74">
        <w:trPr>
          <w:cantSplit/>
          <w:trHeight w:val="50"/>
        </w:trPr>
        <w:tc>
          <w:tcPr>
            <w:tcW w:w="2735" w:type="dxa"/>
            <w:gridSpan w:val="2"/>
            <w:vMerge w:val="restart"/>
            <w:tcBorders>
              <w:top w:val="double" w:sz="4" w:space="0" w:color="auto"/>
              <w:left w:val="double" w:sz="4" w:space="0" w:color="auto"/>
              <w:bottom w:val="double" w:sz="4" w:space="0" w:color="auto"/>
              <w:right w:val="double" w:sz="4" w:space="0" w:color="auto"/>
            </w:tcBorders>
            <w:shd w:val="clear" w:color="000000" w:fill="FFFFFF"/>
            <w:vAlign w:val="center"/>
          </w:tcPr>
          <w:p w14:paraId="64C65E62" w14:textId="7501376F" w:rsidR="00A312E0" w:rsidRPr="008858C9" w:rsidRDefault="00A312E0" w:rsidP="00392A30">
            <w:pPr>
              <w:spacing w:after="0" w:line="240" w:lineRule="auto"/>
              <w:jc w:val="center"/>
              <w:rPr>
                <w:rFonts w:eastAsia="Times New Roman"/>
                <w:b/>
                <w:bCs/>
                <w:color w:val="000000"/>
                <w:sz w:val="20"/>
                <w:szCs w:val="20"/>
              </w:rPr>
            </w:pPr>
            <w:r w:rsidRPr="008858C9">
              <w:rPr>
                <w:rFonts w:eastAsia="Times New Roman"/>
                <w:b/>
                <w:bCs/>
                <w:color w:val="000000"/>
                <w:sz w:val="20"/>
                <w:szCs w:val="20"/>
              </w:rPr>
              <w:t>Outcome Variables</w:t>
            </w:r>
          </w:p>
        </w:tc>
        <w:tc>
          <w:tcPr>
            <w:tcW w:w="1696" w:type="dxa"/>
            <w:gridSpan w:val="3"/>
            <w:tcBorders>
              <w:top w:val="double" w:sz="4" w:space="0" w:color="auto"/>
              <w:left w:val="double" w:sz="4" w:space="0" w:color="auto"/>
              <w:bottom w:val="single" w:sz="4" w:space="0" w:color="auto"/>
              <w:right w:val="single" w:sz="4" w:space="0" w:color="auto"/>
            </w:tcBorders>
            <w:shd w:val="clear" w:color="auto" w:fill="auto"/>
            <w:noWrap/>
            <w:vAlign w:val="center"/>
          </w:tcPr>
          <w:p w14:paraId="291FAFF8" w14:textId="77777777" w:rsidR="00A312E0" w:rsidRPr="008858C9" w:rsidRDefault="00A312E0" w:rsidP="0035067E">
            <w:pPr>
              <w:spacing w:after="0" w:line="240" w:lineRule="auto"/>
              <w:jc w:val="center"/>
              <w:rPr>
                <w:rFonts w:eastAsia="Times New Roman"/>
                <w:b/>
                <w:bCs/>
                <w:color w:val="000000"/>
                <w:sz w:val="20"/>
                <w:szCs w:val="20"/>
              </w:rPr>
            </w:pPr>
            <w:r w:rsidRPr="008858C9">
              <w:rPr>
                <w:rFonts w:eastAsia="Times New Roman"/>
                <w:b/>
                <w:bCs/>
                <w:color w:val="000000"/>
                <w:sz w:val="20"/>
                <w:szCs w:val="20"/>
              </w:rPr>
              <w:t>Telemedicine Adoption</w:t>
            </w:r>
          </w:p>
        </w:tc>
        <w:tc>
          <w:tcPr>
            <w:tcW w:w="4525" w:type="dxa"/>
            <w:gridSpan w:val="8"/>
            <w:tcBorders>
              <w:top w:val="double" w:sz="4" w:space="0" w:color="auto"/>
              <w:left w:val="single" w:sz="4" w:space="0" w:color="auto"/>
              <w:bottom w:val="single" w:sz="4" w:space="0" w:color="auto"/>
              <w:right w:val="single" w:sz="4" w:space="0" w:color="auto"/>
            </w:tcBorders>
            <w:shd w:val="clear" w:color="auto" w:fill="auto"/>
            <w:vAlign w:val="center"/>
          </w:tcPr>
          <w:p w14:paraId="3FAE72D1" w14:textId="75145D63" w:rsidR="00A312E0" w:rsidRPr="008858C9" w:rsidRDefault="0071015E" w:rsidP="0035067E">
            <w:pPr>
              <w:spacing w:after="0" w:line="240" w:lineRule="auto"/>
              <w:jc w:val="center"/>
              <w:rPr>
                <w:rFonts w:eastAsia="Times New Roman"/>
                <w:b/>
                <w:bCs/>
                <w:color w:val="000000"/>
                <w:sz w:val="20"/>
                <w:szCs w:val="20"/>
              </w:rPr>
            </w:pPr>
            <w:r w:rsidRPr="00DA249F">
              <w:rPr>
                <w:rFonts w:eastAsia="Calibri"/>
                <w:b/>
                <w:bCs/>
                <w:sz w:val="20"/>
                <w:szCs w:val="20"/>
              </w:rPr>
              <w:t xml:space="preserve">Telemedicine </w:t>
            </w:r>
            <w:r w:rsidR="00ED7316">
              <w:rPr>
                <w:rFonts w:eastAsia="Calibri"/>
                <w:b/>
                <w:bCs/>
                <w:sz w:val="20"/>
                <w:szCs w:val="20"/>
              </w:rPr>
              <w:t xml:space="preserve">Adoption </w:t>
            </w:r>
            <w:r w:rsidRPr="00DA249F">
              <w:rPr>
                <w:rFonts w:eastAsia="Calibri"/>
                <w:b/>
                <w:bCs/>
                <w:sz w:val="20"/>
                <w:szCs w:val="20"/>
              </w:rPr>
              <w:t>Facilitator Reasons</w:t>
            </w:r>
          </w:p>
        </w:tc>
        <w:tc>
          <w:tcPr>
            <w:tcW w:w="3960" w:type="dxa"/>
            <w:gridSpan w:val="7"/>
            <w:tcBorders>
              <w:top w:val="double" w:sz="4" w:space="0" w:color="auto"/>
              <w:left w:val="single" w:sz="4" w:space="0" w:color="auto"/>
              <w:bottom w:val="single" w:sz="4" w:space="0" w:color="auto"/>
              <w:right w:val="double" w:sz="4" w:space="0" w:color="auto"/>
            </w:tcBorders>
            <w:shd w:val="clear" w:color="auto" w:fill="auto"/>
            <w:vAlign w:val="center"/>
          </w:tcPr>
          <w:p w14:paraId="22779ED5" w14:textId="1076EA1B" w:rsidR="00A312E0" w:rsidRPr="008858C9" w:rsidRDefault="0071015E" w:rsidP="0035067E">
            <w:pPr>
              <w:spacing w:after="0" w:line="240" w:lineRule="auto"/>
              <w:jc w:val="center"/>
              <w:rPr>
                <w:rFonts w:eastAsia="Times New Roman"/>
                <w:b/>
                <w:bCs/>
                <w:color w:val="000000"/>
                <w:sz w:val="20"/>
                <w:szCs w:val="20"/>
              </w:rPr>
            </w:pPr>
            <w:r w:rsidRPr="00DA249F">
              <w:rPr>
                <w:rFonts w:eastAsia="Calibri"/>
                <w:b/>
                <w:bCs/>
                <w:sz w:val="20"/>
                <w:szCs w:val="20"/>
              </w:rPr>
              <w:t xml:space="preserve">Telemedicine </w:t>
            </w:r>
            <w:r w:rsidR="00ED7316">
              <w:rPr>
                <w:rFonts w:eastAsia="Calibri"/>
                <w:b/>
                <w:bCs/>
                <w:sz w:val="20"/>
                <w:szCs w:val="20"/>
              </w:rPr>
              <w:t>Adoption</w:t>
            </w:r>
            <w:r>
              <w:rPr>
                <w:rFonts w:eastAsia="Calibri"/>
                <w:b/>
                <w:bCs/>
                <w:sz w:val="20"/>
                <w:szCs w:val="20"/>
              </w:rPr>
              <w:t xml:space="preserve"> </w:t>
            </w:r>
            <w:r w:rsidRPr="00DA249F">
              <w:rPr>
                <w:rFonts w:eastAsia="Calibri"/>
                <w:b/>
                <w:bCs/>
                <w:sz w:val="20"/>
                <w:szCs w:val="20"/>
              </w:rPr>
              <w:t>Deterrent Reasons</w:t>
            </w:r>
          </w:p>
        </w:tc>
      </w:tr>
      <w:tr w:rsidR="00A312E0" w:rsidRPr="008858C9" w14:paraId="4815C754" w14:textId="77777777" w:rsidTr="009C6D74">
        <w:trPr>
          <w:trHeight w:val="827"/>
        </w:trPr>
        <w:tc>
          <w:tcPr>
            <w:tcW w:w="2735" w:type="dxa"/>
            <w:gridSpan w:val="2"/>
            <w:vMerge/>
            <w:tcBorders>
              <w:left w:val="double" w:sz="4" w:space="0" w:color="auto"/>
              <w:bottom w:val="double" w:sz="4" w:space="0" w:color="auto"/>
              <w:right w:val="double" w:sz="4" w:space="0" w:color="auto"/>
            </w:tcBorders>
            <w:shd w:val="clear" w:color="000000" w:fill="FFFFFF"/>
          </w:tcPr>
          <w:p w14:paraId="5FCEE488" w14:textId="77777777" w:rsidR="00A312E0" w:rsidRPr="008858C9" w:rsidRDefault="00A312E0" w:rsidP="0035067E">
            <w:pPr>
              <w:spacing w:after="0" w:line="240" w:lineRule="auto"/>
              <w:rPr>
                <w:rFonts w:eastAsia="Times New Roman"/>
                <w:color w:val="000000"/>
                <w:sz w:val="20"/>
                <w:szCs w:val="20"/>
              </w:rPr>
            </w:pPr>
          </w:p>
        </w:tc>
        <w:tc>
          <w:tcPr>
            <w:tcW w:w="565" w:type="dxa"/>
            <w:tcBorders>
              <w:top w:val="single" w:sz="4" w:space="0" w:color="auto"/>
              <w:left w:val="double" w:sz="4" w:space="0" w:color="auto"/>
              <w:bottom w:val="double" w:sz="4" w:space="0" w:color="auto"/>
              <w:right w:val="single" w:sz="4" w:space="0" w:color="auto"/>
            </w:tcBorders>
            <w:shd w:val="clear" w:color="auto" w:fill="auto"/>
            <w:noWrap/>
            <w:textDirection w:val="btLr"/>
            <w:vAlign w:val="center"/>
            <w:hideMark/>
          </w:tcPr>
          <w:p w14:paraId="1F2230F7" w14:textId="738C505F" w:rsidR="00A312E0" w:rsidRPr="008858C9" w:rsidRDefault="00C817CF" w:rsidP="0035067E">
            <w:pPr>
              <w:spacing w:after="0" w:line="240" w:lineRule="auto"/>
              <w:rPr>
                <w:rFonts w:eastAsia="Times New Roman"/>
                <w:b/>
                <w:bCs/>
                <w:color w:val="000000"/>
                <w:sz w:val="20"/>
                <w:szCs w:val="20"/>
              </w:rPr>
            </w:pPr>
            <w:r>
              <w:rPr>
                <w:rFonts w:eastAsia="Times New Roman"/>
                <w:b/>
                <w:bCs/>
                <w:color w:val="000000"/>
                <w:sz w:val="20"/>
                <w:szCs w:val="20"/>
              </w:rPr>
              <w:t>Before-</w:t>
            </w:r>
            <w:r w:rsidR="00A312E0" w:rsidRPr="008858C9">
              <w:rPr>
                <w:rFonts w:eastAsia="Times New Roman"/>
                <w:b/>
                <w:bCs/>
                <w:color w:val="000000"/>
                <w:sz w:val="20"/>
                <w:szCs w:val="20"/>
              </w:rPr>
              <w:t xml:space="preserve"> COVID</w:t>
            </w:r>
          </w:p>
        </w:tc>
        <w:tc>
          <w:tcPr>
            <w:tcW w:w="566" w:type="dxa"/>
            <w:tcBorders>
              <w:top w:val="single" w:sz="4" w:space="0" w:color="auto"/>
              <w:left w:val="single" w:sz="4" w:space="0" w:color="auto"/>
              <w:bottom w:val="double" w:sz="4" w:space="0" w:color="auto"/>
              <w:right w:val="single" w:sz="4" w:space="0" w:color="auto"/>
            </w:tcBorders>
            <w:shd w:val="clear" w:color="auto" w:fill="auto"/>
            <w:noWrap/>
            <w:textDirection w:val="btLr"/>
            <w:vAlign w:val="center"/>
            <w:hideMark/>
          </w:tcPr>
          <w:p w14:paraId="7DBD3B5C" w14:textId="4D2DD2DC" w:rsidR="00A312E0" w:rsidRPr="008858C9" w:rsidRDefault="00F8247A" w:rsidP="0035067E">
            <w:pPr>
              <w:spacing w:after="0" w:line="240" w:lineRule="auto"/>
              <w:rPr>
                <w:rFonts w:eastAsia="Times New Roman"/>
                <w:b/>
                <w:bCs/>
                <w:color w:val="000000"/>
                <w:sz w:val="20"/>
                <w:szCs w:val="20"/>
              </w:rPr>
            </w:pPr>
            <w:r>
              <w:rPr>
                <w:rFonts w:eastAsia="Times New Roman"/>
                <w:b/>
                <w:bCs/>
                <w:color w:val="000000"/>
                <w:sz w:val="20"/>
                <w:szCs w:val="20"/>
              </w:rPr>
              <w:t>During-</w:t>
            </w:r>
            <w:r w:rsidR="006312A4">
              <w:rPr>
                <w:rFonts w:eastAsia="Times New Roman"/>
                <w:b/>
                <w:bCs/>
                <w:color w:val="000000"/>
                <w:sz w:val="20"/>
                <w:szCs w:val="20"/>
              </w:rPr>
              <w:t>COVID</w:t>
            </w:r>
          </w:p>
        </w:tc>
        <w:tc>
          <w:tcPr>
            <w:tcW w:w="565" w:type="dxa"/>
            <w:tcBorders>
              <w:top w:val="single" w:sz="4" w:space="0" w:color="auto"/>
              <w:left w:val="single" w:sz="4" w:space="0" w:color="auto"/>
              <w:bottom w:val="double" w:sz="4" w:space="0" w:color="auto"/>
              <w:right w:val="single" w:sz="4" w:space="0" w:color="auto"/>
            </w:tcBorders>
            <w:shd w:val="clear" w:color="auto" w:fill="auto"/>
            <w:noWrap/>
            <w:textDirection w:val="btLr"/>
            <w:vAlign w:val="center"/>
            <w:hideMark/>
          </w:tcPr>
          <w:p w14:paraId="5F9B2B23" w14:textId="08864CB0" w:rsidR="00A312E0" w:rsidRPr="008858C9" w:rsidRDefault="006312A4" w:rsidP="0035067E">
            <w:pPr>
              <w:spacing w:after="0" w:line="240" w:lineRule="auto"/>
              <w:rPr>
                <w:rFonts w:eastAsia="Times New Roman"/>
                <w:b/>
                <w:bCs/>
                <w:color w:val="000000"/>
                <w:sz w:val="20"/>
                <w:szCs w:val="20"/>
              </w:rPr>
            </w:pPr>
            <w:r>
              <w:rPr>
                <w:rFonts w:eastAsia="Times New Roman"/>
                <w:b/>
                <w:bCs/>
                <w:color w:val="000000"/>
                <w:sz w:val="20"/>
                <w:szCs w:val="20"/>
              </w:rPr>
              <w:t>After-COVID</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5ED2BB26" w14:textId="660CE694"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DIPA</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55628E0D" w14:textId="6BD01637"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TC</w:t>
            </w:r>
          </w:p>
        </w:tc>
        <w:tc>
          <w:tcPr>
            <w:tcW w:w="565"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40F05C1E" w14:textId="4A176364"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TP</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600ACB1B" w14:textId="6170B2EC"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TS</w:t>
            </w:r>
          </w:p>
        </w:tc>
        <w:tc>
          <w:tcPr>
            <w:tcW w:w="565"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191EAD58" w14:textId="2B3FE1D4"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CH</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48ECB6F9" w14:textId="26CE7DC9"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LCR</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3C345C87" w14:textId="05FABE01"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LE</w:t>
            </w:r>
          </w:p>
        </w:tc>
        <w:tc>
          <w:tcPr>
            <w:tcW w:w="565"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3FCE7A5D" w14:textId="19477199"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FCO</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6F391B06" w14:textId="60484552"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PTQ</w:t>
            </w:r>
          </w:p>
        </w:tc>
        <w:tc>
          <w:tcPr>
            <w:tcW w:w="565"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7CCE9BD4" w14:textId="3E670AE1"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NIPT</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1D3D0E87" w14:textId="7B11A0AD"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TNA</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4A6303EB" w14:textId="2AF38032"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POP</w:t>
            </w:r>
          </w:p>
        </w:tc>
        <w:tc>
          <w:tcPr>
            <w:tcW w:w="565"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539A3506" w14:textId="50EB53EA"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IPC</w:t>
            </w:r>
          </w:p>
        </w:tc>
        <w:tc>
          <w:tcPr>
            <w:tcW w:w="566" w:type="dxa"/>
            <w:tcBorders>
              <w:top w:val="single" w:sz="4" w:space="0" w:color="auto"/>
              <w:left w:val="single" w:sz="4" w:space="0" w:color="auto"/>
              <w:bottom w:val="double" w:sz="4" w:space="0" w:color="auto"/>
              <w:right w:val="single" w:sz="4" w:space="0" w:color="auto"/>
            </w:tcBorders>
            <w:shd w:val="clear" w:color="auto" w:fill="auto"/>
            <w:textDirection w:val="btLr"/>
            <w:vAlign w:val="center"/>
          </w:tcPr>
          <w:p w14:paraId="5DF0FB2C" w14:textId="355DCCF3"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NTC</w:t>
            </w:r>
          </w:p>
        </w:tc>
        <w:tc>
          <w:tcPr>
            <w:tcW w:w="566" w:type="dxa"/>
            <w:tcBorders>
              <w:top w:val="single" w:sz="4" w:space="0" w:color="auto"/>
              <w:left w:val="single" w:sz="4" w:space="0" w:color="auto"/>
              <w:bottom w:val="double" w:sz="4" w:space="0" w:color="auto"/>
              <w:right w:val="double" w:sz="4" w:space="0" w:color="auto"/>
            </w:tcBorders>
            <w:shd w:val="clear" w:color="auto" w:fill="auto"/>
            <w:textDirection w:val="btLr"/>
            <w:vAlign w:val="center"/>
          </w:tcPr>
          <w:p w14:paraId="00E0B894" w14:textId="400144E3" w:rsidR="00A312E0" w:rsidRPr="008858C9" w:rsidRDefault="000F6E82" w:rsidP="0035067E">
            <w:pPr>
              <w:spacing w:after="0" w:line="240" w:lineRule="auto"/>
              <w:rPr>
                <w:rFonts w:eastAsia="Times New Roman"/>
                <w:b/>
                <w:bCs/>
                <w:color w:val="000000"/>
                <w:sz w:val="20"/>
                <w:szCs w:val="20"/>
              </w:rPr>
            </w:pPr>
            <w:r>
              <w:rPr>
                <w:rFonts w:eastAsia="Times New Roman"/>
                <w:b/>
                <w:bCs/>
                <w:color w:val="000000"/>
                <w:sz w:val="20"/>
                <w:szCs w:val="20"/>
              </w:rPr>
              <w:t>TSC</w:t>
            </w:r>
          </w:p>
        </w:tc>
      </w:tr>
      <w:tr w:rsidR="00A312E0" w:rsidRPr="008858C9" w14:paraId="26545113" w14:textId="77777777" w:rsidTr="0069340B">
        <w:trPr>
          <w:trHeight w:val="70"/>
        </w:trPr>
        <w:tc>
          <w:tcPr>
            <w:tcW w:w="1350" w:type="dxa"/>
            <w:vMerge w:val="restart"/>
            <w:tcBorders>
              <w:top w:val="double" w:sz="4" w:space="0" w:color="auto"/>
              <w:left w:val="double" w:sz="4" w:space="0" w:color="auto"/>
              <w:bottom w:val="single" w:sz="4" w:space="0" w:color="auto"/>
              <w:right w:val="single" w:sz="4" w:space="0" w:color="auto"/>
            </w:tcBorders>
            <w:vAlign w:val="center"/>
          </w:tcPr>
          <w:p w14:paraId="068CB8E3" w14:textId="77777777" w:rsidR="00A312E0" w:rsidRPr="008858C9" w:rsidRDefault="00A312E0" w:rsidP="0035067E">
            <w:pPr>
              <w:spacing w:after="0" w:line="240" w:lineRule="auto"/>
              <w:rPr>
                <w:rFonts w:eastAsia="Times New Roman"/>
                <w:b/>
                <w:bCs/>
                <w:color w:val="000000"/>
                <w:sz w:val="20"/>
                <w:szCs w:val="20"/>
              </w:rPr>
            </w:pPr>
            <w:r w:rsidRPr="008858C9">
              <w:rPr>
                <w:rFonts w:eastAsia="Times New Roman"/>
                <w:b/>
                <w:bCs/>
                <w:color w:val="000000"/>
                <w:sz w:val="20"/>
                <w:szCs w:val="20"/>
              </w:rPr>
              <w:t>Telemedicine Adoption</w:t>
            </w:r>
          </w:p>
        </w:tc>
        <w:tc>
          <w:tcPr>
            <w:tcW w:w="1385" w:type="dxa"/>
            <w:tcBorders>
              <w:top w:val="double" w:sz="4" w:space="0" w:color="auto"/>
              <w:left w:val="nil"/>
              <w:bottom w:val="single" w:sz="4" w:space="0" w:color="auto"/>
              <w:right w:val="double" w:sz="4" w:space="0" w:color="auto"/>
            </w:tcBorders>
            <w:shd w:val="clear" w:color="auto" w:fill="auto"/>
            <w:noWrap/>
            <w:vAlign w:val="center"/>
            <w:hideMark/>
          </w:tcPr>
          <w:p w14:paraId="5F9D9376" w14:textId="68F451BC" w:rsidR="00A312E0" w:rsidRPr="008858C9" w:rsidRDefault="00C817CF" w:rsidP="0035067E">
            <w:pPr>
              <w:spacing w:after="0" w:line="240" w:lineRule="auto"/>
              <w:rPr>
                <w:rFonts w:eastAsia="Times New Roman"/>
                <w:b/>
                <w:bCs/>
                <w:color w:val="000000"/>
                <w:sz w:val="20"/>
                <w:szCs w:val="20"/>
              </w:rPr>
            </w:pPr>
            <w:r>
              <w:rPr>
                <w:rFonts w:eastAsia="Times New Roman"/>
                <w:b/>
                <w:bCs/>
                <w:color w:val="000000"/>
                <w:sz w:val="20"/>
                <w:szCs w:val="20"/>
              </w:rPr>
              <w:t>Before-</w:t>
            </w:r>
            <w:r w:rsidR="006312A4">
              <w:rPr>
                <w:rFonts w:eastAsia="Times New Roman"/>
                <w:b/>
                <w:bCs/>
                <w:color w:val="000000"/>
                <w:sz w:val="20"/>
                <w:szCs w:val="20"/>
              </w:rPr>
              <w:t>COVID</w:t>
            </w:r>
          </w:p>
        </w:tc>
        <w:tc>
          <w:tcPr>
            <w:tcW w:w="56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B2EFC25"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double" w:sz="4" w:space="0" w:color="auto"/>
              <w:left w:val="nil"/>
              <w:bottom w:val="nil"/>
              <w:right w:val="single" w:sz="4" w:space="0" w:color="auto"/>
            </w:tcBorders>
            <w:shd w:val="clear" w:color="auto" w:fill="70AD47" w:themeFill="accent6"/>
            <w:noWrap/>
            <w:vAlign w:val="center"/>
            <w:hideMark/>
          </w:tcPr>
          <w:p w14:paraId="148BEEF6" w14:textId="22385605"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0.2</w:t>
            </w:r>
            <w:r w:rsidR="00916BB7">
              <w:rPr>
                <w:rFonts w:eastAsia="Times New Roman"/>
                <w:color w:val="000000"/>
                <w:sz w:val="18"/>
                <w:szCs w:val="18"/>
              </w:rPr>
              <w:t>4</w:t>
            </w:r>
          </w:p>
          <w:p w14:paraId="575B0CD6" w14:textId="47E228F1"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(4.</w:t>
            </w:r>
            <w:r w:rsidR="00916BB7">
              <w:rPr>
                <w:rFonts w:eastAsia="Times New Roman"/>
                <w:color w:val="000000"/>
                <w:sz w:val="18"/>
                <w:szCs w:val="18"/>
              </w:rPr>
              <w:t>85</w:t>
            </w:r>
            <w:r>
              <w:rPr>
                <w:rFonts w:eastAsia="Times New Roman"/>
                <w:color w:val="000000"/>
                <w:sz w:val="18"/>
                <w:szCs w:val="18"/>
              </w:rPr>
              <w:t>)</w:t>
            </w:r>
          </w:p>
        </w:tc>
        <w:tc>
          <w:tcPr>
            <w:tcW w:w="565" w:type="dxa"/>
            <w:tcBorders>
              <w:top w:val="double" w:sz="4" w:space="0" w:color="auto"/>
              <w:left w:val="nil"/>
              <w:bottom w:val="single" w:sz="4" w:space="0" w:color="auto"/>
              <w:right w:val="single" w:sz="4" w:space="0" w:color="auto"/>
            </w:tcBorders>
            <w:shd w:val="clear" w:color="auto" w:fill="70AD47" w:themeFill="accent6"/>
            <w:noWrap/>
            <w:vAlign w:val="center"/>
            <w:hideMark/>
          </w:tcPr>
          <w:p w14:paraId="5B0853CB" w14:textId="0038D60C"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0.3</w:t>
            </w:r>
            <w:r w:rsidR="00916BB7">
              <w:rPr>
                <w:rFonts w:eastAsia="Times New Roman"/>
                <w:color w:val="000000"/>
                <w:sz w:val="18"/>
                <w:szCs w:val="18"/>
              </w:rPr>
              <w:t>5</w:t>
            </w:r>
          </w:p>
          <w:p w14:paraId="69837BB8" w14:textId="3629CFDF"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w:t>
            </w:r>
            <w:r w:rsidR="00916BB7">
              <w:rPr>
                <w:rFonts w:eastAsia="Times New Roman"/>
                <w:color w:val="000000"/>
                <w:sz w:val="18"/>
                <w:szCs w:val="18"/>
              </w:rPr>
              <w:t>7.52</w:t>
            </w:r>
            <w:r>
              <w:rPr>
                <w:rFonts w:eastAsia="Times New Roman"/>
                <w:color w:val="000000"/>
                <w:sz w:val="18"/>
                <w:szCs w:val="18"/>
              </w:rPr>
              <w:t>)</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742E2E0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2AA91A90"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346CD391"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4DFD1F91"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02B0D8DE"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557C724C"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2239A98D"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192A4BD5"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06ABFA68"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0EB21AF6"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61C1052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44F00622"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double" w:sz="4" w:space="0" w:color="auto"/>
              <w:left w:val="nil"/>
              <w:bottom w:val="single" w:sz="4" w:space="0" w:color="auto"/>
              <w:right w:val="single" w:sz="4" w:space="0" w:color="auto"/>
            </w:tcBorders>
            <w:shd w:val="clear" w:color="auto" w:fill="auto"/>
            <w:noWrap/>
            <w:vAlign w:val="center"/>
            <w:hideMark/>
          </w:tcPr>
          <w:p w14:paraId="47281314"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single" w:sz="4" w:space="0" w:color="auto"/>
            </w:tcBorders>
            <w:shd w:val="clear" w:color="auto" w:fill="auto"/>
            <w:noWrap/>
            <w:vAlign w:val="center"/>
            <w:hideMark/>
          </w:tcPr>
          <w:p w14:paraId="6770C01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double" w:sz="4" w:space="0" w:color="auto"/>
              <w:left w:val="nil"/>
              <w:bottom w:val="single" w:sz="4" w:space="0" w:color="auto"/>
              <w:right w:val="double" w:sz="4" w:space="0" w:color="auto"/>
            </w:tcBorders>
            <w:shd w:val="clear" w:color="auto" w:fill="auto"/>
            <w:noWrap/>
            <w:vAlign w:val="center"/>
            <w:hideMark/>
          </w:tcPr>
          <w:p w14:paraId="6B869D7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A312E0" w:rsidRPr="008858C9" w14:paraId="54AF948E"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0BB71435" w14:textId="77777777" w:rsidR="00A312E0" w:rsidRPr="008858C9" w:rsidRDefault="00A312E0" w:rsidP="0035067E">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noWrap/>
            <w:vAlign w:val="center"/>
            <w:hideMark/>
          </w:tcPr>
          <w:p w14:paraId="098EE19D" w14:textId="6559DCAC" w:rsidR="00A312E0" w:rsidRPr="008858C9" w:rsidRDefault="00F8247A" w:rsidP="0035067E">
            <w:pPr>
              <w:spacing w:after="0" w:line="240" w:lineRule="auto"/>
              <w:rPr>
                <w:rFonts w:eastAsia="Times New Roman"/>
                <w:b/>
                <w:bCs/>
                <w:color w:val="000000"/>
                <w:sz w:val="20"/>
                <w:szCs w:val="20"/>
              </w:rPr>
            </w:pPr>
            <w:r>
              <w:rPr>
                <w:rFonts w:eastAsia="Times New Roman"/>
                <w:b/>
                <w:bCs/>
                <w:color w:val="000000"/>
                <w:sz w:val="20"/>
                <w:szCs w:val="20"/>
              </w:rPr>
              <w:t>During-</w:t>
            </w:r>
            <w:r w:rsidR="006312A4">
              <w:rPr>
                <w:rFonts w:eastAsia="Times New Roman"/>
                <w:b/>
                <w:bCs/>
                <w:color w:val="000000"/>
                <w:sz w:val="20"/>
                <w:szCs w:val="20"/>
              </w:rPr>
              <w:t>COVID</w:t>
            </w:r>
          </w:p>
        </w:tc>
        <w:tc>
          <w:tcPr>
            <w:tcW w:w="565" w:type="dxa"/>
            <w:tcBorders>
              <w:top w:val="nil"/>
              <w:left w:val="double" w:sz="4" w:space="0" w:color="auto"/>
              <w:bottom w:val="nil"/>
              <w:right w:val="nil"/>
            </w:tcBorders>
            <w:shd w:val="clear" w:color="auto" w:fill="auto"/>
            <w:noWrap/>
            <w:vAlign w:val="center"/>
            <w:hideMark/>
          </w:tcPr>
          <w:p w14:paraId="49720BE4"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0B16"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5" w:type="dxa"/>
            <w:tcBorders>
              <w:top w:val="nil"/>
              <w:left w:val="nil"/>
              <w:bottom w:val="nil"/>
              <w:right w:val="single" w:sz="4" w:space="0" w:color="auto"/>
            </w:tcBorders>
            <w:shd w:val="clear" w:color="auto" w:fill="70AD47" w:themeFill="accent6"/>
            <w:noWrap/>
            <w:vAlign w:val="center"/>
            <w:hideMark/>
          </w:tcPr>
          <w:p w14:paraId="08991BFE" w14:textId="77777777"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0.64</w:t>
            </w:r>
          </w:p>
          <w:p w14:paraId="74D3A04F" w14:textId="0EA07306"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w:t>
            </w:r>
            <w:r w:rsidR="00916BB7">
              <w:rPr>
                <w:rFonts w:eastAsia="Times New Roman"/>
                <w:color w:val="000000"/>
                <w:sz w:val="18"/>
                <w:szCs w:val="18"/>
              </w:rPr>
              <w:t>8.42</w:t>
            </w:r>
            <w:r>
              <w:rPr>
                <w:rFonts w:eastAsia="Times New Roman"/>
                <w:color w:val="000000"/>
                <w:sz w:val="18"/>
                <w:szCs w:val="18"/>
              </w:rPr>
              <w:t>)</w:t>
            </w:r>
          </w:p>
        </w:tc>
        <w:tc>
          <w:tcPr>
            <w:tcW w:w="566" w:type="dxa"/>
            <w:tcBorders>
              <w:top w:val="nil"/>
              <w:left w:val="nil"/>
              <w:bottom w:val="single" w:sz="4" w:space="0" w:color="auto"/>
              <w:right w:val="single" w:sz="4" w:space="0" w:color="auto"/>
            </w:tcBorders>
            <w:shd w:val="clear" w:color="auto" w:fill="auto"/>
            <w:noWrap/>
            <w:vAlign w:val="center"/>
            <w:hideMark/>
          </w:tcPr>
          <w:p w14:paraId="75B9EA03"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785363E8"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322CADFF"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771BED12"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0562B8C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3757CA91"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3E02E475"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100336CC"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6659DEDD"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20C7AB50"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2703EC8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5C9620C1"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067375E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167F57C5"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hideMark/>
          </w:tcPr>
          <w:p w14:paraId="2E56D82A"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A312E0" w:rsidRPr="008858C9" w14:paraId="2F867577"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6EE2E87F" w14:textId="77777777" w:rsidR="00A312E0" w:rsidRPr="008858C9" w:rsidRDefault="00A312E0" w:rsidP="0035067E">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noWrap/>
            <w:vAlign w:val="center"/>
            <w:hideMark/>
          </w:tcPr>
          <w:p w14:paraId="11FE32F8" w14:textId="50130E2A" w:rsidR="00A312E0" w:rsidRPr="008858C9" w:rsidRDefault="006312A4" w:rsidP="0035067E">
            <w:pPr>
              <w:spacing w:after="0" w:line="240" w:lineRule="auto"/>
              <w:rPr>
                <w:rFonts w:eastAsia="Times New Roman"/>
                <w:b/>
                <w:bCs/>
                <w:color w:val="000000"/>
                <w:sz w:val="20"/>
                <w:szCs w:val="20"/>
              </w:rPr>
            </w:pPr>
            <w:r>
              <w:rPr>
                <w:rFonts w:eastAsia="Times New Roman"/>
                <w:b/>
                <w:bCs/>
                <w:color w:val="000000"/>
                <w:sz w:val="20"/>
                <w:szCs w:val="20"/>
              </w:rPr>
              <w:t>After-COVID</w:t>
            </w:r>
          </w:p>
        </w:tc>
        <w:tc>
          <w:tcPr>
            <w:tcW w:w="565" w:type="dxa"/>
            <w:tcBorders>
              <w:top w:val="nil"/>
              <w:left w:val="double" w:sz="4" w:space="0" w:color="auto"/>
              <w:bottom w:val="nil"/>
              <w:right w:val="nil"/>
            </w:tcBorders>
            <w:shd w:val="clear" w:color="auto" w:fill="auto"/>
            <w:noWrap/>
            <w:vAlign w:val="center"/>
            <w:hideMark/>
          </w:tcPr>
          <w:p w14:paraId="5FF61E0C"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FEB96E9"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5FB6"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single" w:sz="4" w:space="0" w:color="auto"/>
            </w:tcBorders>
            <w:shd w:val="clear" w:color="auto" w:fill="FF0000"/>
            <w:noWrap/>
            <w:vAlign w:val="center"/>
            <w:hideMark/>
          </w:tcPr>
          <w:p w14:paraId="5EA96E5B" w14:textId="77777777"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-0.36</w:t>
            </w:r>
          </w:p>
          <w:p w14:paraId="24FB7D77" w14:textId="00013039"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(-2.</w:t>
            </w:r>
            <w:r w:rsidR="00916BB7">
              <w:rPr>
                <w:rFonts w:eastAsia="Times New Roman"/>
                <w:color w:val="000000"/>
                <w:sz w:val="18"/>
                <w:szCs w:val="18"/>
              </w:rPr>
              <w:t>79</w:t>
            </w:r>
            <w:r>
              <w:rPr>
                <w:rFonts w:eastAsia="Times New Roman"/>
                <w:color w:val="000000"/>
                <w:sz w:val="18"/>
                <w:szCs w:val="18"/>
              </w:rPr>
              <w:t>)</w:t>
            </w:r>
          </w:p>
        </w:tc>
        <w:tc>
          <w:tcPr>
            <w:tcW w:w="566" w:type="dxa"/>
            <w:tcBorders>
              <w:top w:val="nil"/>
              <w:left w:val="nil"/>
              <w:bottom w:val="single" w:sz="4" w:space="0" w:color="auto"/>
              <w:right w:val="single" w:sz="4" w:space="0" w:color="auto"/>
            </w:tcBorders>
            <w:shd w:val="clear" w:color="auto" w:fill="FF0000"/>
            <w:noWrap/>
            <w:vAlign w:val="center"/>
            <w:hideMark/>
          </w:tcPr>
          <w:p w14:paraId="5F0900FD" w14:textId="4BD6A1CE"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-0.3</w:t>
            </w:r>
            <w:r w:rsidR="00916BB7">
              <w:rPr>
                <w:rFonts w:eastAsia="Times New Roman"/>
                <w:color w:val="000000"/>
                <w:sz w:val="18"/>
                <w:szCs w:val="18"/>
              </w:rPr>
              <w:t>3</w:t>
            </w:r>
          </w:p>
          <w:p w14:paraId="7777E40A" w14:textId="123AECC6"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(-2.</w:t>
            </w:r>
            <w:r w:rsidR="00916BB7">
              <w:rPr>
                <w:rFonts w:eastAsia="Times New Roman"/>
                <w:color w:val="000000"/>
                <w:sz w:val="18"/>
                <w:szCs w:val="18"/>
              </w:rPr>
              <w:t>53</w:t>
            </w:r>
            <w:r>
              <w:rPr>
                <w:rFonts w:eastAsia="Times New Roman"/>
                <w:color w:val="000000"/>
                <w:sz w:val="18"/>
                <w:szCs w:val="18"/>
              </w:rPr>
              <w:t>)</w:t>
            </w:r>
          </w:p>
        </w:tc>
        <w:tc>
          <w:tcPr>
            <w:tcW w:w="565" w:type="dxa"/>
            <w:tcBorders>
              <w:top w:val="nil"/>
              <w:left w:val="nil"/>
              <w:bottom w:val="single" w:sz="4" w:space="0" w:color="auto"/>
              <w:right w:val="single" w:sz="4" w:space="0" w:color="auto"/>
            </w:tcBorders>
            <w:shd w:val="clear" w:color="auto" w:fill="FF0000"/>
            <w:noWrap/>
            <w:vAlign w:val="center"/>
            <w:hideMark/>
          </w:tcPr>
          <w:p w14:paraId="4D7456AF" w14:textId="76C63767"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w:t>
            </w:r>
            <w:r w:rsidR="00916BB7">
              <w:rPr>
                <w:rFonts w:eastAsia="Times New Roman"/>
                <w:color w:val="000000"/>
                <w:sz w:val="18"/>
                <w:szCs w:val="18"/>
              </w:rPr>
              <w:t>28</w:t>
            </w:r>
          </w:p>
          <w:p w14:paraId="032E4594" w14:textId="430944FD"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w:t>
            </w:r>
            <w:r w:rsidR="00916BB7">
              <w:rPr>
                <w:rFonts w:eastAsia="Times New Roman"/>
                <w:color w:val="000000"/>
                <w:sz w:val="18"/>
                <w:szCs w:val="18"/>
              </w:rPr>
              <w:t>2.08</w:t>
            </w:r>
            <w:r>
              <w:rPr>
                <w:rFonts w:eastAsia="Times New Roman"/>
                <w:color w:val="000000"/>
                <w:sz w:val="18"/>
                <w:szCs w:val="18"/>
              </w:rPr>
              <w:t>)</w:t>
            </w:r>
          </w:p>
        </w:tc>
        <w:tc>
          <w:tcPr>
            <w:tcW w:w="566" w:type="dxa"/>
            <w:tcBorders>
              <w:top w:val="nil"/>
              <w:left w:val="nil"/>
              <w:bottom w:val="single" w:sz="4" w:space="0" w:color="auto"/>
              <w:right w:val="single" w:sz="4" w:space="0" w:color="auto"/>
            </w:tcBorders>
            <w:shd w:val="clear" w:color="auto" w:fill="auto"/>
            <w:noWrap/>
            <w:vAlign w:val="center"/>
            <w:hideMark/>
          </w:tcPr>
          <w:p w14:paraId="212FF59E"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-0.04</w:t>
            </w:r>
          </w:p>
        </w:tc>
        <w:tc>
          <w:tcPr>
            <w:tcW w:w="565" w:type="dxa"/>
            <w:tcBorders>
              <w:top w:val="nil"/>
              <w:left w:val="nil"/>
              <w:bottom w:val="single" w:sz="4" w:space="0" w:color="auto"/>
              <w:right w:val="single" w:sz="4" w:space="0" w:color="auto"/>
            </w:tcBorders>
            <w:shd w:val="clear" w:color="auto" w:fill="FFB3B3"/>
            <w:noWrap/>
            <w:vAlign w:val="center"/>
            <w:hideMark/>
          </w:tcPr>
          <w:p w14:paraId="47EE6061" w14:textId="77777777"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-0.13</w:t>
            </w:r>
          </w:p>
          <w:p w14:paraId="1EF439A4" w14:textId="4BE1815F"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(-1.</w:t>
            </w:r>
            <w:r w:rsidR="00916BB7">
              <w:rPr>
                <w:rFonts w:eastAsia="Times New Roman"/>
                <w:color w:val="000000"/>
                <w:sz w:val="18"/>
                <w:szCs w:val="18"/>
              </w:rPr>
              <w:t>13</w:t>
            </w:r>
            <w:r>
              <w:rPr>
                <w:rFonts w:eastAsia="Times New Roman"/>
                <w:color w:val="000000"/>
                <w:sz w:val="18"/>
                <w:szCs w:val="18"/>
              </w:rPr>
              <w:t>)</w:t>
            </w:r>
          </w:p>
        </w:tc>
        <w:tc>
          <w:tcPr>
            <w:tcW w:w="566" w:type="dxa"/>
            <w:tcBorders>
              <w:top w:val="nil"/>
              <w:left w:val="nil"/>
              <w:bottom w:val="single" w:sz="4" w:space="0" w:color="auto"/>
              <w:right w:val="single" w:sz="4" w:space="0" w:color="auto"/>
            </w:tcBorders>
            <w:shd w:val="clear" w:color="auto" w:fill="auto"/>
            <w:noWrap/>
            <w:vAlign w:val="center"/>
            <w:hideMark/>
          </w:tcPr>
          <w:p w14:paraId="1A53F83C" w14:textId="4BE4AE4F"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w:t>
            </w:r>
            <w:r w:rsidR="00916BB7">
              <w:rPr>
                <w:rFonts w:eastAsia="Times New Roman"/>
                <w:color w:val="000000"/>
                <w:sz w:val="18"/>
                <w:szCs w:val="18"/>
              </w:rPr>
              <w:t>7</w:t>
            </w:r>
          </w:p>
        </w:tc>
        <w:tc>
          <w:tcPr>
            <w:tcW w:w="566" w:type="dxa"/>
            <w:tcBorders>
              <w:top w:val="nil"/>
              <w:left w:val="nil"/>
              <w:bottom w:val="single" w:sz="4" w:space="0" w:color="auto"/>
              <w:right w:val="single" w:sz="4" w:space="0" w:color="auto"/>
            </w:tcBorders>
            <w:shd w:val="clear" w:color="auto" w:fill="auto"/>
            <w:noWrap/>
            <w:vAlign w:val="center"/>
            <w:hideMark/>
          </w:tcPr>
          <w:p w14:paraId="2266DD5B" w14:textId="5D60E998"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-0.1</w:t>
            </w:r>
            <w:r w:rsidR="00916BB7">
              <w:rPr>
                <w:rFonts w:eastAsia="Times New Roman"/>
                <w:color w:val="000000"/>
                <w:sz w:val="18"/>
                <w:szCs w:val="18"/>
              </w:rPr>
              <w:t>2</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F46B171"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-0.08</w:t>
            </w:r>
          </w:p>
        </w:tc>
        <w:tc>
          <w:tcPr>
            <w:tcW w:w="566" w:type="dxa"/>
            <w:tcBorders>
              <w:top w:val="nil"/>
              <w:left w:val="nil"/>
              <w:bottom w:val="single" w:sz="4" w:space="0" w:color="auto"/>
              <w:right w:val="single" w:sz="4" w:space="0" w:color="auto"/>
            </w:tcBorders>
            <w:shd w:val="clear" w:color="auto" w:fill="FF0000"/>
            <w:noWrap/>
            <w:vAlign w:val="center"/>
            <w:hideMark/>
          </w:tcPr>
          <w:p w14:paraId="36121D89" w14:textId="349EFCD2"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-0.2</w:t>
            </w:r>
            <w:r w:rsidR="00916BB7">
              <w:rPr>
                <w:rFonts w:eastAsia="Times New Roman"/>
                <w:color w:val="000000"/>
                <w:sz w:val="18"/>
                <w:szCs w:val="18"/>
              </w:rPr>
              <w:t>7</w:t>
            </w:r>
          </w:p>
          <w:p w14:paraId="7003D04E" w14:textId="20BE4A07"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(-1.</w:t>
            </w:r>
            <w:r w:rsidR="00916BB7">
              <w:rPr>
                <w:rFonts w:eastAsia="Times New Roman"/>
                <w:color w:val="000000"/>
                <w:sz w:val="18"/>
                <w:szCs w:val="18"/>
              </w:rPr>
              <w:t>91</w:t>
            </w:r>
            <w:r>
              <w:rPr>
                <w:rFonts w:eastAsia="Times New Roman"/>
                <w:color w:val="000000"/>
                <w:sz w:val="18"/>
                <w:szCs w:val="18"/>
              </w:rPr>
              <w:t>)</w:t>
            </w:r>
          </w:p>
        </w:tc>
        <w:tc>
          <w:tcPr>
            <w:tcW w:w="565" w:type="dxa"/>
            <w:tcBorders>
              <w:top w:val="nil"/>
              <w:left w:val="nil"/>
              <w:bottom w:val="single" w:sz="4" w:space="0" w:color="auto"/>
              <w:right w:val="single" w:sz="4" w:space="0" w:color="auto"/>
            </w:tcBorders>
            <w:shd w:val="clear" w:color="auto" w:fill="auto"/>
            <w:noWrap/>
            <w:vAlign w:val="center"/>
            <w:hideMark/>
          </w:tcPr>
          <w:p w14:paraId="5D5B41BC"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FFB3B3"/>
            <w:noWrap/>
            <w:vAlign w:val="center"/>
            <w:hideMark/>
          </w:tcPr>
          <w:p w14:paraId="10F5BDD0" w14:textId="77777777"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-0.21</w:t>
            </w:r>
          </w:p>
          <w:p w14:paraId="3E7F9959" w14:textId="6173ED0A"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(-1.2</w:t>
            </w:r>
            <w:r w:rsidR="00916BB7">
              <w:rPr>
                <w:rFonts w:eastAsia="Times New Roman"/>
                <w:color w:val="000000"/>
                <w:sz w:val="18"/>
                <w:szCs w:val="18"/>
              </w:rPr>
              <w:t>3</w:t>
            </w:r>
            <w:r>
              <w:rPr>
                <w:rFonts w:eastAsia="Times New Roman"/>
                <w:color w:val="000000"/>
                <w:sz w:val="18"/>
                <w:szCs w:val="18"/>
              </w:rPr>
              <w:t>)</w:t>
            </w:r>
          </w:p>
        </w:tc>
        <w:tc>
          <w:tcPr>
            <w:tcW w:w="566" w:type="dxa"/>
            <w:tcBorders>
              <w:top w:val="nil"/>
              <w:left w:val="nil"/>
              <w:bottom w:val="single" w:sz="4" w:space="0" w:color="auto"/>
              <w:right w:val="single" w:sz="4" w:space="0" w:color="auto"/>
            </w:tcBorders>
            <w:shd w:val="clear" w:color="auto" w:fill="auto"/>
            <w:noWrap/>
            <w:vAlign w:val="center"/>
            <w:hideMark/>
          </w:tcPr>
          <w:p w14:paraId="402ABB6E" w14:textId="7F218B43"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0.1</w:t>
            </w:r>
            <w:r w:rsidR="00916BB7">
              <w:rPr>
                <w:rFonts w:eastAsia="Times New Roman"/>
                <w:color w:val="000000"/>
                <w:sz w:val="18"/>
                <w:szCs w:val="18"/>
              </w:rPr>
              <w:t>3</w:t>
            </w:r>
          </w:p>
        </w:tc>
        <w:tc>
          <w:tcPr>
            <w:tcW w:w="565" w:type="dxa"/>
            <w:tcBorders>
              <w:top w:val="nil"/>
              <w:left w:val="nil"/>
              <w:bottom w:val="single" w:sz="4" w:space="0" w:color="auto"/>
              <w:right w:val="single" w:sz="4" w:space="0" w:color="auto"/>
            </w:tcBorders>
            <w:shd w:val="clear" w:color="auto" w:fill="auto"/>
            <w:noWrap/>
            <w:vAlign w:val="center"/>
            <w:hideMark/>
          </w:tcPr>
          <w:p w14:paraId="42654B78" w14:textId="77777777" w:rsidR="00A312E0" w:rsidRPr="008858C9"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0.11</w:t>
            </w:r>
          </w:p>
        </w:tc>
        <w:tc>
          <w:tcPr>
            <w:tcW w:w="566" w:type="dxa"/>
            <w:tcBorders>
              <w:top w:val="nil"/>
              <w:left w:val="nil"/>
              <w:bottom w:val="single" w:sz="4" w:space="0" w:color="auto"/>
              <w:right w:val="single" w:sz="4" w:space="0" w:color="auto"/>
            </w:tcBorders>
            <w:shd w:val="clear" w:color="auto" w:fill="70AD47" w:themeFill="accent6"/>
            <w:noWrap/>
            <w:vAlign w:val="center"/>
            <w:hideMark/>
          </w:tcPr>
          <w:p w14:paraId="430D12A2" w14:textId="266A7CD5"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0.2</w:t>
            </w:r>
            <w:r w:rsidR="00916BB7">
              <w:rPr>
                <w:rFonts w:eastAsia="Times New Roman"/>
                <w:color w:val="000000"/>
                <w:sz w:val="18"/>
                <w:szCs w:val="18"/>
              </w:rPr>
              <w:t>2</w:t>
            </w:r>
          </w:p>
          <w:p w14:paraId="6790BB19" w14:textId="697951A1"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(1.6</w:t>
            </w:r>
            <w:r w:rsidR="00916BB7">
              <w:rPr>
                <w:rFonts w:eastAsia="Times New Roman"/>
                <w:color w:val="000000"/>
                <w:sz w:val="18"/>
                <w:szCs w:val="18"/>
              </w:rPr>
              <w:t>4</w:t>
            </w:r>
            <w:r>
              <w:rPr>
                <w:rFonts w:eastAsia="Times New Roman"/>
                <w:color w:val="000000"/>
                <w:sz w:val="18"/>
                <w:szCs w:val="18"/>
              </w:rPr>
              <w:t>)</w:t>
            </w:r>
          </w:p>
        </w:tc>
        <w:tc>
          <w:tcPr>
            <w:tcW w:w="566" w:type="dxa"/>
            <w:tcBorders>
              <w:top w:val="nil"/>
              <w:left w:val="nil"/>
              <w:bottom w:val="single" w:sz="4" w:space="0" w:color="auto"/>
              <w:right w:val="double" w:sz="4" w:space="0" w:color="auto"/>
            </w:tcBorders>
            <w:shd w:val="clear" w:color="auto" w:fill="C5E0B3" w:themeFill="accent6" w:themeFillTint="66"/>
            <w:noWrap/>
            <w:vAlign w:val="center"/>
            <w:hideMark/>
          </w:tcPr>
          <w:p w14:paraId="36669DA7" w14:textId="456CAAC8" w:rsidR="00A312E0" w:rsidRDefault="00A312E0" w:rsidP="0035067E">
            <w:pPr>
              <w:spacing w:after="0" w:line="240" w:lineRule="auto"/>
              <w:jc w:val="right"/>
              <w:rPr>
                <w:rFonts w:eastAsia="Times New Roman"/>
                <w:color w:val="000000"/>
                <w:sz w:val="18"/>
                <w:szCs w:val="18"/>
              </w:rPr>
            </w:pPr>
            <w:r w:rsidRPr="008858C9">
              <w:rPr>
                <w:rFonts w:eastAsia="Times New Roman"/>
                <w:color w:val="000000"/>
                <w:sz w:val="18"/>
                <w:szCs w:val="18"/>
              </w:rPr>
              <w:t>0.2</w:t>
            </w:r>
            <w:r w:rsidR="00916BB7">
              <w:rPr>
                <w:rFonts w:eastAsia="Times New Roman"/>
                <w:color w:val="000000"/>
                <w:sz w:val="18"/>
                <w:szCs w:val="18"/>
              </w:rPr>
              <w:t>0</w:t>
            </w:r>
          </w:p>
          <w:p w14:paraId="19BAD4E8" w14:textId="78775AA1" w:rsidR="00A312E0" w:rsidRPr="008858C9" w:rsidRDefault="00A312E0" w:rsidP="0035067E">
            <w:pPr>
              <w:spacing w:after="0" w:line="240" w:lineRule="auto"/>
              <w:jc w:val="right"/>
              <w:rPr>
                <w:rFonts w:eastAsia="Times New Roman"/>
                <w:color w:val="000000"/>
                <w:sz w:val="18"/>
                <w:szCs w:val="18"/>
              </w:rPr>
            </w:pPr>
            <w:r>
              <w:rPr>
                <w:rFonts w:eastAsia="Times New Roman"/>
                <w:color w:val="000000"/>
                <w:sz w:val="18"/>
                <w:szCs w:val="18"/>
              </w:rPr>
              <w:t>(1.</w:t>
            </w:r>
            <w:r w:rsidR="00916BB7">
              <w:rPr>
                <w:rFonts w:eastAsia="Times New Roman"/>
                <w:color w:val="000000"/>
                <w:sz w:val="18"/>
                <w:szCs w:val="18"/>
              </w:rPr>
              <w:t>31</w:t>
            </w:r>
            <w:r>
              <w:rPr>
                <w:rFonts w:eastAsia="Times New Roman"/>
                <w:color w:val="000000"/>
                <w:sz w:val="18"/>
                <w:szCs w:val="18"/>
              </w:rPr>
              <w:t>)</w:t>
            </w:r>
          </w:p>
        </w:tc>
      </w:tr>
      <w:tr w:rsidR="001A3AF7" w:rsidRPr="008858C9" w14:paraId="36EC203D" w14:textId="77777777" w:rsidTr="0069340B">
        <w:trPr>
          <w:trHeight w:val="70"/>
        </w:trPr>
        <w:tc>
          <w:tcPr>
            <w:tcW w:w="1350" w:type="dxa"/>
            <w:vMerge w:val="restart"/>
            <w:tcBorders>
              <w:top w:val="single" w:sz="4" w:space="0" w:color="auto"/>
              <w:left w:val="double" w:sz="4" w:space="0" w:color="auto"/>
              <w:bottom w:val="single" w:sz="4" w:space="0" w:color="auto"/>
              <w:right w:val="single" w:sz="4" w:space="0" w:color="auto"/>
            </w:tcBorders>
            <w:vAlign w:val="center"/>
          </w:tcPr>
          <w:p w14:paraId="54551E03" w14:textId="6F51DF46" w:rsidR="001A3AF7" w:rsidRPr="008858C9" w:rsidRDefault="001A3AF7" w:rsidP="001A3AF7">
            <w:pPr>
              <w:spacing w:after="0" w:line="240" w:lineRule="auto"/>
              <w:rPr>
                <w:rFonts w:eastAsia="Times New Roman"/>
                <w:b/>
                <w:bCs/>
                <w:color w:val="000000"/>
                <w:sz w:val="20"/>
                <w:szCs w:val="20"/>
              </w:rPr>
            </w:pPr>
            <w:r w:rsidRPr="00DA249F">
              <w:rPr>
                <w:rFonts w:eastAsia="Calibri"/>
                <w:b/>
                <w:bCs/>
                <w:sz w:val="20"/>
                <w:szCs w:val="20"/>
              </w:rPr>
              <w:t xml:space="preserve">Telemedicine </w:t>
            </w:r>
            <w:r w:rsidR="00ED7316">
              <w:rPr>
                <w:rFonts w:eastAsia="Calibri"/>
                <w:b/>
                <w:bCs/>
                <w:sz w:val="20"/>
                <w:szCs w:val="20"/>
              </w:rPr>
              <w:t>Adoption</w:t>
            </w:r>
            <w:r w:rsidRPr="00DA249F">
              <w:rPr>
                <w:rFonts w:eastAsia="Calibri"/>
                <w:b/>
                <w:bCs/>
                <w:sz w:val="20"/>
                <w:szCs w:val="20"/>
              </w:rPr>
              <w:t xml:space="preserve"> Facilitator Reasons</w:t>
            </w:r>
          </w:p>
        </w:tc>
        <w:tc>
          <w:tcPr>
            <w:tcW w:w="1385" w:type="dxa"/>
            <w:tcBorders>
              <w:top w:val="nil"/>
              <w:left w:val="nil"/>
              <w:bottom w:val="single" w:sz="4" w:space="0" w:color="auto"/>
              <w:right w:val="double" w:sz="4" w:space="0" w:color="auto"/>
            </w:tcBorders>
            <w:shd w:val="clear" w:color="auto" w:fill="auto"/>
            <w:vAlign w:val="center"/>
          </w:tcPr>
          <w:p w14:paraId="606D3360" w14:textId="0AE5FE60"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DIPA</w:t>
            </w:r>
          </w:p>
        </w:tc>
        <w:tc>
          <w:tcPr>
            <w:tcW w:w="565" w:type="dxa"/>
            <w:tcBorders>
              <w:top w:val="nil"/>
              <w:left w:val="double" w:sz="4" w:space="0" w:color="auto"/>
              <w:bottom w:val="nil"/>
              <w:right w:val="nil"/>
            </w:tcBorders>
            <w:shd w:val="clear" w:color="auto" w:fill="auto"/>
            <w:noWrap/>
            <w:vAlign w:val="center"/>
            <w:hideMark/>
          </w:tcPr>
          <w:p w14:paraId="5858E55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563BB1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E0D0B7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DB13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single" w:sz="4" w:space="0" w:color="auto"/>
            </w:tcBorders>
            <w:shd w:val="clear" w:color="auto" w:fill="70AD47" w:themeFill="accent6"/>
            <w:noWrap/>
            <w:vAlign w:val="center"/>
            <w:hideMark/>
          </w:tcPr>
          <w:p w14:paraId="120474C8" w14:textId="1209910E"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18</w:t>
            </w:r>
          </w:p>
          <w:p w14:paraId="5000E26A" w14:textId="64AE5D9B"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(1.61)</w:t>
            </w:r>
          </w:p>
        </w:tc>
        <w:tc>
          <w:tcPr>
            <w:tcW w:w="565" w:type="dxa"/>
            <w:tcBorders>
              <w:top w:val="nil"/>
              <w:left w:val="nil"/>
              <w:bottom w:val="single" w:sz="4" w:space="0" w:color="auto"/>
              <w:right w:val="single" w:sz="4" w:space="0" w:color="auto"/>
            </w:tcBorders>
            <w:shd w:val="clear" w:color="auto" w:fill="FFFFFF" w:themeFill="background1"/>
            <w:noWrap/>
            <w:vAlign w:val="center"/>
            <w:hideMark/>
          </w:tcPr>
          <w:p w14:paraId="4CFADA7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0.10</w:t>
            </w:r>
          </w:p>
        </w:tc>
        <w:tc>
          <w:tcPr>
            <w:tcW w:w="566" w:type="dxa"/>
            <w:tcBorders>
              <w:top w:val="nil"/>
              <w:left w:val="nil"/>
              <w:bottom w:val="single" w:sz="4" w:space="0" w:color="auto"/>
              <w:right w:val="single" w:sz="4" w:space="0" w:color="auto"/>
            </w:tcBorders>
            <w:shd w:val="clear" w:color="auto" w:fill="70AD47" w:themeFill="accent6"/>
            <w:noWrap/>
            <w:vAlign w:val="center"/>
            <w:hideMark/>
          </w:tcPr>
          <w:p w14:paraId="4E9BFEE4" w14:textId="7F5C2DF4"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5</w:t>
            </w:r>
          </w:p>
          <w:p w14:paraId="518E4DBD" w14:textId="5285B0FF"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(1.69)</w:t>
            </w:r>
          </w:p>
        </w:tc>
        <w:tc>
          <w:tcPr>
            <w:tcW w:w="565" w:type="dxa"/>
            <w:tcBorders>
              <w:top w:val="nil"/>
              <w:left w:val="nil"/>
              <w:bottom w:val="single" w:sz="4" w:space="0" w:color="auto"/>
              <w:right w:val="single" w:sz="4" w:space="0" w:color="auto"/>
            </w:tcBorders>
            <w:shd w:val="clear" w:color="auto" w:fill="70AD47" w:themeFill="accent6"/>
            <w:noWrap/>
            <w:vAlign w:val="center"/>
            <w:hideMark/>
          </w:tcPr>
          <w:p w14:paraId="5B492E7D" w14:textId="5D524CBE"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w:t>
            </w:r>
            <w:r>
              <w:rPr>
                <w:rFonts w:eastAsia="Times New Roman"/>
                <w:color w:val="000000"/>
                <w:sz w:val="18"/>
                <w:szCs w:val="18"/>
              </w:rPr>
              <w:t>3</w:t>
            </w:r>
          </w:p>
          <w:p w14:paraId="218961A8" w14:textId="581668B8"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(2.66)</w:t>
            </w:r>
          </w:p>
        </w:tc>
        <w:tc>
          <w:tcPr>
            <w:tcW w:w="566" w:type="dxa"/>
            <w:tcBorders>
              <w:top w:val="nil"/>
              <w:left w:val="nil"/>
              <w:bottom w:val="single" w:sz="4" w:space="0" w:color="auto"/>
              <w:right w:val="single" w:sz="4" w:space="0" w:color="auto"/>
            </w:tcBorders>
            <w:shd w:val="clear" w:color="auto" w:fill="C5E0B3" w:themeFill="accent6" w:themeFillTint="66"/>
            <w:noWrap/>
            <w:vAlign w:val="center"/>
            <w:hideMark/>
          </w:tcPr>
          <w:p w14:paraId="2E742141"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0.12</w:t>
            </w:r>
          </w:p>
          <w:p w14:paraId="382C8F6F" w14:textId="43A83C62"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(1.35)</w:t>
            </w:r>
          </w:p>
        </w:tc>
        <w:tc>
          <w:tcPr>
            <w:tcW w:w="566" w:type="dxa"/>
            <w:tcBorders>
              <w:top w:val="nil"/>
              <w:left w:val="nil"/>
              <w:bottom w:val="single" w:sz="4" w:space="0" w:color="auto"/>
              <w:right w:val="single" w:sz="4" w:space="0" w:color="auto"/>
            </w:tcBorders>
            <w:shd w:val="clear" w:color="auto" w:fill="70AD47" w:themeFill="accent6"/>
            <w:noWrap/>
            <w:vAlign w:val="center"/>
            <w:hideMark/>
          </w:tcPr>
          <w:p w14:paraId="2087607B" w14:textId="2005F6AD"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w:t>
            </w:r>
            <w:r>
              <w:rPr>
                <w:rFonts w:eastAsia="Times New Roman"/>
                <w:color w:val="000000"/>
                <w:sz w:val="18"/>
                <w:szCs w:val="18"/>
              </w:rPr>
              <w:t>4</w:t>
            </w:r>
          </w:p>
          <w:p w14:paraId="048D0948" w14:textId="0822D5F5"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(2.51)</w:t>
            </w:r>
          </w:p>
        </w:tc>
        <w:tc>
          <w:tcPr>
            <w:tcW w:w="565"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31A9C448" w14:textId="64E108FC"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19</w:t>
            </w:r>
          </w:p>
          <w:p w14:paraId="58DBCFAD" w14:textId="7F37F00C"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(1.80)</w:t>
            </w:r>
          </w:p>
        </w:tc>
        <w:tc>
          <w:tcPr>
            <w:tcW w:w="566" w:type="dxa"/>
            <w:tcBorders>
              <w:top w:val="nil"/>
              <w:left w:val="nil"/>
              <w:bottom w:val="single" w:sz="4" w:space="0" w:color="auto"/>
              <w:right w:val="single" w:sz="4" w:space="0" w:color="auto"/>
            </w:tcBorders>
            <w:shd w:val="clear" w:color="auto" w:fill="auto"/>
            <w:noWrap/>
            <w:vAlign w:val="center"/>
            <w:hideMark/>
          </w:tcPr>
          <w:p w14:paraId="03BB11A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3AA17D3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604DE51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2759DCE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3D7D2D7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0645FF0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hideMark/>
          </w:tcPr>
          <w:p w14:paraId="46549BD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136A4A1E"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1B9D8B6B"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05FA57C0" w14:textId="5D8CDD46"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TC</w:t>
            </w:r>
          </w:p>
        </w:tc>
        <w:tc>
          <w:tcPr>
            <w:tcW w:w="565" w:type="dxa"/>
            <w:tcBorders>
              <w:top w:val="nil"/>
              <w:left w:val="double" w:sz="4" w:space="0" w:color="auto"/>
              <w:bottom w:val="nil"/>
              <w:right w:val="nil"/>
            </w:tcBorders>
            <w:shd w:val="clear" w:color="auto" w:fill="auto"/>
            <w:noWrap/>
            <w:vAlign w:val="center"/>
            <w:hideMark/>
          </w:tcPr>
          <w:p w14:paraId="700505F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BC39F5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AC3A92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F3E6A3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D4FF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5" w:type="dxa"/>
            <w:tcBorders>
              <w:top w:val="nil"/>
              <w:left w:val="nil"/>
              <w:bottom w:val="nil"/>
              <w:right w:val="single" w:sz="4" w:space="0" w:color="auto"/>
            </w:tcBorders>
            <w:shd w:val="clear" w:color="auto" w:fill="auto"/>
            <w:noWrap/>
            <w:vAlign w:val="center"/>
            <w:hideMark/>
          </w:tcPr>
          <w:p w14:paraId="0A709E8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1D7F6470" w14:textId="50FF0624"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w:t>
            </w:r>
            <w:r>
              <w:rPr>
                <w:rFonts w:eastAsia="Times New Roman"/>
                <w:color w:val="000000"/>
                <w:sz w:val="18"/>
                <w:szCs w:val="18"/>
              </w:rPr>
              <w:t>3</w:t>
            </w:r>
          </w:p>
        </w:tc>
        <w:tc>
          <w:tcPr>
            <w:tcW w:w="565" w:type="dxa"/>
            <w:tcBorders>
              <w:top w:val="nil"/>
              <w:left w:val="nil"/>
              <w:bottom w:val="single" w:sz="4" w:space="0" w:color="auto"/>
              <w:right w:val="single" w:sz="4" w:space="0" w:color="auto"/>
            </w:tcBorders>
            <w:shd w:val="clear" w:color="auto" w:fill="70AD47" w:themeFill="accent6"/>
            <w:noWrap/>
            <w:vAlign w:val="center"/>
            <w:hideMark/>
          </w:tcPr>
          <w:p w14:paraId="3B3CCEAA"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0.27</w:t>
            </w:r>
          </w:p>
          <w:p w14:paraId="26D12F85" w14:textId="1CAF8548"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(3.44)</w:t>
            </w:r>
          </w:p>
        </w:tc>
        <w:tc>
          <w:tcPr>
            <w:tcW w:w="566" w:type="dxa"/>
            <w:tcBorders>
              <w:top w:val="nil"/>
              <w:left w:val="nil"/>
              <w:bottom w:val="single" w:sz="4" w:space="0" w:color="auto"/>
              <w:right w:val="single" w:sz="4" w:space="0" w:color="auto"/>
            </w:tcBorders>
            <w:shd w:val="clear" w:color="auto" w:fill="auto"/>
            <w:noWrap/>
            <w:vAlign w:val="center"/>
            <w:hideMark/>
          </w:tcPr>
          <w:p w14:paraId="4218BA0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-0.02</w:t>
            </w:r>
          </w:p>
        </w:tc>
        <w:tc>
          <w:tcPr>
            <w:tcW w:w="566" w:type="dxa"/>
            <w:tcBorders>
              <w:top w:val="nil"/>
              <w:left w:val="nil"/>
              <w:bottom w:val="single" w:sz="4" w:space="0" w:color="auto"/>
              <w:right w:val="single" w:sz="4" w:space="0" w:color="auto"/>
            </w:tcBorders>
            <w:shd w:val="clear" w:color="auto" w:fill="auto"/>
            <w:noWrap/>
            <w:vAlign w:val="center"/>
            <w:hideMark/>
          </w:tcPr>
          <w:p w14:paraId="49A5D85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0.10</w:t>
            </w:r>
          </w:p>
        </w:tc>
        <w:tc>
          <w:tcPr>
            <w:tcW w:w="565" w:type="dxa"/>
            <w:tcBorders>
              <w:top w:val="nil"/>
              <w:left w:val="nil"/>
              <w:bottom w:val="single" w:sz="4" w:space="0" w:color="auto"/>
              <w:right w:val="single" w:sz="4" w:space="0" w:color="auto"/>
            </w:tcBorders>
            <w:shd w:val="clear" w:color="auto" w:fill="auto"/>
            <w:noWrap/>
            <w:vAlign w:val="center"/>
            <w:hideMark/>
          </w:tcPr>
          <w:p w14:paraId="7A6A539B" w14:textId="49A2BBD4"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w:t>
            </w:r>
            <w:r>
              <w:rPr>
                <w:rFonts w:eastAsia="Times New Roman"/>
                <w:color w:val="000000"/>
                <w:sz w:val="18"/>
                <w:szCs w:val="18"/>
              </w:rPr>
              <w:t>5</w:t>
            </w:r>
          </w:p>
        </w:tc>
        <w:tc>
          <w:tcPr>
            <w:tcW w:w="566" w:type="dxa"/>
            <w:tcBorders>
              <w:top w:val="nil"/>
              <w:left w:val="nil"/>
              <w:bottom w:val="single" w:sz="4" w:space="0" w:color="auto"/>
              <w:right w:val="single" w:sz="4" w:space="0" w:color="auto"/>
            </w:tcBorders>
            <w:shd w:val="clear" w:color="auto" w:fill="auto"/>
            <w:noWrap/>
            <w:vAlign w:val="center"/>
            <w:hideMark/>
          </w:tcPr>
          <w:p w14:paraId="5C1649C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5E18796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6BF6742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68D1FEA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5B23902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7E5E248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hideMark/>
          </w:tcPr>
          <w:p w14:paraId="7CACFCC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2B12BDF4"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6FAA230F"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6D0FDF32" w14:textId="413DF1B8"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TP</w:t>
            </w:r>
          </w:p>
        </w:tc>
        <w:tc>
          <w:tcPr>
            <w:tcW w:w="565" w:type="dxa"/>
            <w:tcBorders>
              <w:top w:val="nil"/>
              <w:left w:val="double" w:sz="4" w:space="0" w:color="auto"/>
              <w:bottom w:val="nil"/>
              <w:right w:val="nil"/>
            </w:tcBorders>
            <w:shd w:val="clear" w:color="auto" w:fill="auto"/>
            <w:noWrap/>
            <w:vAlign w:val="center"/>
            <w:hideMark/>
          </w:tcPr>
          <w:p w14:paraId="14F27EF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35FDC90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416290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13195D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64E22D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B3B6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single" w:sz="4" w:space="0" w:color="auto"/>
              <w:right w:val="single" w:sz="4" w:space="0" w:color="auto"/>
            </w:tcBorders>
            <w:shd w:val="clear" w:color="auto" w:fill="70AD47" w:themeFill="accent6"/>
            <w:noWrap/>
            <w:vAlign w:val="center"/>
            <w:hideMark/>
          </w:tcPr>
          <w:p w14:paraId="44424864" w14:textId="12F8A440"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w:t>
            </w:r>
            <w:r>
              <w:rPr>
                <w:rFonts w:eastAsia="Times New Roman"/>
                <w:color w:val="000000"/>
                <w:sz w:val="18"/>
                <w:szCs w:val="18"/>
              </w:rPr>
              <w:t>3</w:t>
            </w:r>
          </w:p>
          <w:p w14:paraId="3DDFEEBB" w14:textId="3F54CA6C"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(3.03)</w:t>
            </w:r>
          </w:p>
        </w:tc>
        <w:tc>
          <w:tcPr>
            <w:tcW w:w="565" w:type="dxa"/>
            <w:tcBorders>
              <w:top w:val="nil"/>
              <w:left w:val="nil"/>
              <w:bottom w:val="single" w:sz="4" w:space="0" w:color="auto"/>
              <w:right w:val="single" w:sz="4" w:space="0" w:color="auto"/>
            </w:tcBorders>
            <w:shd w:val="clear" w:color="auto" w:fill="70AD47" w:themeFill="accent6"/>
            <w:noWrap/>
            <w:vAlign w:val="center"/>
            <w:hideMark/>
          </w:tcPr>
          <w:p w14:paraId="52D663EF" w14:textId="33F94744"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0.3</w:t>
            </w:r>
            <w:r>
              <w:rPr>
                <w:rFonts w:eastAsia="Times New Roman"/>
                <w:color w:val="000000"/>
                <w:sz w:val="18"/>
                <w:szCs w:val="18"/>
              </w:rPr>
              <w:t>8</w:t>
            </w:r>
          </w:p>
          <w:p w14:paraId="05C4A62A" w14:textId="493872FD"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(5.04)</w:t>
            </w:r>
          </w:p>
        </w:tc>
        <w:tc>
          <w:tcPr>
            <w:tcW w:w="566" w:type="dxa"/>
            <w:tcBorders>
              <w:top w:val="nil"/>
              <w:left w:val="nil"/>
              <w:bottom w:val="single" w:sz="4" w:space="0" w:color="auto"/>
              <w:right w:val="single" w:sz="4" w:space="0" w:color="auto"/>
            </w:tcBorders>
            <w:shd w:val="clear" w:color="auto" w:fill="70AD47" w:themeFill="accent6"/>
            <w:noWrap/>
            <w:vAlign w:val="center"/>
            <w:hideMark/>
          </w:tcPr>
          <w:p w14:paraId="642740AB" w14:textId="1DF85D0F"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34</w:t>
            </w:r>
          </w:p>
          <w:p w14:paraId="50E8CECA" w14:textId="40A8C9BC"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(4.33)</w:t>
            </w:r>
          </w:p>
        </w:tc>
        <w:tc>
          <w:tcPr>
            <w:tcW w:w="566" w:type="dxa"/>
            <w:tcBorders>
              <w:top w:val="nil"/>
              <w:left w:val="nil"/>
              <w:bottom w:val="single" w:sz="4" w:space="0" w:color="auto"/>
              <w:right w:val="single" w:sz="4" w:space="0" w:color="auto"/>
            </w:tcBorders>
            <w:shd w:val="clear" w:color="auto" w:fill="FFFFFF" w:themeFill="background1"/>
            <w:noWrap/>
            <w:vAlign w:val="center"/>
            <w:hideMark/>
          </w:tcPr>
          <w:p w14:paraId="0E52001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0.10</w:t>
            </w:r>
          </w:p>
        </w:tc>
        <w:tc>
          <w:tcPr>
            <w:tcW w:w="565" w:type="dxa"/>
            <w:tcBorders>
              <w:top w:val="nil"/>
              <w:left w:val="nil"/>
              <w:bottom w:val="single" w:sz="4" w:space="0" w:color="auto"/>
              <w:right w:val="single" w:sz="4" w:space="0" w:color="auto"/>
            </w:tcBorders>
            <w:shd w:val="clear" w:color="auto" w:fill="70AD47" w:themeFill="accent6"/>
            <w:noWrap/>
            <w:vAlign w:val="center"/>
            <w:hideMark/>
          </w:tcPr>
          <w:p w14:paraId="7ADA2AA0" w14:textId="28865765"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w:t>
            </w:r>
            <w:r>
              <w:rPr>
                <w:rFonts w:eastAsia="Times New Roman"/>
                <w:color w:val="000000"/>
                <w:sz w:val="18"/>
                <w:szCs w:val="18"/>
              </w:rPr>
              <w:t>2</w:t>
            </w:r>
          </w:p>
          <w:p w14:paraId="1EA225C7" w14:textId="3E992CC5"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(2.28)</w:t>
            </w:r>
          </w:p>
        </w:tc>
        <w:tc>
          <w:tcPr>
            <w:tcW w:w="566" w:type="dxa"/>
            <w:tcBorders>
              <w:top w:val="nil"/>
              <w:left w:val="nil"/>
              <w:bottom w:val="single" w:sz="4" w:space="0" w:color="auto"/>
              <w:right w:val="single" w:sz="4" w:space="0" w:color="auto"/>
            </w:tcBorders>
            <w:shd w:val="clear" w:color="auto" w:fill="auto"/>
            <w:noWrap/>
            <w:vAlign w:val="center"/>
            <w:hideMark/>
          </w:tcPr>
          <w:p w14:paraId="4D8FFB4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27A72D7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53888FF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3908C19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1FF882A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1BB9C3C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hideMark/>
          </w:tcPr>
          <w:p w14:paraId="40983AC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719E0E3F"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090E0A31"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7AA9B763" w14:textId="3BAA16AE"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TS</w:t>
            </w:r>
          </w:p>
        </w:tc>
        <w:tc>
          <w:tcPr>
            <w:tcW w:w="565" w:type="dxa"/>
            <w:tcBorders>
              <w:top w:val="nil"/>
              <w:left w:val="double" w:sz="4" w:space="0" w:color="auto"/>
              <w:bottom w:val="nil"/>
              <w:right w:val="nil"/>
            </w:tcBorders>
            <w:shd w:val="clear" w:color="auto" w:fill="auto"/>
            <w:noWrap/>
            <w:vAlign w:val="center"/>
            <w:hideMark/>
          </w:tcPr>
          <w:p w14:paraId="5BED5D0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3C15DBE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2DA3413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B0A535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62D1C5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0BA3D08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14:paraId="2684808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5" w:type="dxa"/>
            <w:tcBorders>
              <w:top w:val="nil"/>
              <w:left w:val="nil"/>
              <w:bottom w:val="nil"/>
              <w:right w:val="single" w:sz="4" w:space="0" w:color="auto"/>
            </w:tcBorders>
            <w:shd w:val="clear" w:color="auto" w:fill="70AD47" w:themeFill="accent6"/>
            <w:noWrap/>
            <w:vAlign w:val="center"/>
            <w:hideMark/>
          </w:tcPr>
          <w:p w14:paraId="444268B8" w14:textId="5E2207D2"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38</w:t>
            </w:r>
          </w:p>
          <w:p w14:paraId="42B839DA" w14:textId="1EC77CEF"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(6.57)</w:t>
            </w:r>
          </w:p>
        </w:tc>
        <w:tc>
          <w:tcPr>
            <w:tcW w:w="566" w:type="dxa"/>
            <w:tcBorders>
              <w:top w:val="nil"/>
              <w:left w:val="nil"/>
              <w:bottom w:val="nil"/>
              <w:right w:val="single" w:sz="4" w:space="0" w:color="auto"/>
            </w:tcBorders>
            <w:shd w:val="clear" w:color="auto" w:fill="70AD47" w:themeFill="accent6"/>
            <w:noWrap/>
            <w:vAlign w:val="center"/>
            <w:hideMark/>
          </w:tcPr>
          <w:p w14:paraId="30904653"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0.27</w:t>
            </w:r>
          </w:p>
          <w:p w14:paraId="29E6A7BC" w14:textId="6E36CE43"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(4.46)</w:t>
            </w:r>
          </w:p>
        </w:tc>
        <w:tc>
          <w:tcPr>
            <w:tcW w:w="566" w:type="dxa"/>
            <w:tcBorders>
              <w:top w:val="nil"/>
              <w:left w:val="nil"/>
              <w:bottom w:val="nil"/>
              <w:right w:val="single" w:sz="4" w:space="0" w:color="auto"/>
            </w:tcBorders>
            <w:shd w:val="clear" w:color="auto" w:fill="70AD47" w:themeFill="accent6"/>
            <w:noWrap/>
            <w:vAlign w:val="center"/>
            <w:hideMark/>
          </w:tcPr>
          <w:p w14:paraId="10BD9903" w14:textId="707BF606"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3</w:t>
            </w:r>
          </w:p>
          <w:p w14:paraId="54A3C707" w14:textId="645030A3"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(1.59)</w:t>
            </w:r>
          </w:p>
        </w:tc>
        <w:tc>
          <w:tcPr>
            <w:tcW w:w="565" w:type="dxa"/>
            <w:tcBorders>
              <w:top w:val="nil"/>
              <w:left w:val="nil"/>
              <w:bottom w:val="nil"/>
              <w:right w:val="single" w:sz="4" w:space="0" w:color="auto"/>
            </w:tcBorders>
            <w:shd w:val="clear" w:color="auto" w:fill="70AD47" w:themeFill="accent6"/>
            <w:noWrap/>
            <w:vAlign w:val="center"/>
            <w:hideMark/>
          </w:tcPr>
          <w:p w14:paraId="2A174790" w14:textId="4AE79373"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4</w:t>
            </w:r>
          </w:p>
          <w:p w14:paraId="5A2127FE" w14:textId="2215AFC7"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(1.72)</w:t>
            </w:r>
          </w:p>
        </w:tc>
        <w:tc>
          <w:tcPr>
            <w:tcW w:w="566" w:type="dxa"/>
            <w:tcBorders>
              <w:top w:val="nil"/>
              <w:left w:val="nil"/>
              <w:bottom w:val="nil"/>
              <w:right w:val="single" w:sz="4" w:space="0" w:color="auto"/>
            </w:tcBorders>
            <w:shd w:val="clear" w:color="auto" w:fill="auto"/>
            <w:noWrap/>
            <w:vAlign w:val="center"/>
            <w:hideMark/>
          </w:tcPr>
          <w:p w14:paraId="45081C7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nil"/>
              <w:right w:val="single" w:sz="4" w:space="0" w:color="auto"/>
            </w:tcBorders>
            <w:shd w:val="clear" w:color="auto" w:fill="auto"/>
            <w:noWrap/>
            <w:vAlign w:val="center"/>
            <w:hideMark/>
          </w:tcPr>
          <w:p w14:paraId="63387E8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nil"/>
              <w:right w:val="single" w:sz="4" w:space="0" w:color="auto"/>
            </w:tcBorders>
            <w:shd w:val="clear" w:color="auto" w:fill="auto"/>
            <w:noWrap/>
            <w:vAlign w:val="center"/>
            <w:hideMark/>
          </w:tcPr>
          <w:p w14:paraId="095B12E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nil"/>
              <w:right w:val="single" w:sz="4" w:space="0" w:color="auto"/>
            </w:tcBorders>
            <w:shd w:val="clear" w:color="auto" w:fill="auto"/>
            <w:noWrap/>
            <w:vAlign w:val="center"/>
            <w:hideMark/>
          </w:tcPr>
          <w:p w14:paraId="05F2010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nil"/>
              <w:right w:val="single" w:sz="4" w:space="0" w:color="auto"/>
            </w:tcBorders>
            <w:shd w:val="clear" w:color="auto" w:fill="auto"/>
            <w:noWrap/>
            <w:vAlign w:val="center"/>
            <w:hideMark/>
          </w:tcPr>
          <w:p w14:paraId="301EA88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nil"/>
              <w:right w:val="single" w:sz="4" w:space="0" w:color="auto"/>
            </w:tcBorders>
            <w:shd w:val="clear" w:color="auto" w:fill="auto"/>
            <w:noWrap/>
            <w:vAlign w:val="center"/>
            <w:hideMark/>
          </w:tcPr>
          <w:p w14:paraId="233469B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nil"/>
              <w:right w:val="double" w:sz="4" w:space="0" w:color="auto"/>
            </w:tcBorders>
            <w:shd w:val="clear" w:color="auto" w:fill="auto"/>
            <w:noWrap/>
            <w:vAlign w:val="center"/>
            <w:hideMark/>
          </w:tcPr>
          <w:p w14:paraId="2CC7373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17A63FDC"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57957BD9"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1CBD2281" w14:textId="4AAC40CF"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CH</w:t>
            </w:r>
          </w:p>
        </w:tc>
        <w:tc>
          <w:tcPr>
            <w:tcW w:w="565" w:type="dxa"/>
            <w:tcBorders>
              <w:top w:val="nil"/>
              <w:left w:val="double" w:sz="4" w:space="0" w:color="auto"/>
              <w:bottom w:val="nil"/>
              <w:right w:val="nil"/>
            </w:tcBorders>
            <w:shd w:val="clear" w:color="auto" w:fill="auto"/>
            <w:noWrap/>
            <w:vAlign w:val="center"/>
            <w:hideMark/>
          </w:tcPr>
          <w:p w14:paraId="1EE16D3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927428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022FF85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5568CB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460953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849DFF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522456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E24A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single" w:sz="4" w:space="0" w:color="auto"/>
              <w:left w:val="nil"/>
              <w:bottom w:val="nil"/>
              <w:right w:val="single" w:sz="4" w:space="0" w:color="auto"/>
            </w:tcBorders>
            <w:shd w:val="clear" w:color="auto" w:fill="70AD47" w:themeFill="accent6"/>
            <w:noWrap/>
            <w:vAlign w:val="center"/>
            <w:hideMark/>
          </w:tcPr>
          <w:p w14:paraId="05606A58" w14:textId="2012898D"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0.4</w:t>
            </w:r>
            <w:r>
              <w:rPr>
                <w:rFonts w:eastAsia="Times New Roman"/>
                <w:color w:val="000000"/>
                <w:sz w:val="18"/>
                <w:szCs w:val="18"/>
              </w:rPr>
              <w:t>2</w:t>
            </w:r>
          </w:p>
          <w:p w14:paraId="5EDC5F60" w14:textId="3630E712"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(7.39)</w:t>
            </w:r>
          </w:p>
        </w:tc>
        <w:tc>
          <w:tcPr>
            <w:tcW w:w="566"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4743C290" w14:textId="3DE41CA3"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w:t>
            </w:r>
            <w:r>
              <w:rPr>
                <w:rFonts w:eastAsia="Times New Roman"/>
                <w:color w:val="000000"/>
                <w:sz w:val="18"/>
                <w:szCs w:val="18"/>
              </w:rPr>
              <w:t>3</w:t>
            </w:r>
          </w:p>
          <w:p w14:paraId="0D8BDC3E" w14:textId="35771EAC"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(2.83)</w:t>
            </w:r>
          </w:p>
        </w:tc>
        <w:tc>
          <w:tcPr>
            <w:tcW w:w="565" w:type="dxa"/>
            <w:tcBorders>
              <w:top w:val="single" w:sz="4" w:space="0" w:color="auto"/>
              <w:left w:val="nil"/>
              <w:bottom w:val="single" w:sz="4" w:space="0" w:color="auto"/>
              <w:right w:val="single" w:sz="4" w:space="0" w:color="auto"/>
            </w:tcBorders>
            <w:shd w:val="clear" w:color="auto" w:fill="70AD47" w:themeFill="accent6"/>
            <w:noWrap/>
            <w:vAlign w:val="center"/>
            <w:hideMark/>
          </w:tcPr>
          <w:p w14:paraId="498CE667" w14:textId="7F82C75C"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7</w:t>
            </w:r>
          </w:p>
          <w:p w14:paraId="3D6FD9E1" w14:textId="39B64EED"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(2.10)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07066C2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1C6EC3D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05CF6F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697C0B7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6D1DAD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4BC4F31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single" w:sz="4" w:space="0" w:color="auto"/>
              <w:left w:val="nil"/>
              <w:bottom w:val="single" w:sz="4" w:space="0" w:color="auto"/>
              <w:right w:val="double" w:sz="4" w:space="0" w:color="auto"/>
            </w:tcBorders>
            <w:shd w:val="clear" w:color="auto" w:fill="auto"/>
            <w:noWrap/>
            <w:vAlign w:val="center"/>
            <w:hideMark/>
          </w:tcPr>
          <w:p w14:paraId="5DAED82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60C15105"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5FEC948A"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120B6620" w14:textId="7EEE55EB"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LCR</w:t>
            </w:r>
          </w:p>
        </w:tc>
        <w:tc>
          <w:tcPr>
            <w:tcW w:w="565" w:type="dxa"/>
            <w:tcBorders>
              <w:top w:val="nil"/>
              <w:left w:val="double" w:sz="4" w:space="0" w:color="auto"/>
              <w:bottom w:val="nil"/>
              <w:right w:val="nil"/>
            </w:tcBorders>
            <w:shd w:val="clear" w:color="auto" w:fill="auto"/>
            <w:noWrap/>
            <w:vAlign w:val="center"/>
            <w:hideMark/>
          </w:tcPr>
          <w:p w14:paraId="5A5993F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398F643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4D04963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4041FC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D435CD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4C4EB97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32DFE2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167BAB3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3DAF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single" w:sz="4" w:space="0" w:color="auto"/>
            </w:tcBorders>
            <w:shd w:val="clear" w:color="auto" w:fill="FFFFFF" w:themeFill="background1"/>
            <w:noWrap/>
            <w:vAlign w:val="center"/>
            <w:hideMark/>
          </w:tcPr>
          <w:p w14:paraId="0ED3DD85" w14:textId="356CFB14"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09</w:t>
            </w:r>
          </w:p>
        </w:tc>
        <w:tc>
          <w:tcPr>
            <w:tcW w:w="565" w:type="dxa"/>
            <w:tcBorders>
              <w:top w:val="nil"/>
              <w:left w:val="nil"/>
              <w:bottom w:val="single" w:sz="4" w:space="0" w:color="auto"/>
              <w:right w:val="single" w:sz="4" w:space="0" w:color="auto"/>
            </w:tcBorders>
            <w:shd w:val="clear" w:color="auto" w:fill="70AD47" w:themeFill="accent6"/>
            <w:noWrap/>
            <w:vAlign w:val="center"/>
            <w:hideMark/>
          </w:tcPr>
          <w:p w14:paraId="70E5FC19" w14:textId="68D7F014"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8</w:t>
            </w:r>
          </w:p>
          <w:p w14:paraId="4205418B" w14:textId="30EB0102"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(2.22)</w:t>
            </w:r>
          </w:p>
        </w:tc>
        <w:tc>
          <w:tcPr>
            <w:tcW w:w="566" w:type="dxa"/>
            <w:tcBorders>
              <w:top w:val="nil"/>
              <w:left w:val="nil"/>
              <w:bottom w:val="single" w:sz="4" w:space="0" w:color="auto"/>
              <w:right w:val="single" w:sz="4" w:space="0" w:color="auto"/>
            </w:tcBorders>
            <w:shd w:val="clear" w:color="auto" w:fill="auto"/>
            <w:noWrap/>
            <w:vAlign w:val="center"/>
            <w:hideMark/>
          </w:tcPr>
          <w:p w14:paraId="5EB0521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2D49A84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7DC96B8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3330168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56DD214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7C5220F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hideMark/>
          </w:tcPr>
          <w:p w14:paraId="75C6A55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3B9769FE"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734E0DFF"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147BE008" w14:textId="2B0EE408"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LE</w:t>
            </w:r>
          </w:p>
        </w:tc>
        <w:tc>
          <w:tcPr>
            <w:tcW w:w="565" w:type="dxa"/>
            <w:tcBorders>
              <w:top w:val="nil"/>
              <w:left w:val="double" w:sz="4" w:space="0" w:color="auto"/>
              <w:bottom w:val="nil"/>
              <w:right w:val="nil"/>
            </w:tcBorders>
            <w:shd w:val="clear" w:color="auto" w:fill="auto"/>
            <w:noWrap/>
            <w:vAlign w:val="center"/>
            <w:hideMark/>
          </w:tcPr>
          <w:p w14:paraId="6F4E581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B9550C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1A47C82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ED6DB1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3A0919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1FD640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0F45B0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4954211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3B8710A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6BC9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5" w:type="dxa"/>
            <w:tcBorders>
              <w:top w:val="nil"/>
              <w:left w:val="nil"/>
              <w:bottom w:val="nil"/>
              <w:right w:val="single" w:sz="4" w:space="0" w:color="auto"/>
            </w:tcBorders>
            <w:shd w:val="clear" w:color="auto" w:fill="70AD47" w:themeFill="accent6"/>
            <w:noWrap/>
            <w:vAlign w:val="center"/>
            <w:hideMark/>
          </w:tcPr>
          <w:p w14:paraId="7CCD0813" w14:textId="07E85935"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0.3</w:t>
            </w:r>
            <w:r>
              <w:rPr>
                <w:rFonts w:eastAsia="Times New Roman"/>
                <w:color w:val="000000"/>
                <w:sz w:val="18"/>
                <w:szCs w:val="18"/>
              </w:rPr>
              <w:t>1</w:t>
            </w:r>
          </w:p>
          <w:p w14:paraId="60BBB557" w14:textId="09ACF2EE"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(3.56)</w:t>
            </w:r>
          </w:p>
        </w:tc>
        <w:tc>
          <w:tcPr>
            <w:tcW w:w="566" w:type="dxa"/>
            <w:tcBorders>
              <w:top w:val="nil"/>
              <w:left w:val="nil"/>
              <w:bottom w:val="single" w:sz="4" w:space="0" w:color="auto"/>
              <w:right w:val="single" w:sz="4" w:space="0" w:color="auto"/>
            </w:tcBorders>
            <w:shd w:val="clear" w:color="auto" w:fill="auto"/>
            <w:noWrap/>
            <w:vAlign w:val="center"/>
            <w:hideMark/>
          </w:tcPr>
          <w:p w14:paraId="1C28AEF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5FCBE8F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2CB5BD1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53235E3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hideMark/>
          </w:tcPr>
          <w:p w14:paraId="0EE2356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hideMark/>
          </w:tcPr>
          <w:p w14:paraId="1728817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hideMark/>
          </w:tcPr>
          <w:p w14:paraId="07FACD0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36AC6FA4"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vAlign w:val="center"/>
          </w:tcPr>
          <w:p w14:paraId="3ACA0BD1"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743422E5" w14:textId="4790001D"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FCO</w:t>
            </w:r>
          </w:p>
        </w:tc>
        <w:tc>
          <w:tcPr>
            <w:tcW w:w="565" w:type="dxa"/>
            <w:tcBorders>
              <w:top w:val="nil"/>
              <w:left w:val="double" w:sz="4" w:space="0" w:color="auto"/>
              <w:bottom w:val="nil"/>
              <w:right w:val="nil"/>
            </w:tcBorders>
            <w:shd w:val="clear" w:color="auto" w:fill="auto"/>
            <w:noWrap/>
            <w:vAlign w:val="center"/>
            <w:hideMark/>
          </w:tcPr>
          <w:p w14:paraId="0F2BA07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17B7665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71DD2C0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CEE28D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7A25B8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5A9F5C6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EA8EB5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2159D94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EF13CC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7B4884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3FF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1.00 </w:t>
            </w:r>
          </w:p>
        </w:tc>
        <w:tc>
          <w:tcPr>
            <w:tcW w:w="566" w:type="dxa"/>
            <w:tcBorders>
              <w:top w:val="nil"/>
              <w:left w:val="nil"/>
              <w:bottom w:val="nil"/>
              <w:right w:val="single" w:sz="4" w:space="0" w:color="auto"/>
            </w:tcBorders>
            <w:shd w:val="clear" w:color="auto" w:fill="auto"/>
            <w:noWrap/>
            <w:vAlign w:val="center"/>
          </w:tcPr>
          <w:p w14:paraId="19ECED8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tcPr>
          <w:p w14:paraId="31624B3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tcPr>
          <w:p w14:paraId="22EC1C4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tcPr>
          <w:p w14:paraId="57068CF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5" w:type="dxa"/>
            <w:tcBorders>
              <w:top w:val="nil"/>
              <w:left w:val="nil"/>
              <w:bottom w:val="single" w:sz="4" w:space="0" w:color="auto"/>
              <w:right w:val="single" w:sz="4" w:space="0" w:color="auto"/>
            </w:tcBorders>
            <w:shd w:val="clear" w:color="auto" w:fill="auto"/>
            <w:noWrap/>
            <w:vAlign w:val="center"/>
          </w:tcPr>
          <w:p w14:paraId="315AB52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single" w:sz="4" w:space="0" w:color="auto"/>
            </w:tcBorders>
            <w:shd w:val="clear" w:color="auto" w:fill="auto"/>
            <w:noWrap/>
            <w:vAlign w:val="center"/>
          </w:tcPr>
          <w:p w14:paraId="7FE44F5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c>
          <w:tcPr>
            <w:tcW w:w="566" w:type="dxa"/>
            <w:tcBorders>
              <w:top w:val="nil"/>
              <w:left w:val="nil"/>
              <w:bottom w:val="single" w:sz="4" w:space="0" w:color="auto"/>
              <w:right w:val="double" w:sz="4" w:space="0" w:color="auto"/>
            </w:tcBorders>
            <w:shd w:val="clear" w:color="auto" w:fill="auto"/>
            <w:noWrap/>
            <w:vAlign w:val="center"/>
          </w:tcPr>
          <w:p w14:paraId="74C4A2F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0.00</w:t>
            </w:r>
          </w:p>
        </w:tc>
      </w:tr>
      <w:tr w:rsidR="001A3AF7" w:rsidRPr="008858C9" w14:paraId="52AD9679" w14:textId="77777777" w:rsidTr="0069340B">
        <w:trPr>
          <w:trHeight w:val="60"/>
        </w:trPr>
        <w:tc>
          <w:tcPr>
            <w:tcW w:w="1350" w:type="dxa"/>
            <w:vMerge w:val="restart"/>
            <w:tcBorders>
              <w:top w:val="single" w:sz="4" w:space="0" w:color="auto"/>
              <w:left w:val="double" w:sz="4" w:space="0" w:color="auto"/>
              <w:bottom w:val="single" w:sz="4" w:space="0" w:color="auto"/>
              <w:right w:val="single" w:sz="4" w:space="0" w:color="auto"/>
            </w:tcBorders>
            <w:vAlign w:val="center"/>
          </w:tcPr>
          <w:p w14:paraId="1043A9F1" w14:textId="11CD649D" w:rsidR="001A3AF7" w:rsidRPr="008858C9" w:rsidRDefault="001A3AF7" w:rsidP="001A3AF7">
            <w:pPr>
              <w:spacing w:after="0" w:line="240" w:lineRule="auto"/>
              <w:rPr>
                <w:rFonts w:eastAsia="Times New Roman"/>
                <w:b/>
                <w:bCs/>
                <w:color w:val="000000"/>
                <w:sz w:val="20"/>
                <w:szCs w:val="20"/>
              </w:rPr>
            </w:pPr>
            <w:r w:rsidRPr="00DA249F">
              <w:rPr>
                <w:rFonts w:eastAsia="Calibri"/>
                <w:b/>
                <w:bCs/>
                <w:sz w:val="20"/>
                <w:szCs w:val="20"/>
              </w:rPr>
              <w:t xml:space="preserve">Telemedicine </w:t>
            </w:r>
            <w:r w:rsidR="00ED7316">
              <w:rPr>
                <w:rFonts w:eastAsia="Calibri"/>
                <w:b/>
                <w:bCs/>
                <w:sz w:val="20"/>
                <w:szCs w:val="20"/>
              </w:rPr>
              <w:t>Adoption</w:t>
            </w:r>
            <w:r>
              <w:rPr>
                <w:rFonts w:eastAsia="Calibri"/>
                <w:b/>
                <w:bCs/>
                <w:sz w:val="20"/>
                <w:szCs w:val="20"/>
              </w:rPr>
              <w:t xml:space="preserve"> </w:t>
            </w:r>
            <w:r w:rsidRPr="00DA249F">
              <w:rPr>
                <w:rFonts w:eastAsia="Calibri"/>
                <w:b/>
                <w:bCs/>
                <w:sz w:val="20"/>
                <w:szCs w:val="20"/>
              </w:rPr>
              <w:t>Deterrent Reasons</w:t>
            </w:r>
          </w:p>
        </w:tc>
        <w:tc>
          <w:tcPr>
            <w:tcW w:w="1385" w:type="dxa"/>
            <w:tcBorders>
              <w:top w:val="nil"/>
              <w:left w:val="nil"/>
              <w:bottom w:val="single" w:sz="4" w:space="0" w:color="auto"/>
              <w:right w:val="double" w:sz="4" w:space="0" w:color="auto"/>
            </w:tcBorders>
            <w:shd w:val="clear" w:color="auto" w:fill="auto"/>
            <w:vAlign w:val="center"/>
          </w:tcPr>
          <w:p w14:paraId="0EDB4158" w14:textId="7542B2C4"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PTQ</w:t>
            </w:r>
          </w:p>
        </w:tc>
        <w:tc>
          <w:tcPr>
            <w:tcW w:w="565" w:type="dxa"/>
            <w:tcBorders>
              <w:top w:val="nil"/>
              <w:left w:val="double" w:sz="4" w:space="0" w:color="auto"/>
              <w:bottom w:val="nil"/>
              <w:right w:val="nil"/>
            </w:tcBorders>
            <w:shd w:val="clear" w:color="auto" w:fill="auto"/>
            <w:noWrap/>
            <w:vAlign w:val="center"/>
            <w:hideMark/>
          </w:tcPr>
          <w:p w14:paraId="0C6688B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49698D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073105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947442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E0D945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7A01564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056C45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BB8326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47159C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B8D028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5BA6BE7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6021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5" w:type="dxa"/>
            <w:tcBorders>
              <w:top w:val="nil"/>
              <w:left w:val="nil"/>
              <w:bottom w:val="nil"/>
              <w:right w:val="single" w:sz="4" w:space="0" w:color="auto"/>
            </w:tcBorders>
            <w:shd w:val="clear" w:color="auto" w:fill="FF0000"/>
            <w:noWrap/>
            <w:vAlign w:val="center"/>
          </w:tcPr>
          <w:p w14:paraId="60EB4043"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-0.23</w:t>
            </w:r>
          </w:p>
          <w:p w14:paraId="3C0D399C" w14:textId="0A6D326B"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(-3.72)</w:t>
            </w:r>
          </w:p>
        </w:tc>
        <w:tc>
          <w:tcPr>
            <w:tcW w:w="566" w:type="dxa"/>
            <w:tcBorders>
              <w:top w:val="nil"/>
              <w:left w:val="nil"/>
              <w:bottom w:val="single" w:sz="4" w:space="0" w:color="auto"/>
              <w:right w:val="single" w:sz="4" w:space="0" w:color="auto"/>
            </w:tcBorders>
            <w:shd w:val="clear" w:color="auto" w:fill="FF0000"/>
            <w:noWrap/>
            <w:vAlign w:val="center"/>
          </w:tcPr>
          <w:p w14:paraId="6267E565" w14:textId="52D6C47D"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8</w:t>
            </w:r>
          </w:p>
          <w:p w14:paraId="46D837B8" w14:textId="39524BF4"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(-1.86)</w:t>
            </w:r>
          </w:p>
        </w:tc>
        <w:tc>
          <w:tcPr>
            <w:tcW w:w="566" w:type="dxa"/>
            <w:tcBorders>
              <w:top w:val="nil"/>
              <w:left w:val="nil"/>
              <w:bottom w:val="single" w:sz="4" w:space="0" w:color="auto"/>
              <w:right w:val="single" w:sz="4" w:space="0" w:color="auto"/>
            </w:tcBorders>
            <w:shd w:val="clear" w:color="auto" w:fill="auto"/>
            <w:noWrap/>
            <w:vAlign w:val="center"/>
          </w:tcPr>
          <w:p w14:paraId="6FDE7A7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-0.01</w:t>
            </w:r>
          </w:p>
        </w:tc>
        <w:tc>
          <w:tcPr>
            <w:tcW w:w="565" w:type="dxa"/>
            <w:tcBorders>
              <w:top w:val="nil"/>
              <w:left w:val="nil"/>
              <w:bottom w:val="single" w:sz="4" w:space="0" w:color="auto"/>
              <w:right w:val="single" w:sz="4" w:space="0" w:color="auto"/>
            </w:tcBorders>
            <w:shd w:val="clear" w:color="auto" w:fill="FF0000"/>
            <w:noWrap/>
            <w:vAlign w:val="center"/>
          </w:tcPr>
          <w:p w14:paraId="450DF5C9"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-0.16</w:t>
            </w:r>
          </w:p>
          <w:p w14:paraId="439AFAE8" w14:textId="19FCE08A"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(-2.36)</w:t>
            </w:r>
          </w:p>
        </w:tc>
        <w:tc>
          <w:tcPr>
            <w:tcW w:w="566" w:type="dxa"/>
            <w:tcBorders>
              <w:top w:val="nil"/>
              <w:left w:val="nil"/>
              <w:bottom w:val="single" w:sz="4" w:space="0" w:color="auto"/>
              <w:right w:val="single" w:sz="4" w:space="0" w:color="auto"/>
            </w:tcBorders>
            <w:shd w:val="clear" w:color="auto" w:fill="auto"/>
            <w:noWrap/>
            <w:vAlign w:val="center"/>
          </w:tcPr>
          <w:p w14:paraId="2B987CC9" w14:textId="24A7630F"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w:t>
            </w:r>
            <w:r>
              <w:rPr>
                <w:rFonts w:eastAsia="Times New Roman"/>
                <w:color w:val="000000"/>
                <w:sz w:val="18"/>
                <w:szCs w:val="18"/>
              </w:rPr>
              <w:t>9</w:t>
            </w:r>
          </w:p>
        </w:tc>
        <w:tc>
          <w:tcPr>
            <w:tcW w:w="566" w:type="dxa"/>
            <w:tcBorders>
              <w:top w:val="nil"/>
              <w:left w:val="nil"/>
              <w:bottom w:val="single" w:sz="4" w:space="0" w:color="auto"/>
              <w:right w:val="double" w:sz="4" w:space="0" w:color="auto"/>
            </w:tcBorders>
            <w:shd w:val="clear" w:color="auto" w:fill="C5E0B3" w:themeFill="accent6" w:themeFillTint="66"/>
            <w:noWrap/>
            <w:vAlign w:val="center"/>
          </w:tcPr>
          <w:p w14:paraId="13F7F115"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0.11</w:t>
            </w:r>
          </w:p>
          <w:p w14:paraId="29E85FBD" w14:textId="61FC5F03"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(1.42)</w:t>
            </w:r>
          </w:p>
        </w:tc>
      </w:tr>
      <w:tr w:rsidR="001A3AF7" w:rsidRPr="008858C9" w14:paraId="7DF839D7"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tcPr>
          <w:p w14:paraId="68727E5D"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0B66B0E5" w14:textId="7376D88A"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NIPT</w:t>
            </w:r>
          </w:p>
        </w:tc>
        <w:tc>
          <w:tcPr>
            <w:tcW w:w="565" w:type="dxa"/>
            <w:tcBorders>
              <w:top w:val="nil"/>
              <w:left w:val="double" w:sz="4" w:space="0" w:color="auto"/>
              <w:bottom w:val="nil"/>
              <w:right w:val="nil"/>
            </w:tcBorders>
            <w:shd w:val="clear" w:color="auto" w:fill="auto"/>
            <w:noWrap/>
            <w:vAlign w:val="center"/>
            <w:hideMark/>
          </w:tcPr>
          <w:p w14:paraId="7D9D055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BE418F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489E23D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5D1580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B2AE07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6F2A3B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157FF6B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92832F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637932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D1446A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DE87E6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0B46965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2DFA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single" w:sz="4" w:space="0" w:color="auto"/>
            </w:tcBorders>
            <w:shd w:val="clear" w:color="auto" w:fill="FF0000"/>
            <w:noWrap/>
            <w:vAlign w:val="center"/>
          </w:tcPr>
          <w:p w14:paraId="3F49CA4D" w14:textId="471C42D8"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6</w:t>
            </w:r>
          </w:p>
          <w:p w14:paraId="0CE2C943" w14:textId="178D6109"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(-2.11)</w:t>
            </w:r>
          </w:p>
        </w:tc>
        <w:tc>
          <w:tcPr>
            <w:tcW w:w="566" w:type="dxa"/>
            <w:tcBorders>
              <w:top w:val="nil"/>
              <w:left w:val="nil"/>
              <w:bottom w:val="single" w:sz="4" w:space="0" w:color="auto"/>
              <w:right w:val="single" w:sz="4" w:space="0" w:color="auto"/>
            </w:tcBorders>
            <w:shd w:val="clear" w:color="auto" w:fill="FF0000"/>
            <w:noWrap/>
            <w:vAlign w:val="center"/>
          </w:tcPr>
          <w:p w14:paraId="734FC848" w14:textId="7259FDC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19</w:t>
            </w:r>
          </w:p>
          <w:p w14:paraId="56C37428" w14:textId="7F1E0C59"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(-3.38)</w:t>
            </w:r>
          </w:p>
        </w:tc>
        <w:tc>
          <w:tcPr>
            <w:tcW w:w="565" w:type="dxa"/>
            <w:tcBorders>
              <w:top w:val="nil"/>
              <w:left w:val="nil"/>
              <w:bottom w:val="single" w:sz="4" w:space="0" w:color="auto"/>
              <w:right w:val="single" w:sz="4" w:space="0" w:color="auto"/>
            </w:tcBorders>
            <w:shd w:val="clear" w:color="auto" w:fill="FF0000"/>
            <w:noWrap/>
            <w:vAlign w:val="center"/>
          </w:tcPr>
          <w:p w14:paraId="234C0211" w14:textId="4D548A3E"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-0.3</w:t>
            </w:r>
            <w:r>
              <w:rPr>
                <w:rFonts w:eastAsia="Times New Roman"/>
                <w:color w:val="000000"/>
                <w:sz w:val="18"/>
                <w:szCs w:val="18"/>
              </w:rPr>
              <w:t>0</w:t>
            </w:r>
          </w:p>
          <w:p w14:paraId="35F8105B" w14:textId="5158DF9F"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(-5.65)</w:t>
            </w:r>
          </w:p>
        </w:tc>
        <w:tc>
          <w:tcPr>
            <w:tcW w:w="566" w:type="dxa"/>
            <w:tcBorders>
              <w:top w:val="nil"/>
              <w:left w:val="nil"/>
              <w:bottom w:val="single" w:sz="4" w:space="0" w:color="auto"/>
              <w:right w:val="single" w:sz="4" w:space="0" w:color="auto"/>
            </w:tcBorders>
            <w:shd w:val="clear" w:color="auto" w:fill="FFB3B3"/>
            <w:noWrap/>
            <w:vAlign w:val="center"/>
          </w:tcPr>
          <w:p w14:paraId="08984628" w14:textId="47F31A12"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5</w:t>
            </w:r>
          </w:p>
          <w:p w14:paraId="54C830DD" w14:textId="7297102F"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(-2.00)</w:t>
            </w:r>
          </w:p>
        </w:tc>
        <w:tc>
          <w:tcPr>
            <w:tcW w:w="566" w:type="dxa"/>
            <w:tcBorders>
              <w:top w:val="nil"/>
              <w:left w:val="nil"/>
              <w:bottom w:val="single" w:sz="4" w:space="0" w:color="auto"/>
              <w:right w:val="double" w:sz="4" w:space="0" w:color="auto"/>
            </w:tcBorders>
            <w:shd w:val="clear" w:color="auto" w:fill="auto"/>
            <w:noWrap/>
            <w:vAlign w:val="center"/>
          </w:tcPr>
          <w:p w14:paraId="00E5318D"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10</w:t>
            </w:r>
          </w:p>
          <w:p w14:paraId="1F07814D" w14:textId="558D1C8C"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(-1.30)</w:t>
            </w:r>
          </w:p>
        </w:tc>
      </w:tr>
      <w:tr w:rsidR="001A3AF7" w:rsidRPr="008858C9" w14:paraId="2FAC5200"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tcPr>
          <w:p w14:paraId="36CFE943"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6134886E" w14:textId="5425E0BC"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TNA</w:t>
            </w:r>
          </w:p>
        </w:tc>
        <w:tc>
          <w:tcPr>
            <w:tcW w:w="565" w:type="dxa"/>
            <w:tcBorders>
              <w:top w:val="nil"/>
              <w:left w:val="double" w:sz="4" w:space="0" w:color="auto"/>
              <w:bottom w:val="nil"/>
              <w:right w:val="nil"/>
            </w:tcBorders>
            <w:shd w:val="clear" w:color="auto" w:fill="auto"/>
            <w:noWrap/>
            <w:vAlign w:val="center"/>
            <w:hideMark/>
          </w:tcPr>
          <w:p w14:paraId="3762BCA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1ED151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5F4EB77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9E1658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7021F8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77804C3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0FF7DEF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330E08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522631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341926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459B244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6BCCB3D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tcPr>
          <w:p w14:paraId="271BB0A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481A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single" w:sz="4" w:space="0" w:color="auto"/>
            </w:tcBorders>
            <w:shd w:val="clear" w:color="auto" w:fill="FF0000"/>
            <w:noWrap/>
            <w:vAlign w:val="center"/>
          </w:tcPr>
          <w:p w14:paraId="00FFE4F4" w14:textId="3BD90840"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-0.3</w:t>
            </w:r>
            <w:r>
              <w:rPr>
                <w:rFonts w:eastAsia="Times New Roman"/>
                <w:color w:val="000000"/>
                <w:sz w:val="18"/>
                <w:szCs w:val="18"/>
              </w:rPr>
              <w:t>2</w:t>
            </w:r>
          </w:p>
          <w:p w14:paraId="73FF181D" w14:textId="08D7840B"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(-4.09)</w:t>
            </w:r>
          </w:p>
        </w:tc>
        <w:tc>
          <w:tcPr>
            <w:tcW w:w="565" w:type="dxa"/>
            <w:tcBorders>
              <w:top w:val="nil"/>
              <w:left w:val="nil"/>
              <w:bottom w:val="single" w:sz="4" w:space="0" w:color="auto"/>
              <w:right w:val="single" w:sz="4" w:space="0" w:color="auto"/>
            </w:tcBorders>
            <w:shd w:val="clear" w:color="auto" w:fill="FF0000"/>
            <w:noWrap/>
            <w:vAlign w:val="center"/>
          </w:tcPr>
          <w:p w14:paraId="1C4D0893" w14:textId="77777777"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-0.19</w:t>
            </w:r>
          </w:p>
          <w:p w14:paraId="524EADF7" w14:textId="2DA68BC7"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(-2.25)</w:t>
            </w:r>
          </w:p>
        </w:tc>
        <w:tc>
          <w:tcPr>
            <w:tcW w:w="566" w:type="dxa"/>
            <w:tcBorders>
              <w:top w:val="nil"/>
              <w:left w:val="nil"/>
              <w:bottom w:val="single" w:sz="4" w:space="0" w:color="auto"/>
              <w:right w:val="single" w:sz="4" w:space="0" w:color="auto"/>
            </w:tcBorders>
            <w:shd w:val="clear" w:color="auto" w:fill="auto"/>
            <w:noWrap/>
            <w:vAlign w:val="center"/>
          </w:tcPr>
          <w:p w14:paraId="2F74D045" w14:textId="4BCDDEF4"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w:t>
            </w:r>
            <w:r>
              <w:rPr>
                <w:rFonts w:eastAsia="Times New Roman"/>
                <w:color w:val="000000"/>
                <w:sz w:val="18"/>
                <w:szCs w:val="18"/>
              </w:rPr>
              <w:t>3</w:t>
            </w:r>
          </w:p>
        </w:tc>
        <w:tc>
          <w:tcPr>
            <w:tcW w:w="566" w:type="dxa"/>
            <w:tcBorders>
              <w:top w:val="nil"/>
              <w:left w:val="nil"/>
              <w:bottom w:val="single" w:sz="4" w:space="0" w:color="auto"/>
              <w:right w:val="double" w:sz="4" w:space="0" w:color="auto"/>
            </w:tcBorders>
            <w:shd w:val="clear" w:color="auto" w:fill="FFB3B3"/>
            <w:noWrap/>
            <w:vAlign w:val="center"/>
          </w:tcPr>
          <w:p w14:paraId="2F66C45A" w14:textId="7418FEB5"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4</w:t>
            </w:r>
          </w:p>
          <w:p w14:paraId="14879002" w14:textId="0A02DFA6"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(-1.27)</w:t>
            </w:r>
          </w:p>
        </w:tc>
      </w:tr>
      <w:tr w:rsidR="001A3AF7" w:rsidRPr="008858C9" w14:paraId="1F1103F7"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tcPr>
          <w:p w14:paraId="00D2A976"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2CBBD714" w14:textId="2EECDB2B"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POP</w:t>
            </w:r>
          </w:p>
        </w:tc>
        <w:tc>
          <w:tcPr>
            <w:tcW w:w="565" w:type="dxa"/>
            <w:tcBorders>
              <w:top w:val="nil"/>
              <w:left w:val="double" w:sz="4" w:space="0" w:color="auto"/>
              <w:bottom w:val="nil"/>
              <w:right w:val="nil"/>
            </w:tcBorders>
            <w:shd w:val="clear" w:color="auto" w:fill="auto"/>
            <w:noWrap/>
            <w:vAlign w:val="center"/>
            <w:hideMark/>
          </w:tcPr>
          <w:p w14:paraId="3D36F17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FDAF18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0D6FE71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19010F5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8B60FA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5B82BF4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1F1B3B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7087EC3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297DBC1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7A4BA1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584872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2841F23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tcPr>
          <w:p w14:paraId="04F5AB95"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5FC41BD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BEC9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5" w:type="dxa"/>
            <w:tcBorders>
              <w:top w:val="nil"/>
              <w:left w:val="nil"/>
              <w:bottom w:val="nil"/>
              <w:right w:val="single" w:sz="4" w:space="0" w:color="auto"/>
            </w:tcBorders>
            <w:shd w:val="clear" w:color="auto" w:fill="70AD47" w:themeFill="accent6"/>
            <w:noWrap/>
            <w:vAlign w:val="center"/>
          </w:tcPr>
          <w:p w14:paraId="2460BB52" w14:textId="689B3BE9"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0.2</w:t>
            </w:r>
            <w:r>
              <w:rPr>
                <w:rFonts w:eastAsia="Times New Roman"/>
                <w:color w:val="000000"/>
                <w:sz w:val="18"/>
                <w:szCs w:val="18"/>
              </w:rPr>
              <w:t>1</w:t>
            </w:r>
          </w:p>
          <w:p w14:paraId="2DFEF76F" w14:textId="2CAE0274"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(3.85)</w:t>
            </w:r>
          </w:p>
        </w:tc>
        <w:tc>
          <w:tcPr>
            <w:tcW w:w="566" w:type="dxa"/>
            <w:tcBorders>
              <w:top w:val="nil"/>
              <w:left w:val="nil"/>
              <w:bottom w:val="single" w:sz="4" w:space="0" w:color="auto"/>
              <w:right w:val="single" w:sz="4" w:space="0" w:color="auto"/>
            </w:tcBorders>
            <w:shd w:val="clear" w:color="auto" w:fill="70AD47" w:themeFill="accent6"/>
            <w:noWrap/>
            <w:vAlign w:val="center"/>
          </w:tcPr>
          <w:p w14:paraId="2967169C" w14:textId="60F95169"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w:t>
            </w:r>
            <w:r>
              <w:rPr>
                <w:rFonts w:eastAsia="Times New Roman"/>
                <w:color w:val="000000"/>
                <w:sz w:val="18"/>
                <w:szCs w:val="18"/>
              </w:rPr>
              <w:t>18</w:t>
            </w:r>
          </w:p>
          <w:p w14:paraId="72DB201E" w14:textId="241217F6"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(2.53)</w:t>
            </w:r>
          </w:p>
        </w:tc>
        <w:tc>
          <w:tcPr>
            <w:tcW w:w="566" w:type="dxa"/>
            <w:tcBorders>
              <w:top w:val="nil"/>
              <w:left w:val="nil"/>
              <w:bottom w:val="single" w:sz="4" w:space="0" w:color="auto"/>
              <w:right w:val="double" w:sz="4" w:space="0" w:color="auto"/>
            </w:tcBorders>
            <w:shd w:val="clear" w:color="auto" w:fill="70AD47" w:themeFill="accent6"/>
            <w:noWrap/>
            <w:vAlign w:val="center"/>
          </w:tcPr>
          <w:p w14:paraId="5B6C255B" w14:textId="32720475"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0.3</w:t>
            </w:r>
            <w:r>
              <w:rPr>
                <w:rFonts w:eastAsia="Times New Roman"/>
                <w:color w:val="000000"/>
                <w:sz w:val="18"/>
                <w:szCs w:val="18"/>
              </w:rPr>
              <w:t>2</w:t>
            </w:r>
          </w:p>
          <w:p w14:paraId="5EE1FF6E" w14:textId="387CC9EE"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(4.73)</w:t>
            </w:r>
          </w:p>
        </w:tc>
      </w:tr>
      <w:tr w:rsidR="001A3AF7" w:rsidRPr="008858C9" w14:paraId="3B084810"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tcPr>
          <w:p w14:paraId="6AD1EEDF"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12C5E08B" w14:textId="37527189"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IPC</w:t>
            </w:r>
          </w:p>
        </w:tc>
        <w:tc>
          <w:tcPr>
            <w:tcW w:w="565" w:type="dxa"/>
            <w:tcBorders>
              <w:top w:val="nil"/>
              <w:left w:val="double" w:sz="4" w:space="0" w:color="auto"/>
              <w:bottom w:val="nil"/>
              <w:right w:val="nil"/>
            </w:tcBorders>
            <w:shd w:val="clear" w:color="auto" w:fill="auto"/>
            <w:noWrap/>
            <w:vAlign w:val="center"/>
            <w:hideMark/>
          </w:tcPr>
          <w:p w14:paraId="4C43EDF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50D02C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F309BA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6CF5BA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1BFD2D8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5AC77B0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31C80BE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627E15A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1A128FD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5525574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14929B7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5762AEB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tcPr>
          <w:p w14:paraId="7FD5B32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444748CB"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7DC07B5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CD5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single" w:sz="4" w:space="0" w:color="auto"/>
            </w:tcBorders>
            <w:shd w:val="clear" w:color="auto" w:fill="70AD47" w:themeFill="accent6"/>
            <w:noWrap/>
            <w:vAlign w:val="center"/>
          </w:tcPr>
          <w:p w14:paraId="165871AF" w14:textId="2158B904"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0.1</w:t>
            </w:r>
            <w:r>
              <w:rPr>
                <w:rFonts w:eastAsia="Times New Roman"/>
                <w:color w:val="000000"/>
                <w:sz w:val="18"/>
                <w:szCs w:val="18"/>
              </w:rPr>
              <w:t>3</w:t>
            </w:r>
          </w:p>
          <w:p w14:paraId="5A0DF494" w14:textId="22488E12"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(1.75)</w:t>
            </w:r>
          </w:p>
        </w:tc>
        <w:tc>
          <w:tcPr>
            <w:tcW w:w="566" w:type="dxa"/>
            <w:tcBorders>
              <w:top w:val="nil"/>
              <w:left w:val="nil"/>
              <w:bottom w:val="single" w:sz="4" w:space="0" w:color="auto"/>
              <w:right w:val="double" w:sz="4" w:space="0" w:color="auto"/>
            </w:tcBorders>
            <w:shd w:val="clear" w:color="auto" w:fill="auto"/>
            <w:noWrap/>
            <w:vAlign w:val="center"/>
          </w:tcPr>
          <w:p w14:paraId="646CBFD5" w14:textId="27D608C6"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-0.0</w:t>
            </w:r>
            <w:r>
              <w:rPr>
                <w:rFonts w:eastAsia="Times New Roman"/>
                <w:color w:val="000000"/>
                <w:sz w:val="18"/>
                <w:szCs w:val="18"/>
              </w:rPr>
              <w:t>2</w:t>
            </w:r>
          </w:p>
        </w:tc>
      </w:tr>
      <w:tr w:rsidR="001A3AF7" w:rsidRPr="008858C9" w14:paraId="14F5A146" w14:textId="77777777" w:rsidTr="0069340B">
        <w:trPr>
          <w:trHeight w:val="70"/>
        </w:trPr>
        <w:tc>
          <w:tcPr>
            <w:tcW w:w="1350" w:type="dxa"/>
            <w:vMerge/>
            <w:tcBorders>
              <w:top w:val="single" w:sz="4" w:space="0" w:color="auto"/>
              <w:left w:val="double" w:sz="4" w:space="0" w:color="auto"/>
              <w:bottom w:val="single" w:sz="4" w:space="0" w:color="auto"/>
              <w:right w:val="single" w:sz="4" w:space="0" w:color="auto"/>
            </w:tcBorders>
          </w:tcPr>
          <w:p w14:paraId="47C1670D"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single" w:sz="4" w:space="0" w:color="auto"/>
              <w:right w:val="double" w:sz="4" w:space="0" w:color="auto"/>
            </w:tcBorders>
            <w:shd w:val="clear" w:color="auto" w:fill="auto"/>
            <w:vAlign w:val="center"/>
          </w:tcPr>
          <w:p w14:paraId="619B445F" w14:textId="062E5C52"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TNC</w:t>
            </w:r>
          </w:p>
        </w:tc>
        <w:tc>
          <w:tcPr>
            <w:tcW w:w="565" w:type="dxa"/>
            <w:tcBorders>
              <w:top w:val="nil"/>
              <w:left w:val="double" w:sz="4" w:space="0" w:color="auto"/>
              <w:bottom w:val="nil"/>
              <w:right w:val="nil"/>
            </w:tcBorders>
            <w:shd w:val="clear" w:color="auto" w:fill="auto"/>
            <w:noWrap/>
            <w:vAlign w:val="center"/>
            <w:hideMark/>
          </w:tcPr>
          <w:p w14:paraId="1C9AEAD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7E31383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4147641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AD7776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70DB63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141339C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409BBE0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31D5609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1E66E9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hideMark/>
          </w:tcPr>
          <w:p w14:paraId="602DA7D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hideMark/>
          </w:tcPr>
          <w:p w14:paraId="528CCF2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7EF3E228"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tcPr>
          <w:p w14:paraId="6D38144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1B701D9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nil"/>
              <w:right w:val="nil"/>
            </w:tcBorders>
            <w:shd w:val="clear" w:color="auto" w:fill="auto"/>
            <w:noWrap/>
            <w:vAlign w:val="center"/>
          </w:tcPr>
          <w:p w14:paraId="372C5D0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nil"/>
              <w:right w:val="nil"/>
            </w:tcBorders>
            <w:shd w:val="clear" w:color="auto" w:fill="auto"/>
            <w:noWrap/>
            <w:vAlign w:val="center"/>
          </w:tcPr>
          <w:p w14:paraId="3BF8FB2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8EB4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c>
          <w:tcPr>
            <w:tcW w:w="566" w:type="dxa"/>
            <w:tcBorders>
              <w:top w:val="nil"/>
              <w:left w:val="nil"/>
              <w:bottom w:val="nil"/>
              <w:right w:val="double" w:sz="4" w:space="0" w:color="auto"/>
            </w:tcBorders>
            <w:shd w:val="clear" w:color="auto" w:fill="70AD47" w:themeFill="accent6"/>
            <w:noWrap/>
            <w:vAlign w:val="center"/>
          </w:tcPr>
          <w:p w14:paraId="0BF7CFC7" w14:textId="06EE0E30" w:rsidR="001A3AF7"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0.5</w:t>
            </w:r>
            <w:r>
              <w:rPr>
                <w:rFonts w:eastAsia="Times New Roman"/>
                <w:color w:val="000000"/>
                <w:sz w:val="18"/>
                <w:szCs w:val="18"/>
              </w:rPr>
              <w:t>5</w:t>
            </w:r>
          </w:p>
          <w:p w14:paraId="3CEAC0DD" w14:textId="29EEF012" w:rsidR="001A3AF7" w:rsidRPr="008858C9" w:rsidRDefault="001A3AF7" w:rsidP="001A3AF7">
            <w:pPr>
              <w:spacing w:after="0" w:line="240" w:lineRule="auto"/>
              <w:jc w:val="right"/>
              <w:rPr>
                <w:rFonts w:eastAsia="Times New Roman"/>
                <w:color w:val="000000"/>
                <w:sz w:val="18"/>
                <w:szCs w:val="18"/>
              </w:rPr>
            </w:pPr>
            <w:r>
              <w:rPr>
                <w:rFonts w:eastAsia="Times New Roman"/>
                <w:color w:val="000000"/>
                <w:sz w:val="18"/>
                <w:szCs w:val="18"/>
              </w:rPr>
              <w:t>(8.93)</w:t>
            </w:r>
          </w:p>
        </w:tc>
      </w:tr>
      <w:tr w:rsidR="001A3AF7" w:rsidRPr="008858C9" w14:paraId="4E65D11E" w14:textId="77777777" w:rsidTr="0069340B">
        <w:trPr>
          <w:trHeight w:val="70"/>
        </w:trPr>
        <w:tc>
          <w:tcPr>
            <w:tcW w:w="1350" w:type="dxa"/>
            <w:vMerge/>
            <w:tcBorders>
              <w:top w:val="single" w:sz="4" w:space="0" w:color="auto"/>
              <w:left w:val="double" w:sz="4" w:space="0" w:color="auto"/>
              <w:bottom w:val="double" w:sz="4" w:space="0" w:color="auto"/>
              <w:right w:val="single" w:sz="4" w:space="0" w:color="auto"/>
            </w:tcBorders>
          </w:tcPr>
          <w:p w14:paraId="2E38BCBE" w14:textId="77777777" w:rsidR="001A3AF7" w:rsidRPr="008858C9" w:rsidRDefault="001A3AF7" w:rsidP="001A3AF7">
            <w:pPr>
              <w:spacing w:after="0" w:line="240" w:lineRule="auto"/>
              <w:rPr>
                <w:rFonts w:eastAsia="Times New Roman"/>
                <w:b/>
                <w:bCs/>
                <w:color w:val="000000"/>
                <w:sz w:val="20"/>
                <w:szCs w:val="20"/>
              </w:rPr>
            </w:pPr>
          </w:p>
        </w:tc>
        <w:tc>
          <w:tcPr>
            <w:tcW w:w="1385" w:type="dxa"/>
            <w:tcBorders>
              <w:top w:val="nil"/>
              <w:left w:val="nil"/>
              <w:bottom w:val="double" w:sz="4" w:space="0" w:color="auto"/>
              <w:right w:val="double" w:sz="4" w:space="0" w:color="auto"/>
            </w:tcBorders>
            <w:shd w:val="clear" w:color="auto" w:fill="auto"/>
            <w:vAlign w:val="center"/>
          </w:tcPr>
          <w:p w14:paraId="51AD9559" w14:textId="5902C7E5" w:rsidR="001A3AF7" w:rsidRPr="008858C9" w:rsidRDefault="001A3AF7" w:rsidP="001A3AF7">
            <w:pPr>
              <w:spacing w:after="0" w:line="240" w:lineRule="auto"/>
              <w:rPr>
                <w:rFonts w:eastAsia="Times New Roman"/>
                <w:b/>
                <w:bCs/>
                <w:color w:val="000000"/>
                <w:sz w:val="20"/>
                <w:szCs w:val="20"/>
              </w:rPr>
            </w:pPr>
            <w:r>
              <w:rPr>
                <w:rFonts w:eastAsia="Times New Roman"/>
                <w:b/>
                <w:bCs/>
                <w:color w:val="000000"/>
                <w:sz w:val="20"/>
                <w:szCs w:val="20"/>
              </w:rPr>
              <w:t>TSC</w:t>
            </w:r>
          </w:p>
        </w:tc>
        <w:tc>
          <w:tcPr>
            <w:tcW w:w="565" w:type="dxa"/>
            <w:tcBorders>
              <w:top w:val="nil"/>
              <w:left w:val="double" w:sz="4" w:space="0" w:color="auto"/>
              <w:bottom w:val="double" w:sz="4" w:space="0" w:color="auto"/>
              <w:right w:val="nil"/>
            </w:tcBorders>
            <w:shd w:val="clear" w:color="auto" w:fill="auto"/>
            <w:noWrap/>
            <w:vAlign w:val="center"/>
            <w:hideMark/>
          </w:tcPr>
          <w:p w14:paraId="0B47466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hideMark/>
          </w:tcPr>
          <w:p w14:paraId="4863E94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double" w:sz="4" w:space="0" w:color="auto"/>
              <w:right w:val="nil"/>
            </w:tcBorders>
            <w:shd w:val="clear" w:color="auto" w:fill="auto"/>
            <w:noWrap/>
            <w:vAlign w:val="center"/>
            <w:hideMark/>
          </w:tcPr>
          <w:p w14:paraId="3BF9342A"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hideMark/>
          </w:tcPr>
          <w:p w14:paraId="6253144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hideMark/>
          </w:tcPr>
          <w:p w14:paraId="283D227C"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double" w:sz="4" w:space="0" w:color="auto"/>
              <w:right w:val="nil"/>
            </w:tcBorders>
            <w:shd w:val="clear" w:color="auto" w:fill="auto"/>
            <w:noWrap/>
            <w:vAlign w:val="center"/>
            <w:hideMark/>
          </w:tcPr>
          <w:p w14:paraId="4C60C83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hideMark/>
          </w:tcPr>
          <w:p w14:paraId="37ED9F4D"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double" w:sz="4" w:space="0" w:color="auto"/>
              <w:right w:val="nil"/>
            </w:tcBorders>
            <w:shd w:val="clear" w:color="auto" w:fill="auto"/>
            <w:noWrap/>
            <w:vAlign w:val="center"/>
            <w:hideMark/>
          </w:tcPr>
          <w:p w14:paraId="32052517"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hideMark/>
          </w:tcPr>
          <w:p w14:paraId="0A6CAE3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hideMark/>
          </w:tcPr>
          <w:p w14:paraId="066412B4"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double" w:sz="4" w:space="0" w:color="auto"/>
              <w:right w:val="nil"/>
            </w:tcBorders>
            <w:shd w:val="clear" w:color="auto" w:fill="auto"/>
            <w:noWrap/>
            <w:vAlign w:val="center"/>
            <w:hideMark/>
          </w:tcPr>
          <w:p w14:paraId="482E4900"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tcPr>
          <w:p w14:paraId="32B35506"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double" w:sz="4" w:space="0" w:color="auto"/>
              <w:right w:val="nil"/>
            </w:tcBorders>
            <w:shd w:val="clear" w:color="auto" w:fill="auto"/>
            <w:noWrap/>
            <w:vAlign w:val="center"/>
          </w:tcPr>
          <w:p w14:paraId="24D1A0B9"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tcPr>
          <w:p w14:paraId="190F8F02"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tcPr>
          <w:p w14:paraId="04EE033E"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5" w:type="dxa"/>
            <w:tcBorders>
              <w:top w:val="nil"/>
              <w:left w:val="nil"/>
              <w:bottom w:val="double" w:sz="4" w:space="0" w:color="auto"/>
              <w:right w:val="nil"/>
            </w:tcBorders>
            <w:shd w:val="clear" w:color="auto" w:fill="auto"/>
            <w:noWrap/>
            <w:vAlign w:val="center"/>
          </w:tcPr>
          <w:p w14:paraId="39FF07E3"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nil"/>
              <w:left w:val="nil"/>
              <w:bottom w:val="double" w:sz="4" w:space="0" w:color="auto"/>
              <w:right w:val="nil"/>
            </w:tcBorders>
            <w:shd w:val="clear" w:color="auto" w:fill="auto"/>
            <w:noWrap/>
            <w:vAlign w:val="center"/>
          </w:tcPr>
          <w:p w14:paraId="07DE694F"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 </w:t>
            </w:r>
          </w:p>
        </w:tc>
        <w:tc>
          <w:tcPr>
            <w:tcW w:w="566" w:type="dxa"/>
            <w:tcBorders>
              <w:top w:val="single" w:sz="4" w:space="0" w:color="auto"/>
              <w:left w:val="single" w:sz="4" w:space="0" w:color="auto"/>
              <w:bottom w:val="double" w:sz="4" w:space="0" w:color="auto"/>
              <w:right w:val="double" w:sz="4" w:space="0" w:color="auto"/>
            </w:tcBorders>
            <w:shd w:val="clear" w:color="auto" w:fill="auto"/>
            <w:noWrap/>
            <w:vAlign w:val="center"/>
          </w:tcPr>
          <w:p w14:paraId="7A7AA701" w14:textId="77777777" w:rsidR="001A3AF7" w:rsidRPr="008858C9" w:rsidRDefault="001A3AF7" w:rsidP="001A3AF7">
            <w:pPr>
              <w:spacing w:after="0" w:line="240" w:lineRule="auto"/>
              <w:jc w:val="right"/>
              <w:rPr>
                <w:rFonts w:eastAsia="Times New Roman"/>
                <w:color w:val="000000"/>
                <w:sz w:val="18"/>
                <w:szCs w:val="18"/>
              </w:rPr>
            </w:pPr>
            <w:r w:rsidRPr="008858C9">
              <w:rPr>
                <w:rFonts w:eastAsia="Times New Roman"/>
                <w:color w:val="000000"/>
                <w:sz w:val="18"/>
                <w:szCs w:val="18"/>
              </w:rPr>
              <w:t>1.00</w:t>
            </w:r>
          </w:p>
        </w:tc>
      </w:tr>
    </w:tbl>
    <w:p w14:paraId="46A07628" w14:textId="77777777" w:rsidR="001D73B7" w:rsidRPr="00565BCE" w:rsidRDefault="001D73B7" w:rsidP="00EA446B">
      <w:pPr>
        <w:spacing w:after="0" w:line="240" w:lineRule="auto"/>
        <w:jc w:val="both"/>
        <w:rPr>
          <w:rFonts w:eastAsia="Calibri"/>
          <w:bCs/>
          <w:sz w:val="19"/>
          <w:szCs w:val="19"/>
        </w:rPr>
        <w:sectPr w:rsidR="001D73B7" w:rsidRPr="00565BCE" w:rsidSect="00EA446B">
          <w:footerReference w:type="default" r:id="rId111"/>
          <w:pgSz w:w="15840" w:h="12240" w:orient="landscape" w:code="1"/>
          <w:pgMar w:top="1008" w:right="1440" w:bottom="864" w:left="1440" w:header="720" w:footer="720" w:gutter="0"/>
          <w:cols w:space="720"/>
          <w:docGrid w:linePitch="360"/>
        </w:sectPr>
      </w:pPr>
      <w:r w:rsidRPr="00565BCE">
        <w:rPr>
          <w:rFonts w:eastAsia="Calibri"/>
          <w:bCs/>
          <w:sz w:val="19"/>
          <w:szCs w:val="19"/>
        </w:rPr>
        <w:t>DIPA - Getting to medical appointments is difficult for me; PTQ - The quality of care is worse; TC - Telemedicine is more convenient for me; NIPT - Most of my medical appointments require in-person tests or procedures; TP - I like the privacy offered by telemedicine; TNA - I do not expect my healthcare provider to offer telemedicine; TS - I do not have to wait as long; POP - I like the privacy of a healthcare provider's office; CH - My home is more comfortable than a healthcare provider's office; IPC - In-person appointments are more convenient; LCR - I do not have to risk getting sick from others in a healthcare provider's office; NTC - I am not confident using technology to access my appointments; LE - Telemedicine is cheaper; TSC - I am concerned about security with telemedicine; FCO - I can go see healthcare providers more often</w:t>
      </w:r>
    </w:p>
    <w:p w14:paraId="353FDCA6" w14:textId="09AD094B" w:rsidR="0069340B" w:rsidRDefault="0069340B" w:rsidP="00C37174">
      <w:pPr>
        <w:pStyle w:val="Caption"/>
        <w:keepNext/>
        <w:spacing w:after="120"/>
        <w:jc w:val="left"/>
      </w:pPr>
      <w:bookmarkStart w:id="97" w:name="_Ref178945209"/>
      <w:r>
        <w:lastRenderedPageBreak/>
        <w:t xml:space="preserve">Table </w:t>
      </w:r>
      <w:r w:rsidR="00C425C0">
        <w:fldChar w:fldCharType="begin"/>
      </w:r>
      <w:r w:rsidR="00C425C0">
        <w:instrText xml:space="preserve"> SEQ Table \* ARABIC </w:instrText>
      </w:r>
      <w:r w:rsidR="00C425C0">
        <w:fldChar w:fldCharType="separate"/>
      </w:r>
      <w:r w:rsidR="008A3DCE">
        <w:rPr>
          <w:noProof/>
        </w:rPr>
        <w:t>7</w:t>
      </w:r>
      <w:r w:rsidR="00C425C0">
        <w:rPr>
          <w:noProof/>
        </w:rPr>
        <w:fldChar w:fldCharType="end"/>
      </w:r>
      <w:bookmarkEnd w:id="97"/>
      <w:r>
        <w:t xml:space="preserve">. </w:t>
      </w:r>
      <w:r>
        <w:rPr>
          <w:rFonts w:eastAsia="Calibri"/>
        </w:rPr>
        <w:t>Likelihood-Based Data Fit Measures</w:t>
      </w:r>
    </w:p>
    <w:tbl>
      <w:tblPr>
        <w:tblStyle w:val="TableGrid1"/>
        <w:tblW w:w="1226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485"/>
        <w:gridCol w:w="2592"/>
        <w:gridCol w:w="2592"/>
        <w:gridCol w:w="2592"/>
      </w:tblGrid>
      <w:tr w:rsidR="00565BCE" w:rsidRPr="00EA446B" w14:paraId="5980AA71" w14:textId="725D29B4" w:rsidTr="00565BCE">
        <w:trPr>
          <w:trHeight w:val="432"/>
        </w:trPr>
        <w:tc>
          <w:tcPr>
            <w:tcW w:w="4485" w:type="dxa"/>
            <w:tcBorders>
              <w:top w:val="double" w:sz="4" w:space="0" w:color="auto"/>
              <w:bottom w:val="double" w:sz="4" w:space="0" w:color="auto"/>
              <w:right w:val="double" w:sz="4" w:space="0" w:color="auto"/>
            </w:tcBorders>
            <w:vAlign w:val="center"/>
          </w:tcPr>
          <w:p w14:paraId="18F2BF86" w14:textId="77777777" w:rsidR="00C75768" w:rsidRPr="00EA446B" w:rsidRDefault="00C75768" w:rsidP="00565BCE">
            <w:pPr>
              <w:rPr>
                <w:rFonts w:eastAsia="Calibri"/>
                <w:b/>
              </w:rPr>
            </w:pPr>
            <w:r w:rsidRPr="00EA446B">
              <w:rPr>
                <w:rFonts w:eastAsia="Calibri"/>
                <w:b/>
                <w:bCs/>
              </w:rPr>
              <w:t>Summary Statistics</w:t>
            </w:r>
          </w:p>
        </w:tc>
        <w:tc>
          <w:tcPr>
            <w:tcW w:w="2592" w:type="dxa"/>
            <w:tcBorders>
              <w:top w:val="double" w:sz="4" w:space="0" w:color="auto"/>
              <w:left w:val="double" w:sz="4" w:space="0" w:color="auto"/>
              <w:bottom w:val="double" w:sz="4" w:space="0" w:color="auto"/>
            </w:tcBorders>
            <w:vAlign w:val="center"/>
          </w:tcPr>
          <w:p w14:paraId="33AA36B2" w14:textId="77777777" w:rsidR="00C75768" w:rsidRPr="00EA446B" w:rsidRDefault="00C75768" w:rsidP="00565BCE">
            <w:pPr>
              <w:jc w:val="center"/>
              <w:rPr>
                <w:rFonts w:eastAsia="Calibri"/>
                <w:b/>
              </w:rPr>
            </w:pPr>
            <w:r w:rsidRPr="00EA446B">
              <w:rPr>
                <w:rFonts w:eastAsia="Calibri"/>
                <w:b/>
                <w:bCs/>
              </w:rPr>
              <w:t>Joint Model</w:t>
            </w:r>
          </w:p>
        </w:tc>
        <w:tc>
          <w:tcPr>
            <w:tcW w:w="2592" w:type="dxa"/>
            <w:tcBorders>
              <w:top w:val="double" w:sz="4" w:space="0" w:color="auto"/>
              <w:bottom w:val="double" w:sz="4" w:space="0" w:color="auto"/>
            </w:tcBorders>
            <w:vAlign w:val="center"/>
          </w:tcPr>
          <w:p w14:paraId="24011B4A" w14:textId="77777777" w:rsidR="00C75768" w:rsidRPr="00EA446B" w:rsidRDefault="00C75768" w:rsidP="00565BCE">
            <w:pPr>
              <w:jc w:val="center"/>
              <w:rPr>
                <w:rFonts w:eastAsia="Calibri"/>
                <w:b/>
              </w:rPr>
            </w:pPr>
            <w:r w:rsidRPr="00EA446B">
              <w:rPr>
                <w:rFonts w:eastAsia="Calibri"/>
                <w:b/>
                <w:bCs/>
              </w:rPr>
              <w:t>Independent Model</w:t>
            </w:r>
          </w:p>
        </w:tc>
        <w:tc>
          <w:tcPr>
            <w:tcW w:w="2592" w:type="dxa"/>
            <w:tcBorders>
              <w:top w:val="double" w:sz="4" w:space="0" w:color="auto"/>
              <w:bottom w:val="double" w:sz="4" w:space="0" w:color="auto"/>
            </w:tcBorders>
            <w:vAlign w:val="center"/>
          </w:tcPr>
          <w:p w14:paraId="7B15C44A" w14:textId="2A67023B" w:rsidR="00C75768" w:rsidRPr="00EA446B" w:rsidRDefault="00C75768" w:rsidP="00565BCE">
            <w:pPr>
              <w:jc w:val="center"/>
              <w:rPr>
                <w:rFonts w:eastAsia="Calibri"/>
                <w:b/>
                <w:bCs/>
              </w:rPr>
            </w:pPr>
            <w:r w:rsidRPr="00EA446B">
              <w:rPr>
                <w:rFonts w:eastAsia="Calibri"/>
                <w:b/>
                <w:bCs/>
              </w:rPr>
              <w:t>Threholds-only Model</w:t>
            </w:r>
          </w:p>
        </w:tc>
      </w:tr>
      <w:tr w:rsidR="00565BCE" w:rsidRPr="00EA446B" w14:paraId="50C556F0" w14:textId="0D184C4A" w:rsidTr="00565BCE">
        <w:trPr>
          <w:trHeight w:val="432"/>
        </w:trPr>
        <w:tc>
          <w:tcPr>
            <w:tcW w:w="4485" w:type="dxa"/>
            <w:tcBorders>
              <w:top w:val="double" w:sz="4" w:space="0" w:color="auto"/>
              <w:bottom w:val="single" w:sz="4" w:space="0" w:color="auto"/>
              <w:right w:val="double" w:sz="4" w:space="0" w:color="auto"/>
            </w:tcBorders>
            <w:vAlign w:val="center"/>
          </w:tcPr>
          <w:p w14:paraId="3817929C" w14:textId="77777777" w:rsidR="00C75768" w:rsidRPr="00EA446B" w:rsidRDefault="00C75768" w:rsidP="00565BCE">
            <w:pPr>
              <w:rPr>
                <w:rFonts w:eastAsia="Calibri"/>
                <w:bCs/>
              </w:rPr>
            </w:pPr>
            <w:r w:rsidRPr="00EA446B">
              <w:rPr>
                <w:rFonts w:eastAsia="Calibri"/>
                <w:bCs/>
              </w:rPr>
              <w:t>Log-likelihood at convergence</w:t>
            </w:r>
          </w:p>
        </w:tc>
        <w:tc>
          <w:tcPr>
            <w:tcW w:w="2592" w:type="dxa"/>
            <w:tcBorders>
              <w:top w:val="double" w:sz="4" w:space="0" w:color="auto"/>
              <w:left w:val="double" w:sz="4" w:space="0" w:color="auto"/>
            </w:tcBorders>
            <w:vAlign w:val="center"/>
          </w:tcPr>
          <w:p w14:paraId="7B60312D" w14:textId="43D59CBC" w:rsidR="00C75768" w:rsidRPr="00EA446B" w:rsidRDefault="00C75768" w:rsidP="00565BCE">
            <w:pPr>
              <w:jc w:val="center"/>
              <w:rPr>
                <w:rFonts w:eastAsia="Calibri"/>
                <w:bCs/>
              </w:rPr>
            </w:pPr>
            <w:r w:rsidRPr="00EA446B">
              <w:rPr>
                <w:rFonts w:eastAsia="Calibri"/>
                <w:bCs/>
              </w:rPr>
              <w:t>-9147.91</w:t>
            </w:r>
          </w:p>
        </w:tc>
        <w:tc>
          <w:tcPr>
            <w:tcW w:w="2592" w:type="dxa"/>
            <w:tcBorders>
              <w:top w:val="double" w:sz="4" w:space="0" w:color="auto"/>
            </w:tcBorders>
            <w:vAlign w:val="center"/>
          </w:tcPr>
          <w:p w14:paraId="344B88A1" w14:textId="468ED05C" w:rsidR="00C75768" w:rsidRPr="00EA446B" w:rsidRDefault="00D8095A" w:rsidP="00565BCE">
            <w:pPr>
              <w:jc w:val="center"/>
              <w:rPr>
                <w:rFonts w:eastAsia="Calibri"/>
                <w:bCs/>
              </w:rPr>
            </w:pPr>
            <w:r w:rsidRPr="00EA446B">
              <w:rPr>
                <w:rFonts w:eastAsia="Calibri"/>
                <w:bCs/>
              </w:rPr>
              <w:t>-10206.968</w:t>
            </w:r>
          </w:p>
        </w:tc>
        <w:tc>
          <w:tcPr>
            <w:tcW w:w="2592" w:type="dxa"/>
            <w:tcBorders>
              <w:top w:val="double" w:sz="4" w:space="0" w:color="auto"/>
            </w:tcBorders>
            <w:vAlign w:val="center"/>
          </w:tcPr>
          <w:p w14:paraId="78335AAB" w14:textId="3A091539" w:rsidR="00C75768" w:rsidRPr="00EA446B" w:rsidRDefault="00C75768" w:rsidP="00565BCE">
            <w:pPr>
              <w:jc w:val="center"/>
              <w:rPr>
                <w:rFonts w:eastAsia="Calibri"/>
                <w:bCs/>
              </w:rPr>
            </w:pPr>
            <w:r w:rsidRPr="00EA446B">
              <w:rPr>
                <w:rFonts w:eastAsia="Calibri"/>
                <w:bCs/>
              </w:rPr>
              <w:t>-110</w:t>
            </w:r>
            <w:r w:rsidR="00AC5E16" w:rsidRPr="00EA446B">
              <w:rPr>
                <w:rFonts w:eastAsia="Calibri"/>
                <w:bCs/>
              </w:rPr>
              <w:t>9</w:t>
            </w:r>
            <w:r w:rsidRPr="00EA446B">
              <w:rPr>
                <w:rFonts w:eastAsia="Calibri"/>
                <w:bCs/>
              </w:rPr>
              <w:t>0.</w:t>
            </w:r>
            <w:r w:rsidR="00AC5E16" w:rsidRPr="00EA446B">
              <w:rPr>
                <w:rFonts w:eastAsia="Calibri"/>
                <w:bCs/>
              </w:rPr>
              <w:t>87</w:t>
            </w:r>
          </w:p>
        </w:tc>
      </w:tr>
      <w:tr w:rsidR="00C75768" w:rsidRPr="00EA446B" w14:paraId="61098130" w14:textId="652A3D44" w:rsidTr="00565BCE">
        <w:trPr>
          <w:trHeight w:val="432"/>
        </w:trPr>
        <w:tc>
          <w:tcPr>
            <w:tcW w:w="4485" w:type="dxa"/>
            <w:tcBorders>
              <w:top w:val="single" w:sz="4" w:space="0" w:color="auto"/>
              <w:bottom w:val="single" w:sz="4" w:space="0" w:color="auto"/>
              <w:right w:val="double" w:sz="4" w:space="0" w:color="auto"/>
            </w:tcBorders>
            <w:vAlign w:val="center"/>
          </w:tcPr>
          <w:p w14:paraId="3DA515D8" w14:textId="77777777" w:rsidR="00C75768" w:rsidRPr="00EA446B" w:rsidRDefault="00C75768" w:rsidP="00565BCE">
            <w:pPr>
              <w:rPr>
                <w:rFonts w:eastAsia="Calibri"/>
                <w:bCs/>
              </w:rPr>
            </w:pPr>
            <w:r w:rsidRPr="00EA446B">
              <w:rPr>
                <w:rFonts w:eastAsia="Calibri"/>
                <w:bCs/>
              </w:rPr>
              <w:t>Number of parameters</w:t>
            </w:r>
          </w:p>
        </w:tc>
        <w:tc>
          <w:tcPr>
            <w:tcW w:w="2592" w:type="dxa"/>
            <w:tcBorders>
              <w:left w:val="double" w:sz="4" w:space="0" w:color="auto"/>
            </w:tcBorders>
            <w:vAlign w:val="center"/>
          </w:tcPr>
          <w:p w14:paraId="0143E573" w14:textId="6320D082" w:rsidR="00C75768" w:rsidRPr="00EA446B" w:rsidRDefault="00C75768" w:rsidP="00565BCE">
            <w:pPr>
              <w:jc w:val="center"/>
              <w:rPr>
                <w:rFonts w:eastAsia="Calibri"/>
                <w:bCs/>
              </w:rPr>
            </w:pPr>
            <w:r w:rsidRPr="00EA446B">
              <w:rPr>
                <w:rFonts w:eastAsia="Calibri"/>
                <w:bCs/>
              </w:rPr>
              <w:t>18</w:t>
            </w:r>
            <w:r w:rsidR="00AC5E16" w:rsidRPr="00EA446B">
              <w:rPr>
                <w:rFonts w:eastAsia="Calibri"/>
                <w:bCs/>
              </w:rPr>
              <w:t>0</w:t>
            </w:r>
          </w:p>
        </w:tc>
        <w:tc>
          <w:tcPr>
            <w:tcW w:w="2592" w:type="dxa"/>
            <w:vAlign w:val="center"/>
          </w:tcPr>
          <w:p w14:paraId="24C6286C" w14:textId="00B40F5E" w:rsidR="00C75768" w:rsidRPr="00EA446B" w:rsidRDefault="00C75768" w:rsidP="00565BCE">
            <w:pPr>
              <w:jc w:val="center"/>
              <w:rPr>
                <w:rFonts w:eastAsia="Calibri"/>
                <w:bCs/>
              </w:rPr>
            </w:pPr>
            <w:r w:rsidRPr="00EA446B">
              <w:rPr>
                <w:rFonts w:eastAsia="Calibri"/>
                <w:bCs/>
              </w:rPr>
              <w:t>11</w:t>
            </w:r>
            <w:r w:rsidR="00AC5E16" w:rsidRPr="00EA446B">
              <w:rPr>
                <w:rFonts w:eastAsia="Calibri"/>
                <w:bCs/>
              </w:rPr>
              <w:t>3</w:t>
            </w:r>
          </w:p>
        </w:tc>
        <w:tc>
          <w:tcPr>
            <w:tcW w:w="2592" w:type="dxa"/>
            <w:vAlign w:val="center"/>
          </w:tcPr>
          <w:p w14:paraId="207D5051" w14:textId="4691C04F" w:rsidR="00C75768" w:rsidRPr="00EA446B" w:rsidRDefault="00AC5E16" w:rsidP="00565BCE">
            <w:pPr>
              <w:jc w:val="center"/>
              <w:rPr>
                <w:rFonts w:eastAsia="Calibri"/>
                <w:bCs/>
              </w:rPr>
            </w:pPr>
            <w:r w:rsidRPr="00EA446B">
              <w:rPr>
                <w:rFonts w:eastAsia="Calibri"/>
                <w:bCs/>
              </w:rPr>
              <w:t>18</w:t>
            </w:r>
          </w:p>
        </w:tc>
      </w:tr>
      <w:tr w:rsidR="00C75768" w:rsidRPr="00EA446B" w14:paraId="2C4EEC2A" w14:textId="027EFB83" w:rsidTr="00565BCE">
        <w:trPr>
          <w:trHeight w:val="432"/>
        </w:trPr>
        <w:tc>
          <w:tcPr>
            <w:tcW w:w="4485" w:type="dxa"/>
            <w:tcBorders>
              <w:top w:val="single" w:sz="4" w:space="0" w:color="auto"/>
              <w:bottom w:val="single" w:sz="4" w:space="0" w:color="auto"/>
              <w:right w:val="double" w:sz="4" w:space="0" w:color="auto"/>
            </w:tcBorders>
            <w:vAlign w:val="center"/>
          </w:tcPr>
          <w:p w14:paraId="44ADFE7E" w14:textId="77777777" w:rsidR="00C75768" w:rsidRPr="00EA446B" w:rsidRDefault="00C75768" w:rsidP="00565BCE">
            <w:pPr>
              <w:rPr>
                <w:rFonts w:eastAsia="Calibri"/>
                <w:bCs/>
              </w:rPr>
            </w:pPr>
            <w:r w:rsidRPr="00EA446B">
              <w:rPr>
                <w:rFonts w:eastAsia="Calibri"/>
                <w:bCs/>
              </w:rPr>
              <w:t>Bayesian Information Criterion (BIC)</w:t>
            </w:r>
          </w:p>
        </w:tc>
        <w:tc>
          <w:tcPr>
            <w:tcW w:w="2592" w:type="dxa"/>
            <w:tcBorders>
              <w:left w:val="double" w:sz="4" w:space="0" w:color="auto"/>
            </w:tcBorders>
            <w:vAlign w:val="center"/>
          </w:tcPr>
          <w:p w14:paraId="62090715" w14:textId="54E24826" w:rsidR="00C75768" w:rsidRPr="00EA446B" w:rsidRDefault="00C75768" w:rsidP="00565BCE">
            <w:pPr>
              <w:jc w:val="center"/>
              <w:rPr>
                <w:rFonts w:eastAsia="Calibri"/>
                <w:bCs/>
              </w:rPr>
            </w:pPr>
            <w:r w:rsidRPr="00EA446B">
              <w:rPr>
                <w:rFonts w:eastAsia="Calibri"/>
                <w:bCs/>
              </w:rPr>
              <w:t>945</w:t>
            </w:r>
            <w:r w:rsidR="00F5515F" w:rsidRPr="00EA446B">
              <w:rPr>
                <w:rFonts w:eastAsia="Calibri"/>
                <w:bCs/>
              </w:rPr>
              <w:t>1</w:t>
            </w:r>
            <w:r w:rsidRPr="00EA446B">
              <w:rPr>
                <w:rFonts w:eastAsia="Calibri"/>
                <w:bCs/>
              </w:rPr>
              <w:t>.0</w:t>
            </w:r>
            <w:r w:rsidR="00F5515F" w:rsidRPr="00EA446B">
              <w:rPr>
                <w:rFonts w:eastAsia="Calibri"/>
                <w:bCs/>
              </w:rPr>
              <w:t>2</w:t>
            </w:r>
          </w:p>
        </w:tc>
        <w:tc>
          <w:tcPr>
            <w:tcW w:w="2592" w:type="dxa"/>
            <w:vAlign w:val="center"/>
          </w:tcPr>
          <w:p w14:paraId="0F618C45" w14:textId="3C68FD42" w:rsidR="00C75768" w:rsidRPr="00EA446B" w:rsidRDefault="00C75768" w:rsidP="00565BCE">
            <w:pPr>
              <w:jc w:val="center"/>
              <w:rPr>
                <w:rFonts w:eastAsia="Calibri"/>
                <w:bCs/>
              </w:rPr>
            </w:pPr>
            <w:r w:rsidRPr="00EA446B">
              <w:rPr>
                <w:rFonts w:eastAsia="Calibri"/>
                <w:bCs/>
              </w:rPr>
              <w:t>10</w:t>
            </w:r>
            <w:r w:rsidR="00F5515F" w:rsidRPr="00EA446B">
              <w:rPr>
                <w:rFonts w:eastAsia="Calibri"/>
                <w:bCs/>
              </w:rPr>
              <w:t>397.25</w:t>
            </w:r>
          </w:p>
        </w:tc>
        <w:tc>
          <w:tcPr>
            <w:tcW w:w="2592" w:type="dxa"/>
            <w:vAlign w:val="center"/>
          </w:tcPr>
          <w:p w14:paraId="5C837A06" w14:textId="05516F31" w:rsidR="00C75768" w:rsidRPr="00EA446B" w:rsidRDefault="00F5515F" w:rsidP="00565BCE">
            <w:pPr>
              <w:jc w:val="center"/>
              <w:rPr>
                <w:rFonts w:eastAsia="Calibri"/>
                <w:bCs/>
              </w:rPr>
            </w:pPr>
            <w:r w:rsidRPr="00EA446B">
              <w:rPr>
                <w:rFonts w:eastAsia="Calibri"/>
                <w:bCs/>
              </w:rPr>
              <w:t>11121.18</w:t>
            </w:r>
          </w:p>
        </w:tc>
      </w:tr>
      <w:tr w:rsidR="00C75768" w:rsidRPr="00EA446B" w14:paraId="1B7F8BDB" w14:textId="3AED232E" w:rsidTr="00565BCE">
        <w:trPr>
          <w:trHeight w:val="432"/>
        </w:trPr>
        <w:tc>
          <w:tcPr>
            <w:tcW w:w="4485" w:type="dxa"/>
            <w:tcBorders>
              <w:top w:val="single" w:sz="4" w:space="0" w:color="auto"/>
              <w:bottom w:val="single" w:sz="4" w:space="0" w:color="auto"/>
              <w:right w:val="double" w:sz="4" w:space="0" w:color="auto"/>
            </w:tcBorders>
            <w:vAlign w:val="center"/>
          </w:tcPr>
          <w:p w14:paraId="6AC6CA77" w14:textId="1F499619" w:rsidR="00C75768" w:rsidRPr="00EA446B" w:rsidRDefault="00C75768" w:rsidP="00565BCE">
            <w:pPr>
              <w:rPr>
                <w:rFonts w:eastAsia="Calibri"/>
                <w:bCs/>
              </w:rPr>
            </w:pPr>
            <w:r w:rsidRPr="00EA446B">
              <w:rPr>
                <w:rFonts w:eastAsia="Calibri"/>
                <w:bCs/>
              </w:rPr>
              <w:t>Average probability of correct prediction</w:t>
            </w:r>
          </w:p>
        </w:tc>
        <w:tc>
          <w:tcPr>
            <w:tcW w:w="2592" w:type="dxa"/>
            <w:tcBorders>
              <w:left w:val="double" w:sz="4" w:space="0" w:color="auto"/>
            </w:tcBorders>
            <w:vAlign w:val="center"/>
          </w:tcPr>
          <w:p w14:paraId="675234CF" w14:textId="29CBF89C" w:rsidR="00C75768" w:rsidRPr="00EA446B" w:rsidRDefault="00D8095A" w:rsidP="00565BCE">
            <w:pPr>
              <w:jc w:val="center"/>
              <w:rPr>
                <w:rFonts w:eastAsia="Calibri"/>
                <w:bCs/>
              </w:rPr>
            </w:pPr>
            <w:r w:rsidRPr="00EA446B">
              <w:rPr>
                <w:rFonts w:eastAsia="Calibri"/>
                <w:bCs/>
              </w:rPr>
              <w:t>0.111</w:t>
            </w:r>
          </w:p>
        </w:tc>
        <w:tc>
          <w:tcPr>
            <w:tcW w:w="2592" w:type="dxa"/>
            <w:vAlign w:val="center"/>
          </w:tcPr>
          <w:p w14:paraId="57C0D385" w14:textId="585DFA06" w:rsidR="00C75768" w:rsidRPr="00EA446B" w:rsidRDefault="00D8095A" w:rsidP="00565BCE">
            <w:pPr>
              <w:jc w:val="center"/>
              <w:rPr>
                <w:rFonts w:eastAsia="Calibri"/>
                <w:bCs/>
              </w:rPr>
            </w:pPr>
            <w:r w:rsidRPr="00EA446B">
              <w:rPr>
                <w:rFonts w:eastAsia="Calibri"/>
                <w:bCs/>
              </w:rPr>
              <w:t>0.097</w:t>
            </w:r>
          </w:p>
        </w:tc>
        <w:tc>
          <w:tcPr>
            <w:tcW w:w="2592" w:type="dxa"/>
            <w:vAlign w:val="center"/>
          </w:tcPr>
          <w:p w14:paraId="366B74E0" w14:textId="17DB8E08" w:rsidR="00C75768" w:rsidRPr="00EA446B" w:rsidRDefault="00AC5E16" w:rsidP="00565BCE">
            <w:pPr>
              <w:jc w:val="center"/>
              <w:rPr>
                <w:rFonts w:eastAsia="Calibri"/>
                <w:bCs/>
              </w:rPr>
            </w:pPr>
            <w:r w:rsidRPr="00EA446B">
              <w:rPr>
                <w:rFonts w:eastAsia="Calibri"/>
                <w:bCs/>
              </w:rPr>
              <w:t>0.087</w:t>
            </w:r>
          </w:p>
        </w:tc>
      </w:tr>
      <w:tr w:rsidR="00565BCE" w:rsidRPr="00EA446B" w14:paraId="3728392F" w14:textId="3BA4DD88" w:rsidTr="00565BCE">
        <w:trPr>
          <w:trHeight w:val="432"/>
        </w:trPr>
        <w:tc>
          <w:tcPr>
            <w:tcW w:w="4485" w:type="dxa"/>
            <w:tcBorders>
              <w:top w:val="single" w:sz="4" w:space="0" w:color="auto"/>
              <w:bottom w:val="single" w:sz="4" w:space="0" w:color="auto"/>
              <w:right w:val="double" w:sz="4" w:space="0" w:color="auto"/>
            </w:tcBorders>
            <w:vAlign w:val="center"/>
          </w:tcPr>
          <w:p w14:paraId="7CB95CAD" w14:textId="77777777" w:rsidR="00C75768" w:rsidRPr="00EA446B" w:rsidRDefault="00C75768" w:rsidP="00565BCE">
            <w:pPr>
              <w:rPr>
                <w:rFonts w:eastAsia="Calibri"/>
                <w:bCs/>
              </w:rPr>
            </w:pPr>
            <w:r w:rsidRPr="00EA446B">
              <w:rPr>
                <w:rFonts w:eastAsia="Calibri"/>
                <w:bCs/>
                <w:noProof/>
                <w:position w:val="-10"/>
              </w:rPr>
              <w:object w:dxaOrig="320" w:dyaOrig="360" w14:anchorId="0AA7BC75">
                <v:shape id="_x0000_i1076" type="#_x0000_t75" alt="" style="width:18pt;height:18pt;mso-width-percent:0;mso-height-percent:0;mso-width-percent:0;mso-height-percent:0" o:ole="">
                  <v:imagedata r:id="rId112" o:title=""/>
                </v:shape>
                <o:OLEObject Type="Embed" ProgID="Equation.DSMT4" ShapeID="_x0000_i1076" DrawAspect="Content" ObjectID="_1790752384" r:id="rId113"/>
              </w:object>
            </w:r>
          </w:p>
        </w:tc>
        <w:tc>
          <w:tcPr>
            <w:tcW w:w="2592" w:type="dxa"/>
            <w:tcBorders>
              <w:left w:val="double" w:sz="4" w:space="0" w:color="auto"/>
              <w:bottom w:val="single" w:sz="4" w:space="0" w:color="auto"/>
            </w:tcBorders>
            <w:vAlign w:val="center"/>
          </w:tcPr>
          <w:p w14:paraId="6E255633" w14:textId="39880C0D" w:rsidR="00C75768" w:rsidRPr="00EA446B" w:rsidRDefault="00C75768" w:rsidP="00565BCE">
            <w:pPr>
              <w:jc w:val="center"/>
              <w:rPr>
                <w:rFonts w:eastAsia="Calibri"/>
                <w:bCs/>
              </w:rPr>
            </w:pPr>
            <w:r w:rsidRPr="00EA446B">
              <w:rPr>
                <w:rFonts w:eastAsia="Calibri"/>
                <w:bCs/>
              </w:rPr>
              <w:t>0.16</w:t>
            </w:r>
          </w:p>
        </w:tc>
        <w:tc>
          <w:tcPr>
            <w:tcW w:w="2592" w:type="dxa"/>
            <w:tcBorders>
              <w:bottom w:val="single" w:sz="4" w:space="0" w:color="auto"/>
            </w:tcBorders>
            <w:vAlign w:val="center"/>
          </w:tcPr>
          <w:p w14:paraId="2968DE63" w14:textId="083AD797" w:rsidR="00C75768" w:rsidRPr="00EA446B" w:rsidRDefault="00C75768" w:rsidP="00565BCE">
            <w:pPr>
              <w:jc w:val="center"/>
              <w:rPr>
                <w:rFonts w:eastAsia="Calibri"/>
                <w:bCs/>
              </w:rPr>
            </w:pPr>
            <w:r w:rsidRPr="00EA446B">
              <w:rPr>
                <w:rFonts w:eastAsia="Calibri"/>
                <w:bCs/>
              </w:rPr>
              <w:t>0.0</w:t>
            </w:r>
            <w:r w:rsidR="00F5515F" w:rsidRPr="00EA446B">
              <w:rPr>
                <w:rFonts w:eastAsia="Calibri"/>
                <w:bCs/>
              </w:rPr>
              <w:t>7</w:t>
            </w:r>
          </w:p>
        </w:tc>
        <w:tc>
          <w:tcPr>
            <w:tcW w:w="2592" w:type="dxa"/>
            <w:tcBorders>
              <w:bottom w:val="single" w:sz="4" w:space="0" w:color="auto"/>
            </w:tcBorders>
            <w:vAlign w:val="center"/>
          </w:tcPr>
          <w:p w14:paraId="3ED36F91" w14:textId="2ED9A107" w:rsidR="00C75768" w:rsidRPr="00EA446B" w:rsidRDefault="00C75768" w:rsidP="00565BCE">
            <w:pPr>
              <w:jc w:val="center"/>
              <w:rPr>
                <w:rFonts w:eastAsia="Calibri"/>
                <w:bCs/>
              </w:rPr>
            </w:pPr>
            <w:r w:rsidRPr="00EA446B">
              <w:rPr>
                <w:rFonts w:eastAsia="Calibri"/>
                <w:bCs/>
              </w:rPr>
              <w:t>--</w:t>
            </w:r>
          </w:p>
        </w:tc>
      </w:tr>
      <w:tr w:rsidR="00565BCE" w:rsidRPr="00EA446B" w14:paraId="61EA2B2A" w14:textId="506BDA40" w:rsidTr="00565BCE">
        <w:trPr>
          <w:trHeight w:val="432"/>
        </w:trPr>
        <w:tc>
          <w:tcPr>
            <w:tcW w:w="4485" w:type="dxa"/>
            <w:tcBorders>
              <w:top w:val="single" w:sz="4" w:space="0" w:color="auto"/>
              <w:bottom w:val="double" w:sz="4" w:space="0" w:color="auto"/>
              <w:right w:val="double" w:sz="4" w:space="0" w:color="auto"/>
            </w:tcBorders>
            <w:vAlign w:val="center"/>
          </w:tcPr>
          <w:p w14:paraId="1D2682EA" w14:textId="7B7A8120" w:rsidR="00F5515F" w:rsidRPr="00EA446B" w:rsidRDefault="00F5515F" w:rsidP="00565BCE">
            <w:pPr>
              <w:rPr>
                <w:rFonts w:eastAsia="Calibri"/>
                <w:bCs/>
              </w:rPr>
            </w:pPr>
            <w:r w:rsidRPr="00EA446B">
              <w:rPr>
                <w:rFonts w:eastAsia="Calibri"/>
                <w:bCs/>
              </w:rPr>
              <w:t>Nested likelihood ratio test: Joint model versus independent/Thresholds-only models</w:t>
            </w:r>
          </w:p>
        </w:tc>
        <w:tc>
          <w:tcPr>
            <w:tcW w:w="2592" w:type="dxa"/>
            <w:tcBorders>
              <w:top w:val="single" w:sz="4" w:space="0" w:color="auto"/>
              <w:left w:val="double" w:sz="4" w:space="0" w:color="auto"/>
              <w:bottom w:val="double" w:sz="4" w:space="0" w:color="auto"/>
              <w:right w:val="single" w:sz="4" w:space="0" w:color="auto"/>
            </w:tcBorders>
            <w:vAlign w:val="center"/>
          </w:tcPr>
          <w:p w14:paraId="48075021" w14:textId="0D6E0696" w:rsidR="00F5515F" w:rsidRPr="00EA446B" w:rsidRDefault="001C165D" w:rsidP="00565BCE">
            <w:pPr>
              <w:jc w:val="center"/>
              <w:rPr>
                <w:rFonts w:eastAsia="Calibri"/>
                <w:bCs/>
              </w:rPr>
            </w:pPr>
            <w:r w:rsidRPr="00EA446B">
              <w:rPr>
                <w:rFonts w:eastAsia="Calibri"/>
                <w:bCs/>
              </w:rPr>
              <w:t>--</w:t>
            </w:r>
          </w:p>
        </w:tc>
        <w:tc>
          <w:tcPr>
            <w:tcW w:w="2592" w:type="dxa"/>
            <w:tcBorders>
              <w:top w:val="single" w:sz="4" w:space="0" w:color="auto"/>
              <w:left w:val="single" w:sz="4" w:space="0" w:color="auto"/>
              <w:bottom w:val="double" w:sz="4" w:space="0" w:color="auto"/>
              <w:right w:val="single" w:sz="4" w:space="0" w:color="auto"/>
            </w:tcBorders>
            <w:vAlign w:val="center"/>
          </w:tcPr>
          <w:p w14:paraId="5E3BD570" w14:textId="77777777" w:rsidR="00657CB2" w:rsidRDefault="00F5515F" w:rsidP="00565BCE">
            <w:pPr>
              <w:jc w:val="center"/>
              <w:rPr>
                <w:rFonts w:eastAsia="Calibri"/>
                <w:bCs/>
              </w:rPr>
            </w:pPr>
            <w:r w:rsidRPr="00EA446B">
              <w:rPr>
                <w:rFonts w:eastAsia="Calibri"/>
                <w:bCs/>
              </w:rPr>
              <w:t xml:space="preserve">LR= 2118.12&gt;&gt;&gt; </w:t>
            </w:r>
          </w:p>
          <w:p w14:paraId="5B99EB1C" w14:textId="77624D15" w:rsidR="00F5515F" w:rsidRPr="00EA446B" w:rsidRDefault="00657CB2" w:rsidP="00565BCE">
            <w:pPr>
              <w:jc w:val="center"/>
              <w:rPr>
                <w:rFonts w:eastAsia="Calibri"/>
                <w:bCs/>
              </w:rPr>
            </w:pPr>
            <w:r w:rsidRPr="00EA446B">
              <w:rPr>
                <w:rFonts w:eastAsia="Calibri"/>
                <w:bCs/>
                <w:noProof/>
                <w:position w:val="-14"/>
              </w:rPr>
              <w:object w:dxaOrig="1719" w:dyaOrig="400" w14:anchorId="38780F5E">
                <v:shape id="_x0000_i1077" type="#_x0000_t75" alt="" style="width:84.85pt;height:21pt" o:ole="">
                  <v:imagedata r:id="rId114" o:title=""/>
                </v:shape>
                <o:OLEObject Type="Embed" ProgID="Equation.DSMT4" ShapeID="_x0000_i1077" DrawAspect="Content" ObjectID="_1790752385" r:id="rId115"/>
              </w:object>
            </w:r>
          </w:p>
        </w:tc>
        <w:tc>
          <w:tcPr>
            <w:tcW w:w="2592" w:type="dxa"/>
            <w:tcBorders>
              <w:top w:val="single" w:sz="4" w:space="0" w:color="auto"/>
              <w:left w:val="single" w:sz="4" w:space="0" w:color="auto"/>
              <w:bottom w:val="double" w:sz="4" w:space="0" w:color="auto"/>
            </w:tcBorders>
            <w:vAlign w:val="center"/>
          </w:tcPr>
          <w:p w14:paraId="1905B4F4" w14:textId="77777777" w:rsidR="00657CB2" w:rsidRDefault="00F5515F" w:rsidP="00565BCE">
            <w:pPr>
              <w:jc w:val="center"/>
            </w:pPr>
            <w:r w:rsidRPr="00EA446B">
              <w:rPr>
                <w:rFonts w:eastAsia="Calibri"/>
                <w:bCs/>
              </w:rPr>
              <w:t xml:space="preserve">LR= 3885.92&gt;&gt;&gt; </w:t>
            </w:r>
            <w:r w:rsidRPr="00EA446B">
              <w:t xml:space="preserve"> </w:t>
            </w:r>
          </w:p>
          <w:p w14:paraId="54A0BB84" w14:textId="41F44D73" w:rsidR="00F5515F" w:rsidRPr="00EA446B" w:rsidRDefault="00657CB2" w:rsidP="00565BCE">
            <w:pPr>
              <w:jc w:val="center"/>
              <w:rPr>
                <w:rFonts w:eastAsia="Calibri"/>
                <w:bCs/>
              </w:rPr>
            </w:pPr>
            <w:r w:rsidRPr="00EA446B">
              <w:rPr>
                <w:position w:val="-14"/>
              </w:rPr>
              <w:object w:dxaOrig="1800" w:dyaOrig="420" w14:anchorId="0AFBBF59">
                <v:shape id="_x0000_i1078" type="#_x0000_t75" style="width:89.15pt;height:21pt" o:ole="">
                  <v:imagedata r:id="rId116" o:title=""/>
                </v:shape>
                <o:OLEObject Type="Embed" ProgID="Equation.DSMT4" ShapeID="_x0000_i1078" DrawAspect="Content" ObjectID="_1790752386" r:id="rId117"/>
              </w:object>
            </w:r>
          </w:p>
        </w:tc>
      </w:tr>
    </w:tbl>
    <w:p w14:paraId="03427D85" w14:textId="30B0E005" w:rsidR="007D636E" w:rsidRDefault="00C75768">
      <w:pPr>
        <w:rPr>
          <w:rFonts w:eastAsia="Calibri"/>
          <w:b/>
        </w:rPr>
      </w:pPr>
      <w:r>
        <w:rPr>
          <w:rFonts w:eastAsia="Calibri"/>
          <w:b/>
        </w:rPr>
        <w:br w:type="page"/>
      </w:r>
    </w:p>
    <w:p w14:paraId="6902EE11" w14:textId="77777777" w:rsidR="00EA446B" w:rsidRDefault="00EA446B">
      <w:pPr>
        <w:rPr>
          <w:b/>
          <w:bCs/>
        </w:rPr>
        <w:sectPr w:rsidR="00EA446B" w:rsidSect="00EA446B">
          <w:pgSz w:w="15840" w:h="12240" w:orient="landscape"/>
          <w:pgMar w:top="1440" w:right="1440" w:bottom="1440" w:left="1440" w:header="720" w:footer="720" w:gutter="0"/>
          <w:cols w:space="720"/>
          <w:docGrid w:linePitch="360"/>
        </w:sectPr>
      </w:pPr>
    </w:p>
    <w:p w14:paraId="56EFAE91" w14:textId="637DD166" w:rsidR="0069340B" w:rsidRDefault="0069340B" w:rsidP="00C37174">
      <w:pPr>
        <w:pStyle w:val="Caption"/>
        <w:keepNext/>
        <w:spacing w:after="120"/>
        <w:jc w:val="left"/>
      </w:pPr>
      <w:bookmarkStart w:id="98" w:name="_Ref178945234"/>
      <w:r>
        <w:lastRenderedPageBreak/>
        <w:t xml:space="preserve">Table </w:t>
      </w:r>
      <w:r w:rsidR="00C425C0">
        <w:fldChar w:fldCharType="begin"/>
      </w:r>
      <w:r w:rsidR="00C425C0">
        <w:instrText xml:space="preserve"> SEQ Table \* ARABIC </w:instrText>
      </w:r>
      <w:r w:rsidR="00C425C0">
        <w:fldChar w:fldCharType="separate"/>
      </w:r>
      <w:r w:rsidR="008A3DCE">
        <w:rPr>
          <w:noProof/>
        </w:rPr>
        <w:t>8</w:t>
      </w:r>
      <w:r w:rsidR="00C425C0">
        <w:rPr>
          <w:noProof/>
        </w:rPr>
        <w:fldChar w:fldCharType="end"/>
      </w:r>
      <w:bookmarkEnd w:id="98"/>
      <w:r>
        <w:t xml:space="preserve">. </w:t>
      </w:r>
      <w:r w:rsidRPr="007D636E">
        <w:t>Aggregate Fit Measures</w:t>
      </w:r>
    </w:p>
    <w:tbl>
      <w:tblPr>
        <w:tblW w:w="504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690"/>
        <w:gridCol w:w="793"/>
        <w:gridCol w:w="545"/>
        <w:gridCol w:w="1236"/>
        <w:gridCol w:w="1270"/>
        <w:gridCol w:w="1231"/>
        <w:gridCol w:w="1252"/>
        <w:gridCol w:w="1184"/>
        <w:gridCol w:w="1320"/>
        <w:gridCol w:w="1252"/>
        <w:gridCol w:w="1268"/>
      </w:tblGrid>
      <w:tr w:rsidR="00E5128A" w:rsidRPr="005C5FA6" w14:paraId="250628C3" w14:textId="77777777" w:rsidTr="0069340B">
        <w:trPr>
          <w:trHeight w:val="20"/>
          <w:tblHeader/>
        </w:trPr>
        <w:tc>
          <w:tcPr>
            <w:tcW w:w="1161" w:type="pct"/>
            <w:gridSpan w:val="3"/>
            <w:vMerge w:val="restart"/>
            <w:tcBorders>
              <w:top w:val="double" w:sz="4" w:space="0" w:color="auto"/>
              <w:left w:val="double" w:sz="4" w:space="0" w:color="auto"/>
              <w:right w:val="double" w:sz="4" w:space="0" w:color="auto"/>
            </w:tcBorders>
            <w:shd w:val="clear" w:color="auto" w:fill="auto"/>
            <w:noWrap/>
            <w:vAlign w:val="center"/>
          </w:tcPr>
          <w:p w14:paraId="2654258B" w14:textId="74B79B60" w:rsidR="00E5128A" w:rsidRPr="005C5FA6" w:rsidRDefault="00E5128A" w:rsidP="005C5FA6">
            <w:pPr>
              <w:spacing w:after="0" w:line="240" w:lineRule="auto"/>
              <w:rPr>
                <w:rFonts w:eastAsia="Times New Roman"/>
                <w:b/>
                <w:bCs/>
                <w:color w:val="000000"/>
                <w:sz w:val="20"/>
                <w:szCs w:val="20"/>
              </w:rPr>
            </w:pPr>
          </w:p>
        </w:tc>
        <w:tc>
          <w:tcPr>
            <w:tcW w:w="961" w:type="pct"/>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44252A9C" w14:textId="7A5B8ABC" w:rsidR="00E5128A" w:rsidRPr="005C5FA6" w:rsidRDefault="00E5128A" w:rsidP="005C5FA6">
            <w:pPr>
              <w:spacing w:after="0" w:line="240" w:lineRule="auto"/>
              <w:jc w:val="center"/>
              <w:rPr>
                <w:rFonts w:eastAsia="Times New Roman"/>
                <w:b/>
                <w:bCs/>
                <w:color w:val="000000"/>
                <w:sz w:val="20"/>
                <w:szCs w:val="20"/>
              </w:rPr>
            </w:pPr>
            <w:r>
              <w:rPr>
                <w:rFonts w:eastAsia="Times New Roman"/>
                <w:b/>
                <w:bCs/>
                <w:color w:val="000000"/>
                <w:sz w:val="20"/>
                <w:szCs w:val="20"/>
              </w:rPr>
              <w:t>Observed</w:t>
            </w:r>
          </w:p>
        </w:tc>
        <w:tc>
          <w:tcPr>
            <w:tcW w:w="1406" w:type="pct"/>
            <w:gridSpan w:val="3"/>
            <w:tcBorders>
              <w:top w:val="double" w:sz="4" w:space="0" w:color="auto"/>
              <w:left w:val="double" w:sz="4" w:space="0" w:color="auto"/>
              <w:right w:val="double" w:sz="4" w:space="0" w:color="auto"/>
            </w:tcBorders>
            <w:shd w:val="clear" w:color="auto" w:fill="auto"/>
            <w:noWrap/>
            <w:vAlign w:val="center"/>
          </w:tcPr>
          <w:p w14:paraId="2080B544" w14:textId="1434A3D5" w:rsidR="00E5128A" w:rsidRPr="005C5FA6" w:rsidRDefault="00E5128A" w:rsidP="005C5FA6">
            <w:pPr>
              <w:spacing w:after="0" w:line="240" w:lineRule="auto"/>
              <w:jc w:val="center"/>
              <w:rPr>
                <w:rFonts w:eastAsia="Times New Roman"/>
                <w:b/>
                <w:bCs/>
                <w:color w:val="000000"/>
                <w:sz w:val="20"/>
                <w:szCs w:val="20"/>
              </w:rPr>
            </w:pPr>
            <w:r>
              <w:rPr>
                <w:rFonts w:eastAsia="Times New Roman"/>
                <w:b/>
                <w:bCs/>
                <w:color w:val="000000"/>
                <w:sz w:val="20"/>
                <w:szCs w:val="20"/>
              </w:rPr>
              <w:t>Joint Model Prediction</w:t>
            </w:r>
          </w:p>
        </w:tc>
        <w:tc>
          <w:tcPr>
            <w:tcW w:w="1472" w:type="pct"/>
            <w:gridSpan w:val="3"/>
            <w:tcBorders>
              <w:top w:val="double" w:sz="4" w:space="0" w:color="auto"/>
              <w:left w:val="double" w:sz="4" w:space="0" w:color="auto"/>
              <w:right w:val="double" w:sz="4" w:space="0" w:color="auto"/>
            </w:tcBorders>
            <w:shd w:val="clear" w:color="auto" w:fill="auto"/>
            <w:noWrap/>
            <w:vAlign w:val="center"/>
          </w:tcPr>
          <w:p w14:paraId="70A27F9A" w14:textId="33AA3107" w:rsidR="00E5128A" w:rsidRPr="005C5FA6" w:rsidRDefault="00E5128A" w:rsidP="005C5FA6">
            <w:pPr>
              <w:spacing w:after="0" w:line="240" w:lineRule="auto"/>
              <w:jc w:val="center"/>
              <w:rPr>
                <w:rFonts w:eastAsia="Times New Roman"/>
                <w:b/>
                <w:bCs/>
                <w:color w:val="000000"/>
                <w:sz w:val="20"/>
                <w:szCs w:val="20"/>
              </w:rPr>
            </w:pPr>
            <w:r>
              <w:rPr>
                <w:rFonts w:eastAsia="Times New Roman"/>
                <w:b/>
                <w:bCs/>
                <w:color w:val="000000"/>
                <w:sz w:val="20"/>
                <w:szCs w:val="20"/>
              </w:rPr>
              <w:t>Independent Model Prediction</w:t>
            </w:r>
          </w:p>
        </w:tc>
      </w:tr>
      <w:tr w:rsidR="00E5128A" w:rsidRPr="005C5FA6" w14:paraId="0DC1C789" w14:textId="77777777" w:rsidTr="0069340B">
        <w:trPr>
          <w:trHeight w:val="80"/>
          <w:tblHeader/>
        </w:trPr>
        <w:tc>
          <w:tcPr>
            <w:tcW w:w="1161" w:type="pct"/>
            <w:gridSpan w:val="3"/>
            <w:vMerge/>
            <w:tcBorders>
              <w:left w:val="double" w:sz="4" w:space="0" w:color="auto"/>
              <w:right w:val="double" w:sz="4" w:space="0" w:color="auto"/>
            </w:tcBorders>
            <w:shd w:val="clear" w:color="auto" w:fill="auto"/>
            <w:noWrap/>
            <w:vAlign w:val="center"/>
          </w:tcPr>
          <w:p w14:paraId="58312175" w14:textId="533B618A" w:rsidR="00E5128A" w:rsidRPr="005C5FA6" w:rsidRDefault="00E5128A" w:rsidP="005C5FA6">
            <w:pPr>
              <w:spacing w:after="0" w:line="240" w:lineRule="auto"/>
              <w:rPr>
                <w:rFonts w:eastAsia="Times New Roman"/>
                <w:b/>
                <w:bCs/>
                <w:color w:val="000000"/>
                <w:sz w:val="20"/>
                <w:szCs w:val="20"/>
              </w:rPr>
            </w:pPr>
          </w:p>
        </w:tc>
        <w:tc>
          <w:tcPr>
            <w:tcW w:w="474" w:type="pct"/>
            <w:tcBorders>
              <w:top w:val="single" w:sz="4" w:space="0" w:color="auto"/>
              <w:left w:val="double" w:sz="4" w:space="0" w:color="auto"/>
              <w:bottom w:val="double" w:sz="4" w:space="0" w:color="auto"/>
              <w:right w:val="nil"/>
            </w:tcBorders>
            <w:shd w:val="clear" w:color="auto" w:fill="auto"/>
            <w:noWrap/>
            <w:vAlign w:val="center"/>
          </w:tcPr>
          <w:p w14:paraId="105971C7" w14:textId="4726B249" w:rsidR="00E5128A" w:rsidRPr="005C5FA6" w:rsidRDefault="00E5128A" w:rsidP="00E6404A">
            <w:pPr>
              <w:spacing w:after="0" w:line="240" w:lineRule="auto"/>
              <w:ind w:left="137"/>
              <w:jc w:val="center"/>
              <w:rPr>
                <w:rFonts w:eastAsia="Times New Roman"/>
                <w:b/>
                <w:bCs/>
                <w:color w:val="000000"/>
                <w:sz w:val="20"/>
                <w:szCs w:val="20"/>
              </w:rPr>
            </w:pPr>
            <w:r w:rsidRPr="005C5FA6">
              <w:rPr>
                <w:rFonts w:eastAsia="Times New Roman"/>
                <w:b/>
                <w:bCs/>
                <w:color w:val="000000"/>
                <w:sz w:val="20"/>
                <w:szCs w:val="20"/>
              </w:rPr>
              <w:t>No. of Individuals</w:t>
            </w:r>
          </w:p>
        </w:tc>
        <w:tc>
          <w:tcPr>
            <w:tcW w:w="487" w:type="pct"/>
            <w:tcBorders>
              <w:top w:val="single" w:sz="4" w:space="0" w:color="auto"/>
              <w:left w:val="nil"/>
              <w:bottom w:val="double" w:sz="4" w:space="0" w:color="auto"/>
              <w:right w:val="double" w:sz="4" w:space="0" w:color="auto"/>
            </w:tcBorders>
            <w:shd w:val="clear" w:color="auto" w:fill="auto"/>
            <w:vAlign w:val="center"/>
          </w:tcPr>
          <w:p w14:paraId="6FDD6542" w14:textId="2B972358" w:rsidR="00E5128A" w:rsidRPr="005C5FA6" w:rsidRDefault="00E5128A" w:rsidP="00E6404A">
            <w:pPr>
              <w:spacing w:after="0" w:line="240" w:lineRule="auto"/>
              <w:ind w:right="-287"/>
              <w:jc w:val="center"/>
              <w:rPr>
                <w:rFonts w:eastAsia="Times New Roman"/>
                <w:b/>
                <w:bCs/>
                <w:color w:val="000000"/>
                <w:sz w:val="20"/>
                <w:szCs w:val="20"/>
              </w:rPr>
            </w:pPr>
            <w:r w:rsidRPr="005C5FA6">
              <w:rPr>
                <w:rFonts w:eastAsia="Times New Roman"/>
                <w:b/>
                <w:bCs/>
                <w:color w:val="000000"/>
                <w:sz w:val="20"/>
                <w:szCs w:val="20"/>
              </w:rPr>
              <w:t>Share (%)</w:t>
            </w:r>
          </w:p>
        </w:tc>
        <w:tc>
          <w:tcPr>
            <w:tcW w:w="472" w:type="pct"/>
            <w:tcBorders>
              <w:left w:val="double" w:sz="4" w:space="0" w:color="auto"/>
              <w:right w:val="nil"/>
            </w:tcBorders>
            <w:shd w:val="clear" w:color="auto" w:fill="auto"/>
            <w:noWrap/>
            <w:vAlign w:val="center"/>
          </w:tcPr>
          <w:p w14:paraId="1B829A6D" w14:textId="11A8F0DC" w:rsidR="00E5128A" w:rsidRPr="005C5FA6" w:rsidRDefault="00E5128A" w:rsidP="005C5FA6">
            <w:pPr>
              <w:spacing w:after="0" w:line="240" w:lineRule="auto"/>
              <w:jc w:val="center"/>
              <w:rPr>
                <w:rFonts w:eastAsia="Times New Roman"/>
                <w:b/>
                <w:bCs/>
                <w:color w:val="000000"/>
                <w:sz w:val="20"/>
                <w:szCs w:val="20"/>
              </w:rPr>
            </w:pPr>
            <w:r w:rsidRPr="005C5FA6">
              <w:rPr>
                <w:rFonts w:eastAsia="Times New Roman"/>
                <w:b/>
                <w:bCs/>
                <w:color w:val="000000"/>
                <w:sz w:val="20"/>
                <w:szCs w:val="20"/>
              </w:rPr>
              <w:t>No. of Individuals</w:t>
            </w:r>
          </w:p>
        </w:tc>
        <w:tc>
          <w:tcPr>
            <w:tcW w:w="480" w:type="pct"/>
            <w:tcBorders>
              <w:left w:val="nil"/>
              <w:right w:val="nil"/>
            </w:tcBorders>
            <w:shd w:val="clear" w:color="auto" w:fill="auto"/>
            <w:noWrap/>
            <w:vAlign w:val="center"/>
          </w:tcPr>
          <w:p w14:paraId="7C6B0E67" w14:textId="7C637EF7" w:rsidR="00E5128A" w:rsidRPr="005C5FA6" w:rsidRDefault="00E5128A" w:rsidP="00E6404A">
            <w:pPr>
              <w:spacing w:after="0" w:line="240" w:lineRule="auto"/>
              <w:ind w:left="273"/>
              <w:jc w:val="center"/>
              <w:rPr>
                <w:rFonts w:eastAsia="Times New Roman"/>
                <w:b/>
                <w:bCs/>
                <w:color w:val="000000"/>
                <w:sz w:val="20"/>
                <w:szCs w:val="20"/>
              </w:rPr>
            </w:pPr>
            <w:r w:rsidRPr="005C5FA6">
              <w:rPr>
                <w:rFonts w:eastAsia="Times New Roman"/>
                <w:b/>
                <w:bCs/>
                <w:color w:val="000000"/>
                <w:sz w:val="20"/>
                <w:szCs w:val="20"/>
              </w:rPr>
              <w:t>Share (%)</w:t>
            </w:r>
          </w:p>
        </w:tc>
        <w:tc>
          <w:tcPr>
            <w:tcW w:w="454" w:type="pct"/>
            <w:tcBorders>
              <w:left w:val="nil"/>
              <w:right w:val="double" w:sz="4" w:space="0" w:color="auto"/>
            </w:tcBorders>
            <w:shd w:val="clear" w:color="auto" w:fill="auto"/>
            <w:noWrap/>
            <w:vAlign w:val="center"/>
          </w:tcPr>
          <w:p w14:paraId="32147836" w14:textId="53A7244C" w:rsidR="00E5128A" w:rsidRPr="005C5FA6" w:rsidRDefault="00E5128A" w:rsidP="00E6404A">
            <w:pPr>
              <w:spacing w:after="0" w:line="240" w:lineRule="auto"/>
              <w:ind w:left="273"/>
              <w:jc w:val="center"/>
              <w:rPr>
                <w:rFonts w:eastAsia="Times New Roman"/>
                <w:b/>
                <w:bCs/>
                <w:color w:val="000000"/>
                <w:sz w:val="20"/>
                <w:szCs w:val="20"/>
              </w:rPr>
            </w:pPr>
            <w:r w:rsidRPr="005C5FA6">
              <w:rPr>
                <w:rFonts w:eastAsia="Times New Roman"/>
                <w:b/>
                <w:bCs/>
                <w:color w:val="000000"/>
                <w:sz w:val="20"/>
                <w:szCs w:val="20"/>
              </w:rPr>
              <w:t>APE (%)</w:t>
            </w:r>
          </w:p>
        </w:tc>
        <w:tc>
          <w:tcPr>
            <w:tcW w:w="506" w:type="pct"/>
            <w:tcBorders>
              <w:left w:val="double" w:sz="4" w:space="0" w:color="auto"/>
              <w:right w:val="nil"/>
            </w:tcBorders>
            <w:shd w:val="clear" w:color="auto" w:fill="auto"/>
            <w:noWrap/>
            <w:vAlign w:val="center"/>
          </w:tcPr>
          <w:p w14:paraId="56546D95" w14:textId="1FFEB36B" w:rsidR="00E5128A" w:rsidRPr="005C5FA6" w:rsidRDefault="00E5128A" w:rsidP="005C5FA6">
            <w:pPr>
              <w:spacing w:after="0" w:line="240" w:lineRule="auto"/>
              <w:jc w:val="center"/>
              <w:rPr>
                <w:rFonts w:eastAsia="Times New Roman"/>
                <w:b/>
                <w:bCs/>
                <w:color w:val="000000"/>
                <w:sz w:val="20"/>
                <w:szCs w:val="20"/>
              </w:rPr>
            </w:pPr>
            <w:r w:rsidRPr="005C5FA6">
              <w:rPr>
                <w:rFonts w:eastAsia="Times New Roman"/>
                <w:b/>
                <w:bCs/>
                <w:color w:val="000000"/>
                <w:sz w:val="20"/>
                <w:szCs w:val="20"/>
              </w:rPr>
              <w:t>No. of Individuals</w:t>
            </w:r>
          </w:p>
        </w:tc>
        <w:tc>
          <w:tcPr>
            <w:tcW w:w="480" w:type="pct"/>
            <w:tcBorders>
              <w:left w:val="nil"/>
              <w:right w:val="nil"/>
            </w:tcBorders>
            <w:shd w:val="clear" w:color="auto" w:fill="auto"/>
            <w:noWrap/>
            <w:vAlign w:val="center"/>
          </w:tcPr>
          <w:p w14:paraId="7FFCCF48" w14:textId="7AB586DC" w:rsidR="00E5128A" w:rsidRPr="005C5FA6" w:rsidRDefault="00E5128A" w:rsidP="00E6404A">
            <w:pPr>
              <w:spacing w:after="0" w:line="240" w:lineRule="auto"/>
              <w:ind w:left="279"/>
              <w:jc w:val="center"/>
              <w:rPr>
                <w:rFonts w:eastAsia="Times New Roman"/>
                <w:b/>
                <w:bCs/>
                <w:color w:val="000000"/>
                <w:sz w:val="20"/>
                <w:szCs w:val="20"/>
              </w:rPr>
            </w:pPr>
            <w:r w:rsidRPr="005C5FA6">
              <w:rPr>
                <w:rFonts w:eastAsia="Times New Roman"/>
                <w:b/>
                <w:bCs/>
                <w:color w:val="000000"/>
                <w:sz w:val="20"/>
                <w:szCs w:val="20"/>
              </w:rPr>
              <w:t>Share (%)</w:t>
            </w:r>
          </w:p>
        </w:tc>
        <w:tc>
          <w:tcPr>
            <w:tcW w:w="486" w:type="pct"/>
            <w:tcBorders>
              <w:left w:val="nil"/>
              <w:right w:val="double" w:sz="4" w:space="0" w:color="auto"/>
            </w:tcBorders>
            <w:shd w:val="clear" w:color="auto" w:fill="auto"/>
            <w:noWrap/>
            <w:vAlign w:val="center"/>
          </w:tcPr>
          <w:p w14:paraId="20A8FB6A" w14:textId="25C39775" w:rsidR="00E5128A" w:rsidRPr="005C5FA6" w:rsidRDefault="00E5128A" w:rsidP="00E6404A">
            <w:pPr>
              <w:spacing w:after="0" w:line="240" w:lineRule="auto"/>
              <w:ind w:left="279"/>
              <w:jc w:val="center"/>
              <w:rPr>
                <w:rFonts w:eastAsia="Times New Roman"/>
                <w:b/>
                <w:bCs/>
                <w:color w:val="000000"/>
                <w:sz w:val="20"/>
                <w:szCs w:val="20"/>
              </w:rPr>
            </w:pPr>
            <w:r w:rsidRPr="005C5FA6">
              <w:rPr>
                <w:rFonts w:eastAsia="Times New Roman"/>
                <w:b/>
                <w:bCs/>
                <w:color w:val="000000"/>
                <w:sz w:val="20"/>
                <w:szCs w:val="20"/>
              </w:rPr>
              <w:t>APE (%)</w:t>
            </w:r>
          </w:p>
        </w:tc>
      </w:tr>
      <w:tr w:rsidR="00D522B3" w:rsidRPr="005C5FA6" w14:paraId="2BA6548E" w14:textId="77777777" w:rsidTr="0069340B">
        <w:trPr>
          <w:trHeight w:val="33"/>
        </w:trPr>
        <w:tc>
          <w:tcPr>
            <w:tcW w:w="648" w:type="pct"/>
            <w:vMerge w:val="restar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D32BB88" w14:textId="77777777" w:rsidR="00187DD0" w:rsidRPr="005C5FA6" w:rsidRDefault="00187DD0" w:rsidP="00D522B3">
            <w:pPr>
              <w:spacing w:after="0" w:line="240" w:lineRule="auto"/>
              <w:rPr>
                <w:rFonts w:eastAsia="Times New Roman"/>
                <w:b/>
                <w:bCs/>
                <w:color w:val="000000"/>
                <w:sz w:val="20"/>
                <w:szCs w:val="20"/>
              </w:rPr>
            </w:pPr>
            <w:r w:rsidRPr="005C5FA6">
              <w:rPr>
                <w:rFonts w:eastAsia="Times New Roman"/>
                <w:b/>
                <w:bCs/>
                <w:color w:val="000000"/>
                <w:sz w:val="20"/>
                <w:szCs w:val="20"/>
              </w:rPr>
              <w:t xml:space="preserve">Telemedicine </w:t>
            </w:r>
          </w:p>
          <w:p w14:paraId="6E201231" w14:textId="7BBFE776" w:rsidR="00187DD0" w:rsidRPr="005C5FA6" w:rsidRDefault="00ED7316" w:rsidP="00D522B3">
            <w:pPr>
              <w:spacing w:after="0" w:line="240" w:lineRule="auto"/>
              <w:rPr>
                <w:rFonts w:eastAsia="Times New Roman"/>
                <w:b/>
                <w:bCs/>
                <w:color w:val="000000"/>
                <w:sz w:val="20"/>
                <w:szCs w:val="20"/>
              </w:rPr>
            </w:pPr>
            <w:r>
              <w:rPr>
                <w:rFonts w:eastAsia="Times New Roman"/>
                <w:b/>
                <w:bCs/>
                <w:color w:val="000000"/>
                <w:sz w:val="20"/>
                <w:szCs w:val="20"/>
              </w:rPr>
              <w:t>Adoption</w:t>
            </w:r>
            <w:r w:rsidR="00187DD0" w:rsidRPr="005C5FA6">
              <w:rPr>
                <w:rFonts w:eastAsia="Times New Roman"/>
                <w:b/>
                <w:bCs/>
                <w:color w:val="000000"/>
                <w:sz w:val="20"/>
                <w:szCs w:val="20"/>
              </w:rPr>
              <w:t xml:space="preserve"> Facilitator Reasons</w:t>
            </w:r>
          </w:p>
        </w:tc>
        <w:tc>
          <w:tcPr>
            <w:tcW w:w="304" w:type="pct"/>
            <w:vMerge w:val="restart"/>
            <w:tcBorders>
              <w:top w:val="double" w:sz="4" w:space="0" w:color="auto"/>
              <w:left w:val="single" w:sz="4" w:space="0" w:color="auto"/>
              <w:bottom w:val="dotted" w:sz="4" w:space="0" w:color="auto"/>
              <w:right w:val="nil"/>
            </w:tcBorders>
            <w:shd w:val="clear" w:color="auto" w:fill="auto"/>
            <w:vAlign w:val="center"/>
            <w:hideMark/>
          </w:tcPr>
          <w:p w14:paraId="5F66D497"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DIPA</w:t>
            </w:r>
          </w:p>
        </w:tc>
        <w:tc>
          <w:tcPr>
            <w:tcW w:w="209" w:type="pct"/>
            <w:tcBorders>
              <w:top w:val="double" w:sz="4" w:space="0" w:color="auto"/>
              <w:left w:val="nil"/>
              <w:bottom w:val="nil"/>
              <w:right w:val="double" w:sz="4" w:space="0" w:color="auto"/>
            </w:tcBorders>
            <w:shd w:val="clear" w:color="auto" w:fill="auto"/>
            <w:vAlign w:val="center"/>
            <w:hideMark/>
          </w:tcPr>
          <w:p w14:paraId="06F68930"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uble" w:sz="4" w:space="0" w:color="auto"/>
              <w:left w:val="double" w:sz="4" w:space="0" w:color="auto"/>
              <w:bottom w:val="nil"/>
              <w:right w:val="nil"/>
            </w:tcBorders>
            <w:shd w:val="clear" w:color="auto" w:fill="auto"/>
            <w:vAlign w:val="center"/>
            <w:hideMark/>
          </w:tcPr>
          <w:p w14:paraId="3AF9B23B" w14:textId="18A7D144"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122</w:t>
            </w:r>
          </w:p>
        </w:tc>
        <w:tc>
          <w:tcPr>
            <w:tcW w:w="487" w:type="pct"/>
            <w:tcBorders>
              <w:top w:val="double" w:sz="4" w:space="0" w:color="auto"/>
              <w:left w:val="nil"/>
              <w:bottom w:val="nil"/>
              <w:right w:val="double" w:sz="4" w:space="0" w:color="auto"/>
            </w:tcBorders>
            <w:shd w:val="clear" w:color="auto" w:fill="auto"/>
            <w:vAlign w:val="center"/>
            <w:hideMark/>
          </w:tcPr>
          <w:p w14:paraId="18375954" w14:textId="0B65FFB1"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5.2%</w:t>
            </w:r>
          </w:p>
        </w:tc>
        <w:tc>
          <w:tcPr>
            <w:tcW w:w="472" w:type="pct"/>
            <w:tcBorders>
              <w:top w:val="double" w:sz="4" w:space="0" w:color="auto"/>
              <w:left w:val="double" w:sz="4" w:space="0" w:color="auto"/>
              <w:bottom w:val="nil"/>
              <w:right w:val="nil"/>
            </w:tcBorders>
            <w:shd w:val="clear" w:color="auto" w:fill="auto"/>
            <w:noWrap/>
            <w:vAlign w:val="center"/>
            <w:hideMark/>
          </w:tcPr>
          <w:p w14:paraId="1E6AA177" w14:textId="4E327934"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125</w:t>
            </w:r>
          </w:p>
        </w:tc>
        <w:tc>
          <w:tcPr>
            <w:tcW w:w="480" w:type="pct"/>
            <w:tcBorders>
              <w:top w:val="double" w:sz="4" w:space="0" w:color="auto"/>
              <w:left w:val="nil"/>
              <w:bottom w:val="nil"/>
              <w:right w:val="nil"/>
            </w:tcBorders>
            <w:shd w:val="clear" w:color="auto" w:fill="auto"/>
            <w:noWrap/>
            <w:vAlign w:val="center"/>
            <w:hideMark/>
          </w:tcPr>
          <w:p w14:paraId="7BC123AD" w14:textId="726F272C"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5.4%</w:t>
            </w:r>
          </w:p>
        </w:tc>
        <w:tc>
          <w:tcPr>
            <w:tcW w:w="454" w:type="pct"/>
            <w:tcBorders>
              <w:top w:val="double" w:sz="4" w:space="0" w:color="auto"/>
              <w:left w:val="nil"/>
              <w:bottom w:val="nil"/>
              <w:right w:val="double" w:sz="4" w:space="0" w:color="auto"/>
            </w:tcBorders>
            <w:shd w:val="clear" w:color="auto" w:fill="auto"/>
            <w:noWrap/>
            <w:vAlign w:val="center"/>
            <w:hideMark/>
          </w:tcPr>
          <w:p w14:paraId="3B828EB2" w14:textId="58D0886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2.5%</w:t>
            </w:r>
          </w:p>
        </w:tc>
        <w:tc>
          <w:tcPr>
            <w:tcW w:w="506" w:type="pct"/>
            <w:tcBorders>
              <w:top w:val="double" w:sz="4" w:space="0" w:color="auto"/>
              <w:left w:val="double" w:sz="4" w:space="0" w:color="auto"/>
              <w:bottom w:val="nil"/>
              <w:right w:val="nil"/>
            </w:tcBorders>
            <w:shd w:val="clear" w:color="auto" w:fill="auto"/>
            <w:noWrap/>
            <w:vAlign w:val="center"/>
            <w:hideMark/>
          </w:tcPr>
          <w:p w14:paraId="1AA91D68" w14:textId="3232B24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202</w:t>
            </w:r>
          </w:p>
        </w:tc>
        <w:tc>
          <w:tcPr>
            <w:tcW w:w="480" w:type="pct"/>
            <w:tcBorders>
              <w:top w:val="double" w:sz="4" w:space="0" w:color="auto"/>
              <w:left w:val="nil"/>
              <w:bottom w:val="nil"/>
              <w:right w:val="nil"/>
            </w:tcBorders>
            <w:shd w:val="clear" w:color="auto" w:fill="auto"/>
            <w:noWrap/>
            <w:vAlign w:val="center"/>
            <w:hideMark/>
          </w:tcPr>
          <w:p w14:paraId="64D9D0FB" w14:textId="6AC243B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8.7%</w:t>
            </w:r>
          </w:p>
        </w:tc>
        <w:tc>
          <w:tcPr>
            <w:tcW w:w="486" w:type="pct"/>
            <w:tcBorders>
              <w:top w:val="double" w:sz="4" w:space="0" w:color="auto"/>
              <w:left w:val="nil"/>
              <w:bottom w:val="nil"/>
              <w:right w:val="double" w:sz="4" w:space="0" w:color="auto"/>
            </w:tcBorders>
            <w:shd w:val="clear" w:color="auto" w:fill="auto"/>
            <w:noWrap/>
            <w:vAlign w:val="center"/>
            <w:hideMark/>
          </w:tcPr>
          <w:p w14:paraId="133321DA" w14:textId="277950E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65.9%</w:t>
            </w:r>
          </w:p>
        </w:tc>
      </w:tr>
      <w:tr w:rsidR="00187DD0" w:rsidRPr="005C5FA6" w14:paraId="1B7886B5" w14:textId="77777777" w:rsidTr="0069340B">
        <w:trPr>
          <w:trHeight w:val="33"/>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27069372"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dotted" w:sz="4" w:space="0" w:color="auto"/>
              <w:left w:val="single" w:sz="4" w:space="0" w:color="auto"/>
              <w:bottom w:val="dotted" w:sz="4" w:space="0" w:color="auto"/>
              <w:right w:val="nil"/>
            </w:tcBorders>
            <w:vAlign w:val="center"/>
            <w:hideMark/>
          </w:tcPr>
          <w:p w14:paraId="4253374F"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0D7DA2B3"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27D76E11" w14:textId="36DD365E"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680</w:t>
            </w:r>
          </w:p>
        </w:tc>
        <w:tc>
          <w:tcPr>
            <w:tcW w:w="487" w:type="pct"/>
            <w:tcBorders>
              <w:top w:val="nil"/>
              <w:left w:val="nil"/>
              <w:bottom w:val="dotted" w:sz="4" w:space="0" w:color="auto"/>
              <w:right w:val="double" w:sz="4" w:space="0" w:color="auto"/>
            </w:tcBorders>
            <w:shd w:val="clear" w:color="auto" w:fill="auto"/>
            <w:vAlign w:val="center"/>
            <w:hideMark/>
          </w:tcPr>
          <w:p w14:paraId="0EA64F21" w14:textId="215C3C16"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29.1%</w:t>
            </w:r>
          </w:p>
        </w:tc>
        <w:tc>
          <w:tcPr>
            <w:tcW w:w="472" w:type="pct"/>
            <w:tcBorders>
              <w:top w:val="nil"/>
              <w:left w:val="double" w:sz="4" w:space="0" w:color="auto"/>
              <w:bottom w:val="dotted" w:sz="4" w:space="0" w:color="auto"/>
              <w:right w:val="nil"/>
            </w:tcBorders>
            <w:shd w:val="clear" w:color="auto" w:fill="auto"/>
            <w:noWrap/>
            <w:vAlign w:val="center"/>
            <w:hideMark/>
          </w:tcPr>
          <w:p w14:paraId="1D366D5F" w14:textId="5EC17DC8"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677</w:t>
            </w:r>
          </w:p>
        </w:tc>
        <w:tc>
          <w:tcPr>
            <w:tcW w:w="480" w:type="pct"/>
            <w:tcBorders>
              <w:top w:val="nil"/>
              <w:left w:val="nil"/>
              <w:bottom w:val="dotted" w:sz="4" w:space="0" w:color="auto"/>
              <w:right w:val="nil"/>
            </w:tcBorders>
            <w:shd w:val="clear" w:color="auto" w:fill="auto"/>
            <w:noWrap/>
            <w:vAlign w:val="center"/>
            <w:hideMark/>
          </w:tcPr>
          <w:p w14:paraId="4C0E9AD2" w14:textId="56CF0BA7"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29.0%</w:t>
            </w:r>
          </w:p>
        </w:tc>
        <w:tc>
          <w:tcPr>
            <w:tcW w:w="454" w:type="pct"/>
            <w:tcBorders>
              <w:top w:val="nil"/>
              <w:left w:val="nil"/>
              <w:bottom w:val="dotted" w:sz="4" w:space="0" w:color="auto"/>
              <w:right w:val="double" w:sz="4" w:space="0" w:color="auto"/>
            </w:tcBorders>
            <w:shd w:val="clear" w:color="auto" w:fill="auto"/>
            <w:noWrap/>
            <w:vAlign w:val="center"/>
            <w:hideMark/>
          </w:tcPr>
          <w:p w14:paraId="675644CD" w14:textId="51D6B89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0.4%</w:t>
            </w:r>
          </w:p>
        </w:tc>
        <w:tc>
          <w:tcPr>
            <w:tcW w:w="506" w:type="pct"/>
            <w:tcBorders>
              <w:top w:val="nil"/>
              <w:left w:val="double" w:sz="4" w:space="0" w:color="auto"/>
              <w:bottom w:val="dotted" w:sz="4" w:space="0" w:color="auto"/>
              <w:right w:val="nil"/>
            </w:tcBorders>
            <w:shd w:val="clear" w:color="auto" w:fill="auto"/>
            <w:noWrap/>
            <w:vAlign w:val="center"/>
            <w:hideMark/>
          </w:tcPr>
          <w:p w14:paraId="739A567E" w14:textId="76938DA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600</w:t>
            </w:r>
          </w:p>
        </w:tc>
        <w:tc>
          <w:tcPr>
            <w:tcW w:w="480" w:type="pct"/>
            <w:tcBorders>
              <w:top w:val="nil"/>
              <w:left w:val="nil"/>
              <w:bottom w:val="dotted" w:sz="4" w:space="0" w:color="auto"/>
              <w:right w:val="nil"/>
            </w:tcBorders>
            <w:shd w:val="clear" w:color="auto" w:fill="auto"/>
            <w:noWrap/>
            <w:vAlign w:val="center"/>
            <w:hideMark/>
          </w:tcPr>
          <w:p w14:paraId="02F520CE" w14:textId="3CB76397"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25.7%</w:t>
            </w:r>
          </w:p>
        </w:tc>
        <w:tc>
          <w:tcPr>
            <w:tcW w:w="486" w:type="pct"/>
            <w:tcBorders>
              <w:top w:val="nil"/>
              <w:left w:val="nil"/>
              <w:bottom w:val="dotted" w:sz="4" w:space="0" w:color="auto"/>
              <w:right w:val="double" w:sz="4" w:space="0" w:color="auto"/>
            </w:tcBorders>
            <w:shd w:val="clear" w:color="auto" w:fill="auto"/>
            <w:noWrap/>
            <w:vAlign w:val="center"/>
            <w:hideMark/>
          </w:tcPr>
          <w:p w14:paraId="10F82A39" w14:textId="291DA11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11.8%</w:t>
            </w:r>
          </w:p>
        </w:tc>
      </w:tr>
      <w:tr w:rsidR="00187DD0" w:rsidRPr="005C5FA6" w14:paraId="502BE57F"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79D4887F"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6985598F"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TC</w:t>
            </w:r>
          </w:p>
        </w:tc>
        <w:tc>
          <w:tcPr>
            <w:tcW w:w="209" w:type="pct"/>
            <w:tcBorders>
              <w:top w:val="dotted" w:sz="4" w:space="0" w:color="auto"/>
              <w:left w:val="nil"/>
              <w:bottom w:val="nil"/>
              <w:right w:val="double" w:sz="4" w:space="0" w:color="auto"/>
            </w:tcBorders>
            <w:shd w:val="clear" w:color="auto" w:fill="auto"/>
            <w:vAlign w:val="center"/>
            <w:hideMark/>
          </w:tcPr>
          <w:p w14:paraId="3BC9B2AB"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43D81D4B" w14:textId="4D894418"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591</w:t>
            </w:r>
          </w:p>
        </w:tc>
        <w:tc>
          <w:tcPr>
            <w:tcW w:w="487" w:type="pct"/>
            <w:tcBorders>
              <w:top w:val="dotted" w:sz="4" w:space="0" w:color="auto"/>
              <w:left w:val="nil"/>
              <w:bottom w:val="nil"/>
              <w:right w:val="double" w:sz="4" w:space="0" w:color="auto"/>
            </w:tcBorders>
            <w:shd w:val="clear" w:color="auto" w:fill="auto"/>
            <w:vAlign w:val="center"/>
            <w:hideMark/>
          </w:tcPr>
          <w:p w14:paraId="54E8918C" w14:textId="57357446"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25.3%</w:t>
            </w:r>
          </w:p>
        </w:tc>
        <w:tc>
          <w:tcPr>
            <w:tcW w:w="472" w:type="pct"/>
            <w:tcBorders>
              <w:top w:val="dotted" w:sz="4" w:space="0" w:color="auto"/>
              <w:left w:val="double" w:sz="4" w:space="0" w:color="auto"/>
              <w:bottom w:val="nil"/>
              <w:right w:val="nil"/>
            </w:tcBorders>
            <w:shd w:val="clear" w:color="auto" w:fill="auto"/>
            <w:noWrap/>
            <w:vAlign w:val="center"/>
            <w:hideMark/>
          </w:tcPr>
          <w:p w14:paraId="792496C0" w14:textId="64B61C2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608</w:t>
            </w:r>
          </w:p>
        </w:tc>
        <w:tc>
          <w:tcPr>
            <w:tcW w:w="480" w:type="pct"/>
            <w:tcBorders>
              <w:top w:val="dotted" w:sz="4" w:space="0" w:color="auto"/>
              <w:left w:val="nil"/>
              <w:bottom w:val="nil"/>
              <w:right w:val="nil"/>
            </w:tcBorders>
            <w:shd w:val="clear" w:color="auto" w:fill="auto"/>
            <w:noWrap/>
            <w:vAlign w:val="center"/>
            <w:hideMark/>
          </w:tcPr>
          <w:p w14:paraId="0BB83D5D" w14:textId="07DBE50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26.1%</w:t>
            </w:r>
          </w:p>
        </w:tc>
        <w:tc>
          <w:tcPr>
            <w:tcW w:w="454" w:type="pct"/>
            <w:tcBorders>
              <w:top w:val="dotted" w:sz="4" w:space="0" w:color="auto"/>
              <w:left w:val="nil"/>
              <w:bottom w:val="nil"/>
              <w:right w:val="double" w:sz="4" w:space="0" w:color="auto"/>
            </w:tcBorders>
            <w:shd w:val="clear" w:color="auto" w:fill="auto"/>
            <w:noWrap/>
            <w:vAlign w:val="center"/>
            <w:hideMark/>
          </w:tcPr>
          <w:p w14:paraId="3616C4C5" w14:textId="04D7DD1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2.9%</w:t>
            </w:r>
          </w:p>
        </w:tc>
        <w:tc>
          <w:tcPr>
            <w:tcW w:w="506" w:type="pct"/>
            <w:tcBorders>
              <w:top w:val="dotted" w:sz="4" w:space="0" w:color="auto"/>
              <w:left w:val="double" w:sz="4" w:space="0" w:color="auto"/>
              <w:bottom w:val="nil"/>
              <w:right w:val="nil"/>
            </w:tcBorders>
            <w:shd w:val="clear" w:color="auto" w:fill="auto"/>
            <w:noWrap/>
            <w:vAlign w:val="center"/>
            <w:hideMark/>
          </w:tcPr>
          <w:p w14:paraId="228784F2" w14:textId="44B19DA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672</w:t>
            </w:r>
          </w:p>
        </w:tc>
        <w:tc>
          <w:tcPr>
            <w:tcW w:w="480" w:type="pct"/>
            <w:tcBorders>
              <w:top w:val="dotted" w:sz="4" w:space="0" w:color="auto"/>
              <w:left w:val="nil"/>
              <w:bottom w:val="nil"/>
              <w:right w:val="nil"/>
            </w:tcBorders>
            <w:shd w:val="clear" w:color="auto" w:fill="auto"/>
            <w:noWrap/>
            <w:vAlign w:val="center"/>
            <w:hideMark/>
          </w:tcPr>
          <w:p w14:paraId="4404076A" w14:textId="73E3553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28.8%</w:t>
            </w:r>
          </w:p>
        </w:tc>
        <w:tc>
          <w:tcPr>
            <w:tcW w:w="486" w:type="pct"/>
            <w:tcBorders>
              <w:top w:val="dotted" w:sz="4" w:space="0" w:color="auto"/>
              <w:left w:val="nil"/>
              <w:bottom w:val="nil"/>
              <w:right w:val="double" w:sz="4" w:space="0" w:color="auto"/>
            </w:tcBorders>
            <w:shd w:val="clear" w:color="auto" w:fill="auto"/>
            <w:noWrap/>
            <w:vAlign w:val="center"/>
            <w:hideMark/>
          </w:tcPr>
          <w:p w14:paraId="699D3CA1" w14:textId="406D269D"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13.7%</w:t>
            </w:r>
          </w:p>
        </w:tc>
      </w:tr>
      <w:tr w:rsidR="00187DD0" w:rsidRPr="005C5FA6" w14:paraId="299E1406"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3F102063"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68B75B57"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5D380F97"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4ABAFEC7" w14:textId="5F413D42"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211</w:t>
            </w:r>
          </w:p>
        </w:tc>
        <w:tc>
          <w:tcPr>
            <w:tcW w:w="487" w:type="pct"/>
            <w:tcBorders>
              <w:top w:val="nil"/>
              <w:left w:val="nil"/>
              <w:bottom w:val="dotted" w:sz="4" w:space="0" w:color="auto"/>
              <w:right w:val="double" w:sz="4" w:space="0" w:color="auto"/>
            </w:tcBorders>
            <w:shd w:val="clear" w:color="auto" w:fill="auto"/>
            <w:vAlign w:val="center"/>
            <w:hideMark/>
          </w:tcPr>
          <w:p w14:paraId="02CCF9DB" w14:textId="4A206D3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9.0%</w:t>
            </w:r>
          </w:p>
        </w:tc>
        <w:tc>
          <w:tcPr>
            <w:tcW w:w="472" w:type="pct"/>
            <w:tcBorders>
              <w:top w:val="nil"/>
              <w:left w:val="double" w:sz="4" w:space="0" w:color="auto"/>
              <w:bottom w:val="dotted" w:sz="4" w:space="0" w:color="auto"/>
              <w:right w:val="nil"/>
            </w:tcBorders>
            <w:shd w:val="clear" w:color="auto" w:fill="auto"/>
            <w:noWrap/>
            <w:vAlign w:val="center"/>
            <w:hideMark/>
          </w:tcPr>
          <w:p w14:paraId="0C99E6B5" w14:textId="751DAC9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194</w:t>
            </w:r>
          </w:p>
        </w:tc>
        <w:tc>
          <w:tcPr>
            <w:tcW w:w="480" w:type="pct"/>
            <w:tcBorders>
              <w:top w:val="nil"/>
              <w:left w:val="nil"/>
              <w:bottom w:val="dotted" w:sz="4" w:space="0" w:color="auto"/>
              <w:right w:val="nil"/>
            </w:tcBorders>
            <w:shd w:val="clear" w:color="auto" w:fill="auto"/>
            <w:noWrap/>
            <w:vAlign w:val="center"/>
            <w:hideMark/>
          </w:tcPr>
          <w:p w14:paraId="07345E50" w14:textId="5761036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8.3%</w:t>
            </w:r>
          </w:p>
        </w:tc>
        <w:tc>
          <w:tcPr>
            <w:tcW w:w="454" w:type="pct"/>
            <w:tcBorders>
              <w:top w:val="nil"/>
              <w:left w:val="nil"/>
              <w:bottom w:val="dotted" w:sz="4" w:space="0" w:color="auto"/>
              <w:right w:val="double" w:sz="4" w:space="0" w:color="auto"/>
            </w:tcBorders>
            <w:shd w:val="clear" w:color="auto" w:fill="auto"/>
            <w:noWrap/>
            <w:vAlign w:val="center"/>
            <w:hideMark/>
          </w:tcPr>
          <w:p w14:paraId="7F12E224" w14:textId="07BBFCD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8.1%</w:t>
            </w:r>
          </w:p>
        </w:tc>
        <w:tc>
          <w:tcPr>
            <w:tcW w:w="506" w:type="pct"/>
            <w:tcBorders>
              <w:top w:val="nil"/>
              <w:left w:val="double" w:sz="4" w:space="0" w:color="auto"/>
              <w:bottom w:val="dotted" w:sz="4" w:space="0" w:color="auto"/>
              <w:right w:val="nil"/>
            </w:tcBorders>
            <w:shd w:val="clear" w:color="auto" w:fill="auto"/>
            <w:noWrap/>
            <w:vAlign w:val="center"/>
            <w:hideMark/>
          </w:tcPr>
          <w:p w14:paraId="127A6DC7" w14:textId="7723204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130</w:t>
            </w:r>
          </w:p>
        </w:tc>
        <w:tc>
          <w:tcPr>
            <w:tcW w:w="480" w:type="pct"/>
            <w:tcBorders>
              <w:top w:val="nil"/>
              <w:left w:val="nil"/>
              <w:bottom w:val="dotted" w:sz="4" w:space="0" w:color="auto"/>
              <w:right w:val="nil"/>
            </w:tcBorders>
            <w:shd w:val="clear" w:color="auto" w:fill="auto"/>
            <w:noWrap/>
            <w:vAlign w:val="center"/>
            <w:hideMark/>
          </w:tcPr>
          <w:p w14:paraId="7DD2310C" w14:textId="2E37AF8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5.6%</w:t>
            </w:r>
          </w:p>
        </w:tc>
        <w:tc>
          <w:tcPr>
            <w:tcW w:w="486" w:type="pct"/>
            <w:tcBorders>
              <w:top w:val="nil"/>
              <w:left w:val="nil"/>
              <w:bottom w:val="dotted" w:sz="4" w:space="0" w:color="auto"/>
              <w:right w:val="double" w:sz="4" w:space="0" w:color="auto"/>
            </w:tcBorders>
            <w:shd w:val="clear" w:color="auto" w:fill="auto"/>
            <w:noWrap/>
            <w:vAlign w:val="center"/>
            <w:hideMark/>
          </w:tcPr>
          <w:p w14:paraId="03B09DB0" w14:textId="2CCCD64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38.4%</w:t>
            </w:r>
          </w:p>
        </w:tc>
      </w:tr>
      <w:tr w:rsidR="00187DD0" w:rsidRPr="005C5FA6" w14:paraId="3FF5AFA8"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3072EEAA"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443ACA59"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TP</w:t>
            </w:r>
          </w:p>
        </w:tc>
        <w:tc>
          <w:tcPr>
            <w:tcW w:w="209" w:type="pct"/>
            <w:tcBorders>
              <w:top w:val="dotted" w:sz="4" w:space="0" w:color="auto"/>
              <w:left w:val="nil"/>
              <w:bottom w:val="nil"/>
              <w:right w:val="double" w:sz="4" w:space="0" w:color="auto"/>
            </w:tcBorders>
            <w:shd w:val="clear" w:color="auto" w:fill="auto"/>
            <w:vAlign w:val="center"/>
            <w:hideMark/>
          </w:tcPr>
          <w:p w14:paraId="1E7182F7"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03B9EDEA" w14:textId="282C1972"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138</w:t>
            </w:r>
          </w:p>
        </w:tc>
        <w:tc>
          <w:tcPr>
            <w:tcW w:w="487" w:type="pct"/>
            <w:tcBorders>
              <w:top w:val="dotted" w:sz="4" w:space="0" w:color="auto"/>
              <w:left w:val="nil"/>
              <w:bottom w:val="nil"/>
              <w:right w:val="double" w:sz="4" w:space="0" w:color="auto"/>
            </w:tcBorders>
            <w:shd w:val="clear" w:color="auto" w:fill="auto"/>
            <w:vAlign w:val="center"/>
            <w:hideMark/>
          </w:tcPr>
          <w:p w14:paraId="0EE8D59F" w14:textId="21BF5A4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5.9%</w:t>
            </w:r>
          </w:p>
        </w:tc>
        <w:tc>
          <w:tcPr>
            <w:tcW w:w="472" w:type="pct"/>
            <w:tcBorders>
              <w:top w:val="dotted" w:sz="4" w:space="0" w:color="auto"/>
              <w:left w:val="double" w:sz="4" w:space="0" w:color="auto"/>
              <w:bottom w:val="nil"/>
              <w:right w:val="nil"/>
            </w:tcBorders>
            <w:shd w:val="clear" w:color="auto" w:fill="auto"/>
            <w:noWrap/>
            <w:vAlign w:val="center"/>
            <w:hideMark/>
          </w:tcPr>
          <w:p w14:paraId="1557DD4D" w14:textId="2F9EF2B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151</w:t>
            </w:r>
          </w:p>
        </w:tc>
        <w:tc>
          <w:tcPr>
            <w:tcW w:w="480" w:type="pct"/>
            <w:tcBorders>
              <w:top w:val="dotted" w:sz="4" w:space="0" w:color="auto"/>
              <w:left w:val="nil"/>
              <w:bottom w:val="nil"/>
              <w:right w:val="nil"/>
            </w:tcBorders>
            <w:shd w:val="clear" w:color="auto" w:fill="auto"/>
            <w:noWrap/>
            <w:vAlign w:val="center"/>
            <w:hideMark/>
          </w:tcPr>
          <w:p w14:paraId="66D190B6" w14:textId="1ECD8DF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6.5%</w:t>
            </w:r>
          </w:p>
        </w:tc>
        <w:tc>
          <w:tcPr>
            <w:tcW w:w="454" w:type="pct"/>
            <w:tcBorders>
              <w:top w:val="dotted" w:sz="4" w:space="0" w:color="auto"/>
              <w:left w:val="nil"/>
              <w:bottom w:val="nil"/>
              <w:right w:val="double" w:sz="4" w:space="0" w:color="auto"/>
            </w:tcBorders>
            <w:shd w:val="clear" w:color="auto" w:fill="auto"/>
            <w:noWrap/>
            <w:vAlign w:val="center"/>
            <w:hideMark/>
          </w:tcPr>
          <w:p w14:paraId="10A989BC" w14:textId="668A614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9.4%</w:t>
            </w:r>
          </w:p>
        </w:tc>
        <w:tc>
          <w:tcPr>
            <w:tcW w:w="506" w:type="pct"/>
            <w:tcBorders>
              <w:top w:val="dotted" w:sz="4" w:space="0" w:color="auto"/>
              <w:left w:val="double" w:sz="4" w:space="0" w:color="auto"/>
              <w:bottom w:val="nil"/>
              <w:right w:val="nil"/>
            </w:tcBorders>
            <w:shd w:val="clear" w:color="auto" w:fill="auto"/>
            <w:noWrap/>
            <w:vAlign w:val="center"/>
            <w:hideMark/>
          </w:tcPr>
          <w:p w14:paraId="5315AF30" w14:textId="0C8CDA9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216</w:t>
            </w:r>
          </w:p>
        </w:tc>
        <w:tc>
          <w:tcPr>
            <w:tcW w:w="480" w:type="pct"/>
            <w:tcBorders>
              <w:top w:val="dotted" w:sz="4" w:space="0" w:color="auto"/>
              <w:left w:val="nil"/>
              <w:bottom w:val="nil"/>
              <w:right w:val="nil"/>
            </w:tcBorders>
            <w:shd w:val="clear" w:color="auto" w:fill="auto"/>
            <w:noWrap/>
            <w:vAlign w:val="center"/>
            <w:hideMark/>
          </w:tcPr>
          <w:p w14:paraId="01EE9FA1" w14:textId="17A736D1"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9.3%</w:t>
            </w:r>
          </w:p>
        </w:tc>
        <w:tc>
          <w:tcPr>
            <w:tcW w:w="486" w:type="pct"/>
            <w:tcBorders>
              <w:top w:val="dotted" w:sz="4" w:space="0" w:color="auto"/>
              <w:left w:val="nil"/>
              <w:bottom w:val="nil"/>
              <w:right w:val="double" w:sz="4" w:space="0" w:color="auto"/>
            </w:tcBorders>
            <w:shd w:val="clear" w:color="auto" w:fill="auto"/>
            <w:noWrap/>
            <w:vAlign w:val="center"/>
            <w:hideMark/>
          </w:tcPr>
          <w:p w14:paraId="3A6E9923" w14:textId="5221F68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56.5%</w:t>
            </w:r>
          </w:p>
        </w:tc>
      </w:tr>
      <w:tr w:rsidR="00187DD0" w:rsidRPr="005C5FA6" w14:paraId="7F9D69EA"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4F6085A4"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44F3B49A"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5464517C"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2796DE36" w14:textId="07F7A70C"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664</w:t>
            </w:r>
          </w:p>
        </w:tc>
        <w:tc>
          <w:tcPr>
            <w:tcW w:w="487" w:type="pct"/>
            <w:tcBorders>
              <w:top w:val="nil"/>
              <w:left w:val="nil"/>
              <w:bottom w:val="dotted" w:sz="4" w:space="0" w:color="auto"/>
              <w:right w:val="double" w:sz="4" w:space="0" w:color="auto"/>
            </w:tcBorders>
            <w:shd w:val="clear" w:color="auto" w:fill="auto"/>
            <w:vAlign w:val="center"/>
            <w:hideMark/>
          </w:tcPr>
          <w:p w14:paraId="61D78120" w14:textId="4A16023D"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28.5%</w:t>
            </w:r>
          </w:p>
        </w:tc>
        <w:tc>
          <w:tcPr>
            <w:tcW w:w="472" w:type="pct"/>
            <w:tcBorders>
              <w:top w:val="nil"/>
              <w:left w:val="double" w:sz="4" w:space="0" w:color="auto"/>
              <w:bottom w:val="dotted" w:sz="4" w:space="0" w:color="auto"/>
              <w:right w:val="nil"/>
            </w:tcBorders>
            <w:shd w:val="clear" w:color="auto" w:fill="auto"/>
            <w:noWrap/>
            <w:vAlign w:val="center"/>
            <w:hideMark/>
          </w:tcPr>
          <w:p w14:paraId="23819BB8" w14:textId="1D2C78E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651</w:t>
            </w:r>
          </w:p>
        </w:tc>
        <w:tc>
          <w:tcPr>
            <w:tcW w:w="480" w:type="pct"/>
            <w:tcBorders>
              <w:top w:val="nil"/>
              <w:left w:val="nil"/>
              <w:bottom w:val="dotted" w:sz="4" w:space="0" w:color="auto"/>
              <w:right w:val="nil"/>
            </w:tcBorders>
            <w:shd w:val="clear" w:color="auto" w:fill="auto"/>
            <w:noWrap/>
            <w:vAlign w:val="center"/>
            <w:hideMark/>
          </w:tcPr>
          <w:p w14:paraId="3E3F9552" w14:textId="77A3DBAC"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27.9%</w:t>
            </w:r>
          </w:p>
        </w:tc>
        <w:tc>
          <w:tcPr>
            <w:tcW w:w="454" w:type="pct"/>
            <w:tcBorders>
              <w:top w:val="nil"/>
              <w:left w:val="nil"/>
              <w:bottom w:val="dotted" w:sz="4" w:space="0" w:color="auto"/>
              <w:right w:val="double" w:sz="4" w:space="0" w:color="auto"/>
            </w:tcBorders>
            <w:shd w:val="clear" w:color="auto" w:fill="auto"/>
            <w:noWrap/>
            <w:vAlign w:val="center"/>
            <w:hideMark/>
          </w:tcPr>
          <w:p w14:paraId="28503C76" w14:textId="03E3762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2.0%</w:t>
            </w:r>
          </w:p>
        </w:tc>
        <w:tc>
          <w:tcPr>
            <w:tcW w:w="506" w:type="pct"/>
            <w:tcBorders>
              <w:top w:val="nil"/>
              <w:left w:val="double" w:sz="4" w:space="0" w:color="auto"/>
              <w:bottom w:val="dotted" w:sz="4" w:space="0" w:color="auto"/>
              <w:right w:val="nil"/>
            </w:tcBorders>
            <w:shd w:val="clear" w:color="auto" w:fill="auto"/>
            <w:noWrap/>
            <w:vAlign w:val="center"/>
            <w:hideMark/>
          </w:tcPr>
          <w:p w14:paraId="292C5442" w14:textId="0CB3FA6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586</w:t>
            </w:r>
          </w:p>
        </w:tc>
        <w:tc>
          <w:tcPr>
            <w:tcW w:w="480" w:type="pct"/>
            <w:tcBorders>
              <w:top w:val="nil"/>
              <w:left w:val="nil"/>
              <w:bottom w:val="dotted" w:sz="4" w:space="0" w:color="auto"/>
              <w:right w:val="nil"/>
            </w:tcBorders>
            <w:shd w:val="clear" w:color="auto" w:fill="auto"/>
            <w:noWrap/>
            <w:vAlign w:val="center"/>
            <w:hideMark/>
          </w:tcPr>
          <w:p w14:paraId="24A93634" w14:textId="56E8C3F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25.1%</w:t>
            </w:r>
          </w:p>
        </w:tc>
        <w:tc>
          <w:tcPr>
            <w:tcW w:w="486" w:type="pct"/>
            <w:tcBorders>
              <w:top w:val="nil"/>
              <w:left w:val="nil"/>
              <w:bottom w:val="dotted" w:sz="4" w:space="0" w:color="auto"/>
              <w:right w:val="double" w:sz="4" w:space="0" w:color="auto"/>
            </w:tcBorders>
            <w:shd w:val="clear" w:color="auto" w:fill="auto"/>
            <w:noWrap/>
            <w:vAlign w:val="center"/>
            <w:hideMark/>
          </w:tcPr>
          <w:p w14:paraId="0A9134A6" w14:textId="59940FF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11.7%</w:t>
            </w:r>
          </w:p>
        </w:tc>
      </w:tr>
      <w:tr w:rsidR="00187DD0" w:rsidRPr="005C5FA6" w14:paraId="12D2804C"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54F53D41"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5F3BBB35"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TS</w:t>
            </w:r>
          </w:p>
        </w:tc>
        <w:tc>
          <w:tcPr>
            <w:tcW w:w="209" w:type="pct"/>
            <w:tcBorders>
              <w:top w:val="dotted" w:sz="4" w:space="0" w:color="auto"/>
              <w:left w:val="nil"/>
              <w:bottom w:val="nil"/>
              <w:right w:val="double" w:sz="4" w:space="0" w:color="auto"/>
            </w:tcBorders>
            <w:shd w:val="clear" w:color="auto" w:fill="auto"/>
            <w:vAlign w:val="center"/>
            <w:hideMark/>
          </w:tcPr>
          <w:p w14:paraId="1189BCDE"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6C1F579A" w14:textId="1114075B"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375</w:t>
            </w:r>
          </w:p>
        </w:tc>
        <w:tc>
          <w:tcPr>
            <w:tcW w:w="487" w:type="pct"/>
            <w:tcBorders>
              <w:top w:val="dotted" w:sz="4" w:space="0" w:color="auto"/>
              <w:left w:val="nil"/>
              <w:bottom w:val="nil"/>
              <w:right w:val="double" w:sz="4" w:space="0" w:color="auto"/>
            </w:tcBorders>
            <w:shd w:val="clear" w:color="auto" w:fill="auto"/>
            <w:vAlign w:val="center"/>
            <w:hideMark/>
          </w:tcPr>
          <w:p w14:paraId="0970AFAD" w14:textId="472758C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16.1%</w:t>
            </w:r>
          </w:p>
        </w:tc>
        <w:tc>
          <w:tcPr>
            <w:tcW w:w="472" w:type="pct"/>
            <w:tcBorders>
              <w:top w:val="dotted" w:sz="4" w:space="0" w:color="auto"/>
              <w:left w:val="double" w:sz="4" w:space="0" w:color="auto"/>
              <w:bottom w:val="nil"/>
              <w:right w:val="nil"/>
            </w:tcBorders>
            <w:shd w:val="clear" w:color="auto" w:fill="auto"/>
            <w:noWrap/>
            <w:vAlign w:val="center"/>
            <w:hideMark/>
          </w:tcPr>
          <w:p w14:paraId="431035B9" w14:textId="550407A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397</w:t>
            </w:r>
          </w:p>
        </w:tc>
        <w:tc>
          <w:tcPr>
            <w:tcW w:w="480" w:type="pct"/>
            <w:tcBorders>
              <w:top w:val="dotted" w:sz="4" w:space="0" w:color="auto"/>
              <w:left w:val="nil"/>
              <w:bottom w:val="nil"/>
              <w:right w:val="nil"/>
            </w:tcBorders>
            <w:shd w:val="clear" w:color="auto" w:fill="auto"/>
            <w:noWrap/>
            <w:vAlign w:val="center"/>
            <w:hideMark/>
          </w:tcPr>
          <w:p w14:paraId="5FE9C4AF" w14:textId="62DCA88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17.0%</w:t>
            </w:r>
          </w:p>
        </w:tc>
        <w:tc>
          <w:tcPr>
            <w:tcW w:w="454" w:type="pct"/>
            <w:tcBorders>
              <w:top w:val="dotted" w:sz="4" w:space="0" w:color="auto"/>
              <w:left w:val="nil"/>
              <w:bottom w:val="nil"/>
              <w:right w:val="double" w:sz="4" w:space="0" w:color="auto"/>
            </w:tcBorders>
            <w:shd w:val="clear" w:color="auto" w:fill="auto"/>
            <w:noWrap/>
            <w:vAlign w:val="center"/>
            <w:hideMark/>
          </w:tcPr>
          <w:p w14:paraId="262B5C8B" w14:textId="34B3CC07"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5.9%</w:t>
            </w:r>
          </w:p>
        </w:tc>
        <w:tc>
          <w:tcPr>
            <w:tcW w:w="506" w:type="pct"/>
            <w:tcBorders>
              <w:top w:val="dotted" w:sz="4" w:space="0" w:color="auto"/>
              <w:left w:val="double" w:sz="4" w:space="0" w:color="auto"/>
              <w:bottom w:val="nil"/>
              <w:right w:val="nil"/>
            </w:tcBorders>
            <w:shd w:val="clear" w:color="auto" w:fill="auto"/>
            <w:noWrap/>
            <w:vAlign w:val="center"/>
            <w:hideMark/>
          </w:tcPr>
          <w:p w14:paraId="688A1AB5" w14:textId="53666C0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408</w:t>
            </w:r>
          </w:p>
        </w:tc>
        <w:tc>
          <w:tcPr>
            <w:tcW w:w="480" w:type="pct"/>
            <w:tcBorders>
              <w:top w:val="dotted" w:sz="4" w:space="0" w:color="auto"/>
              <w:left w:val="nil"/>
              <w:bottom w:val="nil"/>
              <w:right w:val="nil"/>
            </w:tcBorders>
            <w:shd w:val="clear" w:color="auto" w:fill="auto"/>
            <w:noWrap/>
            <w:vAlign w:val="center"/>
            <w:hideMark/>
          </w:tcPr>
          <w:p w14:paraId="152F8645" w14:textId="173FCF7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17.5%</w:t>
            </w:r>
          </w:p>
        </w:tc>
        <w:tc>
          <w:tcPr>
            <w:tcW w:w="486" w:type="pct"/>
            <w:tcBorders>
              <w:top w:val="dotted" w:sz="4" w:space="0" w:color="auto"/>
              <w:left w:val="nil"/>
              <w:bottom w:val="nil"/>
              <w:right w:val="double" w:sz="4" w:space="0" w:color="auto"/>
            </w:tcBorders>
            <w:shd w:val="clear" w:color="auto" w:fill="auto"/>
            <w:noWrap/>
            <w:vAlign w:val="center"/>
            <w:hideMark/>
          </w:tcPr>
          <w:p w14:paraId="5B3EC9D9" w14:textId="2D77F8B1"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8.8%</w:t>
            </w:r>
          </w:p>
        </w:tc>
      </w:tr>
      <w:tr w:rsidR="00187DD0" w:rsidRPr="005C5FA6" w14:paraId="5DBB1F81"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30909DC1"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3700CD28"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34CB3B6B"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73B34113" w14:textId="1D995260"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427</w:t>
            </w:r>
          </w:p>
        </w:tc>
        <w:tc>
          <w:tcPr>
            <w:tcW w:w="487" w:type="pct"/>
            <w:tcBorders>
              <w:top w:val="nil"/>
              <w:left w:val="nil"/>
              <w:bottom w:val="dotted" w:sz="4" w:space="0" w:color="auto"/>
              <w:right w:val="double" w:sz="4" w:space="0" w:color="auto"/>
            </w:tcBorders>
            <w:shd w:val="clear" w:color="auto" w:fill="auto"/>
            <w:vAlign w:val="center"/>
            <w:hideMark/>
          </w:tcPr>
          <w:p w14:paraId="3ED46180" w14:textId="1620AE5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18.3%</w:t>
            </w:r>
          </w:p>
        </w:tc>
        <w:tc>
          <w:tcPr>
            <w:tcW w:w="472" w:type="pct"/>
            <w:tcBorders>
              <w:top w:val="nil"/>
              <w:left w:val="double" w:sz="4" w:space="0" w:color="auto"/>
              <w:bottom w:val="dotted" w:sz="4" w:space="0" w:color="auto"/>
              <w:right w:val="nil"/>
            </w:tcBorders>
            <w:shd w:val="clear" w:color="auto" w:fill="auto"/>
            <w:noWrap/>
            <w:vAlign w:val="center"/>
            <w:hideMark/>
          </w:tcPr>
          <w:p w14:paraId="74AD3F0B" w14:textId="4582ED5C"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405</w:t>
            </w:r>
          </w:p>
        </w:tc>
        <w:tc>
          <w:tcPr>
            <w:tcW w:w="480" w:type="pct"/>
            <w:tcBorders>
              <w:top w:val="nil"/>
              <w:left w:val="nil"/>
              <w:bottom w:val="dotted" w:sz="4" w:space="0" w:color="auto"/>
              <w:right w:val="nil"/>
            </w:tcBorders>
            <w:shd w:val="clear" w:color="auto" w:fill="auto"/>
            <w:noWrap/>
            <w:vAlign w:val="center"/>
            <w:hideMark/>
          </w:tcPr>
          <w:p w14:paraId="35587724" w14:textId="759EC05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17.4%</w:t>
            </w:r>
          </w:p>
        </w:tc>
        <w:tc>
          <w:tcPr>
            <w:tcW w:w="454" w:type="pct"/>
            <w:tcBorders>
              <w:top w:val="nil"/>
              <w:left w:val="nil"/>
              <w:bottom w:val="dotted" w:sz="4" w:space="0" w:color="auto"/>
              <w:right w:val="double" w:sz="4" w:space="0" w:color="auto"/>
            </w:tcBorders>
            <w:shd w:val="clear" w:color="auto" w:fill="auto"/>
            <w:noWrap/>
            <w:vAlign w:val="center"/>
            <w:hideMark/>
          </w:tcPr>
          <w:p w14:paraId="1DDF7A85" w14:textId="02AB5AD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5.2%</w:t>
            </w:r>
          </w:p>
        </w:tc>
        <w:tc>
          <w:tcPr>
            <w:tcW w:w="506" w:type="pct"/>
            <w:tcBorders>
              <w:top w:val="nil"/>
              <w:left w:val="double" w:sz="4" w:space="0" w:color="auto"/>
              <w:bottom w:val="dotted" w:sz="4" w:space="0" w:color="auto"/>
              <w:right w:val="nil"/>
            </w:tcBorders>
            <w:shd w:val="clear" w:color="auto" w:fill="auto"/>
            <w:noWrap/>
            <w:vAlign w:val="center"/>
            <w:hideMark/>
          </w:tcPr>
          <w:p w14:paraId="216BFD03" w14:textId="0DFABA84"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394</w:t>
            </w:r>
          </w:p>
        </w:tc>
        <w:tc>
          <w:tcPr>
            <w:tcW w:w="480" w:type="pct"/>
            <w:tcBorders>
              <w:top w:val="nil"/>
              <w:left w:val="nil"/>
              <w:bottom w:val="dotted" w:sz="4" w:space="0" w:color="auto"/>
              <w:right w:val="nil"/>
            </w:tcBorders>
            <w:shd w:val="clear" w:color="auto" w:fill="auto"/>
            <w:noWrap/>
            <w:vAlign w:val="center"/>
            <w:hideMark/>
          </w:tcPr>
          <w:p w14:paraId="46D61483" w14:textId="26E0700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16.9%</w:t>
            </w:r>
          </w:p>
        </w:tc>
        <w:tc>
          <w:tcPr>
            <w:tcW w:w="486" w:type="pct"/>
            <w:tcBorders>
              <w:top w:val="nil"/>
              <w:left w:val="nil"/>
              <w:bottom w:val="dotted" w:sz="4" w:space="0" w:color="auto"/>
              <w:right w:val="double" w:sz="4" w:space="0" w:color="auto"/>
            </w:tcBorders>
            <w:shd w:val="clear" w:color="auto" w:fill="auto"/>
            <w:noWrap/>
            <w:vAlign w:val="center"/>
            <w:hideMark/>
          </w:tcPr>
          <w:p w14:paraId="1DDDB6D1" w14:textId="56B8B80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7.7%</w:t>
            </w:r>
          </w:p>
        </w:tc>
      </w:tr>
      <w:tr w:rsidR="00187DD0" w:rsidRPr="005C5FA6" w14:paraId="7640C7A4"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6EB47ED0"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1D71E16F"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CH</w:t>
            </w:r>
          </w:p>
        </w:tc>
        <w:tc>
          <w:tcPr>
            <w:tcW w:w="209" w:type="pct"/>
            <w:tcBorders>
              <w:top w:val="dotted" w:sz="4" w:space="0" w:color="auto"/>
              <w:left w:val="nil"/>
              <w:bottom w:val="nil"/>
              <w:right w:val="double" w:sz="4" w:space="0" w:color="auto"/>
            </w:tcBorders>
            <w:shd w:val="clear" w:color="auto" w:fill="auto"/>
            <w:vAlign w:val="center"/>
            <w:hideMark/>
          </w:tcPr>
          <w:p w14:paraId="34E21A25"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6111C778" w14:textId="66F1D1B0"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337</w:t>
            </w:r>
          </w:p>
        </w:tc>
        <w:tc>
          <w:tcPr>
            <w:tcW w:w="487" w:type="pct"/>
            <w:tcBorders>
              <w:top w:val="dotted" w:sz="4" w:space="0" w:color="auto"/>
              <w:left w:val="nil"/>
              <w:bottom w:val="nil"/>
              <w:right w:val="double" w:sz="4" w:space="0" w:color="auto"/>
            </w:tcBorders>
            <w:shd w:val="clear" w:color="auto" w:fill="auto"/>
            <w:vAlign w:val="center"/>
            <w:hideMark/>
          </w:tcPr>
          <w:p w14:paraId="021E321F" w14:textId="1A7113C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14.4%</w:t>
            </w:r>
          </w:p>
        </w:tc>
        <w:tc>
          <w:tcPr>
            <w:tcW w:w="472" w:type="pct"/>
            <w:tcBorders>
              <w:top w:val="dotted" w:sz="4" w:space="0" w:color="auto"/>
              <w:left w:val="double" w:sz="4" w:space="0" w:color="auto"/>
              <w:bottom w:val="nil"/>
              <w:right w:val="nil"/>
            </w:tcBorders>
            <w:shd w:val="clear" w:color="auto" w:fill="auto"/>
            <w:noWrap/>
            <w:vAlign w:val="center"/>
            <w:hideMark/>
          </w:tcPr>
          <w:p w14:paraId="5B757579" w14:textId="1EFF270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361</w:t>
            </w:r>
          </w:p>
        </w:tc>
        <w:tc>
          <w:tcPr>
            <w:tcW w:w="480" w:type="pct"/>
            <w:tcBorders>
              <w:top w:val="dotted" w:sz="4" w:space="0" w:color="auto"/>
              <w:left w:val="nil"/>
              <w:bottom w:val="nil"/>
              <w:right w:val="nil"/>
            </w:tcBorders>
            <w:shd w:val="clear" w:color="auto" w:fill="auto"/>
            <w:noWrap/>
            <w:vAlign w:val="center"/>
            <w:hideMark/>
          </w:tcPr>
          <w:p w14:paraId="4428953A" w14:textId="3FF0951B"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15.5%</w:t>
            </w:r>
          </w:p>
        </w:tc>
        <w:tc>
          <w:tcPr>
            <w:tcW w:w="454" w:type="pct"/>
            <w:tcBorders>
              <w:top w:val="dotted" w:sz="4" w:space="0" w:color="auto"/>
              <w:left w:val="nil"/>
              <w:bottom w:val="nil"/>
              <w:right w:val="double" w:sz="4" w:space="0" w:color="auto"/>
            </w:tcBorders>
            <w:shd w:val="clear" w:color="auto" w:fill="auto"/>
            <w:noWrap/>
            <w:vAlign w:val="center"/>
            <w:hideMark/>
          </w:tcPr>
          <w:p w14:paraId="63F19C9F" w14:textId="6CA8FCF1"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7.1%</w:t>
            </w:r>
          </w:p>
        </w:tc>
        <w:tc>
          <w:tcPr>
            <w:tcW w:w="506" w:type="pct"/>
            <w:tcBorders>
              <w:top w:val="dotted" w:sz="4" w:space="0" w:color="auto"/>
              <w:left w:val="double" w:sz="4" w:space="0" w:color="auto"/>
              <w:bottom w:val="nil"/>
              <w:right w:val="nil"/>
            </w:tcBorders>
            <w:shd w:val="clear" w:color="auto" w:fill="auto"/>
            <w:noWrap/>
            <w:vAlign w:val="center"/>
            <w:hideMark/>
          </w:tcPr>
          <w:p w14:paraId="471275B3" w14:textId="5D53DF7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400</w:t>
            </w:r>
          </w:p>
        </w:tc>
        <w:tc>
          <w:tcPr>
            <w:tcW w:w="480" w:type="pct"/>
            <w:tcBorders>
              <w:top w:val="dotted" w:sz="4" w:space="0" w:color="auto"/>
              <w:left w:val="nil"/>
              <w:bottom w:val="nil"/>
              <w:right w:val="nil"/>
            </w:tcBorders>
            <w:shd w:val="clear" w:color="auto" w:fill="auto"/>
            <w:noWrap/>
            <w:vAlign w:val="center"/>
            <w:hideMark/>
          </w:tcPr>
          <w:p w14:paraId="2A3A2A1F" w14:textId="46D4E388"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17.1%</w:t>
            </w:r>
          </w:p>
        </w:tc>
        <w:tc>
          <w:tcPr>
            <w:tcW w:w="486" w:type="pct"/>
            <w:tcBorders>
              <w:top w:val="dotted" w:sz="4" w:space="0" w:color="auto"/>
              <w:left w:val="nil"/>
              <w:bottom w:val="nil"/>
              <w:right w:val="double" w:sz="4" w:space="0" w:color="auto"/>
            </w:tcBorders>
            <w:shd w:val="clear" w:color="auto" w:fill="auto"/>
            <w:noWrap/>
            <w:vAlign w:val="center"/>
            <w:hideMark/>
          </w:tcPr>
          <w:p w14:paraId="146EB5CA" w14:textId="0C235B7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18.7%</w:t>
            </w:r>
          </w:p>
        </w:tc>
      </w:tr>
      <w:tr w:rsidR="00187DD0" w:rsidRPr="005C5FA6" w14:paraId="0B3CCD38"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2E37E6CD"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319E02A4"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15D821F3"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1F9B2EFC" w14:textId="2B8B0957"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465</w:t>
            </w:r>
          </w:p>
        </w:tc>
        <w:tc>
          <w:tcPr>
            <w:tcW w:w="487" w:type="pct"/>
            <w:tcBorders>
              <w:top w:val="nil"/>
              <w:left w:val="nil"/>
              <w:bottom w:val="dotted" w:sz="4" w:space="0" w:color="auto"/>
              <w:right w:val="double" w:sz="4" w:space="0" w:color="auto"/>
            </w:tcBorders>
            <w:shd w:val="clear" w:color="auto" w:fill="auto"/>
            <w:vAlign w:val="center"/>
            <w:hideMark/>
          </w:tcPr>
          <w:p w14:paraId="1F664CDF" w14:textId="54015D6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19.9%</w:t>
            </w:r>
          </w:p>
        </w:tc>
        <w:tc>
          <w:tcPr>
            <w:tcW w:w="472" w:type="pct"/>
            <w:tcBorders>
              <w:top w:val="nil"/>
              <w:left w:val="double" w:sz="4" w:space="0" w:color="auto"/>
              <w:bottom w:val="dotted" w:sz="4" w:space="0" w:color="auto"/>
              <w:right w:val="nil"/>
            </w:tcBorders>
            <w:shd w:val="clear" w:color="auto" w:fill="auto"/>
            <w:noWrap/>
            <w:vAlign w:val="center"/>
            <w:hideMark/>
          </w:tcPr>
          <w:p w14:paraId="329FB9E4" w14:textId="66BEED3C"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441</w:t>
            </w:r>
          </w:p>
        </w:tc>
        <w:tc>
          <w:tcPr>
            <w:tcW w:w="480" w:type="pct"/>
            <w:tcBorders>
              <w:top w:val="nil"/>
              <w:left w:val="nil"/>
              <w:bottom w:val="dotted" w:sz="4" w:space="0" w:color="auto"/>
              <w:right w:val="nil"/>
            </w:tcBorders>
            <w:shd w:val="clear" w:color="auto" w:fill="auto"/>
            <w:noWrap/>
            <w:vAlign w:val="center"/>
            <w:hideMark/>
          </w:tcPr>
          <w:p w14:paraId="34AB201E" w14:textId="26B98E0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18.9%</w:t>
            </w:r>
          </w:p>
        </w:tc>
        <w:tc>
          <w:tcPr>
            <w:tcW w:w="454" w:type="pct"/>
            <w:tcBorders>
              <w:top w:val="nil"/>
              <w:left w:val="nil"/>
              <w:bottom w:val="dotted" w:sz="4" w:space="0" w:color="auto"/>
              <w:right w:val="double" w:sz="4" w:space="0" w:color="auto"/>
            </w:tcBorders>
            <w:shd w:val="clear" w:color="auto" w:fill="auto"/>
            <w:noWrap/>
            <w:vAlign w:val="center"/>
            <w:hideMark/>
          </w:tcPr>
          <w:p w14:paraId="23FBF2E5" w14:textId="665CDA49"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5.2%</w:t>
            </w:r>
          </w:p>
        </w:tc>
        <w:tc>
          <w:tcPr>
            <w:tcW w:w="506" w:type="pct"/>
            <w:tcBorders>
              <w:top w:val="nil"/>
              <w:left w:val="double" w:sz="4" w:space="0" w:color="auto"/>
              <w:bottom w:val="dotted" w:sz="4" w:space="0" w:color="auto"/>
              <w:right w:val="nil"/>
            </w:tcBorders>
            <w:shd w:val="clear" w:color="auto" w:fill="auto"/>
            <w:noWrap/>
            <w:vAlign w:val="center"/>
            <w:hideMark/>
          </w:tcPr>
          <w:p w14:paraId="13A2066C" w14:textId="0E65D22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402</w:t>
            </w:r>
          </w:p>
        </w:tc>
        <w:tc>
          <w:tcPr>
            <w:tcW w:w="480" w:type="pct"/>
            <w:tcBorders>
              <w:top w:val="nil"/>
              <w:left w:val="nil"/>
              <w:bottom w:val="dotted" w:sz="4" w:space="0" w:color="auto"/>
              <w:right w:val="nil"/>
            </w:tcBorders>
            <w:shd w:val="clear" w:color="auto" w:fill="auto"/>
            <w:noWrap/>
            <w:vAlign w:val="center"/>
            <w:hideMark/>
          </w:tcPr>
          <w:p w14:paraId="49DD1ECC" w14:textId="515ECA3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17.2%</w:t>
            </w:r>
          </w:p>
        </w:tc>
        <w:tc>
          <w:tcPr>
            <w:tcW w:w="486" w:type="pct"/>
            <w:tcBorders>
              <w:top w:val="nil"/>
              <w:left w:val="nil"/>
              <w:bottom w:val="dotted" w:sz="4" w:space="0" w:color="auto"/>
              <w:right w:val="double" w:sz="4" w:space="0" w:color="auto"/>
            </w:tcBorders>
            <w:shd w:val="clear" w:color="auto" w:fill="auto"/>
            <w:noWrap/>
            <w:vAlign w:val="center"/>
            <w:hideMark/>
          </w:tcPr>
          <w:p w14:paraId="42F34F7A" w14:textId="54733CC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13.5%</w:t>
            </w:r>
          </w:p>
        </w:tc>
      </w:tr>
      <w:tr w:rsidR="00187DD0" w:rsidRPr="005C5FA6" w14:paraId="16AB2F52"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3699A547"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3F6656A8"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LCR</w:t>
            </w:r>
          </w:p>
        </w:tc>
        <w:tc>
          <w:tcPr>
            <w:tcW w:w="209" w:type="pct"/>
            <w:tcBorders>
              <w:top w:val="dotted" w:sz="4" w:space="0" w:color="auto"/>
              <w:left w:val="nil"/>
              <w:bottom w:val="nil"/>
              <w:right w:val="double" w:sz="4" w:space="0" w:color="auto"/>
            </w:tcBorders>
            <w:shd w:val="clear" w:color="auto" w:fill="auto"/>
            <w:vAlign w:val="center"/>
            <w:hideMark/>
          </w:tcPr>
          <w:p w14:paraId="541737E8"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19C8A70F" w14:textId="5D2F52E6"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365</w:t>
            </w:r>
          </w:p>
        </w:tc>
        <w:tc>
          <w:tcPr>
            <w:tcW w:w="487" w:type="pct"/>
            <w:tcBorders>
              <w:top w:val="dotted" w:sz="4" w:space="0" w:color="auto"/>
              <w:left w:val="nil"/>
              <w:bottom w:val="nil"/>
              <w:right w:val="double" w:sz="4" w:space="0" w:color="auto"/>
            </w:tcBorders>
            <w:shd w:val="clear" w:color="auto" w:fill="auto"/>
            <w:vAlign w:val="center"/>
            <w:hideMark/>
          </w:tcPr>
          <w:p w14:paraId="41BDB3E1" w14:textId="4CBE186D"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15.6%</w:t>
            </w:r>
          </w:p>
        </w:tc>
        <w:tc>
          <w:tcPr>
            <w:tcW w:w="472" w:type="pct"/>
            <w:tcBorders>
              <w:top w:val="dotted" w:sz="4" w:space="0" w:color="auto"/>
              <w:left w:val="double" w:sz="4" w:space="0" w:color="auto"/>
              <w:bottom w:val="nil"/>
              <w:right w:val="nil"/>
            </w:tcBorders>
            <w:shd w:val="clear" w:color="auto" w:fill="auto"/>
            <w:noWrap/>
            <w:vAlign w:val="center"/>
            <w:hideMark/>
          </w:tcPr>
          <w:p w14:paraId="25AA98E1" w14:textId="4C8D6FA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391</w:t>
            </w:r>
          </w:p>
        </w:tc>
        <w:tc>
          <w:tcPr>
            <w:tcW w:w="480" w:type="pct"/>
            <w:tcBorders>
              <w:top w:val="dotted" w:sz="4" w:space="0" w:color="auto"/>
              <w:left w:val="nil"/>
              <w:bottom w:val="nil"/>
              <w:right w:val="nil"/>
            </w:tcBorders>
            <w:shd w:val="clear" w:color="auto" w:fill="auto"/>
            <w:noWrap/>
            <w:vAlign w:val="center"/>
            <w:hideMark/>
          </w:tcPr>
          <w:p w14:paraId="1CB7B6EC" w14:textId="510CE2D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16.8%</w:t>
            </w:r>
          </w:p>
        </w:tc>
        <w:tc>
          <w:tcPr>
            <w:tcW w:w="454" w:type="pct"/>
            <w:tcBorders>
              <w:top w:val="dotted" w:sz="4" w:space="0" w:color="auto"/>
              <w:left w:val="nil"/>
              <w:bottom w:val="nil"/>
              <w:right w:val="double" w:sz="4" w:space="0" w:color="auto"/>
            </w:tcBorders>
            <w:shd w:val="clear" w:color="auto" w:fill="auto"/>
            <w:noWrap/>
            <w:vAlign w:val="center"/>
            <w:hideMark/>
          </w:tcPr>
          <w:p w14:paraId="4EF144A4" w14:textId="01835FF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7.1%</w:t>
            </w:r>
          </w:p>
        </w:tc>
        <w:tc>
          <w:tcPr>
            <w:tcW w:w="506" w:type="pct"/>
            <w:tcBorders>
              <w:top w:val="dotted" w:sz="4" w:space="0" w:color="auto"/>
              <w:left w:val="double" w:sz="4" w:space="0" w:color="auto"/>
              <w:bottom w:val="nil"/>
              <w:right w:val="nil"/>
            </w:tcBorders>
            <w:shd w:val="clear" w:color="auto" w:fill="auto"/>
            <w:noWrap/>
            <w:vAlign w:val="center"/>
            <w:hideMark/>
          </w:tcPr>
          <w:p w14:paraId="18E3174E" w14:textId="7F14F46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412</w:t>
            </w:r>
          </w:p>
        </w:tc>
        <w:tc>
          <w:tcPr>
            <w:tcW w:w="480" w:type="pct"/>
            <w:tcBorders>
              <w:top w:val="dotted" w:sz="4" w:space="0" w:color="auto"/>
              <w:left w:val="nil"/>
              <w:bottom w:val="nil"/>
              <w:right w:val="nil"/>
            </w:tcBorders>
            <w:shd w:val="clear" w:color="auto" w:fill="auto"/>
            <w:noWrap/>
            <w:vAlign w:val="center"/>
            <w:hideMark/>
          </w:tcPr>
          <w:p w14:paraId="5B01C900" w14:textId="08A8E2E7"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17.7%</w:t>
            </w:r>
          </w:p>
        </w:tc>
        <w:tc>
          <w:tcPr>
            <w:tcW w:w="486" w:type="pct"/>
            <w:tcBorders>
              <w:top w:val="dotted" w:sz="4" w:space="0" w:color="auto"/>
              <w:left w:val="nil"/>
              <w:bottom w:val="nil"/>
              <w:right w:val="double" w:sz="4" w:space="0" w:color="auto"/>
            </w:tcBorders>
            <w:shd w:val="clear" w:color="auto" w:fill="auto"/>
            <w:noWrap/>
            <w:vAlign w:val="center"/>
            <w:hideMark/>
          </w:tcPr>
          <w:p w14:paraId="6E88F1A5" w14:textId="1B192F9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12.9%</w:t>
            </w:r>
          </w:p>
        </w:tc>
      </w:tr>
      <w:tr w:rsidR="00187DD0" w:rsidRPr="005C5FA6" w14:paraId="7C095582"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40431150"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67FC1090"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4C1450BC"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426A0FC4" w14:textId="4C635274"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437</w:t>
            </w:r>
          </w:p>
        </w:tc>
        <w:tc>
          <w:tcPr>
            <w:tcW w:w="487" w:type="pct"/>
            <w:tcBorders>
              <w:top w:val="nil"/>
              <w:left w:val="nil"/>
              <w:bottom w:val="dotted" w:sz="4" w:space="0" w:color="auto"/>
              <w:right w:val="double" w:sz="4" w:space="0" w:color="auto"/>
            </w:tcBorders>
            <w:shd w:val="clear" w:color="auto" w:fill="auto"/>
            <w:vAlign w:val="center"/>
            <w:hideMark/>
          </w:tcPr>
          <w:p w14:paraId="79EBB960" w14:textId="6D4A21CB"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18.7%</w:t>
            </w:r>
          </w:p>
        </w:tc>
        <w:tc>
          <w:tcPr>
            <w:tcW w:w="472" w:type="pct"/>
            <w:tcBorders>
              <w:top w:val="nil"/>
              <w:left w:val="double" w:sz="4" w:space="0" w:color="auto"/>
              <w:bottom w:val="dotted" w:sz="4" w:space="0" w:color="auto"/>
              <w:right w:val="nil"/>
            </w:tcBorders>
            <w:shd w:val="clear" w:color="auto" w:fill="auto"/>
            <w:noWrap/>
            <w:vAlign w:val="center"/>
            <w:hideMark/>
          </w:tcPr>
          <w:p w14:paraId="63339CA5" w14:textId="121CBE9D"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411</w:t>
            </w:r>
          </w:p>
        </w:tc>
        <w:tc>
          <w:tcPr>
            <w:tcW w:w="480" w:type="pct"/>
            <w:tcBorders>
              <w:top w:val="nil"/>
              <w:left w:val="nil"/>
              <w:bottom w:val="dotted" w:sz="4" w:space="0" w:color="auto"/>
              <w:right w:val="nil"/>
            </w:tcBorders>
            <w:shd w:val="clear" w:color="auto" w:fill="auto"/>
            <w:noWrap/>
            <w:vAlign w:val="center"/>
            <w:hideMark/>
          </w:tcPr>
          <w:p w14:paraId="4E0D610C" w14:textId="0CE1BA9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17.6%</w:t>
            </w:r>
          </w:p>
        </w:tc>
        <w:tc>
          <w:tcPr>
            <w:tcW w:w="454" w:type="pct"/>
            <w:tcBorders>
              <w:top w:val="nil"/>
              <w:left w:val="nil"/>
              <w:bottom w:val="dotted" w:sz="4" w:space="0" w:color="auto"/>
              <w:right w:val="double" w:sz="4" w:space="0" w:color="auto"/>
            </w:tcBorders>
            <w:shd w:val="clear" w:color="auto" w:fill="auto"/>
            <w:noWrap/>
            <w:vAlign w:val="center"/>
            <w:hideMark/>
          </w:tcPr>
          <w:p w14:paraId="7250F3E8" w14:textId="196D8CC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5.9%</w:t>
            </w:r>
          </w:p>
        </w:tc>
        <w:tc>
          <w:tcPr>
            <w:tcW w:w="506" w:type="pct"/>
            <w:tcBorders>
              <w:top w:val="nil"/>
              <w:left w:val="double" w:sz="4" w:space="0" w:color="auto"/>
              <w:bottom w:val="dotted" w:sz="4" w:space="0" w:color="auto"/>
              <w:right w:val="nil"/>
            </w:tcBorders>
            <w:shd w:val="clear" w:color="auto" w:fill="auto"/>
            <w:noWrap/>
            <w:vAlign w:val="center"/>
            <w:hideMark/>
          </w:tcPr>
          <w:p w14:paraId="26A9F05D" w14:textId="7DAF1D9D"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390</w:t>
            </w:r>
          </w:p>
        </w:tc>
        <w:tc>
          <w:tcPr>
            <w:tcW w:w="480" w:type="pct"/>
            <w:tcBorders>
              <w:top w:val="nil"/>
              <w:left w:val="nil"/>
              <w:bottom w:val="dotted" w:sz="4" w:space="0" w:color="auto"/>
              <w:right w:val="nil"/>
            </w:tcBorders>
            <w:shd w:val="clear" w:color="auto" w:fill="auto"/>
            <w:noWrap/>
            <w:vAlign w:val="center"/>
            <w:hideMark/>
          </w:tcPr>
          <w:p w14:paraId="6076D49C" w14:textId="79F32C71"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16.7%</w:t>
            </w:r>
          </w:p>
        </w:tc>
        <w:tc>
          <w:tcPr>
            <w:tcW w:w="486" w:type="pct"/>
            <w:tcBorders>
              <w:top w:val="nil"/>
              <w:left w:val="nil"/>
              <w:bottom w:val="dotted" w:sz="4" w:space="0" w:color="auto"/>
              <w:right w:val="double" w:sz="4" w:space="0" w:color="auto"/>
            </w:tcBorders>
            <w:shd w:val="clear" w:color="auto" w:fill="auto"/>
            <w:noWrap/>
            <w:vAlign w:val="center"/>
            <w:hideMark/>
          </w:tcPr>
          <w:p w14:paraId="49C740AF" w14:textId="02E5424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10.8%</w:t>
            </w:r>
          </w:p>
        </w:tc>
      </w:tr>
      <w:tr w:rsidR="00187DD0" w:rsidRPr="005C5FA6" w14:paraId="4FE2113C"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0D225790"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7985E230"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LE</w:t>
            </w:r>
          </w:p>
        </w:tc>
        <w:tc>
          <w:tcPr>
            <w:tcW w:w="209" w:type="pct"/>
            <w:tcBorders>
              <w:top w:val="dotted" w:sz="4" w:space="0" w:color="auto"/>
              <w:left w:val="nil"/>
              <w:bottom w:val="nil"/>
              <w:right w:val="double" w:sz="4" w:space="0" w:color="auto"/>
            </w:tcBorders>
            <w:shd w:val="clear" w:color="auto" w:fill="auto"/>
            <w:vAlign w:val="center"/>
            <w:hideMark/>
          </w:tcPr>
          <w:p w14:paraId="20433217"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4CE57080" w14:textId="1834CA3B"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122</w:t>
            </w:r>
          </w:p>
        </w:tc>
        <w:tc>
          <w:tcPr>
            <w:tcW w:w="487" w:type="pct"/>
            <w:tcBorders>
              <w:top w:val="dotted" w:sz="4" w:space="0" w:color="auto"/>
              <w:left w:val="nil"/>
              <w:bottom w:val="nil"/>
              <w:right w:val="double" w:sz="4" w:space="0" w:color="auto"/>
            </w:tcBorders>
            <w:shd w:val="clear" w:color="auto" w:fill="auto"/>
            <w:vAlign w:val="center"/>
            <w:hideMark/>
          </w:tcPr>
          <w:p w14:paraId="1919B7AB" w14:textId="545FD066"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5.2%</w:t>
            </w:r>
          </w:p>
        </w:tc>
        <w:tc>
          <w:tcPr>
            <w:tcW w:w="472" w:type="pct"/>
            <w:tcBorders>
              <w:top w:val="dotted" w:sz="4" w:space="0" w:color="auto"/>
              <w:left w:val="double" w:sz="4" w:space="0" w:color="auto"/>
              <w:bottom w:val="nil"/>
              <w:right w:val="nil"/>
            </w:tcBorders>
            <w:shd w:val="clear" w:color="auto" w:fill="auto"/>
            <w:noWrap/>
            <w:vAlign w:val="center"/>
            <w:hideMark/>
          </w:tcPr>
          <w:p w14:paraId="0AA7D472" w14:textId="4E65DF8B"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127</w:t>
            </w:r>
          </w:p>
        </w:tc>
        <w:tc>
          <w:tcPr>
            <w:tcW w:w="480" w:type="pct"/>
            <w:tcBorders>
              <w:top w:val="dotted" w:sz="4" w:space="0" w:color="auto"/>
              <w:left w:val="nil"/>
              <w:bottom w:val="nil"/>
              <w:right w:val="nil"/>
            </w:tcBorders>
            <w:shd w:val="clear" w:color="auto" w:fill="auto"/>
            <w:noWrap/>
            <w:vAlign w:val="center"/>
            <w:hideMark/>
          </w:tcPr>
          <w:p w14:paraId="638DCB2A" w14:textId="1A5BC6D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5.4%</w:t>
            </w:r>
          </w:p>
        </w:tc>
        <w:tc>
          <w:tcPr>
            <w:tcW w:w="454" w:type="pct"/>
            <w:tcBorders>
              <w:top w:val="dotted" w:sz="4" w:space="0" w:color="auto"/>
              <w:left w:val="nil"/>
              <w:bottom w:val="nil"/>
              <w:right w:val="double" w:sz="4" w:space="0" w:color="auto"/>
            </w:tcBorders>
            <w:shd w:val="clear" w:color="auto" w:fill="auto"/>
            <w:noWrap/>
            <w:vAlign w:val="center"/>
            <w:hideMark/>
          </w:tcPr>
          <w:p w14:paraId="51B7FB79" w14:textId="477AFA9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4.1%</w:t>
            </w:r>
          </w:p>
        </w:tc>
        <w:tc>
          <w:tcPr>
            <w:tcW w:w="506" w:type="pct"/>
            <w:tcBorders>
              <w:top w:val="dotted" w:sz="4" w:space="0" w:color="auto"/>
              <w:left w:val="double" w:sz="4" w:space="0" w:color="auto"/>
              <w:bottom w:val="nil"/>
              <w:right w:val="nil"/>
            </w:tcBorders>
            <w:shd w:val="clear" w:color="auto" w:fill="auto"/>
            <w:noWrap/>
            <w:vAlign w:val="center"/>
            <w:hideMark/>
          </w:tcPr>
          <w:p w14:paraId="1A373C68" w14:textId="14FA5B2E"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151</w:t>
            </w:r>
          </w:p>
        </w:tc>
        <w:tc>
          <w:tcPr>
            <w:tcW w:w="480" w:type="pct"/>
            <w:tcBorders>
              <w:top w:val="dotted" w:sz="4" w:space="0" w:color="auto"/>
              <w:left w:val="nil"/>
              <w:bottom w:val="nil"/>
              <w:right w:val="nil"/>
            </w:tcBorders>
            <w:shd w:val="clear" w:color="auto" w:fill="auto"/>
            <w:noWrap/>
            <w:vAlign w:val="center"/>
            <w:hideMark/>
          </w:tcPr>
          <w:p w14:paraId="54152764" w14:textId="0E659863"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6.5%</w:t>
            </w:r>
          </w:p>
        </w:tc>
        <w:tc>
          <w:tcPr>
            <w:tcW w:w="486" w:type="pct"/>
            <w:tcBorders>
              <w:top w:val="dotted" w:sz="4" w:space="0" w:color="auto"/>
              <w:left w:val="nil"/>
              <w:bottom w:val="nil"/>
              <w:right w:val="double" w:sz="4" w:space="0" w:color="auto"/>
            </w:tcBorders>
            <w:shd w:val="clear" w:color="auto" w:fill="auto"/>
            <w:noWrap/>
            <w:vAlign w:val="center"/>
            <w:hideMark/>
          </w:tcPr>
          <w:p w14:paraId="4A94F75A" w14:textId="411AA19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23.8%</w:t>
            </w:r>
          </w:p>
        </w:tc>
      </w:tr>
      <w:tr w:rsidR="00187DD0" w:rsidRPr="005C5FA6" w14:paraId="4C17BFF7"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2EBC06F6"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7E63CEE0"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56045A77"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000F6113" w14:textId="3361E4BA"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680</w:t>
            </w:r>
          </w:p>
        </w:tc>
        <w:tc>
          <w:tcPr>
            <w:tcW w:w="487" w:type="pct"/>
            <w:tcBorders>
              <w:top w:val="nil"/>
              <w:left w:val="nil"/>
              <w:bottom w:val="dotted" w:sz="4" w:space="0" w:color="auto"/>
              <w:right w:val="double" w:sz="4" w:space="0" w:color="auto"/>
            </w:tcBorders>
            <w:shd w:val="clear" w:color="auto" w:fill="auto"/>
            <w:vAlign w:val="center"/>
            <w:hideMark/>
          </w:tcPr>
          <w:p w14:paraId="690BC135" w14:textId="3A072F6D"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29.1%</w:t>
            </w:r>
          </w:p>
        </w:tc>
        <w:tc>
          <w:tcPr>
            <w:tcW w:w="472" w:type="pct"/>
            <w:tcBorders>
              <w:top w:val="nil"/>
              <w:left w:val="double" w:sz="4" w:space="0" w:color="auto"/>
              <w:bottom w:val="dotted" w:sz="4" w:space="0" w:color="auto"/>
              <w:right w:val="nil"/>
            </w:tcBorders>
            <w:shd w:val="clear" w:color="auto" w:fill="auto"/>
            <w:noWrap/>
            <w:vAlign w:val="center"/>
            <w:hideMark/>
          </w:tcPr>
          <w:p w14:paraId="03000E03" w14:textId="366AA6FC"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675</w:t>
            </w:r>
          </w:p>
        </w:tc>
        <w:tc>
          <w:tcPr>
            <w:tcW w:w="480" w:type="pct"/>
            <w:tcBorders>
              <w:top w:val="nil"/>
              <w:left w:val="nil"/>
              <w:bottom w:val="dotted" w:sz="4" w:space="0" w:color="auto"/>
              <w:right w:val="nil"/>
            </w:tcBorders>
            <w:shd w:val="clear" w:color="auto" w:fill="auto"/>
            <w:noWrap/>
            <w:vAlign w:val="center"/>
            <w:hideMark/>
          </w:tcPr>
          <w:p w14:paraId="34263E97" w14:textId="4CF7EA97"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28.9%</w:t>
            </w:r>
          </w:p>
        </w:tc>
        <w:tc>
          <w:tcPr>
            <w:tcW w:w="454" w:type="pct"/>
            <w:tcBorders>
              <w:top w:val="nil"/>
              <w:left w:val="nil"/>
              <w:bottom w:val="dotted" w:sz="4" w:space="0" w:color="auto"/>
              <w:right w:val="double" w:sz="4" w:space="0" w:color="auto"/>
            </w:tcBorders>
            <w:shd w:val="clear" w:color="auto" w:fill="auto"/>
            <w:noWrap/>
            <w:vAlign w:val="center"/>
            <w:hideMark/>
          </w:tcPr>
          <w:p w14:paraId="3A3BF4DC" w14:textId="46B5142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0.7%</w:t>
            </w:r>
          </w:p>
        </w:tc>
        <w:tc>
          <w:tcPr>
            <w:tcW w:w="506" w:type="pct"/>
            <w:tcBorders>
              <w:top w:val="nil"/>
              <w:left w:val="double" w:sz="4" w:space="0" w:color="auto"/>
              <w:bottom w:val="dotted" w:sz="4" w:space="0" w:color="auto"/>
              <w:right w:val="nil"/>
            </w:tcBorders>
            <w:shd w:val="clear" w:color="auto" w:fill="auto"/>
            <w:noWrap/>
            <w:vAlign w:val="center"/>
            <w:hideMark/>
          </w:tcPr>
          <w:p w14:paraId="292D69C6" w14:textId="6953EBA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651</w:t>
            </w:r>
          </w:p>
        </w:tc>
        <w:tc>
          <w:tcPr>
            <w:tcW w:w="480" w:type="pct"/>
            <w:tcBorders>
              <w:top w:val="nil"/>
              <w:left w:val="nil"/>
              <w:bottom w:val="dotted" w:sz="4" w:space="0" w:color="auto"/>
              <w:right w:val="nil"/>
            </w:tcBorders>
            <w:shd w:val="clear" w:color="auto" w:fill="auto"/>
            <w:noWrap/>
            <w:vAlign w:val="center"/>
            <w:hideMark/>
          </w:tcPr>
          <w:p w14:paraId="4E3FA034" w14:textId="284540E8"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27.9%</w:t>
            </w:r>
          </w:p>
        </w:tc>
        <w:tc>
          <w:tcPr>
            <w:tcW w:w="486" w:type="pct"/>
            <w:tcBorders>
              <w:top w:val="nil"/>
              <w:left w:val="nil"/>
              <w:bottom w:val="dotted" w:sz="4" w:space="0" w:color="auto"/>
              <w:right w:val="double" w:sz="4" w:space="0" w:color="auto"/>
            </w:tcBorders>
            <w:shd w:val="clear" w:color="auto" w:fill="auto"/>
            <w:noWrap/>
            <w:vAlign w:val="center"/>
            <w:hideMark/>
          </w:tcPr>
          <w:p w14:paraId="79F1CB78" w14:textId="0868FFDB"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4.3%</w:t>
            </w:r>
          </w:p>
        </w:tc>
      </w:tr>
      <w:tr w:rsidR="00187DD0" w:rsidRPr="005C5FA6" w14:paraId="145466D0"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462C4CDC" w14:textId="77777777" w:rsidR="00187DD0" w:rsidRPr="005C5FA6" w:rsidRDefault="00187DD0"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2C8D5D81" w14:textId="77777777" w:rsidR="00187DD0" w:rsidRPr="005C5FA6" w:rsidRDefault="00187DD0"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FCO</w:t>
            </w:r>
          </w:p>
        </w:tc>
        <w:tc>
          <w:tcPr>
            <w:tcW w:w="209" w:type="pct"/>
            <w:tcBorders>
              <w:top w:val="dotted" w:sz="4" w:space="0" w:color="auto"/>
              <w:left w:val="nil"/>
              <w:bottom w:val="nil"/>
              <w:right w:val="double" w:sz="4" w:space="0" w:color="auto"/>
            </w:tcBorders>
            <w:shd w:val="clear" w:color="auto" w:fill="auto"/>
            <w:vAlign w:val="center"/>
            <w:hideMark/>
          </w:tcPr>
          <w:p w14:paraId="4648DF93"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74B5EFB4" w14:textId="1BFD3376"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110</w:t>
            </w:r>
          </w:p>
        </w:tc>
        <w:tc>
          <w:tcPr>
            <w:tcW w:w="487" w:type="pct"/>
            <w:tcBorders>
              <w:top w:val="dotted" w:sz="4" w:space="0" w:color="auto"/>
              <w:left w:val="nil"/>
              <w:bottom w:val="nil"/>
              <w:right w:val="double" w:sz="4" w:space="0" w:color="auto"/>
            </w:tcBorders>
            <w:shd w:val="clear" w:color="auto" w:fill="auto"/>
            <w:vAlign w:val="center"/>
            <w:hideMark/>
          </w:tcPr>
          <w:p w14:paraId="02B9BC6A" w14:textId="6F8ACAF6"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4.7%</w:t>
            </w:r>
          </w:p>
        </w:tc>
        <w:tc>
          <w:tcPr>
            <w:tcW w:w="472" w:type="pct"/>
            <w:tcBorders>
              <w:top w:val="dotted" w:sz="4" w:space="0" w:color="auto"/>
              <w:left w:val="double" w:sz="4" w:space="0" w:color="auto"/>
              <w:bottom w:val="nil"/>
              <w:right w:val="nil"/>
            </w:tcBorders>
            <w:shd w:val="clear" w:color="auto" w:fill="auto"/>
            <w:noWrap/>
            <w:vAlign w:val="center"/>
            <w:hideMark/>
          </w:tcPr>
          <w:p w14:paraId="2A7DD0E7" w14:textId="242895C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114</w:t>
            </w:r>
          </w:p>
        </w:tc>
        <w:tc>
          <w:tcPr>
            <w:tcW w:w="480" w:type="pct"/>
            <w:tcBorders>
              <w:top w:val="dotted" w:sz="4" w:space="0" w:color="auto"/>
              <w:left w:val="nil"/>
              <w:bottom w:val="nil"/>
              <w:right w:val="nil"/>
            </w:tcBorders>
            <w:shd w:val="clear" w:color="auto" w:fill="auto"/>
            <w:noWrap/>
            <w:vAlign w:val="center"/>
            <w:hideMark/>
          </w:tcPr>
          <w:p w14:paraId="37C3EFB5" w14:textId="6071F357"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4.9%</w:t>
            </w:r>
          </w:p>
        </w:tc>
        <w:tc>
          <w:tcPr>
            <w:tcW w:w="454" w:type="pct"/>
            <w:tcBorders>
              <w:top w:val="dotted" w:sz="4" w:space="0" w:color="auto"/>
              <w:left w:val="nil"/>
              <w:bottom w:val="nil"/>
              <w:right w:val="double" w:sz="4" w:space="0" w:color="auto"/>
            </w:tcBorders>
            <w:shd w:val="clear" w:color="auto" w:fill="auto"/>
            <w:noWrap/>
            <w:vAlign w:val="center"/>
            <w:hideMark/>
          </w:tcPr>
          <w:p w14:paraId="72CFCFAA" w14:textId="75C7DE89"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3.6%</w:t>
            </w:r>
          </w:p>
        </w:tc>
        <w:tc>
          <w:tcPr>
            <w:tcW w:w="506" w:type="pct"/>
            <w:tcBorders>
              <w:top w:val="dotted" w:sz="4" w:space="0" w:color="auto"/>
              <w:left w:val="double" w:sz="4" w:space="0" w:color="auto"/>
              <w:bottom w:val="nil"/>
              <w:right w:val="nil"/>
            </w:tcBorders>
            <w:shd w:val="clear" w:color="auto" w:fill="auto"/>
            <w:noWrap/>
            <w:vAlign w:val="center"/>
            <w:hideMark/>
          </w:tcPr>
          <w:p w14:paraId="295E8F97" w14:textId="193532B0"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128</w:t>
            </w:r>
          </w:p>
        </w:tc>
        <w:tc>
          <w:tcPr>
            <w:tcW w:w="480" w:type="pct"/>
            <w:tcBorders>
              <w:top w:val="dotted" w:sz="4" w:space="0" w:color="auto"/>
              <w:left w:val="nil"/>
              <w:bottom w:val="nil"/>
              <w:right w:val="nil"/>
            </w:tcBorders>
            <w:shd w:val="clear" w:color="auto" w:fill="auto"/>
            <w:noWrap/>
            <w:vAlign w:val="center"/>
            <w:hideMark/>
          </w:tcPr>
          <w:p w14:paraId="2BB75DD0" w14:textId="2860C88C"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5.5%</w:t>
            </w:r>
          </w:p>
        </w:tc>
        <w:tc>
          <w:tcPr>
            <w:tcW w:w="486" w:type="pct"/>
            <w:tcBorders>
              <w:top w:val="dotted" w:sz="4" w:space="0" w:color="auto"/>
              <w:left w:val="nil"/>
              <w:bottom w:val="nil"/>
              <w:right w:val="double" w:sz="4" w:space="0" w:color="auto"/>
            </w:tcBorders>
            <w:shd w:val="clear" w:color="auto" w:fill="auto"/>
            <w:noWrap/>
            <w:vAlign w:val="center"/>
            <w:hideMark/>
          </w:tcPr>
          <w:p w14:paraId="3496B2C1" w14:textId="5758C13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16.4%</w:t>
            </w:r>
          </w:p>
        </w:tc>
      </w:tr>
      <w:tr w:rsidR="00187DD0" w:rsidRPr="005C5FA6" w14:paraId="61036AA3" w14:textId="77777777" w:rsidTr="0069340B">
        <w:trPr>
          <w:trHeight w:val="20"/>
        </w:trPr>
        <w:tc>
          <w:tcPr>
            <w:tcW w:w="648" w:type="pct"/>
            <w:vMerge/>
            <w:tcBorders>
              <w:top w:val="double" w:sz="4" w:space="0" w:color="auto"/>
              <w:left w:val="double" w:sz="4" w:space="0" w:color="auto"/>
              <w:bottom w:val="double" w:sz="4" w:space="0" w:color="auto"/>
              <w:right w:val="single" w:sz="4" w:space="0" w:color="auto"/>
            </w:tcBorders>
            <w:vAlign w:val="center"/>
            <w:hideMark/>
          </w:tcPr>
          <w:p w14:paraId="04F90518" w14:textId="77777777" w:rsidR="00187DD0" w:rsidRPr="005C5FA6" w:rsidRDefault="00187DD0"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uble" w:sz="4" w:space="0" w:color="auto"/>
              <w:right w:val="nil"/>
            </w:tcBorders>
            <w:vAlign w:val="center"/>
            <w:hideMark/>
          </w:tcPr>
          <w:p w14:paraId="604520CA" w14:textId="77777777" w:rsidR="00187DD0" w:rsidRPr="005C5FA6" w:rsidRDefault="00187DD0" w:rsidP="00187DD0">
            <w:pPr>
              <w:spacing w:after="0" w:line="240" w:lineRule="auto"/>
              <w:rPr>
                <w:rFonts w:eastAsia="Times New Roman"/>
                <w:b/>
                <w:bCs/>
                <w:color w:val="000000"/>
                <w:sz w:val="20"/>
                <w:szCs w:val="20"/>
              </w:rPr>
            </w:pPr>
          </w:p>
        </w:tc>
        <w:tc>
          <w:tcPr>
            <w:tcW w:w="209" w:type="pct"/>
            <w:tcBorders>
              <w:top w:val="nil"/>
              <w:left w:val="nil"/>
              <w:bottom w:val="double" w:sz="4" w:space="0" w:color="auto"/>
              <w:right w:val="double" w:sz="4" w:space="0" w:color="auto"/>
            </w:tcBorders>
            <w:shd w:val="clear" w:color="auto" w:fill="auto"/>
            <w:vAlign w:val="center"/>
            <w:hideMark/>
          </w:tcPr>
          <w:p w14:paraId="5707D2A1" w14:textId="77777777" w:rsidR="00187DD0" w:rsidRPr="005C5FA6" w:rsidRDefault="00187DD0"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uble" w:sz="4" w:space="0" w:color="auto"/>
              <w:right w:val="nil"/>
            </w:tcBorders>
            <w:shd w:val="clear" w:color="auto" w:fill="auto"/>
            <w:vAlign w:val="center"/>
            <w:hideMark/>
          </w:tcPr>
          <w:p w14:paraId="62283DE2" w14:textId="123D0710" w:rsidR="00187DD0" w:rsidRPr="00187DD0" w:rsidRDefault="00187DD0" w:rsidP="00187DD0">
            <w:pPr>
              <w:spacing w:after="0" w:line="240" w:lineRule="auto"/>
              <w:ind w:right="334"/>
              <w:jc w:val="right"/>
              <w:rPr>
                <w:rFonts w:eastAsia="Times New Roman"/>
                <w:color w:val="000000"/>
                <w:sz w:val="20"/>
                <w:szCs w:val="20"/>
              </w:rPr>
            </w:pPr>
            <w:r w:rsidRPr="00187DD0">
              <w:rPr>
                <w:sz w:val="20"/>
                <w:szCs w:val="20"/>
              </w:rPr>
              <w:t>692</w:t>
            </w:r>
          </w:p>
        </w:tc>
        <w:tc>
          <w:tcPr>
            <w:tcW w:w="487" w:type="pct"/>
            <w:tcBorders>
              <w:top w:val="nil"/>
              <w:left w:val="nil"/>
              <w:bottom w:val="double" w:sz="4" w:space="0" w:color="auto"/>
              <w:right w:val="double" w:sz="4" w:space="0" w:color="auto"/>
            </w:tcBorders>
            <w:shd w:val="clear" w:color="auto" w:fill="auto"/>
            <w:vAlign w:val="center"/>
            <w:hideMark/>
          </w:tcPr>
          <w:p w14:paraId="3CDAE74F" w14:textId="46B2EFCF"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29.7%</w:t>
            </w:r>
          </w:p>
        </w:tc>
        <w:tc>
          <w:tcPr>
            <w:tcW w:w="472" w:type="pct"/>
            <w:tcBorders>
              <w:top w:val="nil"/>
              <w:left w:val="double" w:sz="4" w:space="0" w:color="auto"/>
              <w:bottom w:val="double" w:sz="4" w:space="0" w:color="auto"/>
              <w:right w:val="nil"/>
            </w:tcBorders>
            <w:shd w:val="clear" w:color="auto" w:fill="auto"/>
            <w:noWrap/>
            <w:vAlign w:val="center"/>
            <w:hideMark/>
          </w:tcPr>
          <w:p w14:paraId="34E8A43B" w14:textId="68F2535B"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688</w:t>
            </w:r>
          </w:p>
        </w:tc>
        <w:tc>
          <w:tcPr>
            <w:tcW w:w="480" w:type="pct"/>
            <w:tcBorders>
              <w:top w:val="nil"/>
              <w:left w:val="nil"/>
              <w:bottom w:val="double" w:sz="4" w:space="0" w:color="auto"/>
              <w:right w:val="nil"/>
            </w:tcBorders>
            <w:shd w:val="clear" w:color="auto" w:fill="auto"/>
            <w:noWrap/>
            <w:vAlign w:val="center"/>
            <w:hideMark/>
          </w:tcPr>
          <w:p w14:paraId="5BF13FCD" w14:textId="22524015"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29.5%</w:t>
            </w:r>
          </w:p>
        </w:tc>
        <w:tc>
          <w:tcPr>
            <w:tcW w:w="454" w:type="pct"/>
            <w:tcBorders>
              <w:top w:val="nil"/>
              <w:left w:val="nil"/>
              <w:bottom w:val="double" w:sz="4" w:space="0" w:color="auto"/>
              <w:right w:val="double" w:sz="4" w:space="0" w:color="auto"/>
            </w:tcBorders>
            <w:shd w:val="clear" w:color="auto" w:fill="auto"/>
            <w:noWrap/>
            <w:vAlign w:val="center"/>
            <w:hideMark/>
          </w:tcPr>
          <w:p w14:paraId="5129898B" w14:textId="39ED83AA"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0.6%</w:t>
            </w:r>
          </w:p>
        </w:tc>
        <w:tc>
          <w:tcPr>
            <w:tcW w:w="506" w:type="pct"/>
            <w:tcBorders>
              <w:top w:val="nil"/>
              <w:left w:val="double" w:sz="4" w:space="0" w:color="auto"/>
              <w:bottom w:val="double" w:sz="4" w:space="0" w:color="auto"/>
              <w:right w:val="nil"/>
            </w:tcBorders>
            <w:shd w:val="clear" w:color="auto" w:fill="auto"/>
            <w:noWrap/>
            <w:vAlign w:val="center"/>
            <w:hideMark/>
          </w:tcPr>
          <w:p w14:paraId="418E6CD1" w14:textId="3B2A3A88"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674</w:t>
            </w:r>
          </w:p>
        </w:tc>
        <w:tc>
          <w:tcPr>
            <w:tcW w:w="480" w:type="pct"/>
            <w:tcBorders>
              <w:top w:val="nil"/>
              <w:left w:val="nil"/>
              <w:bottom w:val="double" w:sz="4" w:space="0" w:color="auto"/>
              <w:right w:val="nil"/>
            </w:tcBorders>
            <w:shd w:val="clear" w:color="auto" w:fill="auto"/>
            <w:noWrap/>
            <w:vAlign w:val="center"/>
            <w:hideMark/>
          </w:tcPr>
          <w:p w14:paraId="0FF1672B" w14:textId="4874A322"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28.9%</w:t>
            </w:r>
          </w:p>
        </w:tc>
        <w:tc>
          <w:tcPr>
            <w:tcW w:w="486" w:type="pct"/>
            <w:tcBorders>
              <w:top w:val="nil"/>
              <w:left w:val="nil"/>
              <w:bottom w:val="double" w:sz="4" w:space="0" w:color="auto"/>
              <w:right w:val="double" w:sz="4" w:space="0" w:color="auto"/>
            </w:tcBorders>
            <w:shd w:val="clear" w:color="auto" w:fill="auto"/>
            <w:noWrap/>
            <w:vAlign w:val="center"/>
            <w:hideMark/>
          </w:tcPr>
          <w:p w14:paraId="3B0F9CE9" w14:textId="36A117C9" w:rsidR="00187DD0" w:rsidRPr="00187DD0" w:rsidRDefault="00187DD0" w:rsidP="00187DD0">
            <w:pPr>
              <w:spacing w:after="0" w:line="240" w:lineRule="auto"/>
              <w:ind w:right="427"/>
              <w:jc w:val="right"/>
              <w:rPr>
                <w:rFonts w:eastAsia="Times New Roman"/>
                <w:color w:val="000000"/>
                <w:sz w:val="20"/>
                <w:szCs w:val="20"/>
              </w:rPr>
            </w:pPr>
            <w:r w:rsidRPr="00187DD0">
              <w:rPr>
                <w:sz w:val="20"/>
                <w:szCs w:val="20"/>
              </w:rPr>
              <w:t>2.6%</w:t>
            </w:r>
          </w:p>
        </w:tc>
      </w:tr>
      <w:tr w:rsidR="00530825" w:rsidRPr="005C5FA6" w14:paraId="3071AADF" w14:textId="77777777" w:rsidTr="0069340B">
        <w:trPr>
          <w:trHeight w:val="20"/>
        </w:trPr>
        <w:tc>
          <w:tcPr>
            <w:tcW w:w="648" w:type="pct"/>
            <w:vMerge w:val="restart"/>
            <w:tcBorders>
              <w:top w:val="double" w:sz="4" w:space="0" w:color="auto"/>
              <w:left w:val="double" w:sz="4" w:space="0" w:color="auto"/>
              <w:right w:val="single" w:sz="4" w:space="0" w:color="auto"/>
            </w:tcBorders>
            <w:shd w:val="clear" w:color="auto" w:fill="auto"/>
            <w:noWrap/>
            <w:vAlign w:val="center"/>
            <w:hideMark/>
          </w:tcPr>
          <w:p w14:paraId="586FFFD8" w14:textId="77777777" w:rsidR="00530825" w:rsidRPr="005C5FA6" w:rsidRDefault="00530825" w:rsidP="00D522B3">
            <w:pPr>
              <w:spacing w:after="0" w:line="240" w:lineRule="auto"/>
              <w:rPr>
                <w:rFonts w:eastAsia="Times New Roman"/>
                <w:b/>
                <w:bCs/>
                <w:color w:val="000000"/>
                <w:sz w:val="20"/>
                <w:szCs w:val="20"/>
              </w:rPr>
            </w:pPr>
            <w:r w:rsidRPr="005C5FA6">
              <w:rPr>
                <w:rFonts w:eastAsia="Times New Roman"/>
                <w:b/>
                <w:bCs/>
                <w:color w:val="000000"/>
                <w:sz w:val="20"/>
                <w:szCs w:val="20"/>
              </w:rPr>
              <w:t xml:space="preserve">Telemedicine </w:t>
            </w:r>
          </w:p>
          <w:p w14:paraId="5B1EE0CE" w14:textId="5D0CA774" w:rsidR="00530825" w:rsidRPr="005C5FA6" w:rsidRDefault="00ED7316" w:rsidP="00D522B3">
            <w:pPr>
              <w:spacing w:after="0" w:line="240" w:lineRule="auto"/>
              <w:rPr>
                <w:rFonts w:eastAsia="Times New Roman"/>
                <w:b/>
                <w:bCs/>
                <w:color w:val="000000"/>
                <w:sz w:val="20"/>
                <w:szCs w:val="20"/>
              </w:rPr>
            </w:pPr>
            <w:r>
              <w:rPr>
                <w:rFonts w:eastAsia="Times New Roman"/>
                <w:b/>
                <w:bCs/>
                <w:color w:val="000000"/>
                <w:sz w:val="20"/>
                <w:szCs w:val="20"/>
              </w:rPr>
              <w:t>Adoption</w:t>
            </w:r>
            <w:r w:rsidR="00530825" w:rsidRPr="005C5FA6">
              <w:rPr>
                <w:rFonts w:eastAsia="Times New Roman"/>
                <w:b/>
                <w:bCs/>
                <w:color w:val="000000"/>
                <w:sz w:val="20"/>
                <w:szCs w:val="20"/>
              </w:rPr>
              <w:t xml:space="preserve"> Deterrent Reasons</w:t>
            </w:r>
          </w:p>
        </w:tc>
        <w:tc>
          <w:tcPr>
            <w:tcW w:w="304" w:type="pct"/>
            <w:vMerge w:val="restart"/>
            <w:tcBorders>
              <w:top w:val="double" w:sz="4" w:space="0" w:color="auto"/>
              <w:left w:val="single" w:sz="4" w:space="0" w:color="auto"/>
              <w:bottom w:val="nil"/>
              <w:right w:val="nil"/>
            </w:tcBorders>
            <w:shd w:val="clear" w:color="auto" w:fill="auto"/>
            <w:vAlign w:val="center"/>
            <w:hideMark/>
          </w:tcPr>
          <w:p w14:paraId="4AA326C3"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PTQ</w:t>
            </w:r>
          </w:p>
        </w:tc>
        <w:tc>
          <w:tcPr>
            <w:tcW w:w="209" w:type="pct"/>
            <w:tcBorders>
              <w:top w:val="double" w:sz="4" w:space="0" w:color="auto"/>
              <w:left w:val="nil"/>
              <w:bottom w:val="nil"/>
              <w:right w:val="double" w:sz="4" w:space="0" w:color="auto"/>
            </w:tcBorders>
            <w:shd w:val="clear" w:color="auto" w:fill="auto"/>
            <w:vAlign w:val="center"/>
            <w:hideMark/>
          </w:tcPr>
          <w:p w14:paraId="7012DE34"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uble" w:sz="4" w:space="0" w:color="auto"/>
              <w:left w:val="double" w:sz="4" w:space="0" w:color="auto"/>
              <w:bottom w:val="nil"/>
              <w:right w:val="nil"/>
            </w:tcBorders>
            <w:shd w:val="clear" w:color="auto" w:fill="auto"/>
            <w:vAlign w:val="center"/>
            <w:hideMark/>
          </w:tcPr>
          <w:p w14:paraId="1EE36927" w14:textId="5477C2F5"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220</w:t>
            </w:r>
          </w:p>
        </w:tc>
        <w:tc>
          <w:tcPr>
            <w:tcW w:w="487" w:type="pct"/>
            <w:tcBorders>
              <w:top w:val="double" w:sz="4" w:space="0" w:color="auto"/>
              <w:left w:val="nil"/>
              <w:bottom w:val="nil"/>
              <w:right w:val="double" w:sz="4" w:space="0" w:color="auto"/>
            </w:tcBorders>
            <w:shd w:val="clear" w:color="auto" w:fill="auto"/>
            <w:vAlign w:val="center"/>
            <w:hideMark/>
          </w:tcPr>
          <w:p w14:paraId="1545C52D" w14:textId="5334421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9.4%</w:t>
            </w:r>
          </w:p>
        </w:tc>
        <w:tc>
          <w:tcPr>
            <w:tcW w:w="472" w:type="pct"/>
            <w:tcBorders>
              <w:top w:val="double" w:sz="4" w:space="0" w:color="auto"/>
              <w:left w:val="double" w:sz="4" w:space="0" w:color="auto"/>
              <w:bottom w:val="nil"/>
              <w:right w:val="nil"/>
            </w:tcBorders>
            <w:shd w:val="clear" w:color="auto" w:fill="auto"/>
            <w:noWrap/>
            <w:vAlign w:val="center"/>
            <w:hideMark/>
          </w:tcPr>
          <w:p w14:paraId="30AA182E" w14:textId="17200AF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216</w:t>
            </w:r>
          </w:p>
        </w:tc>
        <w:tc>
          <w:tcPr>
            <w:tcW w:w="480" w:type="pct"/>
            <w:tcBorders>
              <w:top w:val="double" w:sz="4" w:space="0" w:color="auto"/>
              <w:left w:val="nil"/>
              <w:bottom w:val="nil"/>
              <w:right w:val="nil"/>
            </w:tcBorders>
            <w:shd w:val="clear" w:color="auto" w:fill="auto"/>
            <w:noWrap/>
            <w:vAlign w:val="center"/>
            <w:hideMark/>
          </w:tcPr>
          <w:p w14:paraId="086E6578" w14:textId="24480760"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9.3%</w:t>
            </w:r>
          </w:p>
        </w:tc>
        <w:tc>
          <w:tcPr>
            <w:tcW w:w="454" w:type="pct"/>
            <w:tcBorders>
              <w:top w:val="double" w:sz="4" w:space="0" w:color="auto"/>
              <w:left w:val="nil"/>
              <w:bottom w:val="nil"/>
              <w:right w:val="double" w:sz="4" w:space="0" w:color="auto"/>
            </w:tcBorders>
            <w:shd w:val="clear" w:color="auto" w:fill="auto"/>
            <w:noWrap/>
            <w:vAlign w:val="center"/>
            <w:hideMark/>
          </w:tcPr>
          <w:p w14:paraId="0E376E62" w14:textId="5D4C7B9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1.8%</w:t>
            </w:r>
          </w:p>
        </w:tc>
        <w:tc>
          <w:tcPr>
            <w:tcW w:w="506" w:type="pct"/>
            <w:tcBorders>
              <w:top w:val="double" w:sz="4" w:space="0" w:color="auto"/>
              <w:left w:val="double" w:sz="4" w:space="0" w:color="auto"/>
              <w:bottom w:val="nil"/>
              <w:right w:val="nil"/>
            </w:tcBorders>
            <w:shd w:val="clear" w:color="auto" w:fill="auto"/>
            <w:noWrap/>
            <w:vAlign w:val="center"/>
            <w:hideMark/>
          </w:tcPr>
          <w:p w14:paraId="7F926B82" w14:textId="3755EB1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180</w:t>
            </w:r>
          </w:p>
        </w:tc>
        <w:tc>
          <w:tcPr>
            <w:tcW w:w="480" w:type="pct"/>
            <w:tcBorders>
              <w:top w:val="double" w:sz="4" w:space="0" w:color="auto"/>
              <w:left w:val="nil"/>
              <w:bottom w:val="nil"/>
              <w:right w:val="nil"/>
            </w:tcBorders>
            <w:shd w:val="clear" w:color="auto" w:fill="auto"/>
            <w:noWrap/>
            <w:vAlign w:val="center"/>
            <w:hideMark/>
          </w:tcPr>
          <w:p w14:paraId="2F334620" w14:textId="197A4FE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7.7%</w:t>
            </w:r>
          </w:p>
        </w:tc>
        <w:tc>
          <w:tcPr>
            <w:tcW w:w="486" w:type="pct"/>
            <w:tcBorders>
              <w:top w:val="double" w:sz="4" w:space="0" w:color="auto"/>
              <w:left w:val="nil"/>
              <w:bottom w:val="nil"/>
              <w:right w:val="double" w:sz="4" w:space="0" w:color="auto"/>
            </w:tcBorders>
            <w:shd w:val="clear" w:color="auto" w:fill="auto"/>
            <w:noWrap/>
            <w:vAlign w:val="center"/>
            <w:hideMark/>
          </w:tcPr>
          <w:p w14:paraId="5D1602AE" w14:textId="51BB9868"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18.2%</w:t>
            </w:r>
          </w:p>
        </w:tc>
      </w:tr>
      <w:tr w:rsidR="00530825" w:rsidRPr="005C5FA6" w14:paraId="0C66C184" w14:textId="77777777" w:rsidTr="0069340B">
        <w:trPr>
          <w:trHeight w:val="20"/>
        </w:trPr>
        <w:tc>
          <w:tcPr>
            <w:tcW w:w="648" w:type="pct"/>
            <w:vMerge/>
            <w:tcBorders>
              <w:left w:val="double" w:sz="4" w:space="0" w:color="auto"/>
              <w:right w:val="single" w:sz="4" w:space="0" w:color="auto"/>
            </w:tcBorders>
            <w:vAlign w:val="center"/>
            <w:hideMark/>
          </w:tcPr>
          <w:p w14:paraId="13B508CD" w14:textId="0C33CF83" w:rsidR="00530825" w:rsidRPr="005C5FA6" w:rsidRDefault="00530825" w:rsidP="00D522B3">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231F6782"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06D2A133"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597ED321" w14:textId="41EAFF9F"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1313</w:t>
            </w:r>
          </w:p>
        </w:tc>
        <w:tc>
          <w:tcPr>
            <w:tcW w:w="487" w:type="pct"/>
            <w:tcBorders>
              <w:top w:val="nil"/>
              <w:left w:val="nil"/>
              <w:bottom w:val="dotted" w:sz="4" w:space="0" w:color="auto"/>
              <w:right w:val="double" w:sz="4" w:space="0" w:color="auto"/>
            </w:tcBorders>
            <w:shd w:val="clear" w:color="auto" w:fill="auto"/>
            <w:vAlign w:val="center"/>
            <w:hideMark/>
          </w:tcPr>
          <w:p w14:paraId="71767C44" w14:textId="6A0C7410"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56.3%</w:t>
            </w:r>
          </w:p>
        </w:tc>
        <w:tc>
          <w:tcPr>
            <w:tcW w:w="472" w:type="pct"/>
            <w:tcBorders>
              <w:top w:val="nil"/>
              <w:left w:val="double" w:sz="4" w:space="0" w:color="auto"/>
              <w:bottom w:val="dotted" w:sz="4" w:space="0" w:color="auto"/>
              <w:right w:val="nil"/>
            </w:tcBorders>
            <w:shd w:val="clear" w:color="auto" w:fill="auto"/>
            <w:noWrap/>
            <w:vAlign w:val="center"/>
            <w:hideMark/>
          </w:tcPr>
          <w:p w14:paraId="698A3064" w14:textId="387FA0C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1317</w:t>
            </w:r>
          </w:p>
        </w:tc>
        <w:tc>
          <w:tcPr>
            <w:tcW w:w="480" w:type="pct"/>
            <w:tcBorders>
              <w:top w:val="nil"/>
              <w:left w:val="nil"/>
              <w:bottom w:val="dotted" w:sz="4" w:space="0" w:color="auto"/>
              <w:right w:val="nil"/>
            </w:tcBorders>
            <w:shd w:val="clear" w:color="auto" w:fill="auto"/>
            <w:noWrap/>
            <w:vAlign w:val="center"/>
            <w:hideMark/>
          </w:tcPr>
          <w:p w14:paraId="756F578C" w14:textId="4C062E9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56.5%</w:t>
            </w:r>
          </w:p>
        </w:tc>
        <w:tc>
          <w:tcPr>
            <w:tcW w:w="454" w:type="pct"/>
            <w:tcBorders>
              <w:top w:val="nil"/>
              <w:left w:val="nil"/>
              <w:bottom w:val="dotted" w:sz="4" w:space="0" w:color="auto"/>
              <w:right w:val="double" w:sz="4" w:space="0" w:color="auto"/>
            </w:tcBorders>
            <w:shd w:val="clear" w:color="auto" w:fill="auto"/>
            <w:noWrap/>
            <w:vAlign w:val="center"/>
            <w:hideMark/>
          </w:tcPr>
          <w:p w14:paraId="4B7E934A" w14:textId="5B98915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0.3%</w:t>
            </w:r>
          </w:p>
        </w:tc>
        <w:tc>
          <w:tcPr>
            <w:tcW w:w="506" w:type="pct"/>
            <w:tcBorders>
              <w:top w:val="nil"/>
              <w:left w:val="double" w:sz="4" w:space="0" w:color="auto"/>
              <w:bottom w:val="dotted" w:sz="4" w:space="0" w:color="auto"/>
              <w:right w:val="nil"/>
            </w:tcBorders>
            <w:shd w:val="clear" w:color="auto" w:fill="auto"/>
            <w:noWrap/>
            <w:vAlign w:val="center"/>
            <w:hideMark/>
          </w:tcPr>
          <w:p w14:paraId="51E55A6B" w14:textId="7FE1953B"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1353</w:t>
            </w:r>
          </w:p>
        </w:tc>
        <w:tc>
          <w:tcPr>
            <w:tcW w:w="480" w:type="pct"/>
            <w:tcBorders>
              <w:top w:val="nil"/>
              <w:left w:val="nil"/>
              <w:bottom w:val="dotted" w:sz="4" w:space="0" w:color="auto"/>
              <w:right w:val="nil"/>
            </w:tcBorders>
            <w:shd w:val="clear" w:color="auto" w:fill="auto"/>
            <w:noWrap/>
            <w:vAlign w:val="center"/>
            <w:hideMark/>
          </w:tcPr>
          <w:p w14:paraId="66CAA139" w14:textId="4F370A4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58.0%</w:t>
            </w:r>
          </w:p>
        </w:tc>
        <w:tc>
          <w:tcPr>
            <w:tcW w:w="486" w:type="pct"/>
            <w:tcBorders>
              <w:top w:val="nil"/>
              <w:left w:val="nil"/>
              <w:bottom w:val="dotted" w:sz="4" w:space="0" w:color="auto"/>
              <w:right w:val="double" w:sz="4" w:space="0" w:color="auto"/>
            </w:tcBorders>
            <w:shd w:val="clear" w:color="auto" w:fill="auto"/>
            <w:noWrap/>
            <w:vAlign w:val="center"/>
            <w:hideMark/>
          </w:tcPr>
          <w:p w14:paraId="0697E632" w14:textId="49058C8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3.0%</w:t>
            </w:r>
          </w:p>
        </w:tc>
      </w:tr>
      <w:tr w:rsidR="00530825" w:rsidRPr="005C5FA6" w14:paraId="05FF828E" w14:textId="77777777" w:rsidTr="0069340B">
        <w:trPr>
          <w:trHeight w:val="20"/>
        </w:trPr>
        <w:tc>
          <w:tcPr>
            <w:tcW w:w="648" w:type="pct"/>
            <w:vMerge/>
            <w:tcBorders>
              <w:left w:val="double" w:sz="4" w:space="0" w:color="auto"/>
              <w:right w:val="single" w:sz="4" w:space="0" w:color="auto"/>
            </w:tcBorders>
            <w:vAlign w:val="center"/>
            <w:hideMark/>
          </w:tcPr>
          <w:p w14:paraId="5D1AA504" w14:textId="2A7803ED" w:rsidR="00530825" w:rsidRPr="005C5FA6" w:rsidRDefault="00530825" w:rsidP="00D522B3">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62396FE7"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NIPT</w:t>
            </w:r>
          </w:p>
        </w:tc>
        <w:tc>
          <w:tcPr>
            <w:tcW w:w="209" w:type="pct"/>
            <w:tcBorders>
              <w:top w:val="dotted" w:sz="4" w:space="0" w:color="auto"/>
              <w:left w:val="nil"/>
              <w:bottom w:val="nil"/>
              <w:right w:val="double" w:sz="4" w:space="0" w:color="auto"/>
            </w:tcBorders>
            <w:shd w:val="clear" w:color="auto" w:fill="auto"/>
            <w:vAlign w:val="center"/>
            <w:hideMark/>
          </w:tcPr>
          <w:p w14:paraId="5086EEDF"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6386C7D0" w14:textId="5B984C1B"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552</w:t>
            </w:r>
          </w:p>
        </w:tc>
        <w:tc>
          <w:tcPr>
            <w:tcW w:w="487" w:type="pct"/>
            <w:tcBorders>
              <w:top w:val="dotted" w:sz="4" w:space="0" w:color="auto"/>
              <w:left w:val="nil"/>
              <w:bottom w:val="nil"/>
              <w:right w:val="double" w:sz="4" w:space="0" w:color="auto"/>
            </w:tcBorders>
            <w:shd w:val="clear" w:color="auto" w:fill="auto"/>
            <w:vAlign w:val="center"/>
            <w:hideMark/>
          </w:tcPr>
          <w:p w14:paraId="44AC587E" w14:textId="0374B24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23.7%</w:t>
            </w:r>
          </w:p>
        </w:tc>
        <w:tc>
          <w:tcPr>
            <w:tcW w:w="472" w:type="pct"/>
            <w:tcBorders>
              <w:top w:val="dotted" w:sz="4" w:space="0" w:color="auto"/>
              <w:left w:val="double" w:sz="4" w:space="0" w:color="auto"/>
              <w:bottom w:val="nil"/>
              <w:right w:val="nil"/>
            </w:tcBorders>
            <w:shd w:val="clear" w:color="auto" w:fill="auto"/>
            <w:noWrap/>
            <w:vAlign w:val="center"/>
            <w:hideMark/>
          </w:tcPr>
          <w:p w14:paraId="22CBC320" w14:textId="0AD500D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486</w:t>
            </w:r>
          </w:p>
        </w:tc>
        <w:tc>
          <w:tcPr>
            <w:tcW w:w="480" w:type="pct"/>
            <w:tcBorders>
              <w:top w:val="dotted" w:sz="4" w:space="0" w:color="auto"/>
              <w:left w:val="nil"/>
              <w:bottom w:val="nil"/>
              <w:right w:val="nil"/>
            </w:tcBorders>
            <w:shd w:val="clear" w:color="auto" w:fill="auto"/>
            <w:noWrap/>
            <w:vAlign w:val="center"/>
            <w:hideMark/>
          </w:tcPr>
          <w:p w14:paraId="7E0964EF" w14:textId="05C7E8EB"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20.8%</w:t>
            </w:r>
          </w:p>
        </w:tc>
        <w:tc>
          <w:tcPr>
            <w:tcW w:w="454" w:type="pct"/>
            <w:tcBorders>
              <w:top w:val="dotted" w:sz="4" w:space="0" w:color="auto"/>
              <w:left w:val="nil"/>
              <w:bottom w:val="nil"/>
              <w:right w:val="double" w:sz="4" w:space="0" w:color="auto"/>
            </w:tcBorders>
            <w:shd w:val="clear" w:color="auto" w:fill="auto"/>
            <w:noWrap/>
            <w:vAlign w:val="center"/>
            <w:hideMark/>
          </w:tcPr>
          <w:p w14:paraId="49721B83" w14:textId="50B0FEF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12.0%</w:t>
            </w:r>
          </w:p>
        </w:tc>
        <w:tc>
          <w:tcPr>
            <w:tcW w:w="506" w:type="pct"/>
            <w:tcBorders>
              <w:top w:val="dotted" w:sz="4" w:space="0" w:color="auto"/>
              <w:left w:val="double" w:sz="4" w:space="0" w:color="auto"/>
              <w:bottom w:val="nil"/>
              <w:right w:val="nil"/>
            </w:tcBorders>
            <w:shd w:val="clear" w:color="auto" w:fill="auto"/>
            <w:noWrap/>
            <w:vAlign w:val="center"/>
            <w:hideMark/>
          </w:tcPr>
          <w:p w14:paraId="39963FA4" w14:textId="5891844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488</w:t>
            </w:r>
          </w:p>
        </w:tc>
        <w:tc>
          <w:tcPr>
            <w:tcW w:w="480" w:type="pct"/>
            <w:tcBorders>
              <w:top w:val="dotted" w:sz="4" w:space="0" w:color="auto"/>
              <w:left w:val="nil"/>
              <w:bottom w:val="nil"/>
              <w:right w:val="nil"/>
            </w:tcBorders>
            <w:shd w:val="clear" w:color="auto" w:fill="auto"/>
            <w:noWrap/>
            <w:vAlign w:val="center"/>
            <w:hideMark/>
          </w:tcPr>
          <w:p w14:paraId="54144241" w14:textId="5B7E86C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20.9%</w:t>
            </w:r>
          </w:p>
        </w:tc>
        <w:tc>
          <w:tcPr>
            <w:tcW w:w="486" w:type="pct"/>
            <w:tcBorders>
              <w:top w:val="dotted" w:sz="4" w:space="0" w:color="auto"/>
              <w:left w:val="nil"/>
              <w:bottom w:val="nil"/>
              <w:right w:val="double" w:sz="4" w:space="0" w:color="auto"/>
            </w:tcBorders>
            <w:shd w:val="clear" w:color="auto" w:fill="auto"/>
            <w:noWrap/>
            <w:vAlign w:val="center"/>
            <w:hideMark/>
          </w:tcPr>
          <w:p w14:paraId="283EA2FD" w14:textId="070C6B4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11.6%</w:t>
            </w:r>
          </w:p>
        </w:tc>
      </w:tr>
      <w:tr w:rsidR="00530825" w:rsidRPr="005C5FA6" w14:paraId="49CD7A41" w14:textId="77777777" w:rsidTr="0069340B">
        <w:trPr>
          <w:trHeight w:val="20"/>
        </w:trPr>
        <w:tc>
          <w:tcPr>
            <w:tcW w:w="648" w:type="pct"/>
            <w:vMerge/>
            <w:tcBorders>
              <w:left w:val="double" w:sz="4" w:space="0" w:color="auto"/>
              <w:right w:val="single" w:sz="4" w:space="0" w:color="auto"/>
            </w:tcBorders>
            <w:vAlign w:val="center"/>
            <w:hideMark/>
          </w:tcPr>
          <w:p w14:paraId="36402F5E" w14:textId="26E155D7" w:rsidR="00530825" w:rsidRPr="005C5FA6" w:rsidRDefault="00530825" w:rsidP="00D522B3">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57660250"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7F7396BE"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106AF581" w14:textId="018B9658"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981</w:t>
            </w:r>
          </w:p>
        </w:tc>
        <w:tc>
          <w:tcPr>
            <w:tcW w:w="487" w:type="pct"/>
            <w:tcBorders>
              <w:top w:val="nil"/>
              <w:left w:val="nil"/>
              <w:bottom w:val="dotted" w:sz="4" w:space="0" w:color="auto"/>
              <w:right w:val="double" w:sz="4" w:space="0" w:color="auto"/>
            </w:tcBorders>
            <w:shd w:val="clear" w:color="auto" w:fill="auto"/>
            <w:vAlign w:val="center"/>
            <w:hideMark/>
          </w:tcPr>
          <w:p w14:paraId="725920B7" w14:textId="767A9E8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42.0%</w:t>
            </w:r>
          </w:p>
        </w:tc>
        <w:tc>
          <w:tcPr>
            <w:tcW w:w="472" w:type="pct"/>
            <w:tcBorders>
              <w:top w:val="nil"/>
              <w:left w:val="double" w:sz="4" w:space="0" w:color="auto"/>
              <w:bottom w:val="dotted" w:sz="4" w:space="0" w:color="auto"/>
              <w:right w:val="nil"/>
            </w:tcBorders>
            <w:shd w:val="clear" w:color="auto" w:fill="auto"/>
            <w:noWrap/>
            <w:vAlign w:val="center"/>
            <w:hideMark/>
          </w:tcPr>
          <w:p w14:paraId="6048F7ED" w14:textId="40CB9AF8"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1047</w:t>
            </w:r>
          </w:p>
        </w:tc>
        <w:tc>
          <w:tcPr>
            <w:tcW w:w="480" w:type="pct"/>
            <w:tcBorders>
              <w:top w:val="nil"/>
              <w:left w:val="nil"/>
              <w:bottom w:val="dotted" w:sz="4" w:space="0" w:color="auto"/>
              <w:right w:val="nil"/>
            </w:tcBorders>
            <w:shd w:val="clear" w:color="auto" w:fill="auto"/>
            <w:noWrap/>
            <w:vAlign w:val="center"/>
            <w:hideMark/>
          </w:tcPr>
          <w:p w14:paraId="6A5C2B38" w14:textId="0169ABD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44.9%</w:t>
            </w:r>
          </w:p>
        </w:tc>
        <w:tc>
          <w:tcPr>
            <w:tcW w:w="454" w:type="pct"/>
            <w:tcBorders>
              <w:top w:val="nil"/>
              <w:left w:val="nil"/>
              <w:bottom w:val="dotted" w:sz="4" w:space="0" w:color="auto"/>
              <w:right w:val="double" w:sz="4" w:space="0" w:color="auto"/>
            </w:tcBorders>
            <w:shd w:val="clear" w:color="auto" w:fill="auto"/>
            <w:noWrap/>
            <w:vAlign w:val="center"/>
            <w:hideMark/>
          </w:tcPr>
          <w:p w14:paraId="6CF2E14D" w14:textId="4FF31660"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6.7%</w:t>
            </w:r>
          </w:p>
        </w:tc>
        <w:tc>
          <w:tcPr>
            <w:tcW w:w="506" w:type="pct"/>
            <w:tcBorders>
              <w:top w:val="nil"/>
              <w:left w:val="double" w:sz="4" w:space="0" w:color="auto"/>
              <w:bottom w:val="dotted" w:sz="4" w:space="0" w:color="auto"/>
              <w:right w:val="nil"/>
            </w:tcBorders>
            <w:shd w:val="clear" w:color="auto" w:fill="auto"/>
            <w:noWrap/>
            <w:vAlign w:val="center"/>
            <w:hideMark/>
          </w:tcPr>
          <w:p w14:paraId="3CBA3EA2" w14:textId="26D2C75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1045</w:t>
            </w:r>
          </w:p>
        </w:tc>
        <w:tc>
          <w:tcPr>
            <w:tcW w:w="480" w:type="pct"/>
            <w:tcBorders>
              <w:top w:val="nil"/>
              <w:left w:val="nil"/>
              <w:bottom w:val="dotted" w:sz="4" w:space="0" w:color="auto"/>
              <w:right w:val="nil"/>
            </w:tcBorders>
            <w:shd w:val="clear" w:color="auto" w:fill="auto"/>
            <w:noWrap/>
            <w:vAlign w:val="center"/>
            <w:hideMark/>
          </w:tcPr>
          <w:p w14:paraId="5001A9D6" w14:textId="778DA6F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44.8%</w:t>
            </w:r>
          </w:p>
        </w:tc>
        <w:tc>
          <w:tcPr>
            <w:tcW w:w="486" w:type="pct"/>
            <w:tcBorders>
              <w:top w:val="nil"/>
              <w:left w:val="nil"/>
              <w:bottom w:val="dotted" w:sz="4" w:space="0" w:color="auto"/>
              <w:right w:val="double" w:sz="4" w:space="0" w:color="auto"/>
            </w:tcBorders>
            <w:shd w:val="clear" w:color="auto" w:fill="auto"/>
            <w:noWrap/>
            <w:vAlign w:val="center"/>
            <w:hideMark/>
          </w:tcPr>
          <w:p w14:paraId="6ADD608A" w14:textId="2B527A23"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6.5%</w:t>
            </w:r>
          </w:p>
        </w:tc>
      </w:tr>
      <w:tr w:rsidR="00530825" w:rsidRPr="005C5FA6" w14:paraId="33A035A2" w14:textId="77777777" w:rsidTr="0069340B">
        <w:trPr>
          <w:trHeight w:val="20"/>
        </w:trPr>
        <w:tc>
          <w:tcPr>
            <w:tcW w:w="648" w:type="pct"/>
            <w:vMerge/>
            <w:tcBorders>
              <w:left w:val="double" w:sz="4" w:space="0" w:color="auto"/>
              <w:right w:val="single" w:sz="4" w:space="0" w:color="auto"/>
            </w:tcBorders>
            <w:vAlign w:val="center"/>
            <w:hideMark/>
          </w:tcPr>
          <w:p w14:paraId="6AD7EDA5" w14:textId="43E839E3" w:rsidR="00530825" w:rsidRPr="005C5FA6" w:rsidRDefault="00530825" w:rsidP="00D522B3">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dotted" w:sz="4" w:space="0" w:color="auto"/>
              <w:right w:val="nil"/>
            </w:tcBorders>
            <w:shd w:val="clear" w:color="auto" w:fill="auto"/>
            <w:vAlign w:val="center"/>
            <w:hideMark/>
          </w:tcPr>
          <w:p w14:paraId="78C4D191"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TNA</w:t>
            </w:r>
          </w:p>
        </w:tc>
        <w:tc>
          <w:tcPr>
            <w:tcW w:w="209" w:type="pct"/>
            <w:tcBorders>
              <w:top w:val="dotted" w:sz="4" w:space="0" w:color="auto"/>
              <w:left w:val="nil"/>
              <w:bottom w:val="nil"/>
              <w:right w:val="double" w:sz="4" w:space="0" w:color="auto"/>
            </w:tcBorders>
            <w:shd w:val="clear" w:color="auto" w:fill="auto"/>
            <w:vAlign w:val="center"/>
            <w:hideMark/>
          </w:tcPr>
          <w:p w14:paraId="31A8A6FB"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2E1AB60A" w14:textId="0C49D015"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105</w:t>
            </w:r>
          </w:p>
        </w:tc>
        <w:tc>
          <w:tcPr>
            <w:tcW w:w="487" w:type="pct"/>
            <w:tcBorders>
              <w:top w:val="dotted" w:sz="4" w:space="0" w:color="auto"/>
              <w:left w:val="nil"/>
              <w:bottom w:val="nil"/>
              <w:right w:val="double" w:sz="4" w:space="0" w:color="auto"/>
            </w:tcBorders>
            <w:shd w:val="clear" w:color="auto" w:fill="auto"/>
            <w:vAlign w:val="center"/>
            <w:hideMark/>
          </w:tcPr>
          <w:p w14:paraId="51C662B7" w14:textId="202DCFBB"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4.5%</w:t>
            </w:r>
          </w:p>
        </w:tc>
        <w:tc>
          <w:tcPr>
            <w:tcW w:w="472" w:type="pct"/>
            <w:tcBorders>
              <w:top w:val="dotted" w:sz="4" w:space="0" w:color="auto"/>
              <w:left w:val="double" w:sz="4" w:space="0" w:color="auto"/>
              <w:bottom w:val="nil"/>
              <w:right w:val="nil"/>
            </w:tcBorders>
            <w:shd w:val="clear" w:color="auto" w:fill="auto"/>
            <w:noWrap/>
            <w:vAlign w:val="center"/>
            <w:hideMark/>
          </w:tcPr>
          <w:p w14:paraId="42C5F274" w14:textId="0D86CE88"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119</w:t>
            </w:r>
          </w:p>
        </w:tc>
        <w:tc>
          <w:tcPr>
            <w:tcW w:w="480" w:type="pct"/>
            <w:tcBorders>
              <w:top w:val="dotted" w:sz="4" w:space="0" w:color="auto"/>
              <w:left w:val="nil"/>
              <w:bottom w:val="nil"/>
              <w:right w:val="nil"/>
            </w:tcBorders>
            <w:shd w:val="clear" w:color="auto" w:fill="auto"/>
            <w:noWrap/>
            <w:vAlign w:val="center"/>
            <w:hideMark/>
          </w:tcPr>
          <w:p w14:paraId="3EF31C2A" w14:textId="37F2FC6F"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5.1%</w:t>
            </w:r>
          </w:p>
        </w:tc>
        <w:tc>
          <w:tcPr>
            <w:tcW w:w="454" w:type="pct"/>
            <w:tcBorders>
              <w:top w:val="dotted" w:sz="4" w:space="0" w:color="auto"/>
              <w:left w:val="nil"/>
              <w:bottom w:val="nil"/>
              <w:right w:val="double" w:sz="4" w:space="0" w:color="auto"/>
            </w:tcBorders>
            <w:shd w:val="clear" w:color="auto" w:fill="auto"/>
            <w:noWrap/>
            <w:vAlign w:val="center"/>
            <w:hideMark/>
          </w:tcPr>
          <w:p w14:paraId="0F8C50CD" w14:textId="2C89137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13.3%</w:t>
            </w:r>
          </w:p>
        </w:tc>
        <w:tc>
          <w:tcPr>
            <w:tcW w:w="506" w:type="pct"/>
            <w:tcBorders>
              <w:top w:val="dotted" w:sz="4" w:space="0" w:color="auto"/>
              <w:left w:val="double" w:sz="4" w:space="0" w:color="auto"/>
              <w:bottom w:val="nil"/>
              <w:right w:val="nil"/>
            </w:tcBorders>
            <w:shd w:val="clear" w:color="auto" w:fill="auto"/>
            <w:noWrap/>
            <w:vAlign w:val="center"/>
            <w:hideMark/>
          </w:tcPr>
          <w:p w14:paraId="15047E46" w14:textId="63645FA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101</w:t>
            </w:r>
          </w:p>
        </w:tc>
        <w:tc>
          <w:tcPr>
            <w:tcW w:w="480" w:type="pct"/>
            <w:tcBorders>
              <w:top w:val="dotted" w:sz="4" w:space="0" w:color="auto"/>
              <w:left w:val="nil"/>
              <w:bottom w:val="nil"/>
              <w:right w:val="nil"/>
            </w:tcBorders>
            <w:shd w:val="clear" w:color="auto" w:fill="auto"/>
            <w:noWrap/>
            <w:vAlign w:val="center"/>
            <w:hideMark/>
          </w:tcPr>
          <w:p w14:paraId="686D06F0" w14:textId="2E16F47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4.3%</w:t>
            </w:r>
          </w:p>
        </w:tc>
        <w:tc>
          <w:tcPr>
            <w:tcW w:w="486" w:type="pct"/>
            <w:tcBorders>
              <w:top w:val="dotted" w:sz="4" w:space="0" w:color="auto"/>
              <w:left w:val="nil"/>
              <w:bottom w:val="nil"/>
              <w:right w:val="double" w:sz="4" w:space="0" w:color="auto"/>
            </w:tcBorders>
            <w:shd w:val="clear" w:color="auto" w:fill="auto"/>
            <w:noWrap/>
            <w:vAlign w:val="center"/>
            <w:hideMark/>
          </w:tcPr>
          <w:p w14:paraId="39B01847" w14:textId="29C74261"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3.8%</w:t>
            </w:r>
          </w:p>
        </w:tc>
      </w:tr>
      <w:tr w:rsidR="00530825" w:rsidRPr="005C5FA6" w14:paraId="3D60A5A9" w14:textId="77777777" w:rsidTr="0069340B">
        <w:trPr>
          <w:trHeight w:val="20"/>
        </w:trPr>
        <w:tc>
          <w:tcPr>
            <w:tcW w:w="648" w:type="pct"/>
            <w:vMerge/>
            <w:tcBorders>
              <w:left w:val="double" w:sz="4" w:space="0" w:color="auto"/>
              <w:right w:val="single" w:sz="4" w:space="0" w:color="auto"/>
            </w:tcBorders>
            <w:vAlign w:val="center"/>
            <w:hideMark/>
          </w:tcPr>
          <w:p w14:paraId="24365987" w14:textId="4C051B7A" w:rsidR="00530825" w:rsidRPr="005C5FA6" w:rsidRDefault="00530825" w:rsidP="00D522B3">
            <w:pPr>
              <w:spacing w:after="0" w:line="240" w:lineRule="auto"/>
              <w:rPr>
                <w:rFonts w:eastAsia="Times New Roman"/>
                <w:b/>
                <w:bCs/>
                <w:color w:val="000000"/>
                <w:sz w:val="20"/>
                <w:szCs w:val="20"/>
              </w:rPr>
            </w:pPr>
          </w:p>
        </w:tc>
        <w:tc>
          <w:tcPr>
            <w:tcW w:w="304" w:type="pct"/>
            <w:vMerge/>
            <w:tcBorders>
              <w:top w:val="double" w:sz="4" w:space="0" w:color="auto"/>
              <w:left w:val="single" w:sz="4" w:space="0" w:color="auto"/>
              <w:bottom w:val="dotted" w:sz="4" w:space="0" w:color="auto"/>
              <w:right w:val="nil"/>
            </w:tcBorders>
            <w:vAlign w:val="center"/>
            <w:hideMark/>
          </w:tcPr>
          <w:p w14:paraId="54154311"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4EBAD7C3"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70F445F4" w14:textId="2860C24A"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1428</w:t>
            </w:r>
          </w:p>
        </w:tc>
        <w:tc>
          <w:tcPr>
            <w:tcW w:w="487" w:type="pct"/>
            <w:tcBorders>
              <w:top w:val="nil"/>
              <w:left w:val="nil"/>
              <w:bottom w:val="dotted" w:sz="4" w:space="0" w:color="auto"/>
              <w:right w:val="double" w:sz="4" w:space="0" w:color="auto"/>
            </w:tcBorders>
            <w:shd w:val="clear" w:color="auto" w:fill="auto"/>
            <w:vAlign w:val="center"/>
            <w:hideMark/>
          </w:tcPr>
          <w:p w14:paraId="662C93FB" w14:textId="5ED2EDB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61.2%</w:t>
            </w:r>
          </w:p>
        </w:tc>
        <w:tc>
          <w:tcPr>
            <w:tcW w:w="472" w:type="pct"/>
            <w:tcBorders>
              <w:top w:val="nil"/>
              <w:left w:val="double" w:sz="4" w:space="0" w:color="auto"/>
              <w:bottom w:val="dotted" w:sz="4" w:space="0" w:color="auto"/>
              <w:right w:val="nil"/>
            </w:tcBorders>
            <w:shd w:val="clear" w:color="auto" w:fill="auto"/>
            <w:noWrap/>
            <w:vAlign w:val="center"/>
            <w:hideMark/>
          </w:tcPr>
          <w:p w14:paraId="5735E537" w14:textId="058545B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1414</w:t>
            </w:r>
          </w:p>
        </w:tc>
        <w:tc>
          <w:tcPr>
            <w:tcW w:w="480" w:type="pct"/>
            <w:tcBorders>
              <w:top w:val="nil"/>
              <w:left w:val="nil"/>
              <w:bottom w:val="dotted" w:sz="4" w:space="0" w:color="auto"/>
              <w:right w:val="nil"/>
            </w:tcBorders>
            <w:shd w:val="clear" w:color="auto" w:fill="auto"/>
            <w:noWrap/>
            <w:vAlign w:val="center"/>
            <w:hideMark/>
          </w:tcPr>
          <w:p w14:paraId="49A75170" w14:textId="21A83C0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60.6%</w:t>
            </w:r>
          </w:p>
        </w:tc>
        <w:tc>
          <w:tcPr>
            <w:tcW w:w="454" w:type="pct"/>
            <w:tcBorders>
              <w:top w:val="nil"/>
              <w:left w:val="nil"/>
              <w:bottom w:val="dotted" w:sz="4" w:space="0" w:color="auto"/>
              <w:right w:val="double" w:sz="4" w:space="0" w:color="auto"/>
            </w:tcBorders>
            <w:shd w:val="clear" w:color="auto" w:fill="auto"/>
            <w:noWrap/>
            <w:vAlign w:val="center"/>
            <w:hideMark/>
          </w:tcPr>
          <w:p w14:paraId="32EC0317" w14:textId="74AC731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w:t>
            </w:r>
          </w:p>
        </w:tc>
        <w:tc>
          <w:tcPr>
            <w:tcW w:w="506" w:type="pct"/>
            <w:tcBorders>
              <w:top w:val="nil"/>
              <w:left w:val="double" w:sz="4" w:space="0" w:color="auto"/>
              <w:bottom w:val="dotted" w:sz="4" w:space="0" w:color="auto"/>
              <w:right w:val="nil"/>
            </w:tcBorders>
            <w:shd w:val="clear" w:color="auto" w:fill="auto"/>
            <w:noWrap/>
            <w:vAlign w:val="center"/>
            <w:hideMark/>
          </w:tcPr>
          <w:p w14:paraId="233F552F" w14:textId="3730685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1432</w:t>
            </w:r>
          </w:p>
        </w:tc>
        <w:tc>
          <w:tcPr>
            <w:tcW w:w="480" w:type="pct"/>
            <w:tcBorders>
              <w:top w:val="nil"/>
              <w:left w:val="nil"/>
              <w:bottom w:val="dotted" w:sz="4" w:space="0" w:color="auto"/>
              <w:right w:val="nil"/>
            </w:tcBorders>
            <w:shd w:val="clear" w:color="auto" w:fill="auto"/>
            <w:noWrap/>
            <w:vAlign w:val="center"/>
            <w:hideMark/>
          </w:tcPr>
          <w:p w14:paraId="4FB3BF05" w14:textId="644EA66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61.4%</w:t>
            </w:r>
          </w:p>
        </w:tc>
        <w:tc>
          <w:tcPr>
            <w:tcW w:w="486" w:type="pct"/>
            <w:tcBorders>
              <w:top w:val="nil"/>
              <w:left w:val="nil"/>
              <w:bottom w:val="dotted" w:sz="4" w:space="0" w:color="auto"/>
              <w:right w:val="double" w:sz="4" w:space="0" w:color="auto"/>
            </w:tcBorders>
            <w:shd w:val="clear" w:color="auto" w:fill="auto"/>
            <w:noWrap/>
            <w:vAlign w:val="center"/>
            <w:hideMark/>
          </w:tcPr>
          <w:p w14:paraId="3DB3FF94" w14:textId="466CC750"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0.3%</w:t>
            </w:r>
          </w:p>
        </w:tc>
      </w:tr>
      <w:tr w:rsidR="00530825" w:rsidRPr="005C5FA6" w14:paraId="0A78BE8D" w14:textId="77777777" w:rsidTr="0069340B">
        <w:trPr>
          <w:trHeight w:val="20"/>
        </w:trPr>
        <w:tc>
          <w:tcPr>
            <w:tcW w:w="648" w:type="pct"/>
            <w:vMerge/>
            <w:tcBorders>
              <w:left w:val="double" w:sz="4" w:space="0" w:color="auto"/>
              <w:right w:val="single" w:sz="4" w:space="0" w:color="auto"/>
            </w:tcBorders>
            <w:vAlign w:val="center"/>
            <w:hideMark/>
          </w:tcPr>
          <w:p w14:paraId="3FC01684" w14:textId="1B52CE26" w:rsidR="00530825" w:rsidRPr="005C5FA6" w:rsidRDefault="00530825" w:rsidP="00D522B3">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472CA2CA"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POP</w:t>
            </w:r>
          </w:p>
        </w:tc>
        <w:tc>
          <w:tcPr>
            <w:tcW w:w="209" w:type="pct"/>
            <w:tcBorders>
              <w:top w:val="dotted" w:sz="4" w:space="0" w:color="auto"/>
              <w:left w:val="nil"/>
              <w:bottom w:val="nil"/>
              <w:right w:val="double" w:sz="4" w:space="0" w:color="auto"/>
            </w:tcBorders>
            <w:shd w:val="clear" w:color="auto" w:fill="auto"/>
            <w:vAlign w:val="center"/>
            <w:hideMark/>
          </w:tcPr>
          <w:p w14:paraId="166DFB3F"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144C6DE4" w14:textId="3712C3AB"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363</w:t>
            </w:r>
          </w:p>
        </w:tc>
        <w:tc>
          <w:tcPr>
            <w:tcW w:w="487" w:type="pct"/>
            <w:tcBorders>
              <w:top w:val="dotted" w:sz="4" w:space="0" w:color="auto"/>
              <w:left w:val="nil"/>
              <w:bottom w:val="nil"/>
              <w:right w:val="double" w:sz="4" w:space="0" w:color="auto"/>
            </w:tcBorders>
            <w:shd w:val="clear" w:color="auto" w:fill="auto"/>
            <w:vAlign w:val="center"/>
            <w:hideMark/>
          </w:tcPr>
          <w:p w14:paraId="53207AAD" w14:textId="4063FB1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15.6%</w:t>
            </w:r>
          </w:p>
        </w:tc>
        <w:tc>
          <w:tcPr>
            <w:tcW w:w="472" w:type="pct"/>
            <w:tcBorders>
              <w:top w:val="dotted" w:sz="4" w:space="0" w:color="auto"/>
              <w:left w:val="double" w:sz="4" w:space="0" w:color="auto"/>
              <w:bottom w:val="nil"/>
              <w:right w:val="nil"/>
            </w:tcBorders>
            <w:shd w:val="clear" w:color="auto" w:fill="auto"/>
            <w:noWrap/>
            <w:vAlign w:val="center"/>
            <w:hideMark/>
          </w:tcPr>
          <w:p w14:paraId="200F1731" w14:textId="120E0468"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339</w:t>
            </w:r>
          </w:p>
        </w:tc>
        <w:tc>
          <w:tcPr>
            <w:tcW w:w="480" w:type="pct"/>
            <w:tcBorders>
              <w:top w:val="dotted" w:sz="4" w:space="0" w:color="auto"/>
              <w:left w:val="nil"/>
              <w:bottom w:val="nil"/>
              <w:right w:val="nil"/>
            </w:tcBorders>
            <w:shd w:val="clear" w:color="auto" w:fill="auto"/>
            <w:noWrap/>
            <w:vAlign w:val="center"/>
            <w:hideMark/>
          </w:tcPr>
          <w:p w14:paraId="7DF96C31" w14:textId="2C55DA0D"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14.5%</w:t>
            </w:r>
          </w:p>
        </w:tc>
        <w:tc>
          <w:tcPr>
            <w:tcW w:w="454" w:type="pct"/>
            <w:tcBorders>
              <w:top w:val="dotted" w:sz="4" w:space="0" w:color="auto"/>
              <w:left w:val="nil"/>
              <w:bottom w:val="nil"/>
              <w:right w:val="double" w:sz="4" w:space="0" w:color="auto"/>
            </w:tcBorders>
            <w:shd w:val="clear" w:color="auto" w:fill="auto"/>
            <w:noWrap/>
            <w:vAlign w:val="center"/>
            <w:hideMark/>
          </w:tcPr>
          <w:p w14:paraId="64B8993F" w14:textId="76C6274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6.6%</w:t>
            </w:r>
          </w:p>
        </w:tc>
        <w:tc>
          <w:tcPr>
            <w:tcW w:w="506" w:type="pct"/>
            <w:tcBorders>
              <w:top w:val="dotted" w:sz="4" w:space="0" w:color="auto"/>
              <w:left w:val="double" w:sz="4" w:space="0" w:color="auto"/>
              <w:bottom w:val="nil"/>
              <w:right w:val="nil"/>
            </w:tcBorders>
            <w:shd w:val="clear" w:color="auto" w:fill="auto"/>
            <w:noWrap/>
            <w:vAlign w:val="center"/>
            <w:hideMark/>
          </w:tcPr>
          <w:p w14:paraId="18DBF30F" w14:textId="0CE1799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365</w:t>
            </w:r>
          </w:p>
        </w:tc>
        <w:tc>
          <w:tcPr>
            <w:tcW w:w="480" w:type="pct"/>
            <w:tcBorders>
              <w:top w:val="dotted" w:sz="4" w:space="0" w:color="auto"/>
              <w:left w:val="nil"/>
              <w:bottom w:val="nil"/>
              <w:right w:val="nil"/>
            </w:tcBorders>
            <w:shd w:val="clear" w:color="auto" w:fill="auto"/>
            <w:noWrap/>
            <w:vAlign w:val="center"/>
            <w:hideMark/>
          </w:tcPr>
          <w:p w14:paraId="490852E0" w14:textId="7EF4F52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15.6%</w:t>
            </w:r>
          </w:p>
        </w:tc>
        <w:tc>
          <w:tcPr>
            <w:tcW w:w="486" w:type="pct"/>
            <w:tcBorders>
              <w:top w:val="dotted" w:sz="4" w:space="0" w:color="auto"/>
              <w:left w:val="nil"/>
              <w:bottom w:val="nil"/>
              <w:right w:val="double" w:sz="4" w:space="0" w:color="auto"/>
            </w:tcBorders>
            <w:shd w:val="clear" w:color="auto" w:fill="auto"/>
            <w:noWrap/>
            <w:vAlign w:val="center"/>
            <w:hideMark/>
          </w:tcPr>
          <w:p w14:paraId="5F603FB4" w14:textId="085112B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0.6%</w:t>
            </w:r>
          </w:p>
        </w:tc>
      </w:tr>
      <w:tr w:rsidR="00530825" w:rsidRPr="005C5FA6" w14:paraId="4AA02FDD" w14:textId="77777777" w:rsidTr="0069340B">
        <w:trPr>
          <w:trHeight w:val="20"/>
        </w:trPr>
        <w:tc>
          <w:tcPr>
            <w:tcW w:w="648" w:type="pct"/>
            <w:vMerge/>
            <w:tcBorders>
              <w:left w:val="double" w:sz="4" w:space="0" w:color="auto"/>
              <w:right w:val="single" w:sz="4" w:space="0" w:color="auto"/>
            </w:tcBorders>
            <w:vAlign w:val="center"/>
            <w:hideMark/>
          </w:tcPr>
          <w:p w14:paraId="5532D8C0" w14:textId="77777777" w:rsidR="00530825" w:rsidRPr="005C5FA6" w:rsidRDefault="00530825"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1AB21A10"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3D9EA943"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0AD033D4" w14:textId="491D05C1"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1170</w:t>
            </w:r>
          </w:p>
        </w:tc>
        <w:tc>
          <w:tcPr>
            <w:tcW w:w="487" w:type="pct"/>
            <w:tcBorders>
              <w:top w:val="nil"/>
              <w:left w:val="nil"/>
              <w:bottom w:val="dotted" w:sz="4" w:space="0" w:color="auto"/>
              <w:right w:val="double" w:sz="4" w:space="0" w:color="auto"/>
            </w:tcBorders>
            <w:shd w:val="clear" w:color="auto" w:fill="auto"/>
            <w:vAlign w:val="center"/>
            <w:hideMark/>
          </w:tcPr>
          <w:p w14:paraId="7061003D" w14:textId="3C973A7E"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50.2%</w:t>
            </w:r>
          </w:p>
        </w:tc>
        <w:tc>
          <w:tcPr>
            <w:tcW w:w="472" w:type="pct"/>
            <w:tcBorders>
              <w:top w:val="nil"/>
              <w:left w:val="double" w:sz="4" w:space="0" w:color="auto"/>
              <w:bottom w:val="dotted" w:sz="4" w:space="0" w:color="auto"/>
              <w:right w:val="nil"/>
            </w:tcBorders>
            <w:shd w:val="clear" w:color="auto" w:fill="auto"/>
            <w:noWrap/>
            <w:vAlign w:val="center"/>
            <w:hideMark/>
          </w:tcPr>
          <w:p w14:paraId="54531527" w14:textId="2AE1C75D"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1194</w:t>
            </w:r>
          </w:p>
        </w:tc>
        <w:tc>
          <w:tcPr>
            <w:tcW w:w="480" w:type="pct"/>
            <w:tcBorders>
              <w:top w:val="nil"/>
              <w:left w:val="nil"/>
              <w:bottom w:val="dotted" w:sz="4" w:space="0" w:color="auto"/>
              <w:right w:val="nil"/>
            </w:tcBorders>
            <w:shd w:val="clear" w:color="auto" w:fill="auto"/>
            <w:noWrap/>
            <w:vAlign w:val="center"/>
            <w:hideMark/>
          </w:tcPr>
          <w:p w14:paraId="125F4FB7" w14:textId="3E6AF7E3"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51.2%</w:t>
            </w:r>
          </w:p>
        </w:tc>
        <w:tc>
          <w:tcPr>
            <w:tcW w:w="454" w:type="pct"/>
            <w:tcBorders>
              <w:top w:val="nil"/>
              <w:left w:val="nil"/>
              <w:bottom w:val="dotted" w:sz="4" w:space="0" w:color="auto"/>
              <w:right w:val="double" w:sz="4" w:space="0" w:color="auto"/>
            </w:tcBorders>
            <w:shd w:val="clear" w:color="auto" w:fill="auto"/>
            <w:noWrap/>
            <w:vAlign w:val="center"/>
            <w:hideMark/>
          </w:tcPr>
          <w:p w14:paraId="6D81CB16" w14:textId="351383DE"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2.1%</w:t>
            </w:r>
          </w:p>
        </w:tc>
        <w:tc>
          <w:tcPr>
            <w:tcW w:w="506" w:type="pct"/>
            <w:tcBorders>
              <w:top w:val="nil"/>
              <w:left w:val="double" w:sz="4" w:space="0" w:color="auto"/>
              <w:bottom w:val="dotted" w:sz="4" w:space="0" w:color="auto"/>
              <w:right w:val="nil"/>
            </w:tcBorders>
            <w:shd w:val="clear" w:color="auto" w:fill="auto"/>
            <w:noWrap/>
            <w:vAlign w:val="center"/>
            <w:hideMark/>
          </w:tcPr>
          <w:p w14:paraId="27590042" w14:textId="24E18823"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1168</w:t>
            </w:r>
          </w:p>
        </w:tc>
        <w:tc>
          <w:tcPr>
            <w:tcW w:w="480" w:type="pct"/>
            <w:tcBorders>
              <w:top w:val="nil"/>
              <w:left w:val="nil"/>
              <w:bottom w:val="dotted" w:sz="4" w:space="0" w:color="auto"/>
              <w:right w:val="nil"/>
            </w:tcBorders>
            <w:shd w:val="clear" w:color="auto" w:fill="auto"/>
            <w:noWrap/>
            <w:vAlign w:val="center"/>
            <w:hideMark/>
          </w:tcPr>
          <w:p w14:paraId="1C6BA1CB" w14:textId="0945D85F"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50.1%</w:t>
            </w:r>
          </w:p>
        </w:tc>
        <w:tc>
          <w:tcPr>
            <w:tcW w:w="486" w:type="pct"/>
            <w:tcBorders>
              <w:top w:val="nil"/>
              <w:left w:val="nil"/>
              <w:bottom w:val="dotted" w:sz="4" w:space="0" w:color="auto"/>
              <w:right w:val="double" w:sz="4" w:space="0" w:color="auto"/>
            </w:tcBorders>
            <w:shd w:val="clear" w:color="auto" w:fill="auto"/>
            <w:noWrap/>
            <w:vAlign w:val="center"/>
            <w:hideMark/>
          </w:tcPr>
          <w:p w14:paraId="682ABCF7" w14:textId="76258B2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0.2%</w:t>
            </w:r>
          </w:p>
        </w:tc>
      </w:tr>
      <w:tr w:rsidR="00530825" w:rsidRPr="005C5FA6" w14:paraId="4C2260FD" w14:textId="77777777" w:rsidTr="0069340B">
        <w:trPr>
          <w:trHeight w:val="20"/>
        </w:trPr>
        <w:tc>
          <w:tcPr>
            <w:tcW w:w="648" w:type="pct"/>
            <w:vMerge/>
            <w:tcBorders>
              <w:left w:val="double" w:sz="4" w:space="0" w:color="auto"/>
              <w:right w:val="single" w:sz="4" w:space="0" w:color="auto"/>
            </w:tcBorders>
            <w:vAlign w:val="center"/>
            <w:hideMark/>
          </w:tcPr>
          <w:p w14:paraId="7E590CD8" w14:textId="77777777" w:rsidR="00530825" w:rsidRPr="005C5FA6" w:rsidRDefault="00530825"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394EB953"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IPC</w:t>
            </w:r>
          </w:p>
        </w:tc>
        <w:tc>
          <w:tcPr>
            <w:tcW w:w="209" w:type="pct"/>
            <w:tcBorders>
              <w:top w:val="dotted" w:sz="4" w:space="0" w:color="auto"/>
              <w:left w:val="nil"/>
              <w:bottom w:val="nil"/>
              <w:right w:val="double" w:sz="4" w:space="0" w:color="auto"/>
            </w:tcBorders>
            <w:shd w:val="clear" w:color="auto" w:fill="auto"/>
            <w:vAlign w:val="center"/>
            <w:hideMark/>
          </w:tcPr>
          <w:p w14:paraId="1C286C90"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55D987C2" w14:textId="79D8569A"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403</w:t>
            </w:r>
          </w:p>
        </w:tc>
        <w:tc>
          <w:tcPr>
            <w:tcW w:w="487" w:type="pct"/>
            <w:tcBorders>
              <w:top w:val="dotted" w:sz="4" w:space="0" w:color="auto"/>
              <w:left w:val="nil"/>
              <w:bottom w:val="nil"/>
              <w:right w:val="double" w:sz="4" w:space="0" w:color="auto"/>
            </w:tcBorders>
            <w:shd w:val="clear" w:color="auto" w:fill="auto"/>
            <w:vAlign w:val="center"/>
            <w:hideMark/>
          </w:tcPr>
          <w:p w14:paraId="153A0734" w14:textId="5AC7D848"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17.3%</w:t>
            </w:r>
          </w:p>
        </w:tc>
        <w:tc>
          <w:tcPr>
            <w:tcW w:w="472" w:type="pct"/>
            <w:tcBorders>
              <w:top w:val="dotted" w:sz="4" w:space="0" w:color="auto"/>
              <w:left w:val="double" w:sz="4" w:space="0" w:color="auto"/>
              <w:bottom w:val="nil"/>
              <w:right w:val="nil"/>
            </w:tcBorders>
            <w:shd w:val="clear" w:color="auto" w:fill="auto"/>
            <w:noWrap/>
            <w:vAlign w:val="center"/>
            <w:hideMark/>
          </w:tcPr>
          <w:p w14:paraId="6E3314AE" w14:textId="7180B318"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414</w:t>
            </w:r>
          </w:p>
        </w:tc>
        <w:tc>
          <w:tcPr>
            <w:tcW w:w="480" w:type="pct"/>
            <w:tcBorders>
              <w:top w:val="dotted" w:sz="4" w:space="0" w:color="auto"/>
              <w:left w:val="nil"/>
              <w:bottom w:val="nil"/>
              <w:right w:val="nil"/>
            </w:tcBorders>
            <w:shd w:val="clear" w:color="auto" w:fill="auto"/>
            <w:noWrap/>
            <w:vAlign w:val="center"/>
            <w:hideMark/>
          </w:tcPr>
          <w:p w14:paraId="38AD394B" w14:textId="1576B86F"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17.7%</w:t>
            </w:r>
          </w:p>
        </w:tc>
        <w:tc>
          <w:tcPr>
            <w:tcW w:w="454" w:type="pct"/>
            <w:tcBorders>
              <w:top w:val="dotted" w:sz="4" w:space="0" w:color="auto"/>
              <w:left w:val="nil"/>
              <w:bottom w:val="nil"/>
              <w:right w:val="double" w:sz="4" w:space="0" w:color="auto"/>
            </w:tcBorders>
            <w:shd w:val="clear" w:color="auto" w:fill="auto"/>
            <w:noWrap/>
            <w:vAlign w:val="center"/>
            <w:hideMark/>
          </w:tcPr>
          <w:p w14:paraId="687BC33E" w14:textId="18269BA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2.7%</w:t>
            </w:r>
          </w:p>
        </w:tc>
        <w:tc>
          <w:tcPr>
            <w:tcW w:w="506" w:type="pct"/>
            <w:tcBorders>
              <w:top w:val="dotted" w:sz="4" w:space="0" w:color="auto"/>
              <w:left w:val="double" w:sz="4" w:space="0" w:color="auto"/>
              <w:bottom w:val="nil"/>
              <w:right w:val="nil"/>
            </w:tcBorders>
            <w:shd w:val="clear" w:color="auto" w:fill="auto"/>
            <w:noWrap/>
            <w:vAlign w:val="center"/>
            <w:hideMark/>
          </w:tcPr>
          <w:p w14:paraId="6EFE08EC" w14:textId="25FD745E"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440</w:t>
            </w:r>
          </w:p>
        </w:tc>
        <w:tc>
          <w:tcPr>
            <w:tcW w:w="480" w:type="pct"/>
            <w:tcBorders>
              <w:top w:val="dotted" w:sz="4" w:space="0" w:color="auto"/>
              <w:left w:val="nil"/>
              <w:bottom w:val="nil"/>
              <w:right w:val="nil"/>
            </w:tcBorders>
            <w:shd w:val="clear" w:color="auto" w:fill="auto"/>
            <w:noWrap/>
            <w:vAlign w:val="center"/>
            <w:hideMark/>
          </w:tcPr>
          <w:p w14:paraId="22A9390D" w14:textId="6E20105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18.9%</w:t>
            </w:r>
          </w:p>
        </w:tc>
        <w:tc>
          <w:tcPr>
            <w:tcW w:w="486" w:type="pct"/>
            <w:tcBorders>
              <w:top w:val="dotted" w:sz="4" w:space="0" w:color="auto"/>
              <w:left w:val="nil"/>
              <w:bottom w:val="nil"/>
              <w:right w:val="double" w:sz="4" w:space="0" w:color="auto"/>
            </w:tcBorders>
            <w:shd w:val="clear" w:color="auto" w:fill="auto"/>
            <w:noWrap/>
            <w:vAlign w:val="center"/>
            <w:hideMark/>
          </w:tcPr>
          <w:p w14:paraId="50FE702D" w14:textId="00C95FD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9.2%</w:t>
            </w:r>
          </w:p>
        </w:tc>
      </w:tr>
      <w:tr w:rsidR="00530825" w:rsidRPr="005C5FA6" w14:paraId="4C29A97A" w14:textId="77777777" w:rsidTr="0069340B">
        <w:trPr>
          <w:trHeight w:val="20"/>
        </w:trPr>
        <w:tc>
          <w:tcPr>
            <w:tcW w:w="648" w:type="pct"/>
            <w:vMerge/>
            <w:tcBorders>
              <w:left w:val="double" w:sz="4" w:space="0" w:color="auto"/>
              <w:right w:val="single" w:sz="4" w:space="0" w:color="auto"/>
            </w:tcBorders>
            <w:vAlign w:val="center"/>
            <w:hideMark/>
          </w:tcPr>
          <w:p w14:paraId="5DEFA04D" w14:textId="77777777" w:rsidR="00530825" w:rsidRPr="005C5FA6" w:rsidRDefault="00530825"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4CE5945F"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1E79D7A8"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43530506" w14:textId="515E273D"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1130</w:t>
            </w:r>
          </w:p>
        </w:tc>
        <w:tc>
          <w:tcPr>
            <w:tcW w:w="487" w:type="pct"/>
            <w:tcBorders>
              <w:top w:val="nil"/>
              <w:left w:val="nil"/>
              <w:bottom w:val="dotted" w:sz="4" w:space="0" w:color="auto"/>
              <w:right w:val="double" w:sz="4" w:space="0" w:color="auto"/>
            </w:tcBorders>
            <w:shd w:val="clear" w:color="auto" w:fill="auto"/>
            <w:vAlign w:val="center"/>
            <w:hideMark/>
          </w:tcPr>
          <w:p w14:paraId="62F48B79" w14:textId="35A668F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48.4%</w:t>
            </w:r>
          </w:p>
        </w:tc>
        <w:tc>
          <w:tcPr>
            <w:tcW w:w="472" w:type="pct"/>
            <w:tcBorders>
              <w:top w:val="nil"/>
              <w:left w:val="double" w:sz="4" w:space="0" w:color="auto"/>
              <w:bottom w:val="dotted" w:sz="4" w:space="0" w:color="auto"/>
              <w:right w:val="nil"/>
            </w:tcBorders>
            <w:shd w:val="clear" w:color="auto" w:fill="auto"/>
            <w:noWrap/>
            <w:vAlign w:val="center"/>
            <w:hideMark/>
          </w:tcPr>
          <w:p w14:paraId="5A97880F" w14:textId="73333E1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1119</w:t>
            </w:r>
          </w:p>
        </w:tc>
        <w:tc>
          <w:tcPr>
            <w:tcW w:w="480" w:type="pct"/>
            <w:tcBorders>
              <w:top w:val="nil"/>
              <w:left w:val="nil"/>
              <w:bottom w:val="dotted" w:sz="4" w:space="0" w:color="auto"/>
              <w:right w:val="nil"/>
            </w:tcBorders>
            <w:shd w:val="clear" w:color="auto" w:fill="auto"/>
            <w:noWrap/>
            <w:vAlign w:val="center"/>
            <w:hideMark/>
          </w:tcPr>
          <w:p w14:paraId="024B7EE5" w14:textId="6A799E2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48.0%</w:t>
            </w:r>
          </w:p>
        </w:tc>
        <w:tc>
          <w:tcPr>
            <w:tcW w:w="454" w:type="pct"/>
            <w:tcBorders>
              <w:top w:val="nil"/>
              <w:left w:val="nil"/>
              <w:bottom w:val="dotted" w:sz="4" w:space="0" w:color="auto"/>
              <w:right w:val="double" w:sz="4" w:space="0" w:color="auto"/>
            </w:tcBorders>
            <w:shd w:val="clear" w:color="auto" w:fill="auto"/>
            <w:noWrap/>
            <w:vAlign w:val="center"/>
            <w:hideMark/>
          </w:tcPr>
          <w:p w14:paraId="254FC9B2" w14:textId="0B028E2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w:t>
            </w:r>
          </w:p>
        </w:tc>
        <w:tc>
          <w:tcPr>
            <w:tcW w:w="506" w:type="pct"/>
            <w:tcBorders>
              <w:top w:val="nil"/>
              <w:left w:val="double" w:sz="4" w:space="0" w:color="auto"/>
              <w:bottom w:val="dotted" w:sz="4" w:space="0" w:color="auto"/>
              <w:right w:val="nil"/>
            </w:tcBorders>
            <w:shd w:val="clear" w:color="auto" w:fill="auto"/>
            <w:noWrap/>
            <w:vAlign w:val="center"/>
            <w:hideMark/>
          </w:tcPr>
          <w:p w14:paraId="00F9757B" w14:textId="26F1DB71"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1093</w:t>
            </w:r>
          </w:p>
        </w:tc>
        <w:tc>
          <w:tcPr>
            <w:tcW w:w="480" w:type="pct"/>
            <w:tcBorders>
              <w:top w:val="nil"/>
              <w:left w:val="nil"/>
              <w:bottom w:val="dotted" w:sz="4" w:space="0" w:color="auto"/>
              <w:right w:val="nil"/>
            </w:tcBorders>
            <w:shd w:val="clear" w:color="auto" w:fill="auto"/>
            <w:noWrap/>
            <w:vAlign w:val="center"/>
            <w:hideMark/>
          </w:tcPr>
          <w:p w14:paraId="7D1CA28E" w14:textId="63B58C01"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46.8%</w:t>
            </w:r>
          </w:p>
        </w:tc>
        <w:tc>
          <w:tcPr>
            <w:tcW w:w="486" w:type="pct"/>
            <w:tcBorders>
              <w:top w:val="nil"/>
              <w:left w:val="nil"/>
              <w:bottom w:val="dotted" w:sz="4" w:space="0" w:color="auto"/>
              <w:right w:val="double" w:sz="4" w:space="0" w:color="auto"/>
            </w:tcBorders>
            <w:shd w:val="clear" w:color="auto" w:fill="auto"/>
            <w:noWrap/>
            <w:vAlign w:val="center"/>
            <w:hideMark/>
          </w:tcPr>
          <w:p w14:paraId="4E952E9A" w14:textId="2629E0BB"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3.3%</w:t>
            </w:r>
          </w:p>
        </w:tc>
      </w:tr>
      <w:tr w:rsidR="00530825" w:rsidRPr="005C5FA6" w14:paraId="5A53A2F5" w14:textId="77777777" w:rsidTr="0069340B">
        <w:trPr>
          <w:trHeight w:val="20"/>
        </w:trPr>
        <w:tc>
          <w:tcPr>
            <w:tcW w:w="648" w:type="pct"/>
            <w:vMerge/>
            <w:tcBorders>
              <w:left w:val="double" w:sz="4" w:space="0" w:color="auto"/>
              <w:right w:val="single" w:sz="4" w:space="0" w:color="auto"/>
            </w:tcBorders>
            <w:vAlign w:val="center"/>
            <w:hideMark/>
          </w:tcPr>
          <w:p w14:paraId="75579DDC" w14:textId="77777777" w:rsidR="00530825" w:rsidRPr="005C5FA6" w:rsidRDefault="00530825"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3D4FFA62"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NTC</w:t>
            </w:r>
          </w:p>
        </w:tc>
        <w:tc>
          <w:tcPr>
            <w:tcW w:w="209" w:type="pct"/>
            <w:tcBorders>
              <w:top w:val="dotted" w:sz="4" w:space="0" w:color="auto"/>
              <w:left w:val="nil"/>
              <w:bottom w:val="nil"/>
              <w:right w:val="double" w:sz="4" w:space="0" w:color="auto"/>
            </w:tcBorders>
            <w:shd w:val="clear" w:color="auto" w:fill="auto"/>
            <w:vAlign w:val="center"/>
            <w:hideMark/>
          </w:tcPr>
          <w:p w14:paraId="40454603"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3C9BB4B6" w14:textId="0ACEA712"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169</w:t>
            </w:r>
          </w:p>
        </w:tc>
        <w:tc>
          <w:tcPr>
            <w:tcW w:w="487" w:type="pct"/>
            <w:tcBorders>
              <w:top w:val="dotted" w:sz="4" w:space="0" w:color="auto"/>
              <w:left w:val="nil"/>
              <w:bottom w:val="nil"/>
              <w:right w:val="double" w:sz="4" w:space="0" w:color="auto"/>
            </w:tcBorders>
            <w:shd w:val="clear" w:color="auto" w:fill="auto"/>
            <w:vAlign w:val="center"/>
            <w:hideMark/>
          </w:tcPr>
          <w:p w14:paraId="3C7078DE" w14:textId="6166805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7.2%</w:t>
            </w:r>
          </w:p>
        </w:tc>
        <w:tc>
          <w:tcPr>
            <w:tcW w:w="472" w:type="pct"/>
            <w:tcBorders>
              <w:top w:val="dotted" w:sz="4" w:space="0" w:color="auto"/>
              <w:left w:val="double" w:sz="4" w:space="0" w:color="auto"/>
              <w:bottom w:val="nil"/>
              <w:right w:val="nil"/>
            </w:tcBorders>
            <w:shd w:val="clear" w:color="auto" w:fill="auto"/>
            <w:noWrap/>
            <w:vAlign w:val="center"/>
            <w:hideMark/>
          </w:tcPr>
          <w:p w14:paraId="41D9B2D1" w14:textId="613A55F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149</w:t>
            </w:r>
          </w:p>
        </w:tc>
        <w:tc>
          <w:tcPr>
            <w:tcW w:w="480" w:type="pct"/>
            <w:tcBorders>
              <w:top w:val="dotted" w:sz="4" w:space="0" w:color="auto"/>
              <w:left w:val="nil"/>
              <w:bottom w:val="nil"/>
              <w:right w:val="nil"/>
            </w:tcBorders>
            <w:shd w:val="clear" w:color="auto" w:fill="auto"/>
            <w:noWrap/>
            <w:vAlign w:val="center"/>
            <w:hideMark/>
          </w:tcPr>
          <w:p w14:paraId="57ADD16B" w14:textId="569EBC7E"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6.4%</w:t>
            </w:r>
          </w:p>
        </w:tc>
        <w:tc>
          <w:tcPr>
            <w:tcW w:w="454" w:type="pct"/>
            <w:tcBorders>
              <w:top w:val="dotted" w:sz="4" w:space="0" w:color="auto"/>
              <w:left w:val="nil"/>
              <w:bottom w:val="nil"/>
              <w:right w:val="double" w:sz="4" w:space="0" w:color="auto"/>
            </w:tcBorders>
            <w:shd w:val="clear" w:color="auto" w:fill="auto"/>
            <w:noWrap/>
            <w:vAlign w:val="center"/>
            <w:hideMark/>
          </w:tcPr>
          <w:p w14:paraId="4247D960" w14:textId="23D2189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11.8%</w:t>
            </w:r>
          </w:p>
        </w:tc>
        <w:tc>
          <w:tcPr>
            <w:tcW w:w="506" w:type="pct"/>
            <w:tcBorders>
              <w:top w:val="dotted" w:sz="4" w:space="0" w:color="auto"/>
              <w:left w:val="double" w:sz="4" w:space="0" w:color="auto"/>
              <w:bottom w:val="nil"/>
              <w:right w:val="nil"/>
            </w:tcBorders>
            <w:shd w:val="clear" w:color="auto" w:fill="auto"/>
            <w:noWrap/>
            <w:vAlign w:val="center"/>
            <w:hideMark/>
          </w:tcPr>
          <w:p w14:paraId="596B1A1B" w14:textId="57A3FB1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182</w:t>
            </w:r>
          </w:p>
        </w:tc>
        <w:tc>
          <w:tcPr>
            <w:tcW w:w="480" w:type="pct"/>
            <w:tcBorders>
              <w:top w:val="dotted" w:sz="4" w:space="0" w:color="auto"/>
              <w:left w:val="nil"/>
              <w:bottom w:val="nil"/>
              <w:right w:val="nil"/>
            </w:tcBorders>
            <w:shd w:val="clear" w:color="auto" w:fill="auto"/>
            <w:noWrap/>
            <w:vAlign w:val="center"/>
            <w:hideMark/>
          </w:tcPr>
          <w:p w14:paraId="7CD55CAA" w14:textId="15D4C74F"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7.8%</w:t>
            </w:r>
          </w:p>
        </w:tc>
        <w:tc>
          <w:tcPr>
            <w:tcW w:w="486" w:type="pct"/>
            <w:tcBorders>
              <w:top w:val="dotted" w:sz="4" w:space="0" w:color="auto"/>
              <w:left w:val="nil"/>
              <w:bottom w:val="nil"/>
              <w:right w:val="double" w:sz="4" w:space="0" w:color="auto"/>
            </w:tcBorders>
            <w:shd w:val="clear" w:color="auto" w:fill="auto"/>
            <w:noWrap/>
            <w:vAlign w:val="center"/>
            <w:hideMark/>
          </w:tcPr>
          <w:p w14:paraId="2050E450" w14:textId="4DA857AC"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7.7%</w:t>
            </w:r>
          </w:p>
        </w:tc>
      </w:tr>
      <w:tr w:rsidR="00530825" w:rsidRPr="005C5FA6" w14:paraId="238A1463" w14:textId="77777777" w:rsidTr="0069340B">
        <w:trPr>
          <w:trHeight w:val="20"/>
        </w:trPr>
        <w:tc>
          <w:tcPr>
            <w:tcW w:w="648" w:type="pct"/>
            <w:vMerge/>
            <w:tcBorders>
              <w:left w:val="double" w:sz="4" w:space="0" w:color="auto"/>
              <w:right w:val="single" w:sz="4" w:space="0" w:color="auto"/>
            </w:tcBorders>
            <w:vAlign w:val="center"/>
            <w:hideMark/>
          </w:tcPr>
          <w:p w14:paraId="559F7F4C" w14:textId="77777777" w:rsidR="00530825" w:rsidRPr="005C5FA6" w:rsidRDefault="00530825"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tted" w:sz="4" w:space="0" w:color="auto"/>
              <w:right w:val="nil"/>
            </w:tcBorders>
            <w:vAlign w:val="center"/>
            <w:hideMark/>
          </w:tcPr>
          <w:p w14:paraId="62E36ED5"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tted" w:sz="4" w:space="0" w:color="auto"/>
              <w:right w:val="double" w:sz="4" w:space="0" w:color="auto"/>
            </w:tcBorders>
            <w:shd w:val="clear" w:color="auto" w:fill="auto"/>
            <w:vAlign w:val="center"/>
            <w:hideMark/>
          </w:tcPr>
          <w:p w14:paraId="4A1FD49E"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tted" w:sz="4" w:space="0" w:color="auto"/>
              <w:right w:val="nil"/>
            </w:tcBorders>
            <w:shd w:val="clear" w:color="auto" w:fill="auto"/>
            <w:vAlign w:val="center"/>
            <w:hideMark/>
          </w:tcPr>
          <w:p w14:paraId="422C992D" w14:textId="5DE6F538"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1364</w:t>
            </w:r>
          </w:p>
        </w:tc>
        <w:tc>
          <w:tcPr>
            <w:tcW w:w="487" w:type="pct"/>
            <w:tcBorders>
              <w:top w:val="nil"/>
              <w:left w:val="nil"/>
              <w:bottom w:val="dotted" w:sz="4" w:space="0" w:color="auto"/>
              <w:right w:val="double" w:sz="4" w:space="0" w:color="auto"/>
            </w:tcBorders>
            <w:shd w:val="clear" w:color="auto" w:fill="auto"/>
            <w:vAlign w:val="center"/>
            <w:hideMark/>
          </w:tcPr>
          <w:p w14:paraId="43FD1CC7" w14:textId="24E59554"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58.5%</w:t>
            </w:r>
          </w:p>
        </w:tc>
        <w:tc>
          <w:tcPr>
            <w:tcW w:w="472" w:type="pct"/>
            <w:tcBorders>
              <w:top w:val="nil"/>
              <w:left w:val="double" w:sz="4" w:space="0" w:color="auto"/>
              <w:bottom w:val="dotted" w:sz="4" w:space="0" w:color="auto"/>
              <w:right w:val="nil"/>
            </w:tcBorders>
            <w:shd w:val="clear" w:color="auto" w:fill="auto"/>
            <w:noWrap/>
            <w:vAlign w:val="center"/>
            <w:hideMark/>
          </w:tcPr>
          <w:p w14:paraId="6045D86E" w14:textId="5AD1006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1384</w:t>
            </w:r>
          </w:p>
        </w:tc>
        <w:tc>
          <w:tcPr>
            <w:tcW w:w="480" w:type="pct"/>
            <w:tcBorders>
              <w:top w:val="nil"/>
              <w:left w:val="nil"/>
              <w:bottom w:val="dotted" w:sz="4" w:space="0" w:color="auto"/>
              <w:right w:val="nil"/>
            </w:tcBorders>
            <w:shd w:val="clear" w:color="auto" w:fill="auto"/>
            <w:noWrap/>
            <w:vAlign w:val="center"/>
            <w:hideMark/>
          </w:tcPr>
          <w:p w14:paraId="728CE181" w14:textId="50161BD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59.3%</w:t>
            </w:r>
          </w:p>
        </w:tc>
        <w:tc>
          <w:tcPr>
            <w:tcW w:w="454" w:type="pct"/>
            <w:tcBorders>
              <w:top w:val="nil"/>
              <w:left w:val="nil"/>
              <w:bottom w:val="dotted" w:sz="4" w:space="0" w:color="auto"/>
              <w:right w:val="double" w:sz="4" w:space="0" w:color="auto"/>
            </w:tcBorders>
            <w:shd w:val="clear" w:color="auto" w:fill="auto"/>
            <w:noWrap/>
            <w:vAlign w:val="center"/>
            <w:hideMark/>
          </w:tcPr>
          <w:p w14:paraId="21B40122" w14:textId="7E0DF2E2"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1.5%</w:t>
            </w:r>
          </w:p>
        </w:tc>
        <w:tc>
          <w:tcPr>
            <w:tcW w:w="506" w:type="pct"/>
            <w:tcBorders>
              <w:top w:val="nil"/>
              <w:left w:val="double" w:sz="4" w:space="0" w:color="auto"/>
              <w:bottom w:val="dotted" w:sz="4" w:space="0" w:color="auto"/>
              <w:right w:val="nil"/>
            </w:tcBorders>
            <w:shd w:val="clear" w:color="auto" w:fill="auto"/>
            <w:noWrap/>
            <w:vAlign w:val="center"/>
            <w:hideMark/>
          </w:tcPr>
          <w:p w14:paraId="119C4527" w14:textId="4226304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1351</w:t>
            </w:r>
          </w:p>
        </w:tc>
        <w:tc>
          <w:tcPr>
            <w:tcW w:w="480" w:type="pct"/>
            <w:tcBorders>
              <w:top w:val="nil"/>
              <w:left w:val="nil"/>
              <w:bottom w:val="dotted" w:sz="4" w:space="0" w:color="auto"/>
              <w:right w:val="nil"/>
            </w:tcBorders>
            <w:shd w:val="clear" w:color="auto" w:fill="auto"/>
            <w:noWrap/>
            <w:vAlign w:val="center"/>
            <w:hideMark/>
          </w:tcPr>
          <w:p w14:paraId="3315ADCE" w14:textId="73C9552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57.9%</w:t>
            </w:r>
          </w:p>
        </w:tc>
        <w:tc>
          <w:tcPr>
            <w:tcW w:w="486" w:type="pct"/>
            <w:tcBorders>
              <w:top w:val="nil"/>
              <w:left w:val="nil"/>
              <w:bottom w:val="dotted" w:sz="4" w:space="0" w:color="auto"/>
              <w:right w:val="double" w:sz="4" w:space="0" w:color="auto"/>
            </w:tcBorders>
            <w:shd w:val="clear" w:color="auto" w:fill="auto"/>
            <w:noWrap/>
            <w:vAlign w:val="center"/>
            <w:hideMark/>
          </w:tcPr>
          <w:p w14:paraId="61B979FF" w14:textId="2EC2495B"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1.0%</w:t>
            </w:r>
          </w:p>
        </w:tc>
      </w:tr>
      <w:tr w:rsidR="00530825" w:rsidRPr="005C5FA6" w14:paraId="2CA8118D" w14:textId="77777777" w:rsidTr="0069340B">
        <w:trPr>
          <w:trHeight w:val="20"/>
        </w:trPr>
        <w:tc>
          <w:tcPr>
            <w:tcW w:w="648" w:type="pct"/>
            <w:vMerge/>
            <w:tcBorders>
              <w:left w:val="double" w:sz="4" w:space="0" w:color="auto"/>
              <w:right w:val="single" w:sz="4" w:space="0" w:color="auto"/>
            </w:tcBorders>
            <w:vAlign w:val="center"/>
            <w:hideMark/>
          </w:tcPr>
          <w:p w14:paraId="033CF143" w14:textId="77777777" w:rsidR="00530825" w:rsidRPr="005C5FA6" w:rsidRDefault="00530825" w:rsidP="00187DD0">
            <w:pPr>
              <w:spacing w:after="0" w:line="240" w:lineRule="auto"/>
              <w:rPr>
                <w:rFonts w:eastAsia="Times New Roman"/>
                <w:b/>
                <w:bCs/>
                <w:color w:val="000000"/>
                <w:sz w:val="20"/>
                <w:szCs w:val="20"/>
              </w:rPr>
            </w:pPr>
          </w:p>
        </w:tc>
        <w:tc>
          <w:tcPr>
            <w:tcW w:w="304" w:type="pct"/>
            <w:vMerge w:val="restart"/>
            <w:tcBorders>
              <w:top w:val="dotted" w:sz="4" w:space="0" w:color="auto"/>
              <w:left w:val="single" w:sz="4" w:space="0" w:color="auto"/>
              <w:bottom w:val="nil"/>
              <w:right w:val="nil"/>
            </w:tcBorders>
            <w:shd w:val="clear" w:color="auto" w:fill="auto"/>
            <w:vAlign w:val="center"/>
            <w:hideMark/>
          </w:tcPr>
          <w:p w14:paraId="54003BE7" w14:textId="77777777" w:rsidR="00530825" w:rsidRPr="005C5FA6" w:rsidRDefault="00530825" w:rsidP="00187DD0">
            <w:pPr>
              <w:spacing w:after="0" w:line="240" w:lineRule="auto"/>
              <w:jc w:val="center"/>
              <w:rPr>
                <w:rFonts w:eastAsia="Times New Roman"/>
                <w:b/>
                <w:bCs/>
                <w:color w:val="000000"/>
                <w:sz w:val="20"/>
                <w:szCs w:val="20"/>
              </w:rPr>
            </w:pPr>
            <w:r w:rsidRPr="005C5FA6">
              <w:rPr>
                <w:rFonts w:eastAsia="Times New Roman"/>
                <w:b/>
                <w:bCs/>
                <w:color w:val="000000"/>
                <w:sz w:val="20"/>
                <w:szCs w:val="20"/>
              </w:rPr>
              <w:t>TSC</w:t>
            </w:r>
          </w:p>
        </w:tc>
        <w:tc>
          <w:tcPr>
            <w:tcW w:w="209" w:type="pct"/>
            <w:tcBorders>
              <w:top w:val="dotted" w:sz="4" w:space="0" w:color="auto"/>
              <w:left w:val="nil"/>
              <w:bottom w:val="nil"/>
              <w:right w:val="double" w:sz="4" w:space="0" w:color="auto"/>
            </w:tcBorders>
            <w:shd w:val="clear" w:color="auto" w:fill="auto"/>
            <w:vAlign w:val="center"/>
            <w:hideMark/>
          </w:tcPr>
          <w:p w14:paraId="2806FF56"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Yes</w:t>
            </w:r>
          </w:p>
        </w:tc>
        <w:tc>
          <w:tcPr>
            <w:tcW w:w="474" w:type="pct"/>
            <w:tcBorders>
              <w:top w:val="dotted" w:sz="4" w:space="0" w:color="auto"/>
              <w:left w:val="double" w:sz="4" w:space="0" w:color="auto"/>
              <w:bottom w:val="nil"/>
              <w:right w:val="nil"/>
            </w:tcBorders>
            <w:shd w:val="clear" w:color="auto" w:fill="auto"/>
            <w:vAlign w:val="center"/>
            <w:hideMark/>
          </w:tcPr>
          <w:p w14:paraId="2F7E5EBC" w14:textId="7C28AE72"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116</w:t>
            </w:r>
          </w:p>
        </w:tc>
        <w:tc>
          <w:tcPr>
            <w:tcW w:w="487" w:type="pct"/>
            <w:tcBorders>
              <w:top w:val="dotted" w:sz="4" w:space="0" w:color="auto"/>
              <w:left w:val="nil"/>
              <w:bottom w:val="nil"/>
              <w:right w:val="double" w:sz="4" w:space="0" w:color="auto"/>
            </w:tcBorders>
            <w:shd w:val="clear" w:color="auto" w:fill="auto"/>
            <w:vAlign w:val="center"/>
            <w:hideMark/>
          </w:tcPr>
          <w:p w14:paraId="1E0519A2" w14:textId="3F2165F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5.0%</w:t>
            </w:r>
          </w:p>
        </w:tc>
        <w:tc>
          <w:tcPr>
            <w:tcW w:w="472" w:type="pct"/>
            <w:tcBorders>
              <w:top w:val="dotted" w:sz="4" w:space="0" w:color="auto"/>
              <w:left w:val="double" w:sz="4" w:space="0" w:color="auto"/>
              <w:bottom w:val="nil"/>
              <w:right w:val="nil"/>
            </w:tcBorders>
            <w:shd w:val="clear" w:color="auto" w:fill="auto"/>
            <w:noWrap/>
            <w:vAlign w:val="center"/>
            <w:hideMark/>
          </w:tcPr>
          <w:p w14:paraId="44B50C55" w14:textId="098F1121"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131</w:t>
            </w:r>
          </w:p>
        </w:tc>
        <w:tc>
          <w:tcPr>
            <w:tcW w:w="480" w:type="pct"/>
            <w:tcBorders>
              <w:top w:val="dotted" w:sz="4" w:space="0" w:color="auto"/>
              <w:left w:val="nil"/>
              <w:bottom w:val="nil"/>
              <w:right w:val="nil"/>
            </w:tcBorders>
            <w:shd w:val="clear" w:color="auto" w:fill="auto"/>
            <w:noWrap/>
            <w:vAlign w:val="center"/>
            <w:hideMark/>
          </w:tcPr>
          <w:p w14:paraId="70A6E05C" w14:textId="5E6E365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5.6%</w:t>
            </w:r>
          </w:p>
        </w:tc>
        <w:tc>
          <w:tcPr>
            <w:tcW w:w="454" w:type="pct"/>
            <w:tcBorders>
              <w:top w:val="dotted" w:sz="4" w:space="0" w:color="auto"/>
              <w:left w:val="nil"/>
              <w:bottom w:val="nil"/>
              <w:right w:val="double" w:sz="4" w:space="0" w:color="auto"/>
            </w:tcBorders>
            <w:shd w:val="clear" w:color="auto" w:fill="auto"/>
            <w:noWrap/>
            <w:vAlign w:val="center"/>
            <w:hideMark/>
          </w:tcPr>
          <w:p w14:paraId="4CFA0E33" w14:textId="0EFE276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12.9%</w:t>
            </w:r>
          </w:p>
        </w:tc>
        <w:tc>
          <w:tcPr>
            <w:tcW w:w="506" w:type="pct"/>
            <w:tcBorders>
              <w:top w:val="dotted" w:sz="4" w:space="0" w:color="auto"/>
              <w:left w:val="double" w:sz="4" w:space="0" w:color="auto"/>
              <w:bottom w:val="nil"/>
              <w:right w:val="nil"/>
            </w:tcBorders>
            <w:shd w:val="clear" w:color="auto" w:fill="auto"/>
            <w:noWrap/>
            <w:vAlign w:val="center"/>
            <w:hideMark/>
          </w:tcPr>
          <w:p w14:paraId="2FFFA035" w14:textId="3119371A"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157</w:t>
            </w:r>
          </w:p>
        </w:tc>
        <w:tc>
          <w:tcPr>
            <w:tcW w:w="480" w:type="pct"/>
            <w:tcBorders>
              <w:top w:val="dotted" w:sz="4" w:space="0" w:color="auto"/>
              <w:left w:val="nil"/>
              <w:bottom w:val="nil"/>
              <w:right w:val="nil"/>
            </w:tcBorders>
            <w:shd w:val="clear" w:color="auto" w:fill="auto"/>
            <w:noWrap/>
            <w:vAlign w:val="center"/>
            <w:hideMark/>
          </w:tcPr>
          <w:p w14:paraId="7CB1D762" w14:textId="20B1CB66"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6.7%</w:t>
            </w:r>
          </w:p>
        </w:tc>
        <w:tc>
          <w:tcPr>
            <w:tcW w:w="486" w:type="pct"/>
            <w:tcBorders>
              <w:top w:val="dotted" w:sz="4" w:space="0" w:color="auto"/>
              <w:left w:val="nil"/>
              <w:bottom w:val="nil"/>
              <w:right w:val="double" w:sz="4" w:space="0" w:color="auto"/>
            </w:tcBorders>
            <w:shd w:val="clear" w:color="auto" w:fill="auto"/>
            <w:noWrap/>
            <w:vAlign w:val="center"/>
            <w:hideMark/>
          </w:tcPr>
          <w:p w14:paraId="4DA0CB67" w14:textId="031934D1"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35.3%</w:t>
            </w:r>
          </w:p>
        </w:tc>
      </w:tr>
      <w:tr w:rsidR="00530825" w:rsidRPr="005C5FA6" w14:paraId="4137837B" w14:textId="77777777" w:rsidTr="0069340B">
        <w:trPr>
          <w:trHeight w:val="20"/>
        </w:trPr>
        <w:tc>
          <w:tcPr>
            <w:tcW w:w="648" w:type="pct"/>
            <w:vMerge/>
            <w:tcBorders>
              <w:left w:val="double" w:sz="4" w:space="0" w:color="auto"/>
              <w:bottom w:val="double" w:sz="4" w:space="0" w:color="auto"/>
              <w:right w:val="single" w:sz="4" w:space="0" w:color="auto"/>
            </w:tcBorders>
            <w:vAlign w:val="center"/>
            <w:hideMark/>
          </w:tcPr>
          <w:p w14:paraId="46B60D9D" w14:textId="77777777" w:rsidR="00530825" w:rsidRPr="005C5FA6" w:rsidRDefault="00530825" w:rsidP="00187DD0">
            <w:pPr>
              <w:spacing w:after="0" w:line="240" w:lineRule="auto"/>
              <w:rPr>
                <w:rFonts w:eastAsia="Times New Roman"/>
                <w:b/>
                <w:bCs/>
                <w:color w:val="000000"/>
                <w:sz w:val="20"/>
                <w:szCs w:val="20"/>
              </w:rPr>
            </w:pPr>
          </w:p>
        </w:tc>
        <w:tc>
          <w:tcPr>
            <w:tcW w:w="304" w:type="pct"/>
            <w:vMerge/>
            <w:tcBorders>
              <w:top w:val="nil"/>
              <w:left w:val="single" w:sz="4" w:space="0" w:color="auto"/>
              <w:bottom w:val="double" w:sz="4" w:space="0" w:color="auto"/>
              <w:right w:val="nil"/>
            </w:tcBorders>
            <w:vAlign w:val="center"/>
            <w:hideMark/>
          </w:tcPr>
          <w:p w14:paraId="51350D23" w14:textId="77777777" w:rsidR="00530825" w:rsidRPr="005C5FA6" w:rsidRDefault="00530825" w:rsidP="00187DD0">
            <w:pPr>
              <w:spacing w:after="0" w:line="240" w:lineRule="auto"/>
              <w:rPr>
                <w:rFonts w:eastAsia="Times New Roman"/>
                <w:b/>
                <w:bCs/>
                <w:color w:val="000000"/>
                <w:sz w:val="20"/>
                <w:szCs w:val="20"/>
              </w:rPr>
            </w:pPr>
          </w:p>
        </w:tc>
        <w:tc>
          <w:tcPr>
            <w:tcW w:w="209" w:type="pct"/>
            <w:tcBorders>
              <w:top w:val="nil"/>
              <w:left w:val="nil"/>
              <w:bottom w:val="double" w:sz="4" w:space="0" w:color="auto"/>
              <w:right w:val="double" w:sz="4" w:space="0" w:color="auto"/>
            </w:tcBorders>
            <w:shd w:val="clear" w:color="auto" w:fill="auto"/>
            <w:vAlign w:val="center"/>
            <w:hideMark/>
          </w:tcPr>
          <w:p w14:paraId="7B45CE07" w14:textId="77777777" w:rsidR="00530825" w:rsidRPr="005C5FA6" w:rsidRDefault="00530825" w:rsidP="00187DD0">
            <w:pPr>
              <w:spacing w:after="0" w:line="240" w:lineRule="auto"/>
              <w:rPr>
                <w:rFonts w:eastAsia="Times New Roman"/>
                <w:color w:val="000000"/>
                <w:sz w:val="20"/>
                <w:szCs w:val="20"/>
              </w:rPr>
            </w:pPr>
            <w:r w:rsidRPr="005C5FA6">
              <w:rPr>
                <w:rFonts w:eastAsia="Times New Roman"/>
                <w:color w:val="000000"/>
                <w:sz w:val="20"/>
                <w:szCs w:val="20"/>
              </w:rPr>
              <w:t>No</w:t>
            </w:r>
          </w:p>
        </w:tc>
        <w:tc>
          <w:tcPr>
            <w:tcW w:w="474" w:type="pct"/>
            <w:tcBorders>
              <w:top w:val="nil"/>
              <w:left w:val="double" w:sz="4" w:space="0" w:color="auto"/>
              <w:bottom w:val="double" w:sz="4" w:space="0" w:color="auto"/>
              <w:right w:val="nil"/>
            </w:tcBorders>
            <w:shd w:val="clear" w:color="auto" w:fill="auto"/>
            <w:vAlign w:val="center"/>
            <w:hideMark/>
          </w:tcPr>
          <w:p w14:paraId="3FFDEC56" w14:textId="5B44CC3A" w:rsidR="00530825" w:rsidRPr="00187DD0" w:rsidRDefault="00530825" w:rsidP="00187DD0">
            <w:pPr>
              <w:spacing w:after="0" w:line="240" w:lineRule="auto"/>
              <w:ind w:right="334"/>
              <w:jc w:val="right"/>
              <w:rPr>
                <w:rFonts w:eastAsia="Times New Roman"/>
                <w:color w:val="000000"/>
                <w:sz w:val="20"/>
                <w:szCs w:val="20"/>
              </w:rPr>
            </w:pPr>
            <w:r w:rsidRPr="00187DD0">
              <w:rPr>
                <w:sz w:val="20"/>
                <w:szCs w:val="20"/>
              </w:rPr>
              <w:t>1417</w:t>
            </w:r>
          </w:p>
        </w:tc>
        <w:tc>
          <w:tcPr>
            <w:tcW w:w="487" w:type="pct"/>
            <w:tcBorders>
              <w:top w:val="nil"/>
              <w:left w:val="nil"/>
              <w:bottom w:val="double" w:sz="4" w:space="0" w:color="auto"/>
              <w:right w:val="double" w:sz="4" w:space="0" w:color="auto"/>
            </w:tcBorders>
            <w:shd w:val="clear" w:color="auto" w:fill="auto"/>
            <w:vAlign w:val="center"/>
            <w:hideMark/>
          </w:tcPr>
          <w:p w14:paraId="0B607A95" w14:textId="4CBA4355"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60.7%</w:t>
            </w:r>
          </w:p>
        </w:tc>
        <w:tc>
          <w:tcPr>
            <w:tcW w:w="472" w:type="pct"/>
            <w:tcBorders>
              <w:top w:val="nil"/>
              <w:left w:val="double" w:sz="4" w:space="0" w:color="auto"/>
              <w:bottom w:val="double" w:sz="4" w:space="0" w:color="auto"/>
              <w:right w:val="nil"/>
            </w:tcBorders>
            <w:shd w:val="clear" w:color="auto" w:fill="auto"/>
            <w:noWrap/>
            <w:vAlign w:val="center"/>
            <w:hideMark/>
          </w:tcPr>
          <w:p w14:paraId="0F4B69B8" w14:textId="7F817119"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1402</w:t>
            </w:r>
          </w:p>
        </w:tc>
        <w:tc>
          <w:tcPr>
            <w:tcW w:w="480" w:type="pct"/>
            <w:tcBorders>
              <w:top w:val="nil"/>
              <w:left w:val="nil"/>
              <w:bottom w:val="double" w:sz="4" w:space="0" w:color="auto"/>
              <w:right w:val="nil"/>
            </w:tcBorders>
            <w:shd w:val="clear" w:color="auto" w:fill="auto"/>
            <w:noWrap/>
            <w:vAlign w:val="center"/>
            <w:hideMark/>
          </w:tcPr>
          <w:p w14:paraId="5B23652D" w14:textId="66B8B3BB"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60.1%</w:t>
            </w:r>
          </w:p>
        </w:tc>
        <w:tc>
          <w:tcPr>
            <w:tcW w:w="454" w:type="pct"/>
            <w:tcBorders>
              <w:top w:val="nil"/>
              <w:left w:val="nil"/>
              <w:bottom w:val="double" w:sz="4" w:space="0" w:color="auto"/>
              <w:right w:val="double" w:sz="4" w:space="0" w:color="auto"/>
            </w:tcBorders>
            <w:shd w:val="clear" w:color="auto" w:fill="auto"/>
            <w:noWrap/>
            <w:vAlign w:val="center"/>
            <w:hideMark/>
          </w:tcPr>
          <w:p w14:paraId="77ED4510" w14:textId="200BA942"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1.1%</w:t>
            </w:r>
          </w:p>
        </w:tc>
        <w:tc>
          <w:tcPr>
            <w:tcW w:w="506" w:type="pct"/>
            <w:tcBorders>
              <w:top w:val="nil"/>
              <w:left w:val="double" w:sz="4" w:space="0" w:color="auto"/>
              <w:bottom w:val="double" w:sz="4" w:space="0" w:color="auto"/>
              <w:right w:val="nil"/>
            </w:tcBorders>
            <w:shd w:val="clear" w:color="auto" w:fill="auto"/>
            <w:noWrap/>
            <w:vAlign w:val="center"/>
            <w:hideMark/>
          </w:tcPr>
          <w:p w14:paraId="647F6F38" w14:textId="2DBA257D"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1376</w:t>
            </w:r>
          </w:p>
        </w:tc>
        <w:tc>
          <w:tcPr>
            <w:tcW w:w="480" w:type="pct"/>
            <w:tcBorders>
              <w:top w:val="nil"/>
              <w:left w:val="nil"/>
              <w:bottom w:val="double" w:sz="4" w:space="0" w:color="auto"/>
              <w:right w:val="nil"/>
            </w:tcBorders>
            <w:shd w:val="clear" w:color="auto" w:fill="auto"/>
            <w:noWrap/>
            <w:vAlign w:val="center"/>
            <w:hideMark/>
          </w:tcPr>
          <w:p w14:paraId="07DAB3A7" w14:textId="1284F530"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59.0%</w:t>
            </w:r>
          </w:p>
        </w:tc>
        <w:tc>
          <w:tcPr>
            <w:tcW w:w="486" w:type="pct"/>
            <w:tcBorders>
              <w:top w:val="nil"/>
              <w:left w:val="nil"/>
              <w:bottom w:val="double" w:sz="4" w:space="0" w:color="auto"/>
              <w:right w:val="double" w:sz="4" w:space="0" w:color="auto"/>
            </w:tcBorders>
            <w:shd w:val="clear" w:color="auto" w:fill="auto"/>
            <w:noWrap/>
            <w:vAlign w:val="center"/>
            <w:hideMark/>
          </w:tcPr>
          <w:p w14:paraId="6C2ACE41" w14:textId="643F0B67" w:rsidR="00530825" w:rsidRPr="00187DD0" w:rsidRDefault="00530825" w:rsidP="00187DD0">
            <w:pPr>
              <w:spacing w:after="0" w:line="240" w:lineRule="auto"/>
              <w:ind w:right="427"/>
              <w:jc w:val="right"/>
              <w:rPr>
                <w:rFonts w:eastAsia="Times New Roman"/>
                <w:color w:val="000000"/>
                <w:sz w:val="20"/>
                <w:szCs w:val="20"/>
              </w:rPr>
            </w:pPr>
            <w:r w:rsidRPr="00187DD0">
              <w:rPr>
                <w:sz w:val="20"/>
                <w:szCs w:val="20"/>
              </w:rPr>
              <w:t>2.9%</w:t>
            </w:r>
          </w:p>
        </w:tc>
      </w:tr>
      <w:tr w:rsidR="00187DD0" w:rsidRPr="005C5FA6" w14:paraId="6BDB94FD" w14:textId="77777777" w:rsidTr="0069340B">
        <w:trPr>
          <w:trHeight w:val="20"/>
        </w:trPr>
        <w:tc>
          <w:tcPr>
            <w:tcW w:w="2122" w:type="pct"/>
            <w:gridSpan w:val="5"/>
            <w:tcBorders>
              <w:top w:val="double" w:sz="4" w:space="0" w:color="auto"/>
              <w:left w:val="double" w:sz="4" w:space="0" w:color="auto"/>
              <w:bottom w:val="double" w:sz="4" w:space="0" w:color="auto"/>
              <w:right w:val="double" w:sz="4" w:space="0" w:color="auto"/>
            </w:tcBorders>
            <w:vAlign w:val="center"/>
          </w:tcPr>
          <w:p w14:paraId="2A74BF77" w14:textId="16C9A1C5" w:rsidR="00187DD0" w:rsidRPr="005C5FA6" w:rsidRDefault="00187DD0" w:rsidP="00187DD0">
            <w:pPr>
              <w:spacing w:after="0" w:line="240" w:lineRule="auto"/>
              <w:rPr>
                <w:rFonts w:eastAsia="Times New Roman"/>
                <w:color w:val="000000"/>
                <w:sz w:val="20"/>
                <w:szCs w:val="20"/>
              </w:rPr>
            </w:pPr>
            <w:r w:rsidRPr="00E5128A">
              <w:rPr>
                <w:rFonts w:eastAsia="Times New Roman"/>
                <w:b/>
                <w:bCs/>
                <w:color w:val="000000"/>
                <w:sz w:val="20"/>
                <w:szCs w:val="20"/>
              </w:rPr>
              <w:t>WAPE</w:t>
            </w:r>
          </w:p>
        </w:tc>
        <w:tc>
          <w:tcPr>
            <w:tcW w:w="1406" w:type="pct"/>
            <w:gridSpan w:val="3"/>
            <w:tcBorders>
              <w:top w:val="double" w:sz="4" w:space="0" w:color="auto"/>
              <w:left w:val="double" w:sz="4" w:space="0" w:color="auto"/>
              <w:bottom w:val="double" w:sz="4" w:space="0" w:color="auto"/>
              <w:right w:val="double" w:sz="4" w:space="0" w:color="auto"/>
            </w:tcBorders>
            <w:shd w:val="clear" w:color="auto" w:fill="auto"/>
            <w:noWrap/>
            <w:vAlign w:val="center"/>
          </w:tcPr>
          <w:p w14:paraId="081E654D" w14:textId="6A777AAD" w:rsidR="00187DD0" w:rsidRPr="00187DD0" w:rsidRDefault="00187DD0" w:rsidP="00187DD0">
            <w:pPr>
              <w:spacing w:after="0" w:line="240" w:lineRule="auto"/>
              <w:jc w:val="center"/>
              <w:rPr>
                <w:rFonts w:eastAsia="Times New Roman"/>
                <w:color w:val="000000"/>
                <w:sz w:val="20"/>
                <w:szCs w:val="20"/>
              </w:rPr>
            </w:pPr>
            <w:r w:rsidRPr="00187DD0">
              <w:rPr>
                <w:rFonts w:eastAsia="Times New Roman"/>
                <w:color w:val="000000"/>
                <w:sz w:val="20"/>
                <w:szCs w:val="20"/>
              </w:rPr>
              <w:t>23.0%</w:t>
            </w:r>
          </w:p>
        </w:tc>
        <w:tc>
          <w:tcPr>
            <w:tcW w:w="1472" w:type="pct"/>
            <w:gridSpan w:val="3"/>
            <w:tcBorders>
              <w:top w:val="double" w:sz="4" w:space="0" w:color="auto"/>
              <w:left w:val="double" w:sz="4" w:space="0" w:color="auto"/>
              <w:bottom w:val="double" w:sz="4" w:space="0" w:color="auto"/>
              <w:right w:val="double" w:sz="4" w:space="0" w:color="auto"/>
            </w:tcBorders>
            <w:shd w:val="clear" w:color="auto" w:fill="auto"/>
            <w:noWrap/>
            <w:vAlign w:val="center"/>
          </w:tcPr>
          <w:p w14:paraId="29A2F69C" w14:textId="43D6BE43" w:rsidR="00187DD0" w:rsidRPr="00187DD0" w:rsidRDefault="00187DD0" w:rsidP="00187DD0">
            <w:pPr>
              <w:spacing w:after="0" w:line="240" w:lineRule="auto"/>
              <w:jc w:val="center"/>
              <w:rPr>
                <w:rFonts w:eastAsia="Times New Roman"/>
                <w:color w:val="000000"/>
                <w:sz w:val="20"/>
                <w:szCs w:val="20"/>
              </w:rPr>
            </w:pPr>
            <w:r w:rsidRPr="00187DD0">
              <w:rPr>
                <w:rFonts w:eastAsia="Times New Roman"/>
                <w:color w:val="000000"/>
                <w:sz w:val="20"/>
                <w:szCs w:val="20"/>
              </w:rPr>
              <w:t>54.0%</w:t>
            </w:r>
          </w:p>
        </w:tc>
      </w:tr>
    </w:tbl>
    <w:p w14:paraId="3B702795" w14:textId="6B5EC1C5" w:rsidR="005C5FA6" w:rsidRPr="00565BCE" w:rsidRDefault="00FF1780" w:rsidP="00EA446B">
      <w:pPr>
        <w:spacing w:after="0" w:line="240" w:lineRule="auto"/>
        <w:ind w:left="-86"/>
        <w:jc w:val="both"/>
        <w:rPr>
          <w:rFonts w:eastAsia="Calibri"/>
          <w:bCs/>
          <w:sz w:val="19"/>
          <w:szCs w:val="19"/>
        </w:rPr>
        <w:sectPr w:rsidR="005C5FA6" w:rsidRPr="00565BCE" w:rsidSect="00565BCE">
          <w:pgSz w:w="15840" w:h="12240" w:orient="landscape" w:code="1"/>
          <w:pgMar w:top="1008" w:right="1440" w:bottom="1008" w:left="1440" w:header="720" w:footer="720" w:gutter="0"/>
          <w:cols w:space="720"/>
          <w:docGrid w:linePitch="360"/>
        </w:sectPr>
      </w:pPr>
      <w:r w:rsidRPr="00565BCE">
        <w:rPr>
          <w:rFonts w:eastAsia="Calibri"/>
          <w:bCs/>
          <w:sz w:val="19"/>
          <w:szCs w:val="19"/>
        </w:rPr>
        <w:t>DIPA - Getting to medical appointments is difficult for me; PTQ - The quality of care is worse; TC - Telemedicine is more convenient for me</w:t>
      </w:r>
      <w:r w:rsidR="001D73B7" w:rsidRPr="00565BCE">
        <w:rPr>
          <w:rFonts w:eastAsia="Calibri"/>
          <w:bCs/>
          <w:sz w:val="19"/>
          <w:szCs w:val="19"/>
        </w:rPr>
        <w:t>;</w:t>
      </w:r>
      <w:r w:rsidRPr="00565BCE">
        <w:rPr>
          <w:rFonts w:eastAsia="Calibri"/>
          <w:bCs/>
          <w:sz w:val="19"/>
          <w:szCs w:val="19"/>
        </w:rPr>
        <w:t xml:space="preserve"> NIPT - Most of my medical appointments require in-person tests or procedures</w:t>
      </w:r>
      <w:r w:rsidR="001D73B7" w:rsidRPr="00565BCE">
        <w:rPr>
          <w:rFonts w:eastAsia="Calibri"/>
          <w:bCs/>
          <w:sz w:val="19"/>
          <w:szCs w:val="19"/>
        </w:rPr>
        <w:t>;</w:t>
      </w:r>
      <w:r w:rsidRPr="00565BCE">
        <w:rPr>
          <w:rFonts w:eastAsia="Calibri"/>
          <w:bCs/>
          <w:sz w:val="19"/>
          <w:szCs w:val="19"/>
        </w:rPr>
        <w:t xml:space="preserve"> TP - I like the privacy offered by telemedicine</w:t>
      </w:r>
      <w:r w:rsidR="001D73B7" w:rsidRPr="00565BCE">
        <w:rPr>
          <w:rFonts w:eastAsia="Calibri"/>
          <w:bCs/>
          <w:sz w:val="19"/>
          <w:szCs w:val="19"/>
        </w:rPr>
        <w:t>;</w:t>
      </w:r>
      <w:r w:rsidRPr="00565BCE">
        <w:rPr>
          <w:rFonts w:eastAsia="Calibri"/>
          <w:bCs/>
          <w:sz w:val="19"/>
          <w:szCs w:val="19"/>
        </w:rPr>
        <w:t xml:space="preserve"> TNA - I do not expect my healthcare provider to offer telemedicine</w:t>
      </w:r>
      <w:r w:rsidR="001D73B7" w:rsidRPr="00565BCE">
        <w:rPr>
          <w:rFonts w:eastAsia="Calibri"/>
          <w:bCs/>
          <w:sz w:val="19"/>
          <w:szCs w:val="19"/>
        </w:rPr>
        <w:t>;</w:t>
      </w:r>
      <w:r w:rsidRPr="00565BCE">
        <w:rPr>
          <w:rFonts w:eastAsia="Calibri"/>
          <w:bCs/>
          <w:sz w:val="19"/>
          <w:szCs w:val="19"/>
        </w:rPr>
        <w:t xml:space="preserve"> TS - I do not have to wait as long</w:t>
      </w:r>
      <w:r w:rsidR="001D73B7" w:rsidRPr="00565BCE">
        <w:rPr>
          <w:rFonts w:eastAsia="Calibri"/>
          <w:bCs/>
          <w:sz w:val="19"/>
          <w:szCs w:val="19"/>
        </w:rPr>
        <w:t>;</w:t>
      </w:r>
      <w:r w:rsidRPr="00565BCE">
        <w:rPr>
          <w:rFonts w:eastAsia="Calibri"/>
          <w:bCs/>
          <w:sz w:val="19"/>
          <w:szCs w:val="19"/>
        </w:rPr>
        <w:t xml:space="preserve"> POP - I like the privacy of a healthcare provider's office</w:t>
      </w:r>
      <w:r w:rsidR="001D73B7" w:rsidRPr="00565BCE">
        <w:rPr>
          <w:rFonts w:eastAsia="Calibri"/>
          <w:bCs/>
          <w:sz w:val="19"/>
          <w:szCs w:val="19"/>
        </w:rPr>
        <w:t>;</w:t>
      </w:r>
      <w:r w:rsidRPr="00565BCE">
        <w:rPr>
          <w:rFonts w:eastAsia="Calibri"/>
          <w:bCs/>
          <w:sz w:val="19"/>
          <w:szCs w:val="19"/>
        </w:rPr>
        <w:t xml:space="preserve"> CH - My home is more comfortable than a healthcare provider's office</w:t>
      </w:r>
      <w:r w:rsidR="001D73B7" w:rsidRPr="00565BCE">
        <w:rPr>
          <w:rFonts w:eastAsia="Calibri"/>
          <w:bCs/>
          <w:sz w:val="19"/>
          <w:szCs w:val="19"/>
        </w:rPr>
        <w:t>;</w:t>
      </w:r>
      <w:r w:rsidRPr="00565BCE">
        <w:rPr>
          <w:rFonts w:eastAsia="Calibri"/>
          <w:bCs/>
          <w:sz w:val="19"/>
          <w:szCs w:val="19"/>
        </w:rPr>
        <w:t xml:space="preserve"> IPC - In-person appointments are more convenient</w:t>
      </w:r>
      <w:r w:rsidR="001D73B7" w:rsidRPr="00565BCE">
        <w:rPr>
          <w:rFonts w:eastAsia="Calibri"/>
          <w:bCs/>
          <w:sz w:val="19"/>
          <w:szCs w:val="19"/>
        </w:rPr>
        <w:t>;</w:t>
      </w:r>
      <w:r w:rsidRPr="00565BCE">
        <w:rPr>
          <w:rFonts w:eastAsia="Calibri"/>
          <w:bCs/>
          <w:sz w:val="19"/>
          <w:szCs w:val="19"/>
        </w:rPr>
        <w:t xml:space="preserve"> LCR - I do not have to risk getting sick from others in a healthcare provider's office</w:t>
      </w:r>
      <w:r w:rsidR="001D73B7" w:rsidRPr="00565BCE">
        <w:rPr>
          <w:rFonts w:eastAsia="Calibri"/>
          <w:bCs/>
          <w:sz w:val="19"/>
          <w:szCs w:val="19"/>
        </w:rPr>
        <w:t>;</w:t>
      </w:r>
      <w:r w:rsidRPr="00565BCE">
        <w:rPr>
          <w:rFonts w:eastAsia="Calibri"/>
          <w:bCs/>
          <w:sz w:val="19"/>
          <w:szCs w:val="19"/>
        </w:rPr>
        <w:t xml:space="preserve"> NTC - I am not confident using technology to access my appointments</w:t>
      </w:r>
      <w:r w:rsidR="001D73B7" w:rsidRPr="00565BCE">
        <w:rPr>
          <w:rFonts w:eastAsia="Calibri"/>
          <w:bCs/>
          <w:sz w:val="19"/>
          <w:szCs w:val="19"/>
        </w:rPr>
        <w:t>;</w:t>
      </w:r>
      <w:r w:rsidRPr="00565BCE">
        <w:rPr>
          <w:rFonts w:eastAsia="Calibri"/>
          <w:bCs/>
          <w:sz w:val="19"/>
          <w:szCs w:val="19"/>
        </w:rPr>
        <w:t xml:space="preserve"> LE - Telemedicine is cheaper</w:t>
      </w:r>
      <w:r w:rsidR="001D73B7" w:rsidRPr="00565BCE">
        <w:rPr>
          <w:rFonts w:eastAsia="Calibri"/>
          <w:bCs/>
          <w:sz w:val="19"/>
          <w:szCs w:val="19"/>
        </w:rPr>
        <w:t>;</w:t>
      </w:r>
      <w:r w:rsidRPr="00565BCE">
        <w:rPr>
          <w:rFonts w:eastAsia="Calibri"/>
          <w:bCs/>
          <w:sz w:val="19"/>
          <w:szCs w:val="19"/>
        </w:rPr>
        <w:t xml:space="preserve"> TSC - I am concerned about security with telemedicine</w:t>
      </w:r>
      <w:r w:rsidR="001D73B7" w:rsidRPr="00565BCE">
        <w:rPr>
          <w:rFonts w:eastAsia="Calibri"/>
          <w:bCs/>
          <w:sz w:val="19"/>
          <w:szCs w:val="19"/>
        </w:rPr>
        <w:t>;</w:t>
      </w:r>
      <w:r w:rsidRPr="00565BCE">
        <w:rPr>
          <w:rFonts w:eastAsia="Calibri"/>
          <w:bCs/>
          <w:sz w:val="19"/>
          <w:szCs w:val="19"/>
        </w:rPr>
        <w:t xml:space="preserve"> FCO - I can go see healthcare providers more often</w:t>
      </w:r>
    </w:p>
    <w:p w14:paraId="42985394" w14:textId="7FAD4E9F" w:rsidR="0069340B" w:rsidRDefault="0069340B" w:rsidP="00C37174">
      <w:pPr>
        <w:pStyle w:val="Caption"/>
        <w:keepNext/>
        <w:tabs>
          <w:tab w:val="left" w:pos="1252"/>
        </w:tabs>
        <w:spacing w:after="120"/>
        <w:jc w:val="left"/>
      </w:pPr>
      <w:bookmarkStart w:id="99" w:name="_Ref178945258"/>
      <w:r>
        <w:lastRenderedPageBreak/>
        <w:t xml:space="preserve">Table </w:t>
      </w:r>
      <w:r w:rsidR="00C425C0">
        <w:fldChar w:fldCharType="begin"/>
      </w:r>
      <w:r w:rsidR="00C425C0">
        <w:instrText xml:space="preserve"> SEQ Table \* ARABIC </w:instrText>
      </w:r>
      <w:r w:rsidR="00C425C0">
        <w:fldChar w:fldCharType="separate"/>
      </w:r>
      <w:r w:rsidR="008A3DCE">
        <w:rPr>
          <w:noProof/>
        </w:rPr>
        <w:t>9</w:t>
      </w:r>
      <w:r w:rsidR="00C425C0">
        <w:rPr>
          <w:noProof/>
        </w:rPr>
        <w:fldChar w:fldCharType="end"/>
      </w:r>
      <w:bookmarkEnd w:id="99"/>
      <w:r>
        <w:t>. ATE Results</w:t>
      </w:r>
    </w:p>
    <w:tbl>
      <w:tblPr>
        <w:tblW w:w="13104"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4A0" w:firstRow="1" w:lastRow="0" w:firstColumn="1" w:lastColumn="0" w:noHBand="0" w:noVBand="1"/>
      </w:tblPr>
      <w:tblGrid>
        <w:gridCol w:w="2160"/>
        <w:gridCol w:w="1335"/>
        <w:gridCol w:w="1350"/>
        <w:gridCol w:w="720"/>
        <w:gridCol w:w="483"/>
        <w:gridCol w:w="504"/>
        <w:gridCol w:w="504"/>
        <w:gridCol w:w="504"/>
        <w:gridCol w:w="504"/>
        <w:gridCol w:w="504"/>
        <w:gridCol w:w="504"/>
        <w:gridCol w:w="504"/>
        <w:gridCol w:w="504"/>
        <w:gridCol w:w="504"/>
        <w:gridCol w:w="504"/>
        <w:gridCol w:w="504"/>
        <w:gridCol w:w="504"/>
        <w:gridCol w:w="504"/>
        <w:gridCol w:w="504"/>
      </w:tblGrid>
      <w:tr w:rsidR="00051207" w:rsidRPr="00565BCE" w14:paraId="07CF7EC1" w14:textId="77777777" w:rsidTr="00392A30">
        <w:trPr>
          <w:trHeight w:val="872"/>
          <w:tblHeader/>
        </w:trPr>
        <w:tc>
          <w:tcPr>
            <w:tcW w:w="2160" w:type="dxa"/>
            <w:vMerge w:val="restart"/>
            <w:tcBorders>
              <w:top w:val="double" w:sz="4" w:space="0" w:color="auto"/>
              <w:left w:val="double" w:sz="4" w:space="0" w:color="auto"/>
              <w:bottom w:val="single" w:sz="4" w:space="0" w:color="auto"/>
              <w:right w:val="double" w:sz="4" w:space="0" w:color="auto"/>
            </w:tcBorders>
            <w:shd w:val="clear" w:color="auto" w:fill="auto"/>
            <w:tcMar>
              <w:left w:w="29" w:type="dxa"/>
              <w:right w:w="29" w:type="dxa"/>
            </w:tcMar>
            <w:vAlign w:val="center"/>
          </w:tcPr>
          <w:p w14:paraId="33977A71" w14:textId="77777777" w:rsidR="00051207" w:rsidRPr="00565BCE" w:rsidRDefault="00051207" w:rsidP="0035067E">
            <w:pPr>
              <w:spacing w:after="0" w:line="240" w:lineRule="auto"/>
              <w:jc w:val="both"/>
              <w:rPr>
                <w:rFonts w:eastAsia="Times New Roman"/>
                <w:b/>
                <w:bCs/>
                <w:color w:val="000000"/>
                <w:sz w:val="19"/>
                <w:szCs w:val="19"/>
              </w:rPr>
            </w:pPr>
            <w:r w:rsidRPr="00565BCE">
              <w:rPr>
                <w:rFonts w:eastAsia="Times New Roman"/>
                <w:b/>
                <w:bCs/>
                <w:color w:val="000000"/>
                <w:sz w:val="19"/>
                <w:szCs w:val="19"/>
              </w:rPr>
              <w:t>Variable</w:t>
            </w:r>
          </w:p>
        </w:tc>
        <w:tc>
          <w:tcPr>
            <w:tcW w:w="1335" w:type="dxa"/>
            <w:vMerge w:val="restart"/>
            <w:tcBorders>
              <w:top w:val="double" w:sz="4" w:space="0" w:color="auto"/>
              <w:left w:val="double" w:sz="4" w:space="0" w:color="auto"/>
              <w:bottom w:val="single" w:sz="4" w:space="0" w:color="auto"/>
              <w:right w:val="single" w:sz="4" w:space="0" w:color="auto"/>
            </w:tcBorders>
            <w:shd w:val="clear" w:color="auto" w:fill="auto"/>
            <w:tcMar>
              <w:left w:w="29" w:type="dxa"/>
              <w:right w:w="29" w:type="dxa"/>
            </w:tcMar>
            <w:vAlign w:val="center"/>
          </w:tcPr>
          <w:p w14:paraId="55411259" w14:textId="77777777" w:rsidR="00051207" w:rsidRPr="00565BCE" w:rsidRDefault="00051207" w:rsidP="0035067E">
            <w:pPr>
              <w:spacing w:after="0" w:line="240" w:lineRule="auto"/>
              <w:jc w:val="both"/>
              <w:rPr>
                <w:rFonts w:eastAsia="Times New Roman"/>
                <w:b/>
                <w:bCs/>
                <w:color w:val="000000"/>
                <w:sz w:val="19"/>
                <w:szCs w:val="19"/>
              </w:rPr>
            </w:pPr>
            <w:r w:rsidRPr="00565BCE">
              <w:rPr>
                <w:rFonts w:eastAsia="Times New Roman"/>
                <w:b/>
                <w:bCs/>
                <w:color w:val="000000"/>
                <w:sz w:val="19"/>
                <w:szCs w:val="19"/>
              </w:rPr>
              <w:t>Base Level</w:t>
            </w:r>
          </w:p>
        </w:tc>
        <w:tc>
          <w:tcPr>
            <w:tcW w:w="1350" w:type="dxa"/>
            <w:vMerge w:val="restart"/>
            <w:tcBorders>
              <w:top w:val="double" w:sz="4" w:space="0" w:color="auto"/>
              <w:left w:val="single" w:sz="4" w:space="0" w:color="auto"/>
              <w:bottom w:val="single" w:sz="4" w:space="0" w:color="auto"/>
              <w:right w:val="double" w:sz="4" w:space="0" w:color="auto"/>
            </w:tcBorders>
            <w:shd w:val="clear" w:color="auto" w:fill="auto"/>
            <w:noWrap/>
            <w:tcMar>
              <w:left w:w="29" w:type="dxa"/>
              <w:right w:w="29" w:type="dxa"/>
            </w:tcMar>
            <w:vAlign w:val="center"/>
          </w:tcPr>
          <w:p w14:paraId="3C69BD3E" w14:textId="77777777" w:rsidR="00051207" w:rsidRPr="00565BCE" w:rsidRDefault="00051207" w:rsidP="0035067E">
            <w:pPr>
              <w:spacing w:after="0" w:line="240" w:lineRule="auto"/>
              <w:jc w:val="both"/>
              <w:rPr>
                <w:rFonts w:eastAsia="Times New Roman"/>
                <w:b/>
                <w:bCs/>
                <w:color w:val="000000"/>
                <w:sz w:val="19"/>
                <w:szCs w:val="19"/>
              </w:rPr>
            </w:pPr>
            <w:r w:rsidRPr="00565BCE">
              <w:rPr>
                <w:rFonts w:eastAsia="Times New Roman"/>
                <w:b/>
                <w:bCs/>
                <w:color w:val="000000"/>
                <w:sz w:val="19"/>
                <w:szCs w:val="19"/>
              </w:rPr>
              <w:t>Treatment  Level</w:t>
            </w:r>
          </w:p>
        </w:tc>
        <w:tc>
          <w:tcPr>
            <w:tcW w:w="720" w:type="dxa"/>
            <w:tcBorders>
              <w:top w:val="double" w:sz="4" w:space="0" w:color="auto"/>
              <w:left w:val="double" w:sz="4" w:space="0" w:color="auto"/>
              <w:bottom w:val="single" w:sz="4" w:space="0" w:color="auto"/>
              <w:right w:val="single" w:sz="8" w:space="0" w:color="auto"/>
            </w:tcBorders>
            <w:shd w:val="clear" w:color="auto" w:fill="auto"/>
            <w:noWrap/>
            <w:tcMar>
              <w:left w:w="29" w:type="dxa"/>
              <w:right w:w="29" w:type="dxa"/>
            </w:tcMar>
            <w:vAlign w:val="center"/>
          </w:tcPr>
          <w:p w14:paraId="3F8DD65B" w14:textId="583F9C36" w:rsidR="00051207" w:rsidRPr="00565BCE" w:rsidRDefault="00051207" w:rsidP="0035067E">
            <w:pPr>
              <w:spacing w:after="0" w:line="240" w:lineRule="auto"/>
              <w:jc w:val="center"/>
              <w:rPr>
                <w:rFonts w:eastAsia="Times New Roman"/>
                <w:b/>
                <w:bCs/>
                <w:color w:val="000000"/>
                <w:sz w:val="19"/>
                <w:szCs w:val="19"/>
              </w:rPr>
            </w:pPr>
            <w:r w:rsidRPr="00565BCE">
              <w:rPr>
                <w:rFonts w:eastAsia="Times New Roman"/>
                <w:b/>
                <w:bCs/>
                <w:color w:val="000000"/>
                <w:sz w:val="19"/>
                <w:szCs w:val="19"/>
              </w:rPr>
              <w:t>% Change in Adopt-ion</w:t>
            </w:r>
          </w:p>
        </w:tc>
        <w:tc>
          <w:tcPr>
            <w:tcW w:w="4011" w:type="dxa"/>
            <w:gridSpan w:val="8"/>
            <w:tcBorders>
              <w:top w:val="double" w:sz="4" w:space="0" w:color="auto"/>
              <w:left w:val="single" w:sz="8" w:space="0" w:color="auto"/>
              <w:bottom w:val="single" w:sz="4" w:space="0" w:color="auto"/>
              <w:right w:val="single" w:sz="8" w:space="0" w:color="auto"/>
            </w:tcBorders>
            <w:shd w:val="clear" w:color="auto" w:fill="auto"/>
            <w:tcMar>
              <w:left w:w="29" w:type="dxa"/>
              <w:right w:w="29" w:type="dxa"/>
            </w:tcMar>
            <w:vAlign w:val="center"/>
          </w:tcPr>
          <w:p w14:paraId="3F652AF0" w14:textId="216059A5" w:rsidR="00051207" w:rsidRPr="00565BCE" w:rsidRDefault="00051207" w:rsidP="0035067E">
            <w:pPr>
              <w:spacing w:after="0" w:line="240" w:lineRule="auto"/>
              <w:jc w:val="center"/>
              <w:rPr>
                <w:rFonts w:eastAsia="Times New Roman"/>
                <w:b/>
                <w:bCs/>
                <w:color w:val="000000"/>
                <w:sz w:val="19"/>
                <w:szCs w:val="19"/>
              </w:rPr>
            </w:pPr>
            <w:r w:rsidRPr="00565BCE">
              <w:rPr>
                <w:rFonts w:eastAsia="Times New Roman"/>
                <w:b/>
                <w:bCs/>
                <w:color w:val="000000"/>
                <w:sz w:val="19"/>
                <w:szCs w:val="19"/>
              </w:rPr>
              <w:t xml:space="preserve">% Change in </w:t>
            </w:r>
            <w:r w:rsidR="009178F1" w:rsidRPr="00565BCE">
              <w:rPr>
                <w:rFonts w:eastAsia="Calibri"/>
                <w:b/>
                <w:bCs/>
                <w:sz w:val="19"/>
                <w:szCs w:val="19"/>
              </w:rPr>
              <w:t xml:space="preserve">Telemedicine </w:t>
            </w:r>
            <w:r w:rsidR="000706EF">
              <w:rPr>
                <w:rFonts w:eastAsia="Calibri"/>
                <w:b/>
                <w:bCs/>
                <w:sz w:val="19"/>
                <w:szCs w:val="19"/>
              </w:rPr>
              <w:t>Adoption</w:t>
            </w:r>
            <w:r w:rsidR="009178F1" w:rsidRPr="00565BCE">
              <w:rPr>
                <w:rFonts w:eastAsia="Calibri"/>
                <w:b/>
                <w:bCs/>
                <w:sz w:val="19"/>
                <w:szCs w:val="19"/>
              </w:rPr>
              <w:t xml:space="preserve"> Facilitator Reasons</w:t>
            </w:r>
          </w:p>
        </w:tc>
        <w:tc>
          <w:tcPr>
            <w:tcW w:w="3528" w:type="dxa"/>
            <w:gridSpan w:val="7"/>
            <w:tcBorders>
              <w:top w:val="double" w:sz="4" w:space="0" w:color="auto"/>
              <w:left w:val="single" w:sz="8" w:space="0" w:color="auto"/>
              <w:bottom w:val="single" w:sz="4" w:space="0" w:color="auto"/>
              <w:right w:val="double" w:sz="4" w:space="0" w:color="auto"/>
            </w:tcBorders>
            <w:shd w:val="clear" w:color="auto" w:fill="auto"/>
            <w:tcMar>
              <w:left w:w="29" w:type="dxa"/>
              <w:right w:w="29" w:type="dxa"/>
            </w:tcMar>
            <w:vAlign w:val="center"/>
          </w:tcPr>
          <w:p w14:paraId="272D16C6" w14:textId="46364B3F" w:rsidR="00051207" w:rsidRPr="00565BCE" w:rsidRDefault="00051207" w:rsidP="0035067E">
            <w:pPr>
              <w:spacing w:after="0" w:line="240" w:lineRule="auto"/>
              <w:jc w:val="center"/>
              <w:rPr>
                <w:rFonts w:eastAsia="Times New Roman"/>
                <w:b/>
                <w:bCs/>
                <w:color w:val="000000"/>
                <w:sz w:val="19"/>
                <w:szCs w:val="19"/>
              </w:rPr>
            </w:pPr>
            <w:r w:rsidRPr="00565BCE">
              <w:rPr>
                <w:rFonts w:eastAsia="Times New Roman"/>
                <w:b/>
                <w:bCs/>
                <w:color w:val="000000"/>
                <w:sz w:val="19"/>
                <w:szCs w:val="19"/>
              </w:rPr>
              <w:t xml:space="preserve">% Change in </w:t>
            </w:r>
            <w:r w:rsidR="009178F1" w:rsidRPr="00565BCE">
              <w:rPr>
                <w:rFonts w:eastAsia="Calibri"/>
                <w:b/>
                <w:bCs/>
                <w:sz w:val="19"/>
                <w:szCs w:val="19"/>
              </w:rPr>
              <w:t xml:space="preserve">Telemedicine </w:t>
            </w:r>
            <w:r w:rsidR="000706EF">
              <w:rPr>
                <w:rFonts w:eastAsia="Calibri"/>
                <w:b/>
                <w:bCs/>
                <w:sz w:val="19"/>
                <w:szCs w:val="19"/>
              </w:rPr>
              <w:t>Adoption</w:t>
            </w:r>
            <w:r w:rsidR="009178F1" w:rsidRPr="00565BCE">
              <w:rPr>
                <w:rFonts w:eastAsia="Calibri"/>
                <w:b/>
                <w:bCs/>
                <w:sz w:val="19"/>
                <w:szCs w:val="19"/>
              </w:rPr>
              <w:t xml:space="preserve"> Deterrent Reasons</w:t>
            </w:r>
          </w:p>
        </w:tc>
      </w:tr>
      <w:tr w:rsidR="00051207" w:rsidRPr="00565BCE" w14:paraId="285B0C63" w14:textId="77777777" w:rsidTr="00670633">
        <w:trPr>
          <w:trHeight w:val="778"/>
          <w:tblHeader/>
        </w:trPr>
        <w:tc>
          <w:tcPr>
            <w:tcW w:w="2160" w:type="dxa"/>
            <w:vMerge/>
            <w:tcBorders>
              <w:top w:val="nil"/>
              <w:left w:val="double" w:sz="4" w:space="0" w:color="auto"/>
              <w:bottom w:val="single" w:sz="4" w:space="0" w:color="auto"/>
              <w:right w:val="double" w:sz="4" w:space="0" w:color="auto"/>
            </w:tcBorders>
            <w:shd w:val="clear" w:color="auto" w:fill="auto"/>
            <w:tcMar>
              <w:left w:w="29" w:type="dxa"/>
              <w:right w:w="29" w:type="dxa"/>
            </w:tcMar>
            <w:vAlign w:val="center"/>
          </w:tcPr>
          <w:p w14:paraId="3E3E56E7" w14:textId="77777777" w:rsidR="00051207" w:rsidRPr="00565BCE" w:rsidRDefault="00051207" w:rsidP="00051207">
            <w:pPr>
              <w:spacing w:after="0" w:line="240" w:lineRule="auto"/>
              <w:jc w:val="both"/>
              <w:rPr>
                <w:rFonts w:eastAsia="Times New Roman"/>
                <w:b/>
                <w:bCs/>
                <w:color w:val="000000"/>
                <w:sz w:val="19"/>
                <w:szCs w:val="19"/>
              </w:rPr>
            </w:pPr>
            <w:bookmarkStart w:id="100" w:name="_Hlk164088946"/>
          </w:p>
        </w:tc>
        <w:tc>
          <w:tcPr>
            <w:tcW w:w="1335" w:type="dxa"/>
            <w:vMerge/>
            <w:tcBorders>
              <w:top w:val="nil"/>
              <w:left w:val="double" w:sz="4" w:space="0" w:color="auto"/>
              <w:bottom w:val="single" w:sz="4" w:space="0" w:color="auto"/>
              <w:right w:val="single" w:sz="4" w:space="0" w:color="auto"/>
            </w:tcBorders>
            <w:shd w:val="clear" w:color="auto" w:fill="auto"/>
            <w:tcMar>
              <w:left w:w="29" w:type="dxa"/>
              <w:right w:w="29" w:type="dxa"/>
            </w:tcMar>
            <w:vAlign w:val="center"/>
          </w:tcPr>
          <w:p w14:paraId="7898BCDF" w14:textId="77777777" w:rsidR="00051207" w:rsidRPr="00565BCE" w:rsidRDefault="00051207" w:rsidP="00051207">
            <w:pPr>
              <w:spacing w:after="0" w:line="240" w:lineRule="auto"/>
              <w:jc w:val="both"/>
              <w:rPr>
                <w:rFonts w:eastAsia="Times New Roman"/>
                <w:b/>
                <w:bCs/>
                <w:color w:val="000000"/>
                <w:sz w:val="19"/>
                <w:szCs w:val="19"/>
              </w:rPr>
            </w:pPr>
          </w:p>
        </w:tc>
        <w:tc>
          <w:tcPr>
            <w:tcW w:w="1350" w:type="dxa"/>
            <w:vMerge/>
            <w:tcBorders>
              <w:top w:val="nil"/>
              <w:left w:val="single" w:sz="4" w:space="0" w:color="auto"/>
              <w:bottom w:val="single" w:sz="4" w:space="0" w:color="auto"/>
              <w:right w:val="double" w:sz="4" w:space="0" w:color="auto"/>
            </w:tcBorders>
            <w:shd w:val="clear" w:color="auto" w:fill="auto"/>
            <w:noWrap/>
            <w:tcMar>
              <w:left w:w="29" w:type="dxa"/>
              <w:right w:w="29" w:type="dxa"/>
            </w:tcMar>
            <w:vAlign w:val="center"/>
            <w:hideMark/>
          </w:tcPr>
          <w:p w14:paraId="1692B8DE" w14:textId="77777777" w:rsidR="00051207" w:rsidRPr="00565BCE" w:rsidRDefault="00051207" w:rsidP="00051207">
            <w:pPr>
              <w:spacing w:after="0" w:line="240" w:lineRule="auto"/>
              <w:jc w:val="both"/>
              <w:rPr>
                <w:rFonts w:eastAsia="Times New Roman"/>
                <w:b/>
                <w:bCs/>
                <w:color w:val="000000"/>
                <w:sz w:val="19"/>
                <w:szCs w:val="19"/>
              </w:rPr>
            </w:pPr>
          </w:p>
        </w:tc>
        <w:tc>
          <w:tcPr>
            <w:tcW w:w="720" w:type="dxa"/>
            <w:tcBorders>
              <w:top w:val="single" w:sz="4" w:space="0" w:color="auto"/>
              <w:left w:val="double" w:sz="4" w:space="0" w:color="auto"/>
              <w:bottom w:val="single" w:sz="4" w:space="0" w:color="auto"/>
              <w:right w:val="single" w:sz="8" w:space="0" w:color="auto"/>
            </w:tcBorders>
            <w:shd w:val="clear" w:color="auto" w:fill="auto"/>
            <w:noWrap/>
            <w:tcMar>
              <w:left w:w="29" w:type="dxa"/>
              <w:right w:w="29" w:type="dxa"/>
            </w:tcMar>
            <w:textDirection w:val="btLr"/>
            <w:vAlign w:val="center"/>
            <w:hideMark/>
          </w:tcPr>
          <w:p w14:paraId="15CAC7E3" w14:textId="29988DB9" w:rsidR="00051207" w:rsidRPr="00565BCE" w:rsidRDefault="006312A4" w:rsidP="00051207">
            <w:pPr>
              <w:spacing w:after="0" w:line="240" w:lineRule="auto"/>
              <w:rPr>
                <w:rFonts w:eastAsia="Times New Roman"/>
                <w:b/>
                <w:bCs/>
                <w:color w:val="000000"/>
                <w:sz w:val="19"/>
                <w:szCs w:val="19"/>
              </w:rPr>
            </w:pPr>
            <w:r w:rsidRPr="00565BCE">
              <w:rPr>
                <w:rFonts w:eastAsia="Times New Roman"/>
                <w:b/>
                <w:bCs/>
                <w:color w:val="000000"/>
                <w:sz w:val="19"/>
                <w:szCs w:val="19"/>
              </w:rPr>
              <w:t>After-COVID</w:t>
            </w:r>
          </w:p>
        </w:tc>
        <w:tc>
          <w:tcPr>
            <w:tcW w:w="483" w:type="dxa"/>
            <w:tcBorders>
              <w:top w:val="single" w:sz="4" w:space="0" w:color="auto"/>
              <w:left w:val="single" w:sz="8" w:space="0" w:color="auto"/>
              <w:bottom w:val="single" w:sz="4" w:space="0" w:color="auto"/>
              <w:right w:val="single" w:sz="4" w:space="0" w:color="auto"/>
            </w:tcBorders>
            <w:shd w:val="clear" w:color="auto" w:fill="auto"/>
            <w:tcMar>
              <w:left w:w="29" w:type="dxa"/>
              <w:right w:w="29" w:type="dxa"/>
            </w:tcMar>
            <w:textDirection w:val="btLr"/>
            <w:vAlign w:val="center"/>
          </w:tcPr>
          <w:p w14:paraId="1F62FB86" w14:textId="0DD7BFEA"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DIPA</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33581607" w14:textId="3C079A0D"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TC</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5551D5EB" w14:textId="485A3621"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TP</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3F888E3C" w14:textId="468366AE"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TS</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74C562EB" w14:textId="39894B82"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CH</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5370CA61" w14:textId="3D586739"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LCR</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2910D291" w14:textId="6663DD55"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LE</w:t>
            </w:r>
          </w:p>
        </w:tc>
        <w:tc>
          <w:tcPr>
            <w:tcW w:w="504" w:type="dxa"/>
            <w:tcBorders>
              <w:top w:val="single" w:sz="4" w:space="0" w:color="auto"/>
              <w:left w:val="single" w:sz="4" w:space="0" w:color="auto"/>
              <w:bottom w:val="single" w:sz="4" w:space="0" w:color="auto"/>
              <w:right w:val="single" w:sz="8" w:space="0" w:color="auto"/>
            </w:tcBorders>
            <w:shd w:val="clear" w:color="auto" w:fill="auto"/>
            <w:tcMar>
              <w:left w:w="29" w:type="dxa"/>
              <w:right w:w="29" w:type="dxa"/>
            </w:tcMar>
            <w:textDirection w:val="btLr"/>
            <w:vAlign w:val="center"/>
          </w:tcPr>
          <w:p w14:paraId="056ACAAA" w14:textId="4237FCC8"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FCO</w:t>
            </w:r>
          </w:p>
        </w:tc>
        <w:tc>
          <w:tcPr>
            <w:tcW w:w="504" w:type="dxa"/>
            <w:tcBorders>
              <w:top w:val="single" w:sz="4" w:space="0" w:color="auto"/>
              <w:left w:val="single" w:sz="8" w:space="0" w:color="auto"/>
              <w:bottom w:val="single" w:sz="4" w:space="0" w:color="auto"/>
              <w:right w:val="single" w:sz="4" w:space="0" w:color="auto"/>
            </w:tcBorders>
            <w:shd w:val="clear" w:color="auto" w:fill="auto"/>
            <w:tcMar>
              <w:left w:w="29" w:type="dxa"/>
              <w:right w:w="29" w:type="dxa"/>
            </w:tcMar>
            <w:textDirection w:val="btLr"/>
            <w:vAlign w:val="center"/>
          </w:tcPr>
          <w:p w14:paraId="6CED81E5" w14:textId="2C455B06"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PTQ</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6E9D197C" w14:textId="5546C374"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NIPT</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1BE7AE73" w14:textId="22397010"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TNA</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221C23C2" w14:textId="0801004B"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POP</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2C9482E0" w14:textId="0882A104"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IPC</w:t>
            </w:r>
          </w:p>
        </w:tc>
        <w:tc>
          <w:tcPr>
            <w:tcW w:w="504"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extDirection w:val="btLr"/>
            <w:vAlign w:val="center"/>
          </w:tcPr>
          <w:p w14:paraId="586D8418" w14:textId="29A01FC5"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NTC</w:t>
            </w:r>
          </w:p>
        </w:tc>
        <w:tc>
          <w:tcPr>
            <w:tcW w:w="504" w:type="dxa"/>
            <w:tcBorders>
              <w:top w:val="single" w:sz="4" w:space="0" w:color="auto"/>
              <w:left w:val="single" w:sz="4" w:space="0" w:color="auto"/>
              <w:bottom w:val="single" w:sz="4" w:space="0" w:color="auto"/>
              <w:right w:val="double" w:sz="4" w:space="0" w:color="auto"/>
            </w:tcBorders>
            <w:shd w:val="clear" w:color="auto" w:fill="auto"/>
            <w:tcMar>
              <w:left w:w="29" w:type="dxa"/>
              <w:right w:w="29" w:type="dxa"/>
            </w:tcMar>
            <w:textDirection w:val="btLr"/>
            <w:vAlign w:val="center"/>
          </w:tcPr>
          <w:p w14:paraId="7C7179D0" w14:textId="4608F190" w:rsidR="00051207" w:rsidRPr="00565BCE" w:rsidRDefault="00051207" w:rsidP="00051207">
            <w:pPr>
              <w:spacing w:after="0" w:line="240" w:lineRule="auto"/>
              <w:rPr>
                <w:rFonts w:eastAsia="Times New Roman"/>
                <w:b/>
                <w:bCs/>
                <w:color w:val="000000"/>
                <w:sz w:val="19"/>
                <w:szCs w:val="19"/>
              </w:rPr>
            </w:pPr>
            <w:r w:rsidRPr="00565BCE">
              <w:rPr>
                <w:rFonts w:eastAsia="Times New Roman"/>
                <w:b/>
                <w:bCs/>
                <w:color w:val="000000"/>
                <w:sz w:val="19"/>
                <w:szCs w:val="19"/>
              </w:rPr>
              <w:t>TSC</w:t>
            </w:r>
          </w:p>
        </w:tc>
      </w:tr>
      <w:bookmarkEnd w:id="100"/>
      <w:tr w:rsidR="00BC4A8E" w:rsidRPr="00565BCE" w14:paraId="14361263" w14:textId="77777777" w:rsidTr="00565BCE">
        <w:trPr>
          <w:cantSplit/>
          <w:trHeight w:val="20"/>
        </w:trPr>
        <w:tc>
          <w:tcPr>
            <w:tcW w:w="13104" w:type="dxa"/>
            <w:gridSpan w:val="19"/>
            <w:tcBorders>
              <w:top w:val="single" w:sz="4" w:space="0" w:color="auto"/>
              <w:left w:val="double" w:sz="4" w:space="0" w:color="auto"/>
              <w:bottom w:val="single" w:sz="4" w:space="0" w:color="auto"/>
              <w:right w:val="double" w:sz="4" w:space="0" w:color="auto"/>
            </w:tcBorders>
            <w:shd w:val="clear" w:color="auto" w:fill="auto"/>
            <w:tcMar>
              <w:left w:w="29" w:type="dxa"/>
              <w:right w:w="29" w:type="dxa"/>
            </w:tcMar>
            <w:vAlign w:val="center"/>
          </w:tcPr>
          <w:p w14:paraId="59B8738F" w14:textId="7CEFEBE1" w:rsidR="00BC4A8E" w:rsidRPr="00565BCE" w:rsidRDefault="00BC4A8E" w:rsidP="00BC4A8E">
            <w:pPr>
              <w:spacing w:after="0" w:line="240" w:lineRule="auto"/>
              <w:rPr>
                <w:rFonts w:eastAsia="Times New Roman"/>
                <w:b/>
                <w:bCs/>
                <w:color w:val="000000"/>
                <w:sz w:val="19"/>
                <w:szCs w:val="19"/>
              </w:rPr>
            </w:pPr>
            <w:r w:rsidRPr="00565BCE">
              <w:rPr>
                <w:b/>
                <w:i/>
                <w:iCs/>
                <w:sz w:val="19"/>
                <w:szCs w:val="19"/>
              </w:rPr>
              <w:t>Individual/Household Sociodemographics</w:t>
            </w:r>
          </w:p>
        </w:tc>
      </w:tr>
      <w:tr w:rsidR="00051207" w:rsidRPr="00565BCE" w14:paraId="398CEFCE" w14:textId="77777777" w:rsidTr="00392A30">
        <w:trPr>
          <w:cantSplit/>
          <w:trHeight w:val="70"/>
        </w:trPr>
        <w:tc>
          <w:tcPr>
            <w:tcW w:w="2160" w:type="dxa"/>
            <w:tcBorders>
              <w:top w:val="single" w:sz="4" w:space="0" w:color="auto"/>
              <w:left w:val="double" w:sz="4" w:space="0" w:color="auto"/>
              <w:bottom w:val="dotted" w:sz="4" w:space="0" w:color="auto"/>
              <w:right w:val="double" w:sz="4" w:space="0" w:color="auto"/>
            </w:tcBorders>
            <w:shd w:val="clear" w:color="auto" w:fill="auto"/>
            <w:tcMar>
              <w:left w:w="29" w:type="dxa"/>
              <w:right w:w="29" w:type="dxa"/>
            </w:tcMar>
            <w:vAlign w:val="center"/>
          </w:tcPr>
          <w:p w14:paraId="796C26D8" w14:textId="77777777" w:rsidR="00051207" w:rsidRPr="00565BCE" w:rsidRDefault="00051207" w:rsidP="0035067E">
            <w:pPr>
              <w:spacing w:after="0" w:line="240" w:lineRule="auto"/>
              <w:rPr>
                <w:rFonts w:eastAsia="Times New Roman"/>
                <w:bCs/>
                <w:color w:val="000000"/>
                <w:sz w:val="19"/>
                <w:szCs w:val="19"/>
              </w:rPr>
            </w:pPr>
            <w:r w:rsidRPr="00565BCE">
              <w:rPr>
                <w:bCs/>
                <w:sz w:val="19"/>
                <w:szCs w:val="19"/>
              </w:rPr>
              <w:t>Gender</w:t>
            </w:r>
          </w:p>
        </w:tc>
        <w:tc>
          <w:tcPr>
            <w:tcW w:w="1335" w:type="dxa"/>
            <w:tcBorders>
              <w:top w:val="single"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451B263A" w14:textId="77777777" w:rsidR="00051207" w:rsidRPr="00565BCE" w:rsidRDefault="00051207" w:rsidP="0035067E">
            <w:pPr>
              <w:spacing w:after="0" w:line="240" w:lineRule="auto"/>
              <w:rPr>
                <w:rFonts w:eastAsia="Times New Roman"/>
                <w:color w:val="000000"/>
                <w:sz w:val="19"/>
                <w:szCs w:val="19"/>
              </w:rPr>
            </w:pPr>
            <w:r w:rsidRPr="00565BCE">
              <w:rPr>
                <w:rFonts w:eastAsia="Times New Roman"/>
                <w:color w:val="000000"/>
                <w:sz w:val="19"/>
                <w:szCs w:val="19"/>
              </w:rPr>
              <w:t>Man</w:t>
            </w:r>
          </w:p>
        </w:tc>
        <w:tc>
          <w:tcPr>
            <w:tcW w:w="1350" w:type="dxa"/>
            <w:tcBorders>
              <w:top w:val="single"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3D965F5B" w14:textId="77777777" w:rsidR="00051207" w:rsidRPr="00565BCE" w:rsidRDefault="00051207" w:rsidP="0035067E">
            <w:pPr>
              <w:spacing w:after="0" w:line="240" w:lineRule="auto"/>
              <w:rPr>
                <w:rFonts w:eastAsia="Times New Roman"/>
                <w:color w:val="000000"/>
                <w:sz w:val="19"/>
                <w:szCs w:val="19"/>
              </w:rPr>
            </w:pPr>
            <w:r w:rsidRPr="00565BCE">
              <w:rPr>
                <w:rFonts w:eastAsia="Times New Roman"/>
                <w:color w:val="000000"/>
                <w:sz w:val="19"/>
                <w:szCs w:val="19"/>
              </w:rPr>
              <w:t>Woman</w:t>
            </w:r>
          </w:p>
        </w:tc>
        <w:tc>
          <w:tcPr>
            <w:tcW w:w="720" w:type="dxa"/>
            <w:tcBorders>
              <w:top w:val="single"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4CD4E932" w14:textId="77777777" w:rsidR="00051207" w:rsidRPr="00565BCE" w:rsidRDefault="00051207" w:rsidP="0089313F">
            <w:pPr>
              <w:spacing w:after="0" w:line="240" w:lineRule="auto"/>
              <w:jc w:val="right"/>
              <w:rPr>
                <w:rFonts w:eastAsia="Times New Roman"/>
                <w:color w:val="000000"/>
                <w:sz w:val="19"/>
                <w:szCs w:val="19"/>
              </w:rPr>
            </w:pPr>
          </w:p>
        </w:tc>
        <w:tc>
          <w:tcPr>
            <w:tcW w:w="483" w:type="dxa"/>
            <w:tcBorders>
              <w:top w:val="single"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1F02F36A"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15.1</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F40F197"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9.0</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980FDA8"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48FDAAB"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DC49449"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97976E8"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20.0</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3D37992"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-23.4</w:t>
            </w:r>
          </w:p>
        </w:tc>
        <w:tc>
          <w:tcPr>
            <w:tcW w:w="504" w:type="dxa"/>
            <w:tcBorders>
              <w:top w:val="single"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72EBC754"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5A4AD3EE"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-17.3</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3B13964"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0F36255"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41028C6"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AF9223A"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2A2CCEF"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0A9CB9B4" w14:textId="77777777" w:rsidR="00051207" w:rsidRPr="00565BCE" w:rsidRDefault="00051207" w:rsidP="0089313F">
            <w:pPr>
              <w:spacing w:after="0" w:line="240" w:lineRule="auto"/>
              <w:jc w:val="right"/>
              <w:rPr>
                <w:rFonts w:eastAsia="Times New Roman"/>
                <w:color w:val="000000"/>
                <w:sz w:val="19"/>
                <w:szCs w:val="19"/>
              </w:rPr>
            </w:pPr>
          </w:p>
        </w:tc>
      </w:tr>
      <w:tr w:rsidR="00CC2CB1" w:rsidRPr="00565BCE" w14:paraId="28995D7B" w14:textId="77777777" w:rsidTr="00392A30">
        <w:trPr>
          <w:cantSplit/>
          <w:trHeight w:val="224"/>
        </w:trPr>
        <w:tc>
          <w:tcPr>
            <w:tcW w:w="2160" w:type="dxa"/>
            <w:tcBorders>
              <w:top w:val="dotted" w:sz="4" w:space="0" w:color="auto"/>
              <w:left w:val="double" w:sz="4" w:space="0" w:color="auto"/>
              <w:bottom w:val="dotted" w:sz="4" w:space="0" w:color="auto"/>
              <w:right w:val="double" w:sz="4" w:space="0" w:color="auto"/>
            </w:tcBorders>
            <w:shd w:val="clear" w:color="auto" w:fill="auto"/>
            <w:tcMar>
              <w:left w:w="29" w:type="dxa"/>
              <w:right w:w="29" w:type="dxa"/>
            </w:tcMar>
            <w:vAlign w:val="center"/>
          </w:tcPr>
          <w:p w14:paraId="6ED87B43" w14:textId="77777777" w:rsidR="00CC2CB1" w:rsidRPr="00565BCE" w:rsidRDefault="00CC2CB1" w:rsidP="0035067E">
            <w:pPr>
              <w:spacing w:after="0" w:line="240" w:lineRule="auto"/>
              <w:rPr>
                <w:rFonts w:eastAsia="Times New Roman"/>
                <w:bCs/>
                <w:color w:val="000000"/>
                <w:sz w:val="19"/>
                <w:szCs w:val="19"/>
              </w:rPr>
            </w:pPr>
            <w:r w:rsidRPr="00565BCE">
              <w:rPr>
                <w:bCs/>
                <w:sz w:val="19"/>
                <w:szCs w:val="19"/>
              </w:rPr>
              <w:t xml:space="preserve">Presence of children </w:t>
            </w:r>
          </w:p>
        </w:tc>
        <w:tc>
          <w:tcPr>
            <w:tcW w:w="1335" w:type="dxa"/>
            <w:tcBorders>
              <w:top w:val="dotted" w:sz="4" w:space="0" w:color="auto"/>
              <w:left w:val="double" w:sz="4" w:space="0" w:color="auto"/>
              <w:right w:val="single" w:sz="4" w:space="0" w:color="auto"/>
            </w:tcBorders>
            <w:shd w:val="clear" w:color="auto" w:fill="auto"/>
            <w:tcMar>
              <w:left w:w="29" w:type="dxa"/>
              <w:right w:w="29" w:type="dxa"/>
            </w:tcMar>
            <w:vAlign w:val="center"/>
          </w:tcPr>
          <w:p w14:paraId="01FDB9D9" w14:textId="4A560EAB" w:rsidR="00CC2CB1" w:rsidRPr="00565BCE" w:rsidRDefault="00CC2CB1" w:rsidP="0035067E">
            <w:pPr>
              <w:spacing w:after="0" w:line="240" w:lineRule="auto"/>
              <w:rPr>
                <w:rFonts w:eastAsia="Times New Roman"/>
                <w:color w:val="000000"/>
                <w:sz w:val="19"/>
                <w:szCs w:val="19"/>
              </w:rPr>
            </w:pPr>
            <w:r w:rsidRPr="00565BCE">
              <w:rPr>
                <w:rFonts w:eastAsia="Times New Roman"/>
                <w:color w:val="000000"/>
                <w:sz w:val="19"/>
                <w:szCs w:val="19"/>
              </w:rPr>
              <w:t xml:space="preserve">No </w:t>
            </w:r>
          </w:p>
        </w:tc>
        <w:tc>
          <w:tcPr>
            <w:tcW w:w="1350" w:type="dxa"/>
            <w:tcBorders>
              <w:top w:val="dotted" w:sz="4" w:space="0" w:color="auto"/>
              <w:left w:val="single" w:sz="4" w:space="0" w:color="auto"/>
              <w:right w:val="double" w:sz="4" w:space="0" w:color="auto"/>
            </w:tcBorders>
            <w:shd w:val="clear" w:color="auto" w:fill="auto"/>
            <w:tcMar>
              <w:left w:w="29" w:type="dxa"/>
              <w:right w:w="29" w:type="dxa"/>
            </w:tcMar>
            <w:vAlign w:val="center"/>
          </w:tcPr>
          <w:p w14:paraId="7DCF5AB9" w14:textId="77777777" w:rsidR="00CC2CB1" w:rsidRPr="00565BCE" w:rsidRDefault="00CC2CB1" w:rsidP="0035067E">
            <w:pPr>
              <w:spacing w:after="0" w:line="240" w:lineRule="auto"/>
              <w:rPr>
                <w:rFonts w:eastAsia="Times New Roman"/>
                <w:color w:val="000000"/>
                <w:sz w:val="19"/>
                <w:szCs w:val="19"/>
              </w:rPr>
            </w:pPr>
            <w:r w:rsidRPr="00565BCE">
              <w:rPr>
                <w:rFonts w:eastAsia="Times New Roman"/>
                <w:color w:val="000000"/>
                <w:sz w:val="19"/>
                <w:szCs w:val="19"/>
              </w:rPr>
              <w:t>Yes</w:t>
            </w:r>
          </w:p>
        </w:tc>
        <w:tc>
          <w:tcPr>
            <w:tcW w:w="720" w:type="dxa"/>
            <w:tcBorders>
              <w:top w:val="dotted"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16D86173" w14:textId="4AA4B5CB" w:rsidR="00CC2CB1" w:rsidRPr="00565BCE" w:rsidRDefault="00CC2CB1" w:rsidP="0089313F">
            <w:pPr>
              <w:spacing w:after="0" w:line="240" w:lineRule="auto"/>
              <w:jc w:val="right"/>
              <w:rPr>
                <w:rFonts w:eastAsia="Times New Roman"/>
                <w:color w:val="000000"/>
                <w:sz w:val="19"/>
                <w:szCs w:val="19"/>
              </w:rPr>
            </w:pPr>
            <w:r w:rsidRPr="00565BCE">
              <w:rPr>
                <w:rFonts w:eastAsia="Times New Roman"/>
                <w:color w:val="000000"/>
                <w:sz w:val="19"/>
                <w:szCs w:val="19"/>
              </w:rPr>
              <w:t>1</w:t>
            </w:r>
            <w:r w:rsidR="00472422" w:rsidRPr="00565BCE">
              <w:rPr>
                <w:rFonts w:eastAsia="Times New Roman"/>
                <w:color w:val="000000"/>
                <w:sz w:val="19"/>
                <w:szCs w:val="19"/>
              </w:rPr>
              <w:t>8</w:t>
            </w:r>
            <w:r w:rsidRPr="00565BCE">
              <w:rPr>
                <w:rFonts w:eastAsia="Times New Roman"/>
                <w:color w:val="000000"/>
                <w:sz w:val="19"/>
                <w:szCs w:val="19"/>
              </w:rPr>
              <w:t>.</w:t>
            </w:r>
            <w:r w:rsidR="00472422" w:rsidRPr="00565BCE">
              <w:rPr>
                <w:rFonts w:eastAsia="Times New Roman"/>
                <w:color w:val="000000"/>
                <w:sz w:val="19"/>
                <w:szCs w:val="19"/>
              </w:rPr>
              <w:t>0</w:t>
            </w:r>
          </w:p>
        </w:tc>
        <w:tc>
          <w:tcPr>
            <w:tcW w:w="483" w:type="dxa"/>
            <w:tcBorders>
              <w:top w:val="dotted" w:sz="4" w:space="0" w:color="auto"/>
              <w:left w:val="single" w:sz="8" w:space="0" w:color="auto"/>
              <w:right w:val="single" w:sz="4" w:space="0" w:color="auto"/>
            </w:tcBorders>
            <w:shd w:val="clear" w:color="auto" w:fill="auto"/>
            <w:noWrap/>
            <w:tcMar>
              <w:left w:w="29" w:type="dxa"/>
              <w:right w:w="29" w:type="dxa"/>
            </w:tcMar>
            <w:vAlign w:val="center"/>
          </w:tcPr>
          <w:p w14:paraId="061F3519" w14:textId="77777777" w:rsidR="00CC2CB1" w:rsidRPr="00565BCE" w:rsidRDefault="00CC2CB1" w:rsidP="0089313F">
            <w:pPr>
              <w:spacing w:after="0" w:line="240" w:lineRule="auto"/>
              <w:jc w:val="right"/>
              <w:rPr>
                <w:rFonts w:eastAsia="Times New Roman"/>
                <w:color w:val="000000"/>
                <w:sz w:val="19"/>
                <w:szCs w:val="19"/>
              </w:rPr>
            </w:pPr>
            <w:r w:rsidRPr="00565BCE">
              <w:rPr>
                <w:rFonts w:eastAsia="Times New Roman"/>
                <w:color w:val="000000"/>
                <w:sz w:val="19"/>
                <w:szCs w:val="19"/>
              </w:rPr>
              <w:t>16.6</w:t>
            </w: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7644BC06"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45EE1802" w14:textId="77777777" w:rsidR="00CC2CB1" w:rsidRPr="00565BCE" w:rsidRDefault="00CC2CB1" w:rsidP="0089313F">
            <w:pPr>
              <w:spacing w:after="0" w:line="240" w:lineRule="auto"/>
              <w:jc w:val="right"/>
              <w:rPr>
                <w:rFonts w:eastAsia="Times New Roman"/>
                <w:color w:val="000000"/>
                <w:sz w:val="19"/>
                <w:szCs w:val="19"/>
              </w:rPr>
            </w:pPr>
            <w:r w:rsidRPr="00565BCE">
              <w:rPr>
                <w:rFonts w:eastAsia="Times New Roman"/>
                <w:color w:val="000000"/>
                <w:sz w:val="19"/>
                <w:szCs w:val="19"/>
              </w:rPr>
              <w:t>23.1</w:t>
            </w: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5A1BD8DF"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795BBC2C"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4F4EEA08"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21750D19"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228449E8" w14:textId="77777777" w:rsidR="00CC2CB1" w:rsidRPr="00565BCE" w:rsidRDefault="00CC2CB1" w:rsidP="0089313F">
            <w:pPr>
              <w:spacing w:after="0" w:line="240" w:lineRule="auto"/>
              <w:jc w:val="right"/>
              <w:rPr>
                <w:rFonts w:eastAsia="Times New Roman"/>
                <w:color w:val="000000"/>
                <w:sz w:val="19"/>
                <w:szCs w:val="19"/>
              </w:rPr>
            </w:pPr>
            <w:r w:rsidRPr="00565BCE">
              <w:rPr>
                <w:rFonts w:eastAsia="Times New Roman"/>
                <w:color w:val="000000"/>
                <w:sz w:val="19"/>
                <w:szCs w:val="19"/>
              </w:rPr>
              <w:t>24.5</w:t>
            </w:r>
          </w:p>
        </w:tc>
        <w:tc>
          <w:tcPr>
            <w:tcW w:w="504" w:type="dxa"/>
            <w:tcBorders>
              <w:top w:val="dotted" w:sz="4" w:space="0" w:color="auto"/>
              <w:left w:val="single" w:sz="8" w:space="0" w:color="auto"/>
              <w:right w:val="single" w:sz="4" w:space="0" w:color="auto"/>
            </w:tcBorders>
            <w:shd w:val="clear" w:color="auto" w:fill="auto"/>
            <w:noWrap/>
            <w:tcMar>
              <w:left w:w="29" w:type="dxa"/>
              <w:right w:w="29" w:type="dxa"/>
            </w:tcMar>
            <w:vAlign w:val="center"/>
          </w:tcPr>
          <w:p w14:paraId="48140A3E" w14:textId="77777777" w:rsidR="00CC2CB1" w:rsidRPr="00565BCE" w:rsidRDefault="00CC2CB1" w:rsidP="0089313F">
            <w:pPr>
              <w:spacing w:after="0" w:line="240" w:lineRule="auto"/>
              <w:jc w:val="right"/>
              <w:rPr>
                <w:rFonts w:eastAsia="Times New Roman"/>
                <w:color w:val="000000"/>
                <w:sz w:val="19"/>
                <w:szCs w:val="19"/>
              </w:rPr>
            </w:pPr>
            <w:r w:rsidRPr="00565BCE">
              <w:rPr>
                <w:rFonts w:eastAsia="Times New Roman"/>
                <w:color w:val="000000"/>
                <w:sz w:val="19"/>
                <w:szCs w:val="19"/>
              </w:rPr>
              <w:t>13.6</w:t>
            </w: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43D9D8DF"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1761AF84"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19971FE4"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55AF2580" w14:textId="03552892" w:rsidR="00CC2CB1" w:rsidRPr="00565BCE" w:rsidRDefault="00CC2CB1" w:rsidP="0089313F">
            <w:pPr>
              <w:spacing w:after="0" w:line="240" w:lineRule="auto"/>
              <w:jc w:val="right"/>
              <w:rPr>
                <w:rFonts w:eastAsia="Times New Roman"/>
                <w:color w:val="000000"/>
                <w:sz w:val="19"/>
                <w:szCs w:val="19"/>
              </w:rPr>
            </w:pPr>
            <w:r w:rsidRPr="00565BCE">
              <w:rPr>
                <w:rFonts w:eastAsia="Times New Roman"/>
                <w:color w:val="000000"/>
                <w:sz w:val="19"/>
                <w:szCs w:val="19"/>
              </w:rPr>
              <w:t>3</w:t>
            </w:r>
            <w:r w:rsidR="00D50A93" w:rsidRPr="00565BCE">
              <w:rPr>
                <w:rFonts w:eastAsia="Times New Roman"/>
                <w:color w:val="000000"/>
                <w:sz w:val="19"/>
                <w:szCs w:val="19"/>
              </w:rPr>
              <w:t>1</w:t>
            </w:r>
            <w:r w:rsidRPr="00565BCE">
              <w:rPr>
                <w:rFonts w:eastAsia="Times New Roman"/>
                <w:color w:val="000000"/>
                <w:sz w:val="19"/>
                <w:szCs w:val="19"/>
              </w:rPr>
              <w:t>.1</w:t>
            </w:r>
          </w:p>
        </w:tc>
        <w:tc>
          <w:tcPr>
            <w:tcW w:w="504" w:type="dxa"/>
            <w:tcBorders>
              <w:top w:val="dotted" w:sz="4" w:space="0" w:color="auto"/>
              <w:left w:val="single" w:sz="4" w:space="0" w:color="auto"/>
              <w:right w:val="single" w:sz="4" w:space="0" w:color="auto"/>
            </w:tcBorders>
            <w:shd w:val="clear" w:color="auto" w:fill="auto"/>
            <w:noWrap/>
            <w:tcMar>
              <w:left w:w="29" w:type="dxa"/>
              <w:right w:w="29" w:type="dxa"/>
            </w:tcMar>
            <w:vAlign w:val="center"/>
          </w:tcPr>
          <w:p w14:paraId="3B3E77C4" w14:textId="77777777" w:rsidR="00CC2CB1" w:rsidRPr="00565BCE" w:rsidRDefault="00CC2CB1"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right w:val="double" w:sz="4" w:space="0" w:color="auto"/>
            </w:tcBorders>
            <w:shd w:val="clear" w:color="auto" w:fill="auto"/>
            <w:noWrap/>
            <w:tcMar>
              <w:left w:w="29" w:type="dxa"/>
              <w:right w:w="29" w:type="dxa"/>
            </w:tcMar>
            <w:vAlign w:val="center"/>
          </w:tcPr>
          <w:p w14:paraId="668572FE" w14:textId="77777777" w:rsidR="00CC2CB1" w:rsidRPr="00565BCE" w:rsidRDefault="00CC2CB1" w:rsidP="0089313F">
            <w:pPr>
              <w:spacing w:after="0" w:line="240" w:lineRule="auto"/>
              <w:jc w:val="right"/>
              <w:rPr>
                <w:rFonts w:eastAsia="Times New Roman"/>
                <w:color w:val="000000"/>
                <w:sz w:val="19"/>
                <w:szCs w:val="19"/>
              </w:rPr>
            </w:pPr>
          </w:p>
        </w:tc>
      </w:tr>
      <w:tr w:rsidR="00051207" w:rsidRPr="00565BCE" w14:paraId="3CEC28A4" w14:textId="77777777" w:rsidTr="00392A30">
        <w:trPr>
          <w:cantSplit/>
          <w:trHeight w:val="20"/>
        </w:trPr>
        <w:tc>
          <w:tcPr>
            <w:tcW w:w="2160" w:type="dxa"/>
            <w:tcBorders>
              <w:top w:val="dotted" w:sz="4" w:space="0" w:color="auto"/>
              <w:left w:val="double" w:sz="4" w:space="0" w:color="auto"/>
              <w:bottom w:val="dotted" w:sz="4" w:space="0" w:color="auto"/>
              <w:right w:val="double" w:sz="4" w:space="0" w:color="auto"/>
            </w:tcBorders>
            <w:shd w:val="clear" w:color="auto" w:fill="auto"/>
            <w:tcMar>
              <w:left w:w="29" w:type="dxa"/>
              <w:right w:w="29" w:type="dxa"/>
            </w:tcMar>
            <w:vAlign w:val="center"/>
          </w:tcPr>
          <w:p w14:paraId="17217B85" w14:textId="77777777" w:rsidR="00051207" w:rsidRPr="00565BCE" w:rsidRDefault="00051207" w:rsidP="0035067E">
            <w:pPr>
              <w:spacing w:after="0" w:line="240" w:lineRule="auto"/>
              <w:rPr>
                <w:rFonts w:eastAsia="Times New Roman"/>
                <w:bCs/>
                <w:color w:val="000000"/>
                <w:sz w:val="19"/>
                <w:szCs w:val="19"/>
              </w:rPr>
            </w:pPr>
            <w:bookmarkStart w:id="101" w:name="_Hlk164086340"/>
            <w:r w:rsidRPr="00565BCE">
              <w:rPr>
                <w:bCs/>
                <w:sz w:val="19"/>
                <w:szCs w:val="19"/>
              </w:rPr>
              <w:t xml:space="preserve">Age </w:t>
            </w:r>
          </w:p>
        </w:tc>
        <w:tc>
          <w:tcPr>
            <w:tcW w:w="1335" w:type="dxa"/>
            <w:tcBorders>
              <w:top w:val="dotted"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7A8C4A32" w14:textId="77777777" w:rsidR="00051207" w:rsidRPr="00565BCE" w:rsidRDefault="00051207" w:rsidP="0035067E">
            <w:pPr>
              <w:spacing w:after="0" w:line="240" w:lineRule="auto"/>
              <w:rPr>
                <w:rFonts w:eastAsia="Times New Roman"/>
                <w:color w:val="000000"/>
                <w:sz w:val="19"/>
                <w:szCs w:val="19"/>
              </w:rPr>
            </w:pPr>
            <w:r w:rsidRPr="00565BCE">
              <w:rPr>
                <w:rFonts w:eastAsia="Times New Roman"/>
                <w:color w:val="000000"/>
                <w:sz w:val="19"/>
                <w:szCs w:val="19"/>
              </w:rPr>
              <w:t>50 years or younger</w:t>
            </w:r>
          </w:p>
        </w:tc>
        <w:tc>
          <w:tcPr>
            <w:tcW w:w="1350" w:type="dxa"/>
            <w:tcBorders>
              <w:top w:val="dotted" w:sz="4" w:space="0" w:color="auto"/>
              <w:left w:val="single" w:sz="4" w:space="0" w:color="auto"/>
              <w:bottom w:val="dotted" w:sz="4" w:space="0" w:color="auto"/>
              <w:right w:val="double" w:sz="4" w:space="0" w:color="auto"/>
            </w:tcBorders>
            <w:shd w:val="clear" w:color="auto" w:fill="auto"/>
            <w:tcMar>
              <w:left w:w="29" w:type="dxa"/>
              <w:right w:w="29" w:type="dxa"/>
            </w:tcMar>
            <w:vAlign w:val="center"/>
          </w:tcPr>
          <w:p w14:paraId="730758CC" w14:textId="77777777" w:rsidR="00051207" w:rsidRPr="00565BCE" w:rsidRDefault="00051207" w:rsidP="0035067E">
            <w:pPr>
              <w:spacing w:after="0" w:line="240" w:lineRule="auto"/>
              <w:rPr>
                <w:rFonts w:eastAsia="Times New Roman"/>
                <w:color w:val="000000"/>
                <w:sz w:val="19"/>
                <w:szCs w:val="19"/>
              </w:rPr>
            </w:pPr>
            <w:r w:rsidRPr="00565BCE">
              <w:rPr>
                <w:rFonts w:eastAsia="Times New Roman"/>
                <w:color w:val="000000"/>
                <w:sz w:val="19"/>
                <w:szCs w:val="19"/>
              </w:rPr>
              <w:t>Over 50 years</w:t>
            </w:r>
          </w:p>
        </w:tc>
        <w:tc>
          <w:tcPr>
            <w:tcW w:w="720" w:type="dxa"/>
            <w:tcBorders>
              <w:top w:val="dotted"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7BE67507" w14:textId="60423384"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-2</w:t>
            </w:r>
            <w:r w:rsidR="00472422" w:rsidRPr="00565BCE">
              <w:rPr>
                <w:rFonts w:eastAsia="Times New Roman"/>
                <w:color w:val="000000"/>
                <w:sz w:val="19"/>
                <w:szCs w:val="19"/>
              </w:rPr>
              <w:t>9</w:t>
            </w:r>
            <w:r w:rsidRPr="00565BCE">
              <w:rPr>
                <w:rFonts w:eastAsia="Times New Roman"/>
                <w:color w:val="000000"/>
                <w:sz w:val="19"/>
                <w:szCs w:val="19"/>
              </w:rPr>
              <w:t>.</w:t>
            </w:r>
            <w:r w:rsidR="00472422" w:rsidRPr="00565BCE">
              <w:rPr>
                <w:rFonts w:eastAsia="Times New Roman"/>
                <w:color w:val="000000"/>
                <w:sz w:val="19"/>
                <w:szCs w:val="19"/>
              </w:rPr>
              <w:t>7</w:t>
            </w:r>
          </w:p>
        </w:tc>
        <w:tc>
          <w:tcPr>
            <w:tcW w:w="483"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53249589"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D899CAF"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34CBF56"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52.4</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2553750"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-19.5</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A37AF35"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75497877"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23.0</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E9F62DF"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63A0BF61"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28DAD930"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ECABDF5"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16.1</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72E650B1"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8B29DB3" w14:textId="77777777" w:rsidR="00051207" w:rsidRPr="00565BCE" w:rsidRDefault="00051207"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7589832" w14:textId="77777777" w:rsidR="00051207" w:rsidRPr="00565BCE" w:rsidRDefault="00051207" w:rsidP="0089313F">
            <w:pPr>
              <w:spacing w:after="0" w:line="240" w:lineRule="auto"/>
              <w:jc w:val="right"/>
              <w:rPr>
                <w:rFonts w:eastAsia="Times New Roman"/>
                <w:color w:val="000000"/>
                <w:sz w:val="19"/>
                <w:szCs w:val="19"/>
              </w:rPr>
            </w:pPr>
            <w:r w:rsidRPr="00565BCE">
              <w:rPr>
                <w:rFonts w:eastAsia="Times New Roman"/>
                <w:color w:val="000000"/>
                <w:sz w:val="19"/>
                <w:szCs w:val="19"/>
              </w:rPr>
              <w:t>23.0</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2CD38A89" w14:textId="0C519BC9" w:rsidR="00051207" w:rsidRPr="00565BCE" w:rsidRDefault="00DE6B3B" w:rsidP="0089313F">
            <w:pPr>
              <w:spacing w:after="0" w:line="240" w:lineRule="auto"/>
              <w:jc w:val="right"/>
              <w:rPr>
                <w:rFonts w:eastAsia="Times New Roman"/>
                <w:color w:val="000000"/>
                <w:sz w:val="19"/>
                <w:szCs w:val="19"/>
              </w:rPr>
            </w:pPr>
            <w:r w:rsidRPr="00565BCE">
              <w:rPr>
                <w:rFonts w:eastAsia="Times New Roman"/>
                <w:color w:val="000000"/>
                <w:sz w:val="19"/>
                <w:szCs w:val="19"/>
              </w:rPr>
              <w:t>1</w:t>
            </w:r>
            <w:r w:rsidR="00312CCA" w:rsidRPr="00565BCE">
              <w:rPr>
                <w:rFonts w:eastAsia="Times New Roman"/>
                <w:color w:val="000000"/>
                <w:sz w:val="19"/>
                <w:szCs w:val="19"/>
              </w:rPr>
              <w:t>7</w:t>
            </w:r>
            <w:r w:rsidRPr="00565BCE">
              <w:rPr>
                <w:rFonts w:eastAsia="Times New Roman"/>
                <w:color w:val="000000"/>
                <w:sz w:val="19"/>
                <w:szCs w:val="19"/>
              </w:rPr>
              <w:t>.</w:t>
            </w:r>
            <w:r w:rsidR="00312CCA" w:rsidRPr="00565BCE">
              <w:rPr>
                <w:rFonts w:eastAsia="Times New Roman"/>
                <w:color w:val="000000"/>
                <w:sz w:val="19"/>
                <w:szCs w:val="19"/>
              </w:rPr>
              <w:t>6</w:t>
            </w:r>
          </w:p>
        </w:tc>
        <w:tc>
          <w:tcPr>
            <w:tcW w:w="504" w:type="dxa"/>
            <w:tcBorders>
              <w:top w:val="dotted"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4A76717A" w14:textId="77777777" w:rsidR="00051207" w:rsidRPr="00565BCE" w:rsidRDefault="00051207" w:rsidP="0089313F">
            <w:pPr>
              <w:spacing w:after="0" w:line="240" w:lineRule="auto"/>
              <w:jc w:val="right"/>
              <w:rPr>
                <w:rFonts w:eastAsia="Times New Roman"/>
                <w:color w:val="000000"/>
                <w:sz w:val="19"/>
                <w:szCs w:val="19"/>
              </w:rPr>
            </w:pPr>
          </w:p>
        </w:tc>
      </w:tr>
      <w:bookmarkEnd w:id="101"/>
      <w:tr w:rsidR="00D14EFF" w:rsidRPr="00565BCE" w14:paraId="6E292492" w14:textId="77777777" w:rsidTr="00392A30">
        <w:trPr>
          <w:cantSplit/>
          <w:trHeight w:val="20"/>
        </w:trPr>
        <w:tc>
          <w:tcPr>
            <w:tcW w:w="2160" w:type="dxa"/>
            <w:tcBorders>
              <w:top w:val="dotted" w:sz="4" w:space="0" w:color="auto"/>
              <w:left w:val="double" w:sz="4" w:space="0" w:color="auto"/>
              <w:bottom w:val="dotted" w:sz="4" w:space="0" w:color="auto"/>
              <w:right w:val="double" w:sz="4" w:space="0" w:color="auto"/>
            </w:tcBorders>
            <w:shd w:val="clear" w:color="auto" w:fill="auto"/>
            <w:tcMar>
              <w:left w:w="29" w:type="dxa"/>
              <w:right w:w="29" w:type="dxa"/>
            </w:tcMar>
            <w:vAlign w:val="center"/>
          </w:tcPr>
          <w:p w14:paraId="321CD23F" w14:textId="5FAF8080" w:rsidR="00D14EFF" w:rsidRPr="00565BCE" w:rsidRDefault="00D14EFF" w:rsidP="00D14EFF">
            <w:pPr>
              <w:spacing w:after="0" w:line="240" w:lineRule="auto"/>
              <w:rPr>
                <w:rFonts w:eastAsia="Times New Roman"/>
                <w:bCs/>
                <w:color w:val="000000"/>
                <w:sz w:val="19"/>
                <w:szCs w:val="19"/>
              </w:rPr>
            </w:pPr>
            <w:r w:rsidRPr="00565BCE">
              <w:rPr>
                <w:bCs/>
                <w:sz w:val="19"/>
                <w:szCs w:val="19"/>
              </w:rPr>
              <w:t xml:space="preserve">Household </w:t>
            </w:r>
            <w:r w:rsidR="00E82A53">
              <w:rPr>
                <w:bCs/>
                <w:sz w:val="19"/>
                <w:szCs w:val="19"/>
              </w:rPr>
              <w:t>i</w:t>
            </w:r>
            <w:r w:rsidRPr="00565BCE">
              <w:rPr>
                <w:bCs/>
                <w:sz w:val="19"/>
                <w:szCs w:val="19"/>
              </w:rPr>
              <w:t xml:space="preserve">ncome </w:t>
            </w:r>
          </w:p>
        </w:tc>
        <w:tc>
          <w:tcPr>
            <w:tcW w:w="1335" w:type="dxa"/>
            <w:tcBorders>
              <w:top w:val="dotted"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16BA81FF" w14:textId="506E1909"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≥$100,000</w:t>
            </w:r>
          </w:p>
        </w:tc>
        <w:tc>
          <w:tcPr>
            <w:tcW w:w="1350" w:type="dxa"/>
            <w:tcBorders>
              <w:top w:val="dotted" w:sz="4" w:space="0" w:color="auto"/>
              <w:left w:val="single" w:sz="4" w:space="0" w:color="auto"/>
              <w:bottom w:val="dotted" w:sz="4" w:space="0" w:color="auto"/>
              <w:right w:val="double" w:sz="4" w:space="0" w:color="auto"/>
            </w:tcBorders>
            <w:shd w:val="clear" w:color="auto" w:fill="auto"/>
            <w:tcMar>
              <w:left w:w="29" w:type="dxa"/>
              <w:right w:w="29" w:type="dxa"/>
            </w:tcMar>
            <w:vAlign w:val="center"/>
          </w:tcPr>
          <w:p w14:paraId="0C19D594" w14:textId="2AC34663"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&lt;$50,000</w:t>
            </w:r>
          </w:p>
        </w:tc>
        <w:tc>
          <w:tcPr>
            <w:tcW w:w="720" w:type="dxa"/>
            <w:tcBorders>
              <w:top w:val="dotted"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56233C3F" w14:textId="51E6301D"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w:t>
            </w:r>
            <w:r w:rsidR="00472422" w:rsidRPr="00565BCE">
              <w:rPr>
                <w:rFonts w:eastAsia="Times New Roman"/>
                <w:color w:val="000000"/>
                <w:sz w:val="19"/>
                <w:szCs w:val="19"/>
              </w:rPr>
              <w:t>7</w:t>
            </w:r>
            <w:r w:rsidRPr="00565BCE">
              <w:rPr>
                <w:rFonts w:eastAsia="Times New Roman"/>
                <w:color w:val="000000"/>
                <w:sz w:val="19"/>
                <w:szCs w:val="19"/>
              </w:rPr>
              <w:t>.</w:t>
            </w:r>
            <w:r w:rsidR="00472422" w:rsidRPr="00565BCE">
              <w:rPr>
                <w:rFonts w:eastAsia="Times New Roman"/>
                <w:color w:val="000000"/>
                <w:sz w:val="19"/>
                <w:szCs w:val="19"/>
              </w:rPr>
              <w:t>2</w:t>
            </w:r>
          </w:p>
        </w:tc>
        <w:tc>
          <w:tcPr>
            <w:tcW w:w="483"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20CB208B" w14:textId="20700ED2"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16.0</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2BAC3E4D" w14:textId="3140A916"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-29.8</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9DEE698" w14:textId="05F55360"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39.0</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74107CC" w14:textId="18A38896"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-21.9</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24D4E7E4" w14:textId="2F8C4F7C"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19.8</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6D0D3F2"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45FB4A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46A1ED97"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4D2496EA" w14:textId="54BBA2EE"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-14.1</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FBE7FC7"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A38B6EF" w14:textId="3D666665"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-29.0</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CCEA6CD"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EE1ADE2" w14:textId="34D21812"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17.9</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2D8A5C5" w14:textId="5779FDAE" w:rsidR="00D14EFF" w:rsidRPr="00565BCE" w:rsidRDefault="00DE6B3B" w:rsidP="0089313F">
            <w:pPr>
              <w:spacing w:after="0" w:line="240" w:lineRule="auto"/>
              <w:jc w:val="right"/>
              <w:rPr>
                <w:rFonts w:eastAsia="Times New Roman"/>
                <w:color w:val="000000"/>
                <w:sz w:val="19"/>
                <w:szCs w:val="19"/>
              </w:rPr>
            </w:pPr>
            <w:r w:rsidRPr="00565BCE">
              <w:rPr>
                <w:rFonts w:eastAsia="Times New Roman"/>
                <w:color w:val="000000"/>
                <w:sz w:val="19"/>
                <w:szCs w:val="19"/>
              </w:rPr>
              <w:t>35.6</w:t>
            </w:r>
          </w:p>
        </w:tc>
        <w:tc>
          <w:tcPr>
            <w:tcW w:w="504" w:type="dxa"/>
            <w:tcBorders>
              <w:top w:val="dotted"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2C5C5B59" w14:textId="3B2A8F6E"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22.6</w:t>
            </w:r>
          </w:p>
        </w:tc>
      </w:tr>
      <w:tr w:rsidR="00D14EFF" w:rsidRPr="00565BCE" w14:paraId="297C10D1" w14:textId="77777777" w:rsidTr="00392A30">
        <w:trPr>
          <w:cantSplit/>
          <w:trHeight w:val="20"/>
        </w:trPr>
        <w:tc>
          <w:tcPr>
            <w:tcW w:w="2160" w:type="dxa"/>
            <w:tcBorders>
              <w:top w:val="dotted" w:sz="4" w:space="0" w:color="auto"/>
              <w:left w:val="double" w:sz="4" w:space="0" w:color="auto"/>
              <w:bottom w:val="single" w:sz="4" w:space="0" w:color="auto"/>
              <w:right w:val="double" w:sz="4" w:space="0" w:color="auto"/>
            </w:tcBorders>
            <w:shd w:val="clear" w:color="auto" w:fill="auto"/>
            <w:tcMar>
              <w:left w:w="29" w:type="dxa"/>
              <w:right w:w="29" w:type="dxa"/>
            </w:tcMar>
            <w:vAlign w:val="center"/>
          </w:tcPr>
          <w:p w14:paraId="3B6CDA91" w14:textId="6AE19DD7" w:rsidR="00D14EFF" w:rsidRPr="00565BCE" w:rsidRDefault="00E82A53" w:rsidP="00D14EFF">
            <w:pPr>
              <w:spacing w:after="0" w:line="240" w:lineRule="auto"/>
              <w:rPr>
                <w:rFonts w:eastAsia="Times New Roman"/>
                <w:bCs/>
                <w:color w:val="000000"/>
                <w:sz w:val="19"/>
                <w:szCs w:val="19"/>
              </w:rPr>
            </w:pPr>
            <w:r w:rsidRPr="00E82A53">
              <w:rPr>
                <w:bCs/>
                <w:sz w:val="19"/>
                <w:szCs w:val="19"/>
              </w:rPr>
              <w:t xml:space="preserve">Number of </w:t>
            </w:r>
            <w:r>
              <w:rPr>
                <w:bCs/>
                <w:sz w:val="19"/>
                <w:szCs w:val="19"/>
              </w:rPr>
              <w:t>m</w:t>
            </w:r>
            <w:r w:rsidRPr="00E82A53">
              <w:rPr>
                <w:bCs/>
                <w:sz w:val="19"/>
                <w:szCs w:val="19"/>
              </w:rPr>
              <w:t>otorized Vehicles</w:t>
            </w:r>
          </w:p>
        </w:tc>
        <w:tc>
          <w:tcPr>
            <w:tcW w:w="1335" w:type="dxa"/>
            <w:tcBorders>
              <w:top w:val="dotted" w:sz="4" w:space="0" w:color="auto"/>
              <w:left w:val="double" w:sz="4" w:space="0" w:color="auto"/>
              <w:bottom w:val="single" w:sz="4" w:space="0" w:color="auto"/>
              <w:right w:val="single" w:sz="4" w:space="0" w:color="auto"/>
            </w:tcBorders>
            <w:shd w:val="clear" w:color="auto" w:fill="auto"/>
            <w:tcMar>
              <w:left w:w="29" w:type="dxa"/>
              <w:right w:w="29" w:type="dxa"/>
            </w:tcMar>
            <w:vAlign w:val="center"/>
          </w:tcPr>
          <w:p w14:paraId="5A09CB4F"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Zero vehicles</w:t>
            </w:r>
          </w:p>
        </w:tc>
        <w:tc>
          <w:tcPr>
            <w:tcW w:w="1350" w:type="dxa"/>
            <w:tcBorders>
              <w:top w:val="dotted" w:sz="4" w:space="0" w:color="auto"/>
              <w:left w:val="single" w:sz="4" w:space="0" w:color="auto"/>
              <w:bottom w:val="single" w:sz="4" w:space="0" w:color="auto"/>
              <w:right w:val="double" w:sz="4" w:space="0" w:color="auto"/>
            </w:tcBorders>
            <w:shd w:val="clear" w:color="auto" w:fill="auto"/>
            <w:tcMar>
              <w:left w:w="29" w:type="dxa"/>
              <w:right w:w="29" w:type="dxa"/>
            </w:tcMar>
            <w:vAlign w:val="center"/>
          </w:tcPr>
          <w:p w14:paraId="44C97F59"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More than 2 vehicles</w:t>
            </w:r>
          </w:p>
        </w:tc>
        <w:tc>
          <w:tcPr>
            <w:tcW w:w="720" w:type="dxa"/>
            <w:tcBorders>
              <w:top w:val="dotted"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01275785" w14:textId="0459D0E8"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w:t>
            </w:r>
            <w:r w:rsidR="00472422" w:rsidRPr="00565BCE">
              <w:rPr>
                <w:rFonts w:eastAsia="Times New Roman"/>
                <w:color w:val="000000"/>
                <w:sz w:val="19"/>
                <w:szCs w:val="19"/>
              </w:rPr>
              <w:t>20.1</w:t>
            </w:r>
          </w:p>
        </w:tc>
        <w:tc>
          <w:tcPr>
            <w:tcW w:w="483"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5D554927"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-28.4</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2BE45415"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717A72AE"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18E813D"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300B6BC"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D6F1F4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B0F5843"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66B9ACAC"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7C22345F"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740244F"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2BDD80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815122E"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B674ACC"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74AD6E0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3C627DAC" w14:textId="77777777" w:rsidR="00D14EFF" w:rsidRPr="00565BCE" w:rsidRDefault="00D14EFF" w:rsidP="0089313F">
            <w:pPr>
              <w:spacing w:after="0" w:line="240" w:lineRule="auto"/>
              <w:jc w:val="right"/>
              <w:rPr>
                <w:rFonts w:eastAsia="Times New Roman"/>
                <w:color w:val="000000"/>
                <w:sz w:val="19"/>
                <w:szCs w:val="19"/>
              </w:rPr>
            </w:pPr>
          </w:p>
        </w:tc>
      </w:tr>
      <w:tr w:rsidR="00BC4A8E" w:rsidRPr="00565BCE" w14:paraId="0BD165F7" w14:textId="77777777" w:rsidTr="00565BCE">
        <w:trPr>
          <w:cantSplit/>
          <w:trHeight w:val="20"/>
        </w:trPr>
        <w:tc>
          <w:tcPr>
            <w:tcW w:w="13104" w:type="dxa"/>
            <w:gridSpan w:val="19"/>
            <w:tcBorders>
              <w:top w:val="single" w:sz="4" w:space="0" w:color="auto"/>
              <w:left w:val="double" w:sz="4" w:space="0" w:color="auto"/>
              <w:bottom w:val="single" w:sz="4" w:space="0" w:color="auto"/>
              <w:right w:val="double" w:sz="4" w:space="0" w:color="auto"/>
            </w:tcBorders>
            <w:shd w:val="clear" w:color="auto" w:fill="auto"/>
            <w:tcMar>
              <w:left w:w="29" w:type="dxa"/>
              <w:right w:w="29" w:type="dxa"/>
            </w:tcMar>
            <w:vAlign w:val="center"/>
          </w:tcPr>
          <w:p w14:paraId="3247E964" w14:textId="3FEEA7DE" w:rsidR="00BC4A8E" w:rsidRPr="00565BCE" w:rsidRDefault="00BC4A8E" w:rsidP="00BC4A8E">
            <w:pPr>
              <w:spacing w:after="0" w:line="240" w:lineRule="auto"/>
              <w:rPr>
                <w:rFonts w:eastAsia="Times New Roman"/>
                <w:color w:val="000000"/>
                <w:sz w:val="19"/>
                <w:szCs w:val="19"/>
              </w:rPr>
            </w:pPr>
            <w:r w:rsidRPr="00565BCE">
              <w:rPr>
                <w:b/>
                <w:i/>
                <w:color w:val="000000"/>
                <w:sz w:val="19"/>
                <w:szCs w:val="19"/>
              </w:rPr>
              <w:t>Employment Characteristics</w:t>
            </w:r>
          </w:p>
        </w:tc>
      </w:tr>
      <w:tr w:rsidR="00D14EFF" w:rsidRPr="00565BCE" w14:paraId="02BC43BF" w14:textId="77777777" w:rsidTr="00392A30">
        <w:trPr>
          <w:cantSplit/>
          <w:trHeight w:val="20"/>
        </w:trPr>
        <w:tc>
          <w:tcPr>
            <w:tcW w:w="2160" w:type="dxa"/>
            <w:vMerge w:val="restart"/>
            <w:tcBorders>
              <w:top w:val="single" w:sz="4" w:space="0" w:color="auto"/>
              <w:left w:val="double" w:sz="4" w:space="0" w:color="auto"/>
              <w:bottom w:val="nil"/>
              <w:right w:val="double" w:sz="4" w:space="0" w:color="auto"/>
            </w:tcBorders>
            <w:shd w:val="clear" w:color="auto" w:fill="auto"/>
            <w:tcMar>
              <w:left w:w="29" w:type="dxa"/>
              <w:right w:w="29" w:type="dxa"/>
            </w:tcMar>
            <w:vAlign w:val="center"/>
          </w:tcPr>
          <w:p w14:paraId="7B4176E4" w14:textId="6C713E29" w:rsidR="00D14EFF" w:rsidRPr="00565BCE" w:rsidRDefault="00D14EFF" w:rsidP="00D14EFF">
            <w:pPr>
              <w:spacing w:after="0" w:line="240" w:lineRule="auto"/>
              <w:rPr>
                <w:bCs/>
                <w:sz w:val="19"/>
                <w:szCs w:val="19"/>
              </w:rPr>
            </w:pPr>
            <w:r w:rsidRPr="00565BCE">
              <w:rPr>
                <w:bCs/>
                <w:sz w:val="19"/>
                <w:szCs w:val="19"/>
              </w:rPr>
              <w:t xml:space="preserve">Employment </w:t>
            </w:r>
            <w:r w:rsidR="00E82A53">
              <w:rPr>
                <w:bCs/>
                <w:sz w:val="19"/>
                <w:szCs w:val="19"/>
              </w:rPr>
              <w:t>s</w:t>
            </w:r>
            <w:r w:rsidRPr="00565BCE">
              <w:rPr>
                <w:bCs/>
                <w:sz w:val="19"/>
                <w:szCs w:val="19"/>
              </w:rPr>
              <w:t>tatus and telework frequency</w:t>
            </w:r>
          </w:p>
        </w:tc>
        <w:tc>
          <w:tcPr>
            <w:tcW w:w="1335" w:type="dxa"/>
            <w:tcBorders>
              <w:top w:val="single"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197AF195"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 xml:space="preserve">Unemployed </w:t>
            </w:r>
          </w:p>
        </w:tc>
        <w:tc>
          <w:tcPr>
            <w:tcW w:w="1350" w:type="dxa"/>
            <w:tcBorders>
              <w:top w:val="single" w:sz="4" w:space="0" w:color="auto"/>
              <w:left w:val="single" w:sz="4" w:space="0" w:color="auto"/>
              <w:bottom w:val="dotted" w:sz="4" w:space="0" w:color="auto"/>
              <w:right w:val="double" w:sz="4" w:space="0" w:color="auto"/>
            </w:tcBorders>
            <w:shd w:val="clear" w:color="auto" w:fill="auto"/>
            <w:tcMar>
              <w:left w:w="29" w:type="dxa"/>
              <w:right w:w="29" w:type="dxa"/>
            </w:tcMar>
            <w:vAlign w:val="center"/>
          </w:tcPr>
          <w:p w14:paraId="1C929236"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Employed working in-person</w:t>
            </w:r>
          </w:p>
        </w:tc>
        <w:tc>
          <w:tcPr>
            <w:tcW w:w="720" w:type="dxa"/>
            <w:tcBorders>
              <w:top w:val="nil"/>
              <w:left w:val="double" w:sz="4" w:space="0" w:color="auto"/>
              <w:bottom w:val="dotted" w:sz="4" w:space="0" w:color="auto"/>
              <w:right w:val="single" w:sz="8" w:space="0" w:color="auto"/>
            </w:tcBorders>
            <w:shd w:val="clear" w:color="auto" w:fill="auto"/>
            <w:noWrap/>
            <w:tcMar>
              <w:left w:w="29" w:type="dxa"/>
              <w:right w:w="29" w:type="dxa"/>
            </w:tcMar>
            <w:vAlign w:val="center"/>
          </w:tcPr>
          <w:p w14:paraId="3DFFD41F" w14:textId="77777777" w:rsidR="00D14EFF" w:rsidRPr="00565BCE" w:rsidRDefault="00D14EFF" w:rsidP="0089313F">
            <w:pPr>
              <w:spacing w:after="0" w:line="240" w:lineRule="auto"/>
              <w:jc w:val="right"/>
              <w:rPr>
                <w:rFonts w:eastAsia="Times New Roman"/>
                <w:color w:val="000000"/>
                <w:sz w:val="19"/>
                <w:szCs w:val="19"/>
              </w:rPr>
            </w:pPr>
          </w:p>
        </w:tc>
        <w:tc>
          <w:tcPr>
            <w:tcW w:w="483" w:type="dxa"/>
            <w:tcBorders>
              <w:top w:val="nil"/>
              <w:left w:val="single" w:sz="8" w:space="0" w:color="auto"/>
              <w:bottom w:val="dotted" w:sz="4" w:space="0" w:color="auto"/>
              <w:right w:val="single" w:sz="4" w:space="0" w:color="auto"/>
            </w:tcBorders>
            <w:shd w:val="clear" w:color="auto" w:fill="auto"/>
            <w:noWrap/>
            <w:tcMar>
              <w:left w:w="29" w:type="dxa"/>
              <w:right w:w="29" w:type="dxa"/>
            </w:tcMar>
            <w:vAlign w:val="center"/>
          </w:tcPr>
          <w:p w14:paraId="1A796D13" w14:textId="587D8863" w:rsidR="00D14EFF" w:rsidRPr="00565BCE" w:rsidRDefault="00D50A93" w:rsidP="0089313F">
            <w:pPr>
              <w:spacing w:after="0" w:line="240" w:lineRule="auto"/>
              <w:jc w:val="right"/>
              <w:rPr>
                <w:rFonts w:eastAsia="Times New Roman"/>
                <w:color w:val="000000"/>
                <w:sz w:val="19"/>
                <w:szCs w:val="19"/>
              </w:rPr>
            </w:pPr>
            <w:r w:rsidRPr="00565BCE">
              <w:rPr>
                <w:rFonts w:eastAsia="Times New Roman"/>
                <w:color w:val="000000"/>
                <w:sz w:val="19"/>
                <w:szCs w:val="19"/>
              </w:rPr>
              <w:t>-23.3</w:t>
            </w: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3F5A342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028F1270"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59.5</w:t>
            </w: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45C2FF7F"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64D07671"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-28.6</w:t>
            </w: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2C5CAC9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7A55C0AB"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8" w:space="0" w:color="auto"/>
            </w:tcBorders>
            <w:shd w:val="clear" w:color="auto" w:fill="auto"/>
            <w:noWrap/>
            <w:tcMar>
              <w:left w:w="29" w:type="dxa"/>
              <w:right w:w="29" w:type="dxa"/>
            </w:tcMar>
            <w:vAlign w:val="center"/>
          </w:tcPr>
          <w:p w14:paraId="46CD599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8" w:space="0" w:color="auto"/>
              <w:bottom w:val="dotted" w:sz="4" w:space="0" w:color="auto"/>
              <w:right w:val="single" w:sz="4" w:space="0" w:color="auto"/>
            </w:tcBorders>
            <w:shd w:val="clear" w:color="auto" w:fill="auto"/>
            <w:noWrap/>
            <w:tcMar>
              <w:left w:w="29" w:type="dxa"/>
              <w:right w:w="29" w:type="dxa"/>
            </w:tcMar>
            <w:vAlign w:val="center"/>
          </w:tcPr>
          <w:p w14:paraId="4EF26D8A"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45611AC1"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-19.9</w:t>
            </w: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394C2CDD"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3A61F07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5A5267A2"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single" w:sz="4" w:space="0" w:color="auto"/>
            </w:tcBorders>
            <w:shd w:val="clear" w:color="auto" w:fill="auto"/>
            <w:noWrap/>
            <w:tcMar>
              <w:left w:w="29" w:type="dxa"/>
              <w:right w:w="29" w:type="dxa"/>
            </w:tcMar>
            <w:vAlign w:val="center"/>
          </w:tcPr>
          <w:p w14:paraId="265E955C"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nil"/>
              <w:left w:val="single" w:sz="4" w:space="0" w:color="auto"/>
              <w:bottom w:val="dotted" w:sz="4" w:space="0" w:color="auto"/>
              <w:right w:val="double" w:sz="4" w:space="0" w:color="auto"/>
            </w:tcBorders>
            <w:shd w:val="clear" w:color="auto" w:fill="auto"/>
            <w:noWrap/>
            <w:tcMar>
              <w:left w:w="29" w:type="dxa"/>
              <w:right w:w="29" w:type="dxa"/>
            </w:tcMar>
            <w:vAlign w:val="center"/>
          </w:tcPr>
          <w:p w14:paraId="1594A64B" w14:textId="77777777" w:rsidR="00D14EFF" w:rsidRPr="00565BCE" w:rsidRDefault="00D14EFF" w:rsidP="0089313F">
            <w:pPr>
              <w:spacing w:after="0" w:line="240" w:lineRule="auto"/>
              <w:jc w:val="right"/>
              <w:rPr>
                <w:rFonts w:eastAsia="Times New Roman"/>
                <w:color w:val="000000"/>
                <w:sz w:val="19"/>
                <w:szCs w:val="19"/>
              </w:rPr>
            </w:pPr>
          </w:p>
        </w:tc>
      </w:tr>
      <w:tr w:rsidR="00D14EFF" w:rsidRPr="00565BCE" w14:paraId="519B3DE3" w14:textId="77777777" w:rsidTr="00392A30">
        <w:trPr>
          <w:cantSplit/>
          <w:trHeight w:val="20"/>
        </w:trPr>
        <w:tc>
          <w:tcPr>
            <w:tcW w:w="2160" w:type="dxa"/>
            <w:vMerge/>
            <w:tcBorders>
              <w:top w:val="nil"/>
              <w:left w:val="double" w:sz="4" w:space="0" w:color="auto"/>
              <w:bottom w:val="dotted" w:sz="4" w:space="0" w:color="auto"/>
              <w:right w:val="double" w:sz="4" w:space="0" w:color="auto"/>
            </w:tcBorders>
            <w:shd w:val="clear" w:color="auto" w:fill="auto"/>
            <w:tcMar>
              <w:left w:w="29" w:type="dxa"/>
              <w:right w:w="29" w:type="dxa"/>
            </w:tcMar>
            <w:vAlign w:val="center"/>
          </w:tcPr>
          <w:p w14:paraId="0B7FA838" w14:textId="77777777" w:rsidR="00D14EFF" w:rsidRPr="00565BCE" w:rsidRDefault="00D14EFF" w:rsidP="00D14EFF">
            <w:pPr>
              <w:spacing w:after="0" w:line="240" w:lineRule="auto"/>
              <w:rPr>
                <w:bCs/>
                <w:sz w:val="19"/>
                <w:szCs w:val="19"/>
              </w:rPr>
            </w:pPr>
          </w:p>
        </w:tc>
        <w:tc>
          <w:tcPr>
            <w:tcW w:w="1335" w:type="dxa"/>
            <w:tcBorders>
              <w:top w:val="dotted"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3B6517CE"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Employed working in-person</w:t>
            </w:r>
          </w:p>
        </w:tc>
        <w:tc>
          <w:tcPr>
            <w:tcW w:w="1350" w:type="dxa"/>
            <w:tcBorders>
              <w:top w:val="dotted" w:sz="4" w:space="0" w:color="auto"/>
              <w:left w:val="single" w:sz="4" w:space="0" w:color="auto"/>
              <w:bottom w:val="dotted" w:sz="4" w:space="0" w:color="auto"/>
              <w:right w:val="double" w:sz="4" w:space="0" w:color="auto"/>
            </w:tcBorders>
            <w:shd w:val="clear" w:color="auto" w:fill="auto"/>
            <w:tcMar>
              <w:left w:w="29" w:type="dxa"/>
              <w:right w:w="29" w:type="dxa"/>
            </w:tcMar>
            <w:vAlign w:val="center"/>
          </w:tcPr>
          <w:p w14:paraId="304F11CB"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Employed teleworking at least multiple times per week</w:t>
            </w:r>
          </w:p>
        </w:tc>
        <w:tc>
          <w:tcPr>
            <w:tcW w:w="720" w:type="dxa"/>
            <w:tcBorders>
              <w:top w:val="dotted"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646A6CBD" w14:textId="79101206" w:rsidR="00D14EFF" w:rsidRPr="00565BCE" w:rsidRDefault="00472422" w:rsidP="0089313F">
            <w:pPr>
              <w:spacing w:after="0" w:line="240" w:lineRule="auto"/>
              <w:jc w:val="right"/>
              <w:rPr>
                <w:rFonts w:eastAsia="Times New Roman"/>
                <w:color w:val="000000"/>
                <w:sz w:val="19"/>
                <w:szCs w:val="19"/>
              </w:rPr>
            </w:pPr>
            <w:r w:rsidRPr="00565BCE">
              <w:rPr>
                <w:rFonts w:eastAsia="Times New Roman"/>
                <w:color w:val="000000"/>
                <w:sz w:val="19"/>
                <w:szCs w:val="19"/>
              </w:rPr>
              <w:t>18.1</w:t>
            </w:r>
          </w:p>
        </w:tc>
        <w:tc>
          <w:tcPr>
            <w:tcW w:w="483"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61DA8040"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676FF2E"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E2838B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8149661"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8D9CF3E"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25.3</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6F06CB9"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11.9</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087979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7CCFB0BB"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46BBE23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0E1D0DD"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2167E4F"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3F8763E"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-14.9</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DDCDE53" w14:textId="6F8AE8EA"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-3</w:t>
            </w:r>
            <w:r w:rsidR="00D50A93" w:rsidRPr="00565BCE">
              <w:rPr>
                <w:rFonts w:eastAsia="Times New Roman"/>
                <w:color w:val="000000"/>
                <w:sz w:val="19"/>
                <w:szCs w:val="19"/>
              </w:rPr>
              <w:t>2</w:t>
            </w:r>
            <w:r w:rsidRPr="00565BCE">
              <w:rPr>
                <w:rFonts w:eastAsia="Times New Roman"/>
                <w:color w:val="000000"/>
                <w:sz w:val="19"/>
                <w:szCs w:val="19"/>
              </w:rPr>
              <w:t>.8</w:t>
            </w:r>
          </w:p>
        </w:tc>
        <w:tc>
          <w:tcPr>
            <w:tcW w:w="504" w:type="dxa"/>
            <w:tcBorders>
              <w:top w:val="dotted"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D49D9A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75301B7B" w14:textId="77777777" w:rsidR="00D14EFF" w:rsidRPr="00565BCE" w:rsidRDefault="00D14EFF" w:rsidP="0089313F">
            <w:pPr>
              <w:spacing w:after="0" w:line="240" w:lineRule="auto"/>
              <w:jc w:val="right"/>
              <w:rPr>
                <w:rFonts w:eastAsia="Times New Roman"/>
                <w:color w:val="000000"/>
                <w:sz w:val="19"/>
                <w:szCs w:val="19"/>
              </w:rPr>
            </w:pPr>
          </w:p>
        </w:tc>
      </w:tr>
      <w:tr w:rsidR="00BC4A8E" w:rsidRPr="00565BCE" w14:paraId="14BA2061" w14:textId="77777777" w:rsidTr="00565BCE">
        <w:trPr>
          <w:cantSplit/>
          <w:trHeight w:val="20"/>
        </w:trPr>
        <w:tc>
          <w:tcPr>
            <w:tcW w:w="13104" w:type="dxa"/>
            <w:gridSpan w:val="19"/>
            <w:tcBorders>
              <w:top w:val="single" w:sz="4" w:space="0" w:color="auto"/>
              <w:left w:val="double" w:sz="4" w:space="0" w:color="auto"/>
              <w:bottom w:val="single" w:sz="4" w:space="0" w:color="auto"/>
              <w:right w:val="double" w:sz="4" w:space="0" w:color="auto"/>
            </w:tcBorders>
            <w:shd w:val="clear" w:color="auto" w:fill="auto"/>
            <w:tcMar>
              <w:left w:w="29" w:type="dxa"/>
              <w:right w:w="29" w:type="dxa"/>
            </w:tcMar>
            <w:vAlign w:val="center"/>
          </w:tcPr>
          <w:p w14:paraId="7A89D4EA" w14:textId="32AA40F4" w:rsidR="00BC4A8E" w:rsidRPr="00565BCE" w:rsidRDefault="00BC4A8E" w:rsidP="00BC4A8E">
            <w:pPr>
              <w:spacing w:after="0" w:line="240" w:lineRule="auto"/>
              <w:rPr>
                <w:rFonts w:eastAsia="Times New Roman"/>
                <w:color w:val="000000"/>
                <w:sz w:val="19"/>
                <w:szCs w:val="19"/>
              </w:rPr>
            </w:pPr>
            <w:r w:rsidRPr="00565BCE">
              <w:rPr>
                <w:b/>
                <w:i/>
                <w:iCs/>
                <w:sz w:val="19"/>
                <w:szCs w:val="19"/>
              </w:rPr>
              <w:t>Personal Traits</w:t>
            </w:r>
          </w:p>
        </w:tc>
      </w:tr>
      <w:tr w:rsidR="00D14EFF" w:rsidRPr="00565BCE" w14:paraId="53E2E9F2" w14:textId="77777777" w:rsidTr="00392A30">
        <w:trPr>
          <w:cantSplit/>
          <w:trHeight w:val="20"/>
        </w:trPr>
        <w:tc>
          <w:tcPr>
            <w:tcW w:w="2160" w:type="dxa"/>
            <w:tcBorders>
              <w:top w:val="single" w:sz="4" w:space="0" w:color="auto"/>
              <w:left w:val="double" w:sz="4" w:space="0" w:color="auto"/>
              <w:bottom w:val="dotted" w:sz="4" w:space="0" w:color="auto"/>
              <w:right w:val="double" w:sz="4" w:space="0" w:color="auto"/>
            </w:tcBorders>
            <w:shd w:val="clear" w:color="auto" w:fill="auto"/>
            <w:tcMar>
              <w:left w:w="29" w:type="dxa"/>
              <w:right w:w="29" w:type="dxa"/>
            </w:tcMar>
            <w:vAlign w:val="center"/>
          </w:tcPr>
          <w:p w14:paraId="4378D705" w14:textId="77777777" w:rsidR="00D14EFF" w:rsidRPr="00565BCE" w:rsidRDefault="00D14EFF" w:rsidP="00D14EFF">
            <w:pPr>
              <w:spacing w:after="0" w:line="240" w:lineRule="auto"/>
              <w:rPr>
                <w:bCs/>
                <w:sz w:val="19"/>
                <w:szCs w:val="19"/>
              </w:rPr>
            </w:pPr>
            <w:r w:rsidRPr="00565BCE">
              <w:rPr>
                <w:bCs/>
                <w:sz w:val="19"/>
                <w:szCs w:val="19"/>
              </w:rPr>
              <w:t xml:space="preserve">Enjoy working more from home due to COVID </w:t>
            </w:r>
          </w:p>
        </w:tc>
        <w:tc>
          <w:tcPr>
            <w:tcW w:w="1335" w:type="dxa"/>
            <w:tcBorders>
              <w:top w:val="single"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0DDDB3FC"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No</w:t>
            </w:r>
          </w:p>
        </w:tc>
        <w:tc>
          <w:tcPr>
            <w:tcW w:w="1350" w:type="dxa"/>
            <w:tcBorders>
              <w:top w:val="single" w:sz="4" w:space="0" w:color="auto"/>
              <w:left w:val="single" w:sz="4" w:space="0" w:color="auto"/>
              <w:bottom w:val="dotted" w:sz="4" w:space="0" w:color="auto"/>
              <w:right w:val="double" w:sz="4" w:space="0" w:color="auto"/>
            </w:tcBorders>
            <w:shd w:val="clear" w:color="auto" w:fill="auto"/>
            <w:tcMar>
              <w:left w:w="29" w:type="dxa"/>
              <w:right w:w="29" w:type="dxa"/>
            </w:tcMar>
            <w:vAlign w:val="center"/>
          </w:tcPr>
          <w:p w14:paraId="0D4E83DF" w14:textId="77777777"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Yes</w:t>
            </w:r>
          </w:p>
        </w:tc>
        <w:tc>
          <w:tcPr>
            <w:tcW w:w="720" w:type="dxa"/>
            <w:tcBorders>
              <w:top w:val="single"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1825B3C4" w14:textId="3DAE9705"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w:t>
            </w:r>
            <w:r w:rsidR="00472422" w:rsidRPr="00565BCE">
              <w:rPr>
                <w:rFonts w:eastAsia="Times New Roman"/>
                <w:color w:val="000000"/>
                <w:sz w:val="19"/>
                <w:szCs w:val="19"/>
              </w:rPr>
              <w:t>8</w:t>
            </w:r>
            <w:r w:rsidRPr="00565BCE">
              <w:rPr>
                <w:rFonts w:eastAsia="Times New Roman"/>
                <w:color w:val="000000"/>
                <w:sz w:val="19"/>
                <w:szCs w:val="19"/>
              </w:rPr>
              <w:t>.</w:t>
            </w:r>
            <w:r w:rsidR="00472422" w:rsidRPr="00565BCE">
              <w:rPr>
                <w:rFonts w:eastAsia="Times New Roman"/>
                <w:color w:val="000000"/>
                <w:sz w:val="19"/>
                <w:szCs w:val="19"/>
              </w:rPr>
              <w:t>9</w:t>
            </w:r>
          </w:p>
        </w:tc>
        <w:tc>
          <w:tcPr>
            <w:tcW w:w="483" w:type="dxa"/>
            <w:tcBorders>
              <w:top w:val="single"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796E310E"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14.2</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35CD18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ADF3A87"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0D52B02"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CDF96CF"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8A96E0D"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6EF9CF2"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1164E0E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6614FAD2"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DE742A0"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BF3C30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18DA149"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-15.5</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01713AC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FE87BD1"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44E3027A" w14:textId="77777777"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-18.5</w:t>
            </w:r>
          </w:p>
        </w:tc>
      </w:tr>
      <w:tr w:rsidR="00BC4A8E" w:rsidRPr="00565BCE" w14:paraId="43C51200" w14:textId="77777777" w:rsidTr="00565BCE">
        <w:trPr>
          <w:cantSplit/>
          <w:trHeight w:val="20"/>
        </w:trPr>
        <w:tc>
          <w:tcPr>
            <w:tcW w:w="13104" w:type="dxa"/>
            <w:gridSpan w:val="19"/>
            <w:tcBorders>
              <w:top w:val="single" w:sz="4" w:space="0" w:color="auto"/>
              <w:left w:val="double" w:sz="4" w:space="0" w:color="auto"/>
              <w:bottom w:val="single" w:sz="4" w:space="0" w:color="auto"/>
              <w:right w:val="double" w:sz="4" w:space="0" w:color="auto"/>
            </w:tcBorders>
            <w:shd w:val="clear" w:color="auto" w:fill="auto"/>
            <w:tcMar>
              <w:left w:w="29" w:type="dxa"/>
              <w:right w:w="29" w:type="dxa"/>
            </w:tcMar>
            <w:vAlign w:val="center"/>
          </w:tcPr>
          <w:p w14:paraId="7C577F8C" w14:textId="3EAAA636" w:rsidR="00BC4A8E" w:rsidRPr="00565BCE" w:rsidRDefault="00BC4A8E" w:rsidP="00BC4A8E">
            <w:pPr>
              <w:spacing w:after="0" w:line="240" w:lineRule="auto"/>
              <w:rPr>
                <w:rFonts w:eastAsia="Times New Roman"/>
                <w:color w:val="000000"/>
                <w:sz w:val="19"/>
                <w:szCs w:val="19"/>
              </w:rPr>
            </w:pPr>
            <w:r w:rsidRPr="00565BCE">
              <w:rPr>
                <w:b/>
                <w:i/>
                <w:iCs/>
                <w:sz w:val="19"/>
                <w:szCs w:val="19"/>
              </w:rPr>
              <w:t>Residential Location Attributes</w:t>
            </w:r>
          </w:p>
        </w:tc>
      </w:tr>
      <w:tr w:rsidR="00D14EFF" w:rsidRPr="00565BCE" w14:paraId="35697EEC" w14:textId="77777777" w:rsidTr="00392A30">
        <w:trPr>
          <w:cantSplit/>
          <w:trHeight w:val="70"/>
        </w:trPr>
        <w:tc>
          <w:tcPr>
            <w:tcW w:w="2160" w:type="dxa"/>
            <w:tcBorders>
              <w:top w:val="single" w:sz="4" w:space="0" w:color="auto"/>
              <w:left w:val="double" w:sz="4" w:space="0" w:color="auto"/>
              <w:bottom w:val="dotted" w:sz="4" w:space="0" w:color="auto"/>
              <w:right w:val="double" w:sz="4" w:space="0" w:color="auto"/>
            </w:tcBorders>
            <w:shd w:val="clear" w:color="auto" w:fill="auto"/>
            <w:tcMar>
              <w:left w:w="29" w:type="dxa"/>
              <w:right w:w="29" w:type="dxa"/>
            </w:tcMar>
            <w:vAlign w:val="center"/>
          </w:tcPr>
          <w:p w14:paraId="7A505274" w14:textId="77777777" w:rsidR="00D14EFF" w:rsidRPr="00565BCE" w:rsidRDefault="00D14EFF" w:rsidP="00D14EFF">
            <w:pPr>
              <w:spacing w:after="0" w:line="240" w:lineRule="auto"/>
              <w:rPr>
                <w:bCs/>
                <w:sz w:val="19"/>
                <w:szCs w:val="19"/>
              </w:rPr>
            </w:pPr>
            <w:r w:rsidRPr="00565BCE">
              <w:rPr>
                <w:bCs/>
                <w:sz w:val="19"/>
                <w:szCs w:val="19"/>
              </w:rPr>
              <w:t># of physicians’ offices in zip code</w:t>
            </w:r>
          </w:p>
        </w:tc>
        <w:tc>
          <w:tcPr>
            <w:tcW w:w="1335" w:type="dxa"/>
            <w:tcBorders>
              <w:top w:val="single" w:sz="4" w:space="0" w:color="auto"/>
              <w:left w:val="double" w:sz="4" w:space="0" w:color="auto"/>
              <w:bottom w:val="dotted" w:sz="4" w:space="0" w:color="auto"/>
              <w:right w:val="single" w:sz="4" w:space="0" w:color="auto"/>
            </w:tcBorders>
            <w:shd w:val="clear" w:color="auto" w:fill="auto"/>
            <w:tcMar>
              <w:left w:w="29" w:type="dxa"/>
              <w:right w:w="29" w:type="dxa"/>
            </w:tcMar>
            <w:vAlign w:val="center"/>
          </w:tcPr>
          <w:p w14:paraId="76781EC7" w14:textId="6ACD329E"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&gt; 34 physicians (average value in the dataset)</w:t>
            </w:r>
          </w:p>
        </w:tc>
        <w:tc>
          <w:tcPr>
            <w:tcW w:w="1350" w:type="dxa"/>
            <w:tcBorders>
              <w:top w:val="single" w:sz="4" w:space="0" w:color="auto"/>
              <w:left w:val="single" w:sz="4" w:space="0" w:color="auto"/>
              <w:bottom w:val="dotted" w:sz="4" w:space="0" w:color="auto"/>
              <w:right w:val="double" w:sz="4" w:space="0" w:color="auto"/>
            </w:tcBorders>
            <w:shd w:val="clear" w:color="auto" w:fill="auto"/>
            <w:tcMar>
              <w:left w:w="29" w:type="dxa"/>
              <w:right w:w="29" w:type="dxa"/>
            </w:tcMar>
            <w:vAlign w:val="center"/>
          </w:tcPr>
          <w:p w14:paraId="7941B532" w14:textId="5D1BD86C"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Zero physicians</w:t>
            </w:r>
            <w:r w:rsidRPr="00565BCE" w:rsidDel="00D14EFF">
              <w:rPr>
                <w:rFonts w:eastAsia="Times New Roman"/>
                <w:color w:val="000000"/>
                <w:sz w:val="19"/>
                <w:szCs w:val="19"/>
              </w:rPr>
              <w:t xml:space="preserve"> </w:t>
            </w:r>
          </w:p>
        </w:tc>
        <w:tc>
          <w:tcPr>
            <w:tcW w:w="720" w:type="dxa"/>
            <w:tcBorders>
              <w:top w:val="single" w:sz="4" w:space="0" w:color="auto"/>
              <w:left w:val="double" w:sz="4" w:space="0" w:color="auto"/>
              <w:bottom w:val="dotted" w:sz="4" w:space="0" w:color="auto"/>
              <w:right w:val="single" w:sz="8" w:space="0" w:color="auto"/>
            </w:tcBorders>
            <w:shd w:val="clear" w:color="auto" w:fill="auto"/>
            <w:noWrap/>
            <w:tcMar>
              <w:left w:w="29" w:type="dxa"/>
              <w:right w:w="29" w:type="dxa"/>
            </w:tcMar>
            <w:vAlign w:val="center"/>
          </w:tcPr>
          <w:p w14:paraId="68D13792" w14:textId="2C39763D"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w:t>
            </w:r>
            <w:r w:rsidR="00472422" w:rsidRPr="00565BCE">
              <w:rPr>
                <w:rFonts w:eastAsia="Times New Roman"/>
                <w:color w:val="000000"/>
                <w:sz w:val="19"/>
                <w:szCs w:val="19"/>
              </w:rPr>
              <w:t>5</w:t>
            </w:r>
            <w:r w:rsidRPr="00565BCE">
              <w:rPr>
                <w:rFonts w:eastAsia="Times New Roman"/>
                <w:color w:val="000000"/>
                <w:sz w:val="19"/>
                <w:szCs w:val="19"/>
              </w:rPr>
              <w:t>.</w:t>
            </w:r>
            <w:r w:rsidR="00472422" w:rsidRPr="00565BCE">
              <w:rPr>
                <w:rFonts w:eastAsia="Times New Roman"/>
                <w:color w:val="000000"/>
                <w:sz w:val="19"/>
                <w:szCs w:val="19"/>
              </w:rPr>
              <w:t>1</w:t>
            </w:r>
          </w:p>
        </w:tc>
        <w:tc>
          <w:tcPr>
            <w:tcW w:w="483" w:type="dxa"/>
            <w:tcBorders>
              <w:top w:val="single"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3D4DD858" w14:textId="19CFD354"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7.3</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E718EEB"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584BD3E" w14:textId="54EB079E"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11.4</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205CAE58"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1E993000"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75D33528"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42AB327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8" w:space="0" w:color="auto"/>
            </w:tcBorders>
            <w:shd w:val="clear" w:color="auto" w:fill="auto"/>
            <w:noWrap/>
            <w:tcMar>
              <w:left w:w="29" w:type="dxa"/>
              <w:right w:w="29" w:type="dxa"/>
            </w:tcMar>
            <w:vAlign w:val="center"/>
          </w:tcPr>
          <w:p w14:paraId="3CBC1803"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8" w:space="0" w:color="auto"/>
              <w:bottom w:val="dotted" w:sz="4" w:space="0" w:color="auto"/>
              <w:right w:val="single" w:sz="4" w:space="0" w:color="auto"/>
            </w:tcBorders>
            <w:shd w:val="clear" w:color="auto" w:fill="auto"/>
            <w:noWrap/>
            <w:tcMar>
              <w:left w:w="29" w:type="dxa"/>
              <w:right w:w="29" w:type="dxa"/>
            </w:tcMar>
            <w:vAlign w:val="center"/>
          </w:tcPr>
          <w:p w14:paraId="16F1EC94"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A0DBA2A"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5BABB34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6509725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674AC14" w14:textId="2BEFF426"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-8.4</w:t>
            </w:r>
          </w:p>
        </w:tc>
        <w:tc>
          <w:tcPr>
            <w:tcW w:w="504" w:type="dxa"/>
            <w:tcBorders>
              <w:top w:val="single" w:sz="4" w:space="0" w:color="auto"/>
              <w:left w:val="single" w:sz="4" w:space="0" w:color="auto"/>
              <w:bottom w:val="dotted" w:sz="4" w:space="0" w:color="auto"/>
              <w:right w:val="single" w:sz="4" w:space="0" w:color="auto"/>
            </w:tcBorders>
            <w:shd w:val="clear" w:color="auto" w:fill="auto"/>
            <w:noWrap/>
            <w:tcMar>
              <w:left w:w="29" w:type="dxa"/>
              <w:right w:w="29" w:type="dxa"/>
            </w:tcMar>
            <w:vAlign w:val="center"/>
          </w:tcPr>
          <w:p w14:paraId="34FA5CC0"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single" w:sz="4" w:space="0" w:color="auto"/>
              <w:left w:val="single" w:sz="4" w:space="0" w:color="auto"/>
              <w:bottom w:val="dotted" w:sz="4" w:space="0" w:color="auto"/>
              <w:right w:val="double" w:sz="4" w:space="0" w:color="auto"/>
            </w:tcBorders>
            <w:shd w:val="clear" w:color="auto" w:fill="auto"/>
            <w:noWrap/>
            <w:tcMar>
              <w:left w:w="29" w:type="dxa"/>
              <w:right w:w="29" w:type="dxa"/>
            </w:tcMar>
            <w:vAlign w:val="center"/>
          </w:tcPr>
          <w:p w14:paraId="03C4F14B" w14:textId="77777777" w:rsidR="00D14EFF" w:rsidRPr="00565BCE" w:rsidRDefault="00D14EFF" w:rsidP="0089313F">
            <w:pPr>
              <w:spacing w:after="0" w:line="240" w:lineRule="auto"/>
              <w:jc w:val="right"/>
              <w:rPr>
                <w:rFonts w:eastAsia="Times New Roman"/>
                <w:color w:val="000000"/>
                <w:sz w:val="19"/>
                <w:szCs w:val="19"/>
              </w:rPr>
            </w:pPr>
          </w:p>
        </w:tc>
      </w:tr>
      <w:tr w:rsidR="00D14EFF" w:rsidRPr="00565BCE" w14:paraId="262B8F48" w14:textId="77777777" w:rsidTr="00392A30">
        <w:trPr>
          <w:cantSplit/>
          <w:trHeight w:val="20"/>
        </w:trPr>
        <w:tc>
          <w:tcPr>
            <w:tcW w:w="2160" w:type="dxa"/>
            <w:tcBorders>
              <w:top w:val="dotted" w:sz="4" w:space="0" w:color="auto"/>
              <w:left w:val="double" w:sz="4" w:space="0" w:color="auto"/>
              <w:bottom w:val="double" w:sz="4" w:space="0" w:color="auto"/>
              <w:right w:val="double" w:sz="4" w:space="0" w:color="auto"/>
            </w:tcBorders>
            <w:shd w:val="clear" w:color="auto" w:fill="auto"/>
            <w:tcMar>
              <w:left w:w="29" w:type="dxa"/>
              <w:right w:w="29" w:type="dxa"/>
            </w:tcMar>
            <w:vAlign w:val="center"/>
          </w:tcPr>
          <w:p w14:paraId="2B36F1D0" w14:textId="77777777" w:rsidR="00D14EFF" w:rsidRPr="00565BCE" w:rsidRDefault="00D14EFF" w:rsidP="00D14EFF">
            <w:pPr>
              <w:spacing w:after="0" w:line="240" w:lineRule="auto"/>
              <w:rPr>
                <w:bCs/>
                <w:sz w:val="19"/>
                <w:szCs w:val="19"/>
              </w:rPr>
            </w:pPr>
            <w:r w:rsidRPr="00565BCE">
              <w:rPr>
                <w:bCs/>
                <w:sz w:val="19"/>
                <w:szCs w:val="19"/>
              </w:rPr>
              <w:t xml:space="preserve">Population density </w:t>
            </w:r>
          </w:p>
        </w:tc>
        <w:tc>
          <w:tcPr>
            <w:tcW w:w="1335" w:type="dxa"/>
            <w:tcBorders>
              <w:top w:val="dotted" w:sz="4" w:space="0" w:color="auto"/>
              <w:left w:val="double" w:sz="4" w:space="0" w:color="auto"/>
              <w:bottom w:val="double" w:sz="4" w:space="0" w:color="auto"/>
              <w:right w:val="single" w:sz="4" w:space="0" w:color="auto"/>
            </w:tcBorders>
            <w:shd w:val="clear" w:color="auto" w:fill="auto"/>
            <w:tcMar>
              <w:left w:w="29" w:type="dxa"/>
              <w:right w:w="29" w:type="dxa"/>
            </w:tcMar>
            <w:vAlign w:val="center"/>
          </w:tcPr>
          <w:p w14:paraId="75E77660" w14:textId="57902AE3"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Above Average (0.00194 person/m</w:t>
            </w:r>
            <w:r w:rsidRPr="00565BCE">
              <w:rPr>
                <w:rFonts w:eastAsia="Times New Roman"/>
                <w:color w:val="000000"/>
                <w:sz w:val="19"/>
                <w:szCs w:val="19"/>
                <w:vertAlign w:val="superscript"/>
              </w:rPr>
              <w:t>2</w:t>
            </w:r>
            <w:r w:rsidRPr="00565BCE">
              <w:rPr>
                <w:rFonts w:eastAsia="Times New Roman"/>
                <w:color w:val="000000"/>
                <w:sz w:val="19"/>
                <w:szCs w:val="19"/>
              </w:rPr>
              <w:t>)</w:t>
            </w:r>
          </w:p>
        </w:tc>
        <w:tc>
          <w:tcPr>
            <w:tcW w:w="1350" w:type="dxa"/>
            <w:tcBorders>
              <w:top w:val="dotted" w:sz="4" w:space="0" w:color="auto"/>
              <w:left w:val="single" w:sz="4" w:space="0" w:color="auto"/>
              <w:bottom w:val="double" w:sz="4" w:space="0" w:color="auto"/>
              <w:right w:val="double" w:sz="4" w:space="0" w:color="auto"/>
            </w:tcBorders>
            <w:shd w:val="clear" w:color="auto" w:fill="auto"/>
            <w:tcMar>
              <w:left w:w="29" w:type="dxa"/>
              <w:right w:w="29" w:type="dxa"/>
            </w:tcMar>
            <w:vAlign w:val="center"/>
          </w:tcPr>
          <w:p w14:paraId="4BB53B75" w14:textId="7958BCE8" w:rsidR="00D14EFF" w:rsidRPr="00565BCE" w:rsidRDefault="00D14EFF" w:rsidP="00D14EFF">
            <w:pPr>
              <w:spacing w:after="0" w:line="240" w:lineRule="auto"/>
              <w:rPr>
                <w:rFonts w:eastAsia="Times New Roman"/>
                <w:color w:val="000000"/>
                <w:sz w:val="19"/>
                <w:szCs w:val="19"/>
              </w:rPr>
            </w:pPr>
            <w:r w:rsidRPr="00565BCE">
              <w:rPr>
                <w:rFonts w:eastAsia="Times New Roman"/>
                <w:color w:val="000000"/>
                <w:sz w:val="19"/>
                <w:szCs w:val="19"/>
              </w:rPr>
              <w:t>Below average</w:t>
            </w:r>
            <w:r w:rsidRPr="00565BCE" w:rsidDel="00D14EFF">
              <w:rPr>
                <w:rFonts w:eastAsia="Times New Roman"/>
                <w:color w:val="000000"/>
                <w:sz w:val="19"/>
                <w:szCs w:val="19"/>
              </w:rPr>
              <w:t xml:space="preserve"> </w:t>
            </w:r>
          </w:p>
        </w:tc>
        <w:tc>
          <w:tcPr>
            <w:tcW w:w="720" w:type="dxa"/>
            <w:tcBorders>
              <w:top w:val="dotted" w:sz="4" w:space="0" w:color="auto"/>
              <w:left w:val="double" w:sz="4" w:space="0" w:color="auto"/>
              <w:bottom w:val="double" w:sz="4" w:space="0" w:color="auto"/>
              <w:right w:val="single" w:sz="8" w:space="0" w:color="auto"/>
            </w:tcBorders>
            <w:shd w:val="clear" w:color="auto" w:fill="auto"/>
            <w:noWrap/>
            <w:tcMar>
              <w:left w:w="29" w:type="dxa"/>
              <w:right w:w="29" w:type="dxa"/>
            </w:tcMar>
            <w:vAlign w:val="center"/>
          </w:tcPr>
          <w:p w14:paraId="02B6D7A4" w14:textId="62F734D2" w:rsidR="00D14EFF" w:rsidRPr="00565BCE" w:rsidRDefault="00D14EFF" w:rsidP="0089313F">
            <w:pPr>
              <w:spacing w:after="0" w:line="240" w:lineRule="auto"/>
              <w:jc w:val="right"/>
              <w:rPr>
                <w:rFonts w:eastAsia="Times New Roman"/>
                <w:color w:val="000000"/>
                <w:sz w:val="19"/>
                <w:szCs w:val="19"/>
              </w:rPr>
            </w:pPr>
            <w:r w:rsidRPr="00565BCE">
              <w:rPr>
                <w:rFonts w:eastAsia="Times New Roman"/>
                <w:color w:val="000000"/>
                <w:sz w:val="19"/>
                <w:szCs w:val="19"/>
              </w:rPr>
              <w:t>11.</w:t>
            </w:r>
            <w:r w:rsidR="00472422" w:rsidRPr="00565BCE">
              <w:rPr>
                <w:rFonts w:eastAsia="Times New Roman"/>
                <w:color w:val="000000"/>
                <w:sz w:val="19"/>
                <w:szCs w:val="19"/>
              </w:rPr>
              <w:t>3</w:t>
            </w:r>
          </w:p>
        </w:tc>
        <w:tc>
          <w:tcPr>
            <w:tcW w:w="483" w:type="dxa"/>
            <w:tcBorders>
              <w:top w:val="dotted" w:sz="4" w:space="0" w:color="auto"/>
              <w:left w:val="single" w:sz="8" w:space="0" w:color="auto"/>
              <w:bottom w:val="double" w:sz="4" w:space="0" w:color="auto"/>
              <w:right w:val="single" w:sz="4" w:space="0" w:color="auto"/>
            </w:tcBorders>
            <w:shd w:val="clear" w:color="auto" w:fill="auto"/>
            <w:noWrap/>
            <w:tcMar>
              <w:left w:w="29" w:type="dxa"/>
              <w:right w:w="29" w:type="dxa"/>
            </w:tcMar>
            <w:vAlign w:val="center"/>
          </w:tcPr>
          <w:p w14:paraId="3B7B63C7"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07AFA1CA"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77DE7A5A"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2D08C2D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44275433"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33D5F4CE"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321D593B"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8" w:space="0" w:color="auto"/>
            </w:tcBorders>
            <w:shd w:val="clear" w:color="auto" w:fill="auto"/>
            <w:noWrap/>
            <w:tcMar>
              <w:left w:w="29" w:type="dxa"/>
              <w:right w:w="29" w:type="dxa"/>
            </w:tcMar>
            <w:vAlign w:val="center"/>
          </w:tcPr>
          <w:p w14:paraId="2AF4F078"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8" w:space="0" w:color="auto"/>
              <w:bottom w:val="double" w:sz="4" w:space="0" w:color="auto"/>
              <w:right w:val="single" w:sz="4" w:space="0" w:color="auto"/>
            </w:tcBorders>
            <w:shd w:val="clear" w:color="auto" w:fill="auto"/>
            <w:noWrap/>
            <w:tcMar>
              <w:left w:w="29" w:type="dxa"/>
              <w:right w:w="29" w:type="dxa"/>
            </w:tcMar>
            <w:vAlign w:val="center"/>
          </w:tcPr>
          <w:p w14:paraId="11BA02BD"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2807C9A7"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4DCFDFF6"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3ACFC778"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50241E09"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single" w:sz="4" w:space="0" w:color="auto"/>
            </w:tcBorders>
            <w:shd w:val="clear" w:color="auto" w:fill="auto"/>
            <w:noWrap/>
            <w:tcMar>
              <w:left w:w="29" w:type="dxa"/>
              <w:right w:w="29" w:type="dxa"/>
            </w:tcMar>
            <w:vAlign w:val="center"/>
          </w:tcPr>
          <w:p w14:paraId="14A11823" w14:textId="77777777" w:rsidR="00D14EFF" w:rsidRPr="00565BCE" w:rsidRDefault="00D14EFF" w:rsidP="0089313F">
            <w:pPr>
              <w:spacing w:after="0" w:line="240" w:lineRule="auto"/>
              <w:jc w:val="right"/>
              <w:rPr>
                <w:rFonts w:eastAsia="Times New Roman"/>
                <w:color w:val="000000"/>
                <w:sz w:val="19"/>
                <w:szCs w:val="19"/>
              </w:rPr>
            </w:pPr>
          </w:p>
        </w:tc>
        <w:tc>
          <w:tcPr>
            <w:tcW w:w="504" w:type="dxa"/>
            <w:tcBorders>
              <w:top w:val="dotted" w:sz="4" w:space="0" w:color="auto"/>
              <w:left w:val="single" w:sz="4" w:space="0" w:color="auto"/>
              <w:bottom w:val="double" w:sz="4" w:space="0" w:color="auto"/>
              <w:right w:val="double" w:sz="4" w:space="0" w:color="auto"/>
            </w:tcBorders>
            <w:shd w:val="clear" w:color="auto" w:fill="auto"/>
            <w:noWrap/>
            <w:tcMar>
              <w:left w:w="29" w:type="dxa"/>
              <w:right w:w="29" w:type="dxa"/>
            </w:tcMar>
            <w:vAlign w:val="center"/>
          </w:tcPr>
          <w:p w14:paraId="0327BA87" w14:textId="77777777" w:rsidR="00D14EFF" w:rsidRPr="00565BCE" w:rsidRDefault="00D14EFF" w:rsidP="0089313F">
            <w:pPr>
              <w:spacing w:after="0" w:line="240" w:lineRule="auto"/>
              <w:jc w:val="right"/>
              <w:rPr>
                <w:rFonts w:eastAsia="Times New Roman"/>
                <w:color w:val="000000"/>
                <w:sz w:val="19"/>
                <w:szCs w:val="19"/>
              </w:rPr>
            </w:pPr>
          </w:p>
        </w:tc>
      </w:tr>
    </w:tbl>
    <w:p w14:paraId="3BDD9BB1" w14:textId="4113D547" w:rsidR="00F5515F" w:rsidRPr="00565BCE" w:rsidRDefault="001D73B7" w:rsidP="00565BCE">
      <w:pPr>
        <w:spacing w:after="0" w:line="240" w:lineRule="auto"/>
        <w:jc w:val="both"/>
        <w:rPr>
          <w:sz w:val="19"/>
          <w:szCs w:val="19"/>
        </w:rPr>
      </w:pPr>
      <w:r w:rsidRPr="00565BCE">
        <w:rPr>
          <w:rFonts w:eastAsia="Calibri"/>
          <w:bCs/>
          <w:sz w:val="19"/>
          <w:szCs w:val="19"/>
        </w:rPr>
        <w:t>DIPA - Getting to medical appointments is difficult for me; PTQ - The quality of care is worse; TC - Telemedicine is more convenient for me; NIPT - Most of my medical appointments require in-person tests or procedures; TP - I like the privacy offered by telemedicine; TNA - I do not expect my healthcare provider to offer telemedicine; TS - I do not have to wait as long; POP - I like the privacy of a healthcare provider's office; CH - My home is more comfortable than a healthcare provider's office; IPC - In-person appointments are more convenient; LCR - I do not have to risk getting sick from others in a healthcare provider's office; NTC - I am not confident using technology to access my appointments; LE - Telemedicine is cheaper; TSC - I am concerned about security with telemedicine; FCO - I can go see healthcare providers more often</w:t>
      </w:r>
    </w:p>
    <w:sectPr w:rsidR="00F5515F" w:rsidRPr="00565BCE" w:rsidSect="00565BCE">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7DD5" w14:textId="77777777" w:rsidR="00F874F4" w:rsidRDefault="00F874F4" w:rsidP="00D20C97">
      <w:pPr>
        <w:spacing w:after="0" w:line="240" w:lineRule="auto"/>
      </w:pPr>
      <w:r>
        <w:separator/>
      </w:r>
    </w:p>
  </w:endnote>
  <w:endnote w:type="continuationSeparator" w:id="0">
    <w:p w14:paraId="20D4D330" w14:textId="77777777" w:rsidR="00F874F4" w:rsidRDefault="00F874F4" w:rsidP="00D2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E986" w14:textId="3623C275" w:rsidR="00D20C97" w:rsidRDefault="00D20C97" w:rsidP="009D0CA2">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07374"/>
      <w:docPartObj>
        <w:docPartGallery w:val="Page Numbers (Bottom of Page)"/>
        <w:docPartUnique/>
      </w:docPartObj>
    </w:sdtPr>
    <w:sdtEndPr>
      <w:rPr>
        <w:noProof/>
      </w:rPr>
    </w:sdtEndPr>
    <w:sdtContent>
      <w:p w14:paraId="2AD41A14" w14:textId="77777777" w:rsidR="009D0CA2" w:rsidRDefault="009D0CA2" w:rsidP="009D0CA2">
        <w:pPr>
          <w:spacing w:after="0"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380980"/>
      <w:docPartObj>
        <w:docPartGallery w:val="Page Numbers (Bottom of Page)"/>
        <w:docPartUnique/>
      </w:docPartObj>
    </w:sdtPr>
    <w:sdtEndPr>
      <w:rPr>
        <w:noProof/>
      </w:rPr>
    </w:sdtEndPr>
    <w:sdtContent>
      <w:p w14:paraId="68A344FB" w14:textId="77777777" w:rsidR="00EA446B" w:rsidRDefault="00EA446B" w:rsidP="009D0CA2">
        <w:pPr>
          <w:spacing w:after="0" w:line="240" w:lineRule="auto"/>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B8CB" w14:textId="77777777" w:rsidR="00F874F4" w:rsidRDefault="00F874F4" w:rsidP="00D20C97">
      <w:pPr>
        <w:spacing w:after="0" w:line="240" w:lineRule="auto"/>
      </w:pPr>
      <w:r>
        <w:separator/>
      </w:r>
    </w:p>
  </w:footnote>
  <w:footnote w:type="continuationSeparator" w:id="0">
    <w:p w14:paraId="0A347F12" w14:textId="77777777" w:rsidR="00F874F4" w:rsidRDefault="00F874F4" w:rsidP="00D20C97">
      <w:pPr>
        <w:spacing w:after="0" w:line="240" w:lineRule="auto"/>
      </w:pPr>
      <w:r>
        <w:continuationSeparator/>
      </w:r>
    </w:p>
  </w:footnote>
  <w:footnote w:id="1">
    <w:p w14:paraId="58F59FFD" w14:textId="77777777" w:rsidR="0082391B" w:rsidRDefault="0082391B" w:rsidP="0082391B">
      <w:pPr>
        <w:pStyle w:val="FootnoteText"/>
        <w:jc w:val="both"/>
      </w:pPr>
      <w:r w:rsidRPr="005A1F2A">
        <w:rPr>
          <w:rStyle w:val="FootnoteReference"/>
        </w:rPr>
        <w:footnoteRef/>
      </w:r>
      <w:r>
        <w:t xml:space="preserve"> This is </w:t>
      </w:r>
      <w:r w:rsidRPr="00D061F9">
        <w:t xml:space="preserve">as opposed to studies that examine telemedicine adoption/usage at the level of aggregate groupings of individuals, such as by age, gender, race/ethnicity, income, and the extent of rurality of residence </w:t>
      </w:r>
      <w:r w:rsidRPr="00D061F9">
        <w:rPr>
          <w:bCs/>
          <w:color w:val="000000" w:themeColor="text1"/>
        </w:rPr>
        <w:t xml:space="preserve">(see, for example, </w:t>
      </w:r>
      <w:r w:rsidRPr="00D061F9">
        <w:fldChar w:fldCharType="begin"/>
      </w:r>
      <w:r>
        <w:instrText xml:space="preserve"> ADDIN ZOTERO_ITEM CSL_CITATION {"citationID":"YH6g338F","properties":{"formattedCitation":"(Whaley et al., 2020)","plainCitation":"(Whaley et al., 2020)","dontUpdate":true,"noteIndex":1},"citationItems":[{"id":2168,"uris":["http://zotero.org/users/9292995/items/TKKC5SIN"],"itemData":{"id":2168,"type":"article-journal","abstract":"IMPORTANCE: The coronavirus disease 2019 (COVID-19) pandemic has placed unprecedented strain on patients and health care professionals and institutions, but the association of the pandemic with use of preventive, elective, and nonelective care, as well as potential disparities in use of health care, remain unknown.\nOBJECTIVE: To examine changes in health care use during the first 2 months of the COVID-19 pandemic in March and April of 2020 relative to March and April of 2019 and 2018, and to examine whether changes in use differ by patient's zip code-level race/ethnicity or income.\nDESIGN, SETTING, AND PARTICIPANTS: This cross-sectional study analyzed health insurance claims for patients from all 50 US states who receive health insurance through their employers. Changes in use of preventive services, nonelective care, elective procedures, prescription drugs, in-person office visits, and telemedicine visits were examined during the first 2 months of the COVID-19 pandemic in 2020 relative to existing trends in 2019 and 2018. Disparities in the association of the pandemic with health care use based on patient's zip code-level race and income were also examined.\nRESULTS: Data from 5.6, 6.4, and 6.8 million US individuals with employer-sponsored insurance in 2018, 2019, and 2020, respectively, were analyzed. Patient demographics were similar in all 3 years (mean [SD] age, 34.3 [18.6] years in 2018, 34.3 [18.5] years in 2019, and 34.5 [18.5] years in 2020); 50.0% women in 2018, 49.5% women in 2019, and 49.5% women in 2020). In March and April 2020, regression-adjusted use rate per 10 000 persons changed by -28.2 (95% CI, -30.5 to -25.9) and -64.5 (95% CI, -66.8 to -62.2) for colonoscopies; -149.1 (95% CI, -162.0 to -16.2) and -342.1 (95% CI, -355.0 to -329.2) for mammograms; -60.0 (95% CI, -63.3 to -54.7) and -118.1 (95% CI, -112.4 to -113.9) for hemoglobin A1c tests; -300.5 (95% CI, -346.5 to -254.5) and -369.0 (95% CI, -414.7 to -323.4) for child vaccines; -4.6 (95% CI, -5.3 to -3.9) and -10.9 (95% CI, -11.6 to -10.2) for musculoskeletal surgery; -1.1 (95% CI, -1.4 to -0.7) and -3.4 (95% CI, -3.8 to -3.0) for cataract surgery; -13.4 (95% CI, -14.6 to -12.2) and -31.4 (95% CI, -32.6 to -30.2) for magnetic resonance imaging; and -581.1 (95% CI, -612.9 to -549.3) and -1465 (95% CI, -1496 to -1433) for in-person office visits. Use of telemedicine services increased by 227.9 (95% CI, 221.7 to 234.1) per 10 000 persons and 641.6 (95% CI, 635.5 to 647.8) per 10 000 persons. Patients living in zip codes with lower-income or majority racial/ethnic minority populations experienced smaller reductions in in-person visits (≥80% racial/ethnic minority zip code: 200.0 per 10 000 [95% CI, 128.9-270.1]; 79%-21% racial/ethnic minority zip code: 54.2 per 10 000 [95% CI, 33.6-74.9]) but also had lower rates of adoption of telemedicine (≥80% racial/ethnic minority zip code: -71.6 per 10 000 [95% CI, -87.6 to -55.5]; 79%-21% racial/ethnic minority zip code: -15.1 per 10 000 [95% CI, -19.8 to -10.4]).\nCONCLUSIONS AND RELEVANCE: In this cross-sectional study of a large US population with employer-sponsored insurance, the first 2 months of the COVID-19 pandemic were associated with dramatic reductions in the use of preventive and elective care. Use of telemedicine increased rapidly but not enough to account for reductions in in-person primary care visits. Race and income disparities at the zip code level exist in use of telemedicine.","container-title":"JAMA network open","DOI":"10.1001/jamanetworkopen.2020.24984","ISSN":"2574-3805","issue":"11","journalAbbreviation":"JAMA Netw Open","language":"eng","note":"PMID: 33151319\nPMCID: PMC7645698","page":"e2024984","source":"PubMed","title":"Changes in Health Services Use Among Commercially Insured US Populations During the COVID-19 Pandemic","volume":"3","author":[{"family":"Whaley","given":"Christopher M."},{"family":"Pera","given":"Megan F."},{"family":"Cantor","given":"Jonathan"},{"family":"Chang","given":"Jennie"},{"family":"Velasco","given":"Julia"},{"family":"Hagg","given":"Heather K."},{"family":"Sood","given":"Neeraj"},{"family":"Bravata","given":"Dena M."}],"issued":{"date-parts":[["2020",11,2]]}}}],"schema":"https://github.com/citation-style-language/schema/raw/master/csl-citation.json"} </w:instrText>
      </w:r>
      <w:r w:rsidRPr="00D061F9">
        <w:fldChar w:fldCharType="separate"/>
      </w:r>
      <w:r w:rsidRPr="00D061F9">
        <w:t>Whaley et al., 2020</w:t>
      </w:r>
      <w:r w:rsidRPr="00D061F9">
        <w:fldChar w:fldCharType="end"/>
      </w:r>
      <w:r>
        <w:t>,</w:t>
      </w:r>
      <w:r w:rsidRPr="00D061F9">
        <w:t xml:space="preserve"> </w:t>
      </w:r>
      <w:r w:rsidRPr="00D061F9">
        <w:fldChar w:fldCharType="begin"/>
      </w:r>
      <w:r>
        <w:instrText xml:space="preserve"> ADDIN ZOTERO_ITEM CSL_CITATION {"citationID":"PIoiplTE","properties":{"formattedCitation":"(Hossain et al., 2022; Xu et al., 2022)","plainCitation":"(Hossain et al., 2022; Xu et al., 2022)","dontUpdate":true,"noteIndex":1},"citationItems":[{"id":2173,"uris":["http://zotero.org/users/9292995/items/TZT9CS5S"],"itemData":{"id":2173,"type":"article-journal","abstract":"The coronavirus disease 2019 (COVID-19) pandemic necessitated the replacement of in-person physician consultations with telemedicine. During the pandemic, Medicaid covered the cost of telemedicine visits.","container-title":"Medical Care","DOI":"10.1097/MLR.0000000000001723","ISSN":"0025-7079","issue":"7","journalAbbreviation":"Med Care","note":"PMID: 35679172\nPMCID: PMC9172580","page":"488-495","source":"PubMed Central","title":"Using Administrative Data to Examine Telemedicine Usage Among Medicaid Beneficiaries During the Coronavirus Disease 2019 Pandemic","volume":"60","author":[{"family":"Hossain","given":"Mallick"},{"family":"Dean","given":"Emma B."},{"family":"Kaliski","given":"Daniel"}],"issued":{"date-parts":[["2022",7]]}}},{"id":2104,"uris":["http://zotero.org/users/9292995/items/QIAHX3DE"],"itemData":{"id":2104,"type":"article-journal","abstract":"Background\nThe adoption of telehealth services has been a challenge in rural communities. The reasons for the slow adoption of such technology-driven services have been attributed to social norms, health care policies, and a lack of infrastructure to support the delivery of services. However, the COVID-19 pandemic–related shutdown of in-person health care services resulted in the usage of telehealth services as a necessity rather than a choice. The pandemic also fast-tracked some needed legislation to allow medical cost reimbursement for remote examination and health care services. As services return to normalcy, it is important to examine whether the usage of telehealth services during the period of a shutdown has changed any of the trends in the acceptance of telehealth as a reliable alternative to traditional in-person health care services.\n\nObjective\nOur aim was to explore whether the temporary shift to telehealth services has changed the attitudes toward the usage of technology-enabled health services in rural communities.\n\nMethods\nWe examined the Medicaid reimbursement data for the state of Alabama from March 2019 through June 2021. Selecting the telehealth service codes, we explored the adoption rates in 3 phases of the COVID-19 shutdown: prepandemic, pandemic before the rollout of mass vaccination, and pandemic after the rollout of mass vaccination.\n\nResults\nThe trend in telemedicine claims had an opposite pattern to that in nontelemedicine claims across the 3 periods. The distribution of various characteristics of patients who used telemedicine (age group, gender, race, level of rurality, and service provider type) was different across the 3 periods. Claims related to behavior and mental health had the highest rates of telemedicine usage after the onset of the pandemic. The rate of telemedicine usage remained at a high level after the rollout of mass vaccination.\n\nConclusions\nThe current trends indicate that adoption of telehealth services is likely to increase postpandemic and that the consumers (patients), service providers, health care establishments, insurance companies, and state and local policies have changed their attitudes toward telehealth. An increase in the use of telehealth could help local and federal governments address the shortage of health care facilities and service providers in underserved communities, and patients can get the much-needed care in a timely and effective manner.","container-title":"Journal of Medical Internet Research","DOI":"10.2196/38602","ISSN":"1439-4456","issue":"7","journalAbbreviation":"J Med Internet Res","note":"PMID: 35786564\nPMCID: PMC9290332","page":"e38602","source":"PubMed Central","title":"Pandemic-Triggered Adoption of Telehealth in Underserved Communities: Descriptive Study of Pre- and Postshutdown Trends","title-short":"Pandemic-Triggered Adoption of Telehealth in Underserved Communities","volume":"24","author":[{"family":"Xu","given":"Pei"},{"family":"Hudnall","given":"Matthew"},{"family":"Zhao","given":"Sidi"},{"family":"Raja","given":"Uzma"},{"family":"Parton","given":"Jason"},{"family":"Lewis","given":"Dwight"}],"issued":{"date-parts":[["2022",7,15]]}}}],"schema":"https://github.com/citation-style-language/schema/raw/master/csl-citation.json"} </w:instrText>
      </w:r>
      <w:r w:rsidRPr="00D061F9">
        <w:fldChar w:fldCharType="separate"/>
      </w:r>
      <w:r w:rsidRPr="00D061F9">
        <w:t>Hossain et al., 2022</w:t>
      </w:r>
      <w:r>
        <w:t>,</w:t>
      </w:r>
      <w:r w:rsidRPr="00D061F9">
        <w:t xml:space="preserve"> Xu et al., 2022</w:t>
      </w:r>
      <w:r w:rsidRPr="00D061F9">
        <w:fldChar w:fldCharType="end"/>
      </w:r>
      <w:r>
        <w:t>, and</w:t>
      </w:r>
      <w:r w:rsidRPr="00D061F9">
        <w:rPr>
          <w:rFonts w:asciiTheme="majorBidi" w:hAnsiTheme="majorBidi" w:cstheme="majorBidi"/>
          <w:bCs/>
          <w:color w:val="000000" w:themeColor="text1"/>
        </w:rPr>
        <w:t xml:space="preserve"> </w:t>
      </w:r>
      <w:r w:rsidRPr="00D061F9">
        <w:rPr>
          <w:rFonts w:asciiTheme="majorBidi" w:hAnsiTheme="majorBidi" w:cstheme="majorBidi"/>
          <w:bCs/>
          <w:color w:val="000000" w:themeColor="text1"/>
        </w:rPr>
        <w:fldChar w:fldCharType="begin"/>
      </w:r>
      <w:r>
        <w:rPr>
          <w:rFonts w:asciiTheme="majorBidi" w:hAnsiTheme="majorBidi" w:cstheme="majorBidi"/>
          <w:bCs/>
          <w:color w:val="000000" w:themeColor="text1"/>
        </w:rPr>
        <w:instrText xml:space="preserve"> ADDIN ZOTERO_ITEM CSL_CITATION {"citationID":"1MpvqIl0","properties":{"formattedCitation":"(Park et al., 2023)","plainCitation":"(Park et al., 2023)","dontUpdate":true,"noteIndex":1},"citationItems":[{"id":2235,"uris":["http://zotero.org/users/9292995/items/X3YBVYGI"],"itemData":{"id":2235,"type":"article-journal","abstract":"OBJECTIVE: The primary objective of this study is to conduct a comparative analysis of telemedicine utilization patterns among adult populations residing in both rural and urban areas and evaluate the probability of telemedicine adoption among adults dwelling in both rural and urban areas amid the backdrop of the COVID-19 pandemic.\nMETHODS: Our study has attained sample populations (n = 279,260, National Weighted Estimates = 2,391,188,373) through the secondary analysis of the National Health Interview Survey (NHIS) for the year 2021. We examined the relationship between the rural, regional, and racial variables using chi-square tests and binary logistic regression associated with telemedicine use in our multivariable analysis.\nRESULTS: Telemedicine use by population decreased with decreasing urbanization level, from 40.2% among adults living in large central metropolitan to 29.7% among adults living in rural area (p&lt;0.0001). Regarding household income, adults with 400% or more of the federal poverty level (FPL) were significantly more likely to use telemedicine than adults with less than 100% of the FPL. Females were more likely than males to utilize telemedicine. In terms of region, adults living in the West were 1.25 times more likely to use telemedicine than adults living in the Northeast, and minority race/ethnicity groups (eg, Non-Hispanic Black, Hispanic, and other) are less likely to use the telemedicine rather than Non-Hispanic White.\nCONCLUSION: Health equity is attained when all demographic groups enjoy uniform access to healthcare services, but disparities emerge when there are discernible variations in access to treatment. Considering this study's findings, it becomes evident that the distinctions in poverty rates, median income levels, and healthcare utilization patterns across racial and regional lines may serve as indicators of potential health equity concerns.","container-title":"Patient Preference and Adherence","DOI":"10.2147/PPA.S439437","ISSN":"1177-889X","journalAbbreviation":"Patient Prefer Adherence","language":"eng","note":"PMID: 38143946\nPMCID: PMC10749101","page":"3477-3487","source":"PubMed","title":"Rural, Regional, Racial Disparities in Telemedicine Use During the COVID-19 Pandemic Among US Adults: 2021 National Health Interview Survey (NHIS)","title-short":"Rural, Regional, Racial Disparities in Telemedicine Use During the COVID-19 Pandemic Among US Adults","volume":"17","author":[{"family":"Park","given":"Jeong-Hui"},{"family":"Lee","given":"Min Jee"},{"family":"Tsai","given":"Meng-Han"},{"family":"Shih","given":"Huan-Ju"},{"family":"Chang","given":"Jongwha"}],"issued":{"date-parts":[["2023"]]}}}],"schema":"https://github.com/citation-style-language/schema/raw/master/csl-citation.json"} </w:instrText>
      </w:r>
      <w:r w:rsidRPr="00D061F9">
        <w:rPr>
          <w:rFonts w:asciiTheme="majorBidi" w:hAnsiTheme="majorBidi" w:cstheme="majorBidi"/>
          <w:bCs/>
          <w:color w:val="000000" w:themeColor="text1"/>
        </w:rPr>
        <w:fldChar w:fldCharType="separate"/>
      </w:r>
      <w:r w:rsidRPr="00D061F9">
        <w:t>Park et al., 2023)</w:t>
      </w:r>
      <w:r w:rsidRPr="00D061F9">
        <w:rPr>
          <w:rFonts w:asciiTheme="majorBidi" w:hAnsiTheme="majorBidi" w:cstheme="majorBidi"/>
          <w:bCs/>
          <w:color w:val="000000" w:themeColor="text1"/>
        </w:rPr>
        <w:fldChar w:fldCharType="end"/>
      </w:r>
      <w:r>
        <w:rPr>
          <w:rFonts w:asciiTheme="majorBidi" w:hAnsiTheme="majorBidi" w:cstheme="majorBidi"/>
          <w:bCs/>
          <w:color w:val="000000" w:themeColor="text1"/>
        </w:rPr>
        <w:t>.</w:t>
      </w:r>
    </w:p>
  </w:footnote>
  <w:footnote w:id="2">
    <w:p w14:paraId="2808ADB0" w14:textId="739CBFBA" w:rsidR="00D60765" w:rsidRDefault="00D60765" w:rsidP="00A9211C">
      <w:pPr>
        <w:pStyle w:val="FootnoteText"/>
        <w:jc w:val="both"/>
      </w:pPr>
      <w:r>
        <w:rPr>
          <w:rStyle w:val="FootnoteReference"/>
        </w:rPr>
        <w:footnoteRef/>
      </w:r>
      <w:r>
        <w:t xml:space="preserve"> If one were to be fastidious, the Before-COVID and During-COVID responses should be labeled as “self-reported </w:t>
      </w:r>
      <w:r w:rsidR="00C04884">
        <w:t xml:space="preserve">recall-based </w:t>
      </w:r>
      <w:r>
        <w:t>telemedicine adoption”, while the After-COVID response should be labeled as “self-</w:t>
      </w:r>
      <w:r w:rsidR="00C04884">
        <w:t>stated</w:t>
      </w:r>
      <w:r>
        <w:t xml:space="preserve"> anticipated telemedicine adoption”.</w:t>
      </w:r>
      <w:r w:rsidR="00665102">
        <w:t xml:space="preserve"> One can debate whether it is more important to use these more appropriate labels (at the potential expense of wordiness and presentation simplicity), or whether it is more important to focus on presentation simplicity (at the expense of not providing an accurate characterization of how adoption was measured). Here, we opt for the latter, with the hope</w:t>
      </w:r>
      <w:r w:rsidR="00C04884">
        <w:t xml:space="preserve"> that</w:t>
      </w:r>
      <w:r w:rsidR="00665102">
        <w:t xml:space="preserve">, in the rest of this paper, readers will always keep in mind that our common label of telework adoption across periods is </w:t>
      </w:r>
      <w:r w:rsidR="00C04884">
        <w:t xml:space="preserve">relatively </w:t>
      </w:r>
      <w:r w:rsidR="00665102">
        <w:t>“loose” and actually differs across the periods.</w:t>
      </w:r>
    </w:p>
  </w:footnote>
  <w:footnote w:id="3">
    <w:p w14:paraId="7498DD5B" w14:textId="533F8ACC" w:rsidR="00A9586D" w:rsidRDefault="00A9586D" w:rsidP="005A1BA8">
      <w:pPr>
        <w:pStyle w:val="CommentText"/>
        <w:spacing w:after="120"/>
        <w:jc w:val="both"/>
      </w:pPr>
      <w:r w:rsidRPr="00F8247A">
        <w:rPr>
          <w:rStyle w:val="FootnoteReference"/>
        </w:rPr>
        <w:footnoteRef/>
      </w:r>
      <w:r w:rsidR="005A1BA8">
        <w:t xml:space="preserve"> </w:t>
      </w:r>
      <w:r>
        <w:t>“Enjoy working more from home due to COVID</w:t>
      </w:r>
      <w:r w:rsidR="005A1BA8">
        <w:t>”</w:t>
      </w:r>
      <w:r>
        <w:t xml:space="preserve"> or “Enjoy driving less due to COVID” referred to questions related to the experiences </w:t>
      </w:r>
      <w:r w:rsidR="0080485B">
        <w:t xml:space="preserve">of </w:t>
      </w:r>
      <w:r>
        <w:t xml:space="preserve">individuals </w:t>
      </w:r>
      <w:r w:rsidR="0080485B">
        <w:t xml:space="preserve">during </w:t>
      </w:r>
      <w:r>
        <w:t xml:space="preserve">the pandemic that they would like to continue into the future. These were collected on a binary scale of “enjoy” or “do not enjoy”. For </w:t>
      </w:r>
      <w:r w:rsidR="0080485B">
        <w:t>the perspective that “People’s well-being is/was at risk during the pandemic</w:t>
      </w:r>
      <w:r w:rsidR="005A1BA8">
        <w:t>”</w:t>
      </w:r>
      <w:r w:rsidR="0080485B">
        <w:t xml:space="preserve">, responses of </w:t>
      </w:r>
      <w:r w:rsidR="005A1BA8">
        <w:t>“</w:t>
      </w:r>
      <w:r w:rsidR="0080485B">
        <w:t xml:space="preserve">somewhat agree" or </w:t>
      </w:r>
      <w:r w:rsidR="005A1BA8">
        <w:t>“</w:t>
      </w:r>
      <w:r w:rsidR="0080485B">
        <w:t>highly agree</w:t>
      </w:r>
      <w:r w:rsidR="005A1BA8">
        <w:t>”</w:t>
      </w:r>
      <w:r w:rsidR="0080485B">
        <w:t xml:space="preserve"> (on the statement </w:t>
      </w:r>
      <w:r w:rsidR="005A1BA8">
        <w:t>“</w:t>
      </w:r>
      <w:r w:rsidR="0080485B" w:rsidRPr="008D4162">
        <w:t>I am concerned that if I, or my friends or family members, catch the coronavirus, we may have a severe reaction</w:t>
      </w:r>
      <w:r w:rsidR="005A1BA8">
        <w:t>”</w:t>
      </w:r>
      <w:r w:rsidR="0080485B">
        <w:t xml:space="preserve">) were categorized as “at risk”, while responses of </w:t>
      </w:r>
      <w:r w:rsidR="005A1BA8">
        <w:t>“</w:t>
      </w:r>
      <w:r w:rsidR="0080485B">
        <w:t>neutral,</w:t>
      </w:r>
      <w:r w:rsidR="005A1BA8">
        <w:t>”</w:t>
      </w:r>
      <w:r w:rsidR="0080485B">
        <w:t xml:space="preserve"> </w:t>
      </w:r>
      <w:r w:rsidR="005A1BA8">
        <w:t>“</w:t>
      </w:r>
      <w:r w:rsidR="0080485B">
        <w:t>somewhat disagree,</w:t>
      </w:r>
      <w:r w:rsidR="005A1BA8">
        <w:t>”</w:t>
      </w:r>
      <w:r w:rsidR="0080485B">
        <w:t xml:space="preserve"> or </w:t>
      </w:r>
      <w:r w:rsidR="005A1BA8">
        <w:t>“</w:t>
      </w:r>
      <w:r w:rsidR="0080485B">
        <w:t>strongly disagree</w:t>
      </w:r>
      <w:r w:rsidR="005A1BA8">
        <w:t>”</w:t>
      </w:r>
      <w:r w:rsidR="0080485B">
        <w:t xml:space="preserve"> were categorized as “Not at risk”. Finally, a similar binary categorization was adopted for </w:t>
      </w:r>
      <w:r w:rsidR="005A1BA8">
        <w:t>“</w:t>
      </w:r>
      <w:r w:rsidR="0080485B">
        <w:t>Not technologically savvy</w:t>
      </w:r>
      <w:r w:rsidR="005A1BA8">
        <w:t>”</w:t>
      </w:r>
      <w:r w:rsidR="0080485B">
        <w:t xml:space="preserve"> (from a five-point ordinal scale  based on the response to </w:t>
      </w:r>
      <w:r>
        <w:t xml:space="preserve">the statement </w:t>
      </w:r>
      <w:r w:rsidR="005A1BA8">
        <w:t>“</w:t>
      </w:r>
      <w:r>
        <w:t>Learning how to use new technologies is often frustrating”</w:t>
      </w:r>
      <w:r w:rsidR="0080485B">
        <w:t>)</w:t>
      </w:r>
      <w:r>
        <w:t>.</w:t>
      </w:r>
    </w:p>
  </w:footnote>
  <w:footnote w:id="4">
    <w:p w14:paraId="1E639EB3" w14:textId="509E9F64" w:rsidR="004B0C88" w:rsidRDefault="004B0C88" w:rsidP="009B25C2">
      <w:pPr>
        <w:pStyle w:val="FootnoteText"/>
        <w:jc w:val="both"/>
      </w:pPr>
      <w:r w:rsidRPr="005A1F2A">
        <w:rPr>
          <w:rStyle w:val="FootnoteReference"/>
        </w:rPr>
        <w:footnoteRef/>
      </w:r>
      <w:r>
        <w:t xml:space="preserve"> The four U</w:t>
      </w:r>
      <w:r w:rsidR="00C22D3C">
        <w:t>.</w:t>
      </w:r>
      <w:r>
        <w:t>S</w:t>
      </w:r>
      <w:r w:rsidR="00C22D3C">
        <w:t>.</w:t>
      </w:r>
      <w:r>
        <w:t xml:space="preserve"> regions were defined according to the U</w:t>
      </w:r>
      <w:r w:rsidR="00C22D3C">
        <w:t>.</w:t>
      </w:r>
      <w:r>
        <w:t>S</w:t>
      </w:r>
      <w:r w:rsidR="00C22D3C">
        <w:t>.</w:t>
      </w:r>
      <w:r>
        <w:t xml:space="preserve"> Census definitions. These regions include the Northeast (Connecticut, Main, Massachusetts, New Hampshire, Rhode Island, Vermont, New Jersey, New York, and Pennsylvania), Midwest (Indiana, Illinois, Michigan, Ohio, Wisconsin, Iowa, Kansas, Minnesota, Missouri, Nebraska, North Dakota, and South Dakota), South (Delaware, District of Columbia, Florida, Georgia, Maryland, North Carolina, South Carolina, Virginia, West Virginia, Alabama, Kentucky, Mississippi, Tennessee, Arkansas, Louisiana, Oklahoma, and Texas), and West (Arizona, Colorado, Idaho, New Mexico, Montana, Utah, Nevada, Wyoming, Alaska, California, Hawaii, Oregon, and Washington).</w:t>
      </w:r>
    </w:p>
  </w:footnote>
  <w:footnote w:id="5">
    <w:p w14:paraId="572A08CB" w14:textId="6E66ABB4" w:rsidR="00353CC0" w:rsidRDefault="00353CC0">
      <w:pPr>
        <w:pStyle w:val="FootnoteText"/>
      </w:pPr>
      <w:r w:rsidRPr="005A1F2A">
        <w:rPr>
          <w:rStyle w:val="FootnoteReference"/>
        </w:rPr>
        <w:footnoteRef/>
      </w:r>
      <w:r>
        <w:t xml:space="preserve"> Note that the coefficients of any exogenous variable can be directly compared across reasons because the scales of all the reasons are set uniformly to one for identification without any loss of generality.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3D7"/>
    <w:multiLevelType w:val="hybridMultilevel"/>
    <w:tmpl w:val="B55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608F5"/>
    <w:multiLevelType w:val="hybridMultilevel"/>
    <w:tmpl w:val="B5C6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518C"/>
    <w:multiLevelType w:val="multilevel"/>
    <w:tmpl w:val="CADE573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223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845F5"/>
    <w:multiLevelType w:val="hybridMultilevel"/>
    <w:tmpl w:val="19A896F8"/>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10B64578"/>
    <w:multiLevelType w:val="hybridMultilevel"/>
    <w:tmpl w:val="CB1C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327FF"/>
    <w:multiLevelType w:val="hybridMultilevel"/>
    <w:tmpl w:val="523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038F"/>
    <w:multiLevelType w:val="hybridMultilevel"/>
    <w:tmpl w:val="4D96F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C47F6"/>
    <w:multiLevelType w:val="multilevel"/>
    <w:tmpl w:val="E2EE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1A07F4"/>
    <w:multiLevelType w:val="hybridMultilevel"/>
    <w:tmpl w:val="EA34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A4592"/>
    <w:multiLevelType w:val="hybridMultilevel"/>
    <w:tmpl w:val="2D1A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338FB"/>
    <w:multiLevelType w:val="hybridMultilevel"/>
    <w:tmpl w:val="800C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E58D4"/>
    <w:multiLevelType w:val="hybridMultilevel"/>
    <w:tmpl w:val="0614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E023D"/>
    <w:multiLevelType w:val="multilevel"/>
    <w:tmpl w:val="20E8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12082"/>
    <w:multiLevelType w:val="hybridMultilevel"/>
    <w:tmpl w:val="BD6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A13C6"/>
    <w:multiLevelType w:val="multilevel"/>
    <w:tmpl w:val="A092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A3466"/>
    <w:multiLevelType w:val="multilevel"/>
    <w:tmpl w:val="D0E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529C6"/>
    <w:multiLevelType w:val="hybridMultilevel"/>
    <w:tmpl w:val="48B8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63121"/>
    <w:multiLevelType w:val="hybridMultilevel"/>
    <w:tmpl w:val="EA1C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33D86"/>
    <w:multiLevelType w:val="hybridMultilevel"/>
    <w:tmpl w:val="3C94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655E8"/>
    <w:multiLevelType w:val="hybridMultilevel"/>
    <w:tmpl w:val="1C706E88"/>
    <w:lvl w:ilvl="0" w:tplc="0BCC01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534DB"/>
    <w:multiLevelType w:val="hybridMultilevel"/>
    <w:tmpl w:val="014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308BD"/>
    <w:multiLevelType w:val="hybridMultilevel"/>
    <w:tmpl w:val="FE769B36"/>
    <w:lvl w:ilvl="0" w:tplc="1B9CA4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505C3"/>
    <w:multiLevelType w:val="multilevel"/>
    <w:tmpl w:val="68A0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B638B"/>
    <w:multiLevelType w:val="hybridMultilevel"/>
    <w:tmpl w:val="22B8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B7B5A"/>
    <w:multiLevelType w:val="hybridMultilevel"/>
    <w:tmpl w:val="197A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30238"/>
    <w:multiLevelType w:val="hybridMultilevel"/>
    <w:tmpl w:val="A4B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EC5EA0"/>
    <w:multiLevelType w:val="hybridMultilevel"/>
    <w:tmpl w:val="8384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32F02"/>
    <w:multiLevelType w:val="hybridMultilevel"/>
    <w:tmpl w:val="1534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46B17"/>
    <w:multiLevelType w:val="hybridMultilevel"/>
    <w:tmpl w:val="247E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0E6D74"/>
    <w:multiLevelType w:val="hybridMultilevel"/>
    <w:tmpl w:val="21EA9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D16F1"/>
    <w:multiLevelType w:val="hybridMultilevel"/>
    <w:tmpl w:val="A3C4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658DD"/>
    <w:multiLevelType w:val="multilevel"/>
    <w:tmpl w:val="B15E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33323"/>
    <w:multiLevelType w:val="hybridMultilevel"/>
    <w:tmpl w:val="21F6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C66C7"/>
    <w:multiLevelType w:val="hybridMultilevel"/>
    <w:tmpl w:val="6724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C4942"/>
    <w:multiLevelType w:val="hybridMultilevel"/>
    <w:tmpl w:val="79C0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11"/>
  </w:num>
  <w:num w:numId="4">
    <w:abstractNumId w:val="25"/>
  </w:num>
  <w:num w:numId="5">
    <w:abstractNumId w:val="8"/>
  </w:num>
  <w:num w:numId="6">
    <w:abstractNumId w:val="9"/>
  </w:num>
  <w:num w:numId="7">
    <w:abstractNumId w:val="10"/>
  </w:num>
  <w:num w:numId="8">
    <w:abstractNumId w:val="32"/>
  </w:num>
  <w:num w:numId="9">
    <w:abstractNumId w:val="30"/>
  </w:num>
  <w:num w:numId="10">
    <w:abstractNumId w:val="5"/>
  </w:num>
  <w:num w:numId="11">
    <w:abstractNumId w:val="4"/>
  </w:num>
  <w:num w:numId="12">
    <w:abstractNumId w:val="27"/>
  </w:num>
  <w:num w:numId="13">
    <w:abstractNumId w:val="13"/>
  </w:num>
  <w:num w:numId="14">
    <w:abstractNumId w:val="23"/>
  </w:num>
  <w:num w:numId="15">
    <w:abstractNumId w:val="18"/>
  </w:num>
  <w:num w:numId="16">
    <w:abstractNumId w:val="24"/>
  </w:num>
  <w:num w:numId="17">
    <w:abstractNumId w:val="14"/>
  </w:num>
  <w:num w:numId="18">
    <w:abstractNumId w:val="0"/>
  </w:num>
  <w:num w:numId="19">
    <w:abstractNumId w:val="34"/>
  </w:num>
  <w:num w:numId="20">
    <w:abstractNumId w:val="17"/>
  </w:num>
  <w:num w:numId="21">
    <w:abstractNumId w:val="33"/>
  </w:num>
  <w:num w:numId="22">
    <w:abstractNumId w:val="3"/>
  </w:num>
  <w:num w:numId="23">
    <w:abstractNumId w:val="21"/>
  </w:num>
  <w:num w:numId="24">
    <w:abstractNumId w:val="26"/>
  </w:num>
  <w:num w:numId="25">
    <w:abstractNumId w:val="20"/>
  </w:num>
  <w:num w:numId="26">
    <w:abstractNumId w:val="1"/>
  </w:num>
  <w:num w:numId="27">
    <w:abstractNumId w:val="16"/>
  </w:num>
  <w:num w:numId="28">
    <w:abstractNumId w:val="7"/>
  </w:num>
  <w:num w:numId="29">
    <w:abstractNumId w:val="31"/>
  </w:num>
  <w:num w:numId="30">
    <w:abstractNumId w:val="22"/>
  </w:num>
  <w:num w:numId="31">
    <w:abstractNumId w:val="29"/>
  </w:num>
  <w:num w:numId="32">
    <w:abstractNumId w:val="6"/>
  </w:num>
  <w:num w:numId="33">
    <w:abstractNumId w:val="15"/>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wtLS0MDMzMjc0M7dQ0lEKTi0uzszPAykwtqwFAEUtKkctAAAA"/>
  </w:docVars>
  <w:rsids>
    <w:rsidRoot w:val="004B0337"/>
    <w:rsid w:val="00001866"/>
    <w:rsid w:val="00005E11"/>
    <w:rsid w:val="0000673A"/>
    <w:rsid w:val="00012B75"/>
    <w:rsid w:val="00015E61"/>
    <w:rsid w:val="00017B13"/>
    <w:rsid w:val="00022BE8"/>
    <w:rsid w:val="000237F7"/>
    <w:rsid w:val="00032205"/>
    <w:rsid w:val="00032207"/>
    <w:rsid w:val="0003225F"/>
    <w:rsid w:val="00035FBA"/>
    <w:rsid w:val="0003611A"/>
    <w:rsid w:val="000363C3"/>
    <w:rsid w:val="00042756"/>
    <w:rsid w:val="00046842"/>
    <w:rsid w:val="0004710C"/>
    <w:rsid w:val="00050A55"/>
    <w:rsid w:val="00051207"/>
    <w:rsid w:val="00051CBF"/>
    <w:rsid w:val="00052536"/>
    <w:rsid w:val="00056942"/>
    <w:rsid w:val="00056E8B"/>
    <w:rsid w:val="0006017E"/>
    <w:rsid w:val="000625D6"/>
    <w:rsid w:val="00063ED9"/>
    <w:rsid w:val="000706BF"/>
    <w:rsid w:val="000706EF"/>
    <w:rsid w:val="0007075D"/>
    <w:rsid w:val="00070E3F"/>
    <w:rsid w:val="000823C1"/>
    <w:rsid w:val="00083C54"/>
    <w:rsid w:val="0008422F"/>
    <w:rsid w:val="00084CF9"/>
    <w:rsid w:val="00086F93"/>
    <w:rsid w:val="00094699"/>
    <w:rsid w:val="000967C5"/>
    <w:rsid w:val="000A25A1"/>
    <w:rsid w:val="000B17AB"/>
    <w:rsid w:val="000B1D32"/>
    <w:rsid w:val="000B2F61"/>
    <w:rsid w:val="000B35A0"/>
    <w:rsid w:val="000B4B94"/>
    <w:rsid w:val="000C506F"/>
    <w:rsid w:val="000C691B"/>
    <w:rsid w:val="000C6E11"/>
    <w:rsid w:val="000C7369"/>
    <w:rsid w:val="000D15EC"/>
    <w:rsid w:val="000D327B"/>
    <w:rsid w:val="000D5F45"/>
    <w:rsid w:val="000E09AE"/>
    <w:rsid w:val="000E0A8C"/>
    <w:rsid w:val="000E0F23"/>
    <w:rsid w:val="000E10C4"/>
    <w:rsid w:val="000E19D0"/>
    <w:rsid w:val="000E1C2F"/>
    <w:rsid w:val="000E2039"/>
    <w:rsid w:val="000E38BF"/>
    <w:rsid w:val="000F2CA6"/>
    <w:rsid w:val="000F2F3A"/>
    <w:rsid w:val="000F3FDC"/>
    <w:rsid w:val="000F4493"/>
    <w:rsid w:val="000F6E82"/>
    <w:rsid w:val="000F70AD"/>
    <w:rsid w:val="00101A25"/>
    <w:rsid w:val="0010772D"/>
    <w:rsid w:val="00111E4C"/>
    <w:rsid w:val="001146E0"/>
    <w:rsid w:val="001164F4"/>
    <w:rsid w:val="001209A5"/>
    <w:rsid w:val="00121091"/>
    <w:rsid w:val="001210EB"/>
    <w:rsid w:val="00125666"/>
    <w:rsid w:val="0012647E"/>
    <w:rsid w:val="00127081"/>
    <w:rsid w:val="001305D7"/>
    <w:rsid w:val="001317FE"/>
    <w:rsid w:val="00136C57"/>
    <w:rsid w:val="00146966"/>
    <w:rsid w:val="00146BE6"/>
    <w:rsid w:val="00150E64"/>
    <w:rsid w:val="00151220"/>
    <w:rsid w:val="001521DC"/>
    <w:rsid w:val="00152280"/>
    <w:rsid w:val="00152F67"/>
    <w:rsid w:val="001566F3"/>
    <w:rsid w:val="00156B71"/>
    <w:rsid w:val="00160069"/>
    <w:rsid w:val="001601D2"/>
    <w:rsid w:val="001636FC"/>
    <w:rsid w:val="00167FB1"/>
    <w:rsid w:val="0017226E"/>
    <w:rsid w:val="001727A5"/>
    <w:rsid w:val="00177A0C"/>
    <w:rsid w:val="00177CFE"/>
    <w:rsid w:val="001809A0"/>
    <w:rsid w:val="0018269B"/>
    <w:rsid w:val="00184E6F"/>
    <w:rsid w:val="0018509E"/>
    <w:rsid w:val="00186644"/>
    <w:rsid w:val="00187DD0"/>
    <w:rsid w:val="00191E32"/>
    <w:rsid w:val="00192792"/>
    <w:rsid w:val="001969BB"/>
    <w:rsid w:val="001A0899"/>
    <w:rsid w:val="001A0F4B"/>
    <w:rsid w:val="001A37E3"/>
    <w:rsid w:val="001A3AF7"/>
    <w:rsid w:val="001A414D"/>
    <w:rsid w:val="001B1E27"/>
    <w:rsid w:val="001B239C"/>
    <w:rsid w:val="001B38C6"/>
    <w:rsid w:val="001B3D79"/>
    <w:rsid w:val="001B46DA"/>
    <w:rsid w:val="001B4A27"/>
    <w:rsid w:val="001B60DF"/>
    <w:rsid w:val="001C165D"/>
    <w:rsid w:val="001D145A"/>
    <w:rsid w:val="001D6504"/>
    <w:rsid w:val="001D6D35"/>
    <w:rsid w:val="001D73B7"/>
    <w:rsid w:val="001E0D8D"/>
    <w:rsid w:val="001E1765"/>
    <w:rsid w:val="001E224F"/>
    <w:rsid w:val="001E2C62"/>
    <w:rsid w:val="001E39E5"/>
    <w:rsid w:val="001E62FC"/>
    <w:rsid w:val="001F20E4"/>
    <w:rsid w:val="001F2538"/>
    <w:rsid w:val="001F563E"/>
    <w:rsid w:val="001F57EF"/>
    <w:rsid w:val="0020100B"/>
    <w:rsid w:val="00202725"/>
    <w:rsid w:val="00202FD1"/>
    <w:rsid w:val="002031BA"/>
    <w:rsid w:val="00204482"/>
    <w:rsid w:val="00204503"/>
    <w:rsid w:val="002141D9"/>
    <w:rsid w:val="00216310"/>
    <w:rsid w:val="00222A56"/>
    <w:rsid w:val="0022398B"/>
    <w:rsid w:val="00224348"/>
    <w:rsid w:val="00224FEE"/>
    <w:rsid w:val="0023299D"/>
    <w:rsid w:val="00232A94"/>
    <w:rsid w:val="00233B14"/>
    <w:rsid w:val="00233BF5"/>
    <w:rsid w:val="00233F42"/>
    <w:rsid w:val="00234A4D"/>
    <w:rsid w:val="002375BD"/>
    <w:rsid w:val="00240542"/>
    <w:rsid w:val="002422C7"/>
    <w:rsid w:val="0024719F"/>
    <w:rsid w:val="002502BF"/>
    <w:rsid w:val="002505C6"/>
    <w:rsid w:val="00251B13"/>
    <w:rsid w:val="002535A5"/>
    <w:rsid w:val="0025372C"/>
    <w:rsid w:val="00264EEC"/>
    <w:rsid w:val="0026526E"/>
    <w:rsid w:val="0026668B"/>
    <w:rsid w:val="002672B2"/>
    <w:rsid w:val="0027145A"/>
    <w:rsid w:val="00272ACA"/>
    <w:rsid w:val="00276682"/>
    <w:rsid w:val="00282D9C"/>
    <w:rsid w:val="00283487"/>
    <w:rsid w:val="00286D8F"/>
    <w:rsid w:val="00287FC4"/>
    <w:rsid w:val="002919AA"/>
    <w:rsid w:val="00296F0E"/>
    <w:rsid w:val="002A1491"/>
    <w:rsid w:val="002A353D"/>
    <w:rsid w:val="002A45BB"/>
    <w:rsid w:val="002B1FB1"/>
    <w:rsid w:val="002B25C2"/>
    <w:rsid w:val="002B2A06"/>
    <w:rsid w:val="002B7F88"/>
    <w:rsid w:val="002C0BE3"/>
    <w:rsid w:val="002C1E81"/>
    <w:rsid w:val="002C5D5B"/>
    <w:rsid w:val="002D14F9"/>
    <w:rsid w:val="002D3EE2"/>
    <w:rsid w:val="002D404A"/>
    <w:rsid w:val="002D4722"/>
    <w:rsid w:val="002D5C81"/>
    <w:rsid w:val="002E2512"/>
    <w:rsid w:val="002E6131"/>
    <w:rsid w:val="002E674A"/>
    <w:rsid w:val="002F1E21"/>
    <w:rsid w:val="002F46AC"/>
    <w:rsid w:val="00306CB1"/>
    <w:rsid w:val="00310137"/>
    <w:rsid w:val="00311DC1"/>
    <w:rsid w:val="00312403"/>
    <w:rsid w:val="00312CCA"/>
    <w:rsid w:val="00313D77"/>
    <w:rsid w:val="0032637B"/>
    <w:rsid w:val="003274E8"/>
    <w:rsid w:val="003305B8"/>
    <w:rsid w:val="00330FE4"/>
    <w:rsid w:val="003339E6"/>
    <w:rsid w:val="0033516D"/>
    <w:rsid w:val="00342FFA"/>
    <w:rsid w:val="003478D1"/>
    <w:rsid w:val="003479A5"/>
    <w:rsid w:val="00350B01"/>
    <w:rsid w:val="00350DD7"/>
    <w:rsid w:val="00353147"/>
    <w:rsid w:val="00353CC0"/>
    <w:rsid w:val="00354A78"/>
    <w:rsid w:val="00354ACF"/>
    <w:rsid w:val="00356705"/>
    <w:rsid w:val="003575B9"/>
    <w:rsid w:val="0035799C"/>
    <w:rsid w:val="00362288"/>
    <w:rsid w:val="00363830"/>
    <w:rsid w:val="00363A13"/>
    <w:rsid w:val="00364281"/>
    <w:rsid w:val="00370034"/>
    <w:rsid w:val="00371ECA"/>
    <w:rsid w:val="00372023"/>
    <w:rsid w:val="003722C6"/>
    <w:rsid w:val="00372567"/>
    <w:rsid w:val="003756EF"/>
    <w:rsid w:val="00376587"/>
    <w:rsid w:val="0038015F"/>
    <w:rsid w:val="0038153F"/>
    <w:rsid w:val="00384173"/>
    <w:rsid w:val="003859E5"/>
    <w:rsid w:val="00387316"/>
    <w:rsid w:val="003919F8"/>
    <w:rsid w:val="00391CA2"/>
    <w:rsid w:val="00392A30"/>
    <w:rsid w:val="003954E5"/>
    <w:rsid w:val="003967FE"/>
    <w:rsid w:val="003A200F"/>
    <w:rsid w:val="003A441B"/>
    <w:rsid w:val="003A5143"/>
    <w:rsid w:val="003A5332"/>
    <w:rsid w:val="003A6AB5"/>
    <w:rsid w:val="003A772D"/>
    <w:rsid w:val="003B2865"/>
    <w:rsid w:val="003B43BB"/>
    <w:rsid w:val="003B74C2"/>
    <w:rsid w:val="003B795A"/>
    <w:rsid w:val="003C0B45"/>
    <w:rsid w:val="003C2199"/>
    <w:rsid w:val="003C2830"/>
    <w:rsid w:val="003C4FC9"/>
    <w:rsid w:val="003C5B87"/>
    <w:rsid w:val="003D074B"/>
    <w:rsid w:val="003D21C8"/>
    <w:rsid w:val="003D6019"/>
    <w:rsid w:val="003D70FB"/>
    <w:rsid w:val="003E139B"/>
    <w:rsid w:val="003E189C"/>
    <w:rsid w:val="003E3882"/>
    <w:rsid w:val="003E454E"/>
    <w:rsid w:val="003E5B70"/>
    <w:rsid w:val="003E6042"/>
    <w:rsid w:val="003F1166"/>
    <w:rsid w:val="003F3F7A"/>
    <w:rsid w:val="003F40F8"/>
    <w:rsid w:val="003F4E56"/>
    <w:rsid w:val="00403611"/>
    <w:rsid w:val="004042D5"/>
    <w:rsid w:val="00413465"/>
    <w:rsid w:val="004137F8"/>
    <w:rsid w:val="00416C17"/>
    <w:rsid w:val="00421582"/>
    <w:rsid w:val="004224D6"/>
    <w:rsid w:val="00423155"/>
    <w:rsid w:val="00433890"/>
    <w:rsid w:val="0043518A"/>
    <w:rsid w:val="004441BB"/>
    <w:rsid w:val="00444B47"/>
    <w:rsid w:val="0044576F"/>
    <w:rsid w:val="00452F7B"/>
    <w:rsid w:val="004567D3"/>
    <w:rsid w:val="004576B8"/>
    <w:rsid w:val="0046467E"/>
    <w:rsid w:val="00466681"/>
    <w:rsid w:val="00472422"/>
    <w:rsid w:val="00473D83"/>
    <w:rsid w:val="00476D1C"/>
    <w:rsid w:val="00484D28"/>
    <w:rsid w:val="00485689"/>
    <w:rsid w:val="00491673"/>
    <w:rsid w:val="00496309"/>
    <w:rsid w:val="004A64D6"/>
    <w:rsid w:val="004A6EC3"/>
    <w:rsid w:val="004A7F69"/>
    <w:rsid w:val="004B0337"/>
    <w:rsid w:val="004B0C88"/>
    <w:rsid w:val="004B167C"/>
    <w:rsid w:val="004B2993"/>
    <w:rsid w:val="004C0DF3"/>
    <w:rsid w:val="004C14BC"/>
    <w:rsid w:val="004C3B57"/>
    <w:rsid w:val="004C6416"/>
    <w:rsid w:val="004C67F1"/>
    <w:rsid w:val="004E06CD"/>
    <w:rsid w:val="004E11A3"/>
    <w:rsid w:val="004E34A7"/>
    <w:rsid w:val="004F09DD"/>
    <w:rsid w:val="004F6375"/>
    <w:rsid w:val="0050267A"/>
    <w:rsid w:val="005030E9"/>
    <w:rsid w:val="005065E8"/>
    <w:rsid w:val="00514E1E"/>
    <w:rsid w:val="005210EB"/>
    <w:rsid w:val="00522298"/>
    <w:rsid w:val="00527BEB"/>
    <w:rsid w:val="00530825"/>
    <w:rsid w:val="00533F77"/>
    <w:rsid w:val="00534A83"/>
    <w:rsid w:val="005363D5"/>
    <w:rsid w:val="0054390C"/>
    <w:rsid w:val="00546089"/>
    <w:rsid w:val="00546215"/>
    <w:rsid w:val="00552D3C"/>
    <w:rsid w:val="005556FB"/>
    <w:rsid w:val="00556854"/>
    <w:rsid w:val="00556D6A"/>
    <w:rsid w:val="00561121"/>
    <w:rsid w:val="00564F53"/>
    <w:rsid w:val="005657BD"/>
    <w:rsid w:val="00565BCE"/>
    <w:rsid w:val="00567257"/>
    <w:rsid w:val="0057029D"/>
    <w:rsid w:val="00575777"/>
    <w:rsid w:val="00576532"/>
    <w:rsid w:val="00577BA7"/>
    <w:rsid w:val="005828BA"/>
    <w:rsid w:val="00583298"/>
    <w:rsid w:val="005834D2"/>
    <w:rsid w:val="00586020"/>
    <w:rsid w:val="0059221E"/>
    <w:rsid w:val="00594909"/>
    <w:rsid w:val="005A1BA8"/>
    <w:rsid w:val="005A1F2A"/>
    <w:rsid w:val="005A20A3"/>
    <w:rsid w:val="005A22C1"/>
    <w:rsid w:val="005A53FA"/>
    <w:rsid w:val="005A6D3E"/>
    <w:rsid w:val="005B0EC5"/>
    <w:rsid w:val="005B173B"/>
    <w:rsid w:val="005B22C8"/>
    <w:rsid w:val="005B2D4E"/>
    <w:rsid w:val="005B68EA"/>
    <w:rsid w:val="005C1B8E"/>
    <w:rsid w:val="005C2BE2"/>
    <w:rsid w:val="005C2E3D"/>
    <w:rsid w:val="005C5FA6"/>
    <w:rsid w:val="005C76D0"/>
    <w:rsid w:val="005D4AC5"/>
    <w:rsid w:val="005E076F"/>
    <w:rsid w:val="005E37B2"/>
    <w:rsid w:val="005E4792"/>
    <w:rsid w:val="005E4F79"/>
    <w:rsid w:val="005E5381"/>
    <w:rsid w:val="005E5B98"/>
    <w:rsid w:val="005F0224"/>
    <w:rsid w:val="005F057C"/>
    <w:rsid w:val="005F4CF0"/>
    <w:rsid w:val="005F7FB7"/>
    <w:rsid w:val="00601AA5"/>
    <w:rsid w:val="0060250B"/>
    <w:rsid w:val="0061451E"/>
    <w:rsid w:val="00616B6E"/>
    <w:rsid w:val="00622D87"/>
    <w:rsid w:val="00623DC2"/>
    <w:rsid w:val="006312A4"/>
    <w:rsid w:val="00632D2C"/>
    <w:rsid w:val="0063486A"/>
    <w:rsid w:val="00634D6D"/>
    <w:rsid w:val="00637CAC"/>
    <w:rsid w:val="0064524E"/>
    <w:rsid w:val="0064714F"/>
    <w:rsid w:val="00650104"/>
    <w:rsid w:val="006515BE"/>
    <w:rsid w:val="00651AAB"/>
    <w:rsid w:val="0065445B"/>
    <w:rsid w:val="0065551A"/>
    <w:rsid w:val="00656200"/>
    <w:rsid w:val="00657CB2"/>
    <w:rsid w:val="00660D0A"/>
    <w:rsid w:val="006611B9"/>
    <w:rsid w:val="00661254"/>
    <w:rsid w:val="00665102"/>
    <w:rsid w:val="00666676"/>
    <w:rsid w:val="00670633"/>
    <w:rsid w:val="0067117B"/>
    <w:rsid w:val="00672AB8"/>
    <w:rsid w:val="006732D9"/>
    <w:rsid w:val="00674E3F"/>
    <w:rsid w:val="00677400"/>
    <w:rsid w:val="00680195"/>
    <w:rsid w:val="00680564"/>
    <w:rsid w:val="00681B19"/>
    <w:rsid w:val="00681D96"/>
    <w:rsid w:val="006869C3"/>
    <w:rsid w:val="00686FE8"/>
    <w:rsid w:val="0069070F"/>
    <w:rsid w:val="006919B7"/>
    <w:rsid w:val="00692219"/>
    <w:rsid w:val="006931B5"/>
    <w:rsid w:val="0069340B"/>
    <w:rsid w:val="006A0C99"/>
    <w:rsid w:val="006A1146"/>
    <w:rsid w:val="006A63A2"/>
    <w:rsid w:val="006A675C"/>
    <w:rsid w:val="006B3C0D"/>
    <w:rsid w:val="006B5186"/>
    <w:rsid w:val="006B6941"/>
    <w:rsid w:val="006B7245"/>
    <w:rsid w:val="006B78DB"/>
    <w:rsid w:val="006B7F82"/>
    <w:rsid w:val="006C03FD"/>
    <w:rsid w:val="006C22E9"/>
    <w:rsid w:val="006C53A2"/>
    <w:rsid w:val="006C5F1A"/>
    <w:rsid w:val="006D183E"/>
    <w:rsid w:val="006D2F3D"/>
    <w:rsid w:val="006D4C39"/>
    <w:rsid w:val="006D4F30"/>
    <w:rsid w:val="006D6A62"/>
    <w:rsid w:val="006E32B6"/>
    <w:rsid w:val="006E5F86"/>
    <w:rsid w:val="006E65D2"/>
    <w:rsid w:val="006F055A"/>
    <w:rsid w:val="006F2484"/>
    <w:rsid w:val="006F3050"/>
    <w:rsid w:val="006F35DE"/>
    <w:rsid w:val="006F52FB"/>
    <w:rsid w:val="006F7D64"/>
    <w:rsid w:val="0070132E"/>
    <w:rsid w:val="0070163C"/>
    <w:rsid w:val="007019D0"/>
    <w:rsid w:val="00702E42"/>
    <w:rsid w:val="0070452E"/>
    <w:rsid w:val="00706B8F"/>
    <w:rsid w:val="00707021"/>
    <w:rsid w:val="00707F22"/>
    <w:rsid w:val="0071015E"/>
    <w:rsid w:val="007118B3"/>
    <w:rsid w:val="007171B3"/>
    <w:rsid w:val="00717AF3"/>
    <w:rsid w:val="00717F6C"/>
    <w:rsid w:val="007210D9"/>
    <w:rsid w:val="0072194F"/>
    <w:rsid w:val="00721B8D"/>
    <w:rsid w:val="00723119"/>
    <w:rsid w:val="00723AD7"/>
    <w:rsid w:val="00727039"/>
    <w:rsid w:val="007313FA"/>
    <w:rsid w:val="00731CEA"/>
    <w:rsid w:val="00732DDA"/>
    <w:rsid w:val="00733A1B"/>
    <w:rsid w:val="00735C73"/>
    <w:rsid w:val="00736D6E"/>
    <w:rsid w:val="007372EB"/>
    <w:rsid w:val="00737D60"/>
    <w:rsid w:val="00746842"/>
    <w:rsid w:val="00752128"/>
    <w:rsid w:val="00752B90"/>
    <w:rsid w:val="007532A0"/>
    <w:rsid w:val="00753A6B"/>
    <w:rsid w:val="007541F0"/>
    <w:rsid w:val="0076233D"/>
    <w:rsid w:val="0076244B"/>
    <w:rsid w:val="007636AF"/>
    <w:rsid w:val="00764C15"/>
    <w:rsid w:val="00767857"/>
    <w:rsid w:val="0077128D"/>
    <w:rsid w:val="007719B8"/>
    <w:rsid w:val="0077354E"/>
    <w:rsid w:val="007735FB"/>
    <w:rsid w:val="007760B1"/>
    <w:rsid w:val="00777EEA"/>
    <w:rsid w:val="00783171"/>
    <w:rsid w:val="007836D6"/>
    <w:rsid w:val="00786165"/>
    <w:rsid w:val="00793A0C"/>
    <w:rsid w:val="00793CDC"/>
    <w:rsid w:val="00794194"/>
    <w:rsid w:val="007949EF"/>
    <w:rsid w:val="00794DB6"/>
    <w:rsid w:val="00795766"/>
    <w:rsid w:val="007A4158"/>
    <w:rsid w:val="007A4B79"/>
    <w:rsid w:val="007A4C0B"/>
    <w:rsid w:val="007A698F"/>
    <w:rsid w:val="007A7E9F"/>
    <w:rsid w:val="007B245D"/>
    <w:rsid w:val="007B33B0"/>
    <w:rsid w:val="007C176C"/>
    <w:rsid w:val="007C1801"/>
    <w:rsid w:val="007C61C4"/>
    <w:rsid w:val="007C6F5E"/>
    <w:rsid w:val="007C76BA"/>
    <w:rsid w:val="007D54C5"/>
    <w:rsid w:val="007D636E"/>
    <w:rsid w:val="007D64B5"/>
    <w:rsid w:val="007D6645"/>
    <w:rsid w:val="007E2C5A"/>
    <w:rsid w:val="007E3B79"/>
    <w:rsid w:val="007E5EB1"/>
    <w:rsid w:val="007E6654"/>
    <w:rsid w:val="007E7997"/>
    <w:rsid w:val="007F211E"/>
    <w:rsid w:val="007F66CC"/>
    <w:rsid w:val="007F6C96"/>
    <w:rsid w:val="00803E72"/>
    <w:rsid w:val="0080485B"/>
    <w:rsid w:val="008055E4"/>
    <w:rsid w:val="008056A4"/>
    <w:rsid w:val="008062E4"/>
    <w:rsid w:val="008063A8"/>
    <w:rsid w:val="00810400"/>
    <w:rsid w:val="00810C96"/>
    <w:rsid w:val="0081167C"/>
    <w:rsid w:val="00812030"/>
    <w:rsid w:val="008149CC"/>
    <w:rsid w:val="00815EA1"/>
    <w:rsid w:val="00817C6E"/>
    <w:rsid w:val="0082054A"/>
    <w:rsid w:val="0082391B"/>
    <w:rsid w:val="00824F3F"/>
    <w:rsid w:val="00830ED1"/>
    <w:rsid w:val="008314B9"/>
    <w:rsid w:val="008323E4"/>
    <w:rsid w:val="00832A81"/>
    <w:rsid w:val="008357B4"/>
    <w:rsid w:val="008358BE"/>
    <w:rsid w:val="00835DA4"/>
    <w:rsid w:val="00837439"/>
    <w:rsid w:val="00844F6E"/>
    <w:rsid w:val="008457B3"/>
    <w:rsid w:val="008463D9"/>
    <w:rsid w:val="00846836"/>
    <w:rsid w:val="00847C9F"/>
    <w:rsid w:val="008520BA"/>
    <w:rsid w:val="008535B1"/>
    <w:rsid w:val="00853BD8"/>
    <w:rsid w:val="00853DE6"/>
    <w:rsid w:val="008540C1"/>
    <w:rsid w:val="008545B5"/>
    <w:rsid w:val="008605AF"/>
    <w:rsid w:val="00860EB2"/>
    <w:rsid w:val="008626C8"/>
    <w:rsid w:val="00865A65"/>
    <w:rsid w:val="0086648A"/>
    <w:rsid w:val="00867EC3"/>
    <w:rsid w:val="00873D46"/>
    <w:rsid w:val="00874DED"/>
    <w:rsid w:val="00875829"/>
    <w:rsid w:val="00875ED6"/>
    <w:rsid w:val="0087685D"/>
    <w:rsid w:val="00876B92"/>
    <w:rsid w:val="00877631"/>
    <w:rsid w:val="008824E5"/>
    <w:rsid w:val="00884603"/>
    <w:rsid w:val="008846A6"/>
    <w:rsid w:val="008850E4"/>
    <w:rsid w:val="00885748"/>
    <w:rsid w:val="008858C9"/>
    <w:rsid w:val="008866E2"/>
    <w:rsid w:val="00887F59"/>
    <w:rsid w:val="0089313F"/>
    <w:rsid w:val="00893330"/>
    <w:rsid w:val="00895F9F"/>
    <w:rsid w:val="008A0092"/>
    <w:rsid w:val="008A1CB1"/>
    <w:rsid w:val="008A2BC1"/>
    <w:rsid w:val="008A3DCE"/>
    <w:rsid w:val="008A5E6B"/>
    <w:rsid w:val="008B1A40"/>
    <w:rsid w:val="008B223A"/>
    <w:rsid w:val="008B437F"/>
    <w:rsid w:val="008B6402"/>
    <w:rsid w:val="008C1A3E"/>
    <w:rsid w:val="008C23E9"/>
    <w:rsid w:val="008C2A3E"/>
    <w:rsid w:val="008C4548"/>
    <w:rsid w:val="008D206D"/>
    <w:rsid w:val="008D4083"/>
    <w:rsid w:val="008D4162"/>
    <w:rsid w:val="008E3A01"/>
    <w:rsid w:val="008E4712"/>
    <w:rsid w:val="008E5503"/>
    <w:rsid w:val="008E59D2"/>
    <w:rsid w:val="008E5B30"/>
    <w:rsid w:val="008F0080"/>
    <w:rsid w:val="008F08B0"/>
    <w:rsid w:val="008F0A21"/>
    <w:rsid w:val="008F4111"/>
    <w:rsid w:val="008F5ED8"/>
    <w:rsid w:val="0090275E"/>
    <w:rsid w:val="00903443"/>
    <w:rsid w:val="00910C0C"/>
    <w:rsid w:val="00912F9E"/>
    <w:rsid w:val="0091306C"/>
    <w:rsid w:val="00913691"/>
    <w:rsid w:val="00913B05"/>
    <w:rsid w:val="00913D1E"/>
    <w:rsid w:val="0091517C"/>
    <w:rsid w:val="00916099"/>
    <w:rsid w:val="00916BB7"/>
    <w:rsid w:val="009178F1"/>
    <w:rsid w:val="00920625"/>
    <w:rsid w:val="009212B2"/>
    <w:rsid w:val="009214B7"/>
    <w:rsid w:val="0092323E"/>
    <w:rsid w:val="00924EFB"/>
    <w:rsid w:val="00930BD9"/>
    <w:rsid w:val="00933C02"/>
    <w:rsid w:val="00933F3E"/>
    <w:rsid w:val="009347F8"/>
    <w:rsid w:val="00936DAF"/>
    <w:rsid w:val="00942741"/>
    <w:rsid w:val="00947E3A"/>
    <w:rsid w:val="009515E0"/>
    <w:rsid w:val="00951AD4"/>
    <w:rsid w:val="009524DC"/>
    <w:rsid w:val="0095508A"/>
    <w:rsid w:val="0095531B"/>
    <w:rsid w:val="00955B56"/>
    <w:rsid w:val="00956468"/>
    <w:rsid w:val="00956E1E"/>
    <w:rsid w:val="00957643"/>
    <w:rsid w:val="00957DD9"/>
    <w:rsid w:val="009630D4"/>
    <w:rsid w:val="00965C7B"/>
    <w:rsid w:val="009663F4"/>
    <w:rsid w:val="00970781"/>
    <w:rsid w:val="009739DA"/>
    <w:rsid w:val="00973AAF"/>
    <w:rsid w:val="00976C24"/>
    <w:rsid w:val="00980071"/>
    <w:rsid w:val="00981C01"/>
    <w:rsid w:val="009837E0"/>
    <w:rsid w:val="00984FB0"/>
    <w:rsid w:val="009A23D5"/>
    <w:rsid w:val="009A6E84"/>
    <w:rsid w:val="009A7249"/>
    <w:rsid w:val="009B1F1A"/>
    <w:rsid w:val="009B25C2"/>
    <w:rsid w:val="009B3861"/>
    <w:rsid w:val="009B586D"/>
    <w:rsid w:val="009B617B"/>
    <w:rsid w:val="009B63F3"/>
    <w:rsid w:val="009B6D38"/>
    <w:rsid w:val="009C185D"/>
    <w:rsid w:val="009C1966"/>
    <w:rsid w:val="009C1991"/>
    <w:rsid w:val="009C2B93"/>
    <w:rsid w:val="009C5EA6"/>
    <w:rsid w:val="009C6D74"/>
    <w:rsid w:val="009D0472"/>
    <w:rsid w:val="009D0CA2"/>
    <w:rsid w:val="009D0E1E"/>
    <w:rsid w:val="009D1523"/>
    <w:rsid w:val="009D4825"/>
    <w:rsid w:val="009D7F75"/>
    <w:rsid w:val="009E0E44"/>
    <w:rsid w:val="009F0593"/>
    <w:rsid w:val="009F48AC"/>
    <w:rsid w:val="009F63C7"/>
    <w:rsid w:val="009F79FB"/>
    <w:rsid w:val="009F7BFF"/>
    <w:rsid w:val="00A01345"/>
    <w:rsid w:val="00A031F9"/>
    <w:rsid w:val="00A052C3"/>
    <w:rsid w:val="00A0620C"/>
    <w:rsid w:val="00A06FC7"/>
    <w:rsid w:val="00A10E90"/>
    <w:rsid w:val="00A11245"/>
    <w:rsid w:val="00A11AE2"/>
    <w:rsid w:val="00A14D87"/>
    <w:rsid w:val="00A161C2"/>
    <w:rsid w:val="00A220E5"/>
    <w:rsid w:val="00A23169"/>
    <w:rsid w:val="00A24389"/>
    <w:rsid w:val="00A26F13"/>
    <w:rsid w:val="00A27E72"/>
    <w:rsid w:val="00A312E0"/>
    <w:rsid w:val="00A33A14"/>
    <w:rsid w:val="00A3773A"/>
    <w:rsid w:val="00A37834"/>
    <w:rsid w:val="00A4362C"/>
    <w:rsid w:val="00A43730"/>
    <w:rsid w:val="00A43B39"/>
    <w:rsid w:val="00A43F0B"/>
    <w:rsid w:val="00A458D0"/>
    <w:rsid w:val="00A4622F"/>
    <w:rsid w:val="00A50108"/>
    <w:rsid w:val="00A501E4"/>
    <w:rsid w:val="00A5125E"/>
    <w:rsid w:val="00A53D54"/>
    <w:rsid w:val="00A60B3C"/>
    <w:rsid w:val="00A62648"/>
    <w:rsid w:val="00A64F9A"/>
    <w:rsid w:val="00A677B6"/>
    <w:rsid w:val="00A708B2"/>
    <w:rsid w:val="00A71CCE"/>
    <w:rsid w:val="00A73E57"/>
    <w:rsid w:val="00A73FAB"/>
    <w:rsid w:val="00A81DE4"/>
    <w:rsid w:val="00A81FFC"/>
    <w:rsid w:val="00A82346"/>
    <w:rsid w:val="00A83A8A"/>
    <w:rsid w:val="00A85BF6"/>
    <w:rsid w:val="00A85CB6"/>
    <w:rsid w:val="00A865C2"/>
    <w:rsid w:val="00A87E04"/>
    <w:rsid w:val="00A9211C"/>
    <w:rsid w:val="00A92AE9"/>
    <w:rsid w:val="00A93044"/>
    <w:rsid w:val="00A94DB4"/>
    <w:rsid w:val="00A9586D"/>
    <w:rsid w:val="00A96FB1"/>
    <w:rsid w:val="00A97370"/>
    <w:rsid w:val="00AA480E"/>
    <w:rsid w:val="00AA4863"/>
    <w:rsid w:val="00AA7298"/>
    <w:rsid w:val="00AB0B75"/>
    <w:rsid w:val="00AB3970"/>
    <w:rsid w:val="00AB3DBE"/>
    <w:rsid w:val="00AB49A2"/>
    <w:rsid w:val="00AB4FD2"/>
    <w:rsid w:val="00AB5DA4"/>
    <w:rsid w:val="00AB5F40"/>
    <w:rsid w:val="00AC514A"/>
    <w:rsid w:val="00AC53F1"/>
    <w:rsid w:val="00AC5804"/>
    <w:rsid w:val="00AC5E16"/>
    <w:rsid w:val="00AC6E44"/>
    <w:rsid w:val="00AC7AA3"/>
    <w:rsid w:val="00AD2FDC"/>
    <w:rsid w:val="00AE0755"/>
    <w:rsid w:val="00AE5609"/>
    <w:rsid w:val="00AE6986"/>
    <w:rsid w:val="00AF0F51"/>
    <w:rsid w:val="00AF4B04"/>
    <w:rsid w:val="00AF6B67"/>
    <w:rsid w:val="00B02094"/>
    <w:rsid w:val="00B052F9"/>
    <w:rsid w:val="00B05595"/>
    <w:rsid w:val="00B062C5"/>
    <w:rsid w:val="00B06743"/>
    <w:rsid w:val="00B10D99"/>
    <w:rsid w:val="00B12AB1"/>
    <w:rsid w:val="00B14722"/>
    <w:rsid w:val="00B14E2A"/>
    <w:rsid w:val="00B2069C"/>
    <w:rsid w:val="00B20BD2"/>
    <w:rsid w:val="00B21D11"/>
    <w:rsid w:val="00B224DB"/>
    <w:rsid w:val="00B2475E"/>
    <w:rsid w:val="00B25323"/>
    <w:rsid w:val="00B2746F"/>
    <w:rsid w:val="00B30881"/>
    <w:rsid w:val="00B3221E"/>
    <w:rsid w:val="00B33933"/>
    <w:rsid w:val="00B36617"/>
    <w:rsid w:val="00B41FDB"/>
    <w:rsid w:val="00B423C9"/>
    <w:rsid w:val="00B42B53"/>
    <w:rsid w:val="00B464FF"/>
    <w:rsid w:val="00B51D41"/>
    <w:rsid w:val="00B53C03"/>
    <w:rsid w:val="00B55209"/>
    <w:rsid w:val="00B60B10"/>
    <w:rsid w:val="00B61199"/>
    <w:rsid w:val="00B630C2"/>
    <w:rsid w:val="00B6675B"/>
    <w:rsid w:val="00B66A9F"/>
    <w:rsid w:val="00B710B9"/>
    <w:rsid w:val="00B745F3"/>
    <w:rsid w:val="00B76CD1"/>
    <w:rsid w:val="00B76DBF"/>
    <w:rsid w:val="00B8414C"/>
    <w:rsid w:val="00B85564"/>
    <w:rsid w:val="00B904D9"/>
    <w:rsid w:val="00B9147B"/>
    <w:rsid w:val="00B922B4"/>
    <w:rsid w:val="00B96330"/>
    <w:rsid w:val="00B96DAE"/>
    <w:rsid w:val="00BA12D4"/>
    <w:rsid w:val="00BA178A"/>
    <w:rsid w:val="00BA1DD6"/>
    <w:rsid w:val="00BA2C9A"/>
    <w:rsid w:val="00BA3509"/>
    <w:rsid w:val="00BA5CD3"/>
    <w:rsid w:val="00BB1DEC"/>
    <w:rsid w:val="00BB30B2"/>
    <w:rsid w:val="00BB3950"/>
    <w:rsid w:val="00BC2F2E"/>
    <w:rsid w:val="00BC4A8E"/>
    <w:rsid w:val="00BD05A8"/>
    <w:rsid w:val="00BD164D"/>
    <w:rsid w:val="00BD2272"/>
    <w:rsid w:val="00BD2CC2"/>
    <w:rsid w:val="00BD2DF4"/>
    <w:rsid w:val="00BD31BD"/>
    <w:rsid w:val="00BD334A"/>
    <w:rsid w:val="00BD4C58"/>
    <w:rsid w:val="00BE4210"/>
    <w:rsid w:val="00BF1137"/>
    <w:rsid w:val="00BF3501"/>
    <w:rsid w:val="00BF3AA9"/>
    <w:rsid w:val="00BF51EC"/>
    <w:rsid w:val="00C016D9"/>
    <w:rsid w:val="00C0335F"/>
    <w:rsid w:val="00C04884"/>
    <w:rsid w:val="00C05B9E"/>
    <w:rsid w:val="00C10C1F"/>
    <w:rsid w:val="00C13570"/>
    <w:rsid w:val="00C158F0"/>
    <w:rsid w:val="00C17C1A"/>
    <w:rsid w:val="00C218AB"/>
    <w:rsid w:val="00C21BAB"/>
    <w:rsid w:val="00C22D3C"/>
    <w:rsid w:val="00C253B7"/>
    <w:rsid w:val="00C2678C"/>
    <w:rsid w:val="00C2725F"/>
    <w:rsid w:val="00C30439"/>
    <w:rsid w:val="00C34A43"/>
    <w:rsid w:val="00C34E86"/>
    <w:rsid w:val="00C353E7"/>
    <w:rsid w:val="00C37174"/>
    <w:rsid w:val="00C37A4D"/>
    <w:rsid w:val="00C37BD8"/>
    <w:rsid w:val="00C416BD"/>
    <w:rsid w:val="00C425C0"/>
    <w:rsid w:val="00C43988"/>
    <w:rsid w:val="00C466BC"/>
    <w:rsid w:val="00C47054"/>
    <w:rsid w:val="00C50714"/>
    <w:rsid w:val="00C548E4"/>
    <w:rsid w:val="00C55730"/>
    <w:rsid w:val="00C558C5"/>
    <w:rsid w:val="00C56A73"/>
    <w:rsid w:val="00C60BC6"/>
    <w:rsid w:val="00C61B40"/>
    <w:rsid w:val="00C61DE2"/>
    <w:rsid w:val="00C621A1"/>
    <w:rsid w:val="00C624EB"/>
    <w:rsid w:val="00C63A8F"/>
    <w:rsid w:val="00C75768"/>
    <w:rsid w:val="00C813B1"/>
    <w:rsid w:val="00C8146F"/>
    <w:rsid w:val="00C817CF"/>
    <w:rsid w:val="00C82AC0"/>
    <w:rsid w:val="00C85572"/>
    <w:rsid w:val="00C92512"/>
    <w:rsid w:val="00C92F9E"/>
    <w:rsid w:val="00C95811"/>
    <w:rsid w:val="00C97058"/>
    <w:rsid w:val="00CA0CD4"/>
    <w:rsid w:val="00CA1A23"/>
    <w:rsid w:val="00CA2851"/>
    <w:rsid w:val="00CA2870"/>
    <w:rsid w:val="00CA32DD"/>
    <w:rsid w:val="00CB6235"/>
    <w:rsid w:val="00CB6867"/>
    <w:rsid w:val="00CC12E5"/>
    <w:rsid w:val="00CC1580"/>
    <w:rsid w:val="00CC2CB1"/>
    <w:rsid w:val="00CC7884"/>
    <w:rsid w:val="00CD19E5"/>
    <w:rsid w:val="00CD45D5"/>
    <w:rsid w:val="00CD5337"/>
    <w:rsid w:val="00CE51D1"/>
    <w:rsid w:val="00CE7F98"/>
    <w:rsid w:val="00CF26A8"/>
    <w:rsid w:val="00CF2EA6"/>
    <w:rsid w:val="00CF3E90"/>
    <w:rsid w:val="00CF5649"/>
    <w:rsid w:val="00D0196B"/>
    <w:rsid w:val="00D0439A"/>
    <w:rsid w:val="00D05205"/>
    <w:rsid w:val="00D0557B"/>
    <w:rsid w:val="00D061F9"/>
    <w:rsid w:val="00D104C2"/>
    <w:rsid w:val="00D1380A"/>
    <w:rsid w:val="00D14CE5"/>
    <w:rsid w:val="00D14EFF"/>
    <w:rsid w:val="00D15479"/>
    <w:rsid w:val="00D16132"/>
    <w:rsid w:val="00D174DC"/>
    <w:rsid w:val="00D20C97"/>
    <w:rsid w:val="00D23675"/>
    <w:rsid w:val="00D3428F"/>
    <w:rsid w:val="00D350EC"/>
    <w:rsid w:val="00D35791"/>
    <w:rsid w:val="00D358FA"/>
    <w:rsid w:val="00D36074"/>
    <w:rsid w:val="00D37EA0"/>
    <w:rsid w:val="00D40EEC"/>
    <w:rsid w:val="00D4293B"/>
    <w:rsid w:val="00D4451C"/>
    <w:rsid w:val="00D445E1"/>
    <w:rsid w:val="00D46CBD"/>
    <w:rsid w:val="00D479EC"/>
    <w:rsid w:val="00D50A93"/>
    <w:rsid w:val="00D513FA"/>
    <w:rsid w:val="00D522B3"/>
    <w:rsid w:val="00D55370"/>
    <w:rsid w:val="00D60765"/>
    <w:rsid w:val="00D63CC3"/>
    <w:rsid w:val="00D658B2"/>
    <w:rsid w:val="00D659B7"/>
    <w:rsid w:val="00D66B4D"/>
    <w:rsid w:val="00D765D3"/>
    <w:rsid w:val="00D769F6"/>
    <w:rsid w:val="00D8095A"/>
    <w:rsid w:val="00D81686"/>
    <w:rsid w:val="00D84B28"/>
    <w:rsid w:val="00D84D59"/>
    <w:rsid w:val="00D863B3"/>
    <w:rsid w:val="00D90306"/>
    <w:rsid w:val="00D91E66"/>
    <w:rsid w:val="00D95041"/>
    <w:rsid w:val="00D968BA"/>
    <w:rsid w:val="00DA026A"/>
    <w:rsid w:val="00DA09CD"/>
    <w:rsid w:val="00DA249F"/>
    <w:rsid w:val="00DA4887"/>
    <w:rsid w:val="00DA7DFB"/>
    <w:rsid w:val="00DC1265"/>
    <w:rsid w:val="00DC59B6"/>
    <w:rsid w:val="00DC5BDA"/>
    <w:rsid w:val="00DC7C53"/>
    <w:rsid w:val="00DD0EC1"/>
    <w:rsid w:val="00DD4DCD"/>
    <w:rsid w:val="00DD5629"/>
    <w:rsid w:val="00DD67A7"/>
    <w:rsid w:val="00DD67DE"/>
    <w:rsid w:val="00DD75BA"/>
    <w:rsid w:val="00DE26A8"/>
    <w:rsid w:val="00DE2E28"/>
    <w:rsid w:val="00DE336C"/>
    <w:rsid w:val="00DE437C"/>
    <w:rsid w:val="00DE6246"/>
    <w:rsid w:val="00DE6B3B"/>
    <w:rsid w:val="00DF02E1"/>
    <w:rsid w:val="00DF0CEB"/>
    <w:rsid w:val="00DF1FE7"/>
    <w:rsid w:val="00DF365D"/>
    <w:rsid w:val="00DF5D6D"/>
    <w:rsid w:val="00DF7FBA"/>
    <w:rsid w:val="00E00B42"/>
    <w:rsid w:val="00E00D98"/>
    <w:rsid w:val="00E01854"/>
    <w:rsid w:val="00E037F4"/>
    <w:rsid w:val="00E039B8"/>
    <w:rsid w:val="00E03D1C"/>
    <w:rsid w:val="00E0456E"/>
    <w:rsid w:val="00E06516"/>
    <w:rsid w:val="00E06732"/>
    <w:rsid w:val="00E0678C"/>
    <w:rsid w:val="00E120E9"/>
    <w:rsid w:val="00E12C3F"/>
    <w:rsid w:val="00E14F70"/>
    <w:rsid w:val="00E171D1"/>
    <w:rsid w:val="00E20C3E"/>
    <w:rsid w:val="00E23038"/>
    <w:rsid w:val="00E2418F"/>
    <w:rsid w:val="00E244F0"/>
    <w:rsid w:val="00E2510D"/>
    <w:rsid w:val="00E27ED8"/>
    <w:rsid w:val="00E357C4"/>
    <w:rsid w:val="00E458A6"/>
    <w:rsid w:val="00E47F7F"/>
    <w:rsid w:val="00E5128A"/>
    <w:rsid w:val="00E54573"/>
    <w:rsid w:val="00E553E5"/>
    <w:rsid w:val="00E6092C"/>
    <w:rsid w:val="00E60E1B"/>
    <w:rsid w:val="00E61D52"/>
    <w:rsid w:val="00E6404A"/>
    <w:rsid w:val="00E8251F"/>
    <w:rsid w:val="00E82A53"/>
    <w:rsid w:val="00E84832"/>
    <w:rsid w:val="00E87357"/>
    <w:rsid w:val="00E94714"/>
    <w:rsid w:val="00E9600A"/>
    <w:rsid w:val="00EA0F46"/>
    <w:rsid w:val="00EA3C72"/>
    <w:rsid w:val="00EA426C"/>
    <w:rsid w:val="00EA446B"/>
    <w:rsid w:val="00EA4B68"/>
    <w:rsid w:val="00EB0D0D"/>
    <w:rsid w:val="00EB20C8"/>
    <w:rsid w:val="00EB2BD0"/>
    <w:rsid w:val="00EB3003"/>
    <w:rsid w:val="00ED30E5"/>
    <w:rsid w:val="00ED5CF1"/>
    <w:rsid w:val="00ED5DC4"/>
    <w:rsid w:val="00ED7316"/>
    <w:rsid w:val="00EE25DC"/>
    <w:rsid w:val="00EE58A8"/>
    <w:rsid w:val="00EE6532"/>
    <w:rsid w:val="00EF08FE"/>
    <w:rsid w:val="00EF0D87"/>
    <w:rsid w:val="00EF1221"/>
    <w:rsid w:val="00EF1912"/>
    <w:rsid w:val="00EF4A2B"/>
    <w:rsid w:val="00EF4BCE"/>
    <w:rsid w:val="00EF5882"/>
    <w:rsid w:val="00EF78A7"/>
    <w:rsid w:val="00F03236"/>
    <w:rsid w:val="00F1119F"/>
    <w:rsid w:val="00F11B85"/>
    <w:rsid w:val="00F176C9"/>
    <w:rsid w:val="00F200CD"/>
    <w:rsid w:val="00F252AB"/>
    <w:rsid w:val="00F25FD3"/>
    <w:rsid w:val="00F26124"/>
    <w:rsid w:val="00F26396"/>
    <w:rsid w:val="00F35B06"/>
    <w:rsid w:val="00F37396"/>
    <w:rsid w:val="00F37521"/>
    <w:rsid w:val="00F41CD8"/>
    <w:rsid w:val="00F423F9"/>
    <w:rsid w:val="00F4606D"/>
    <w:rsid w:val="00F466FD"/>
    <w:rsid w:val="00F46BFE"/>
    <w:rsid w:val="00F52B65"/>
    <w:rsid w:val="00F5515F"/>
    <w:rsid w:val="00F560B2"/>
    <w:rsid w:val="00F56DAF"/>
    <w:rsid w:val="00F573DD"/>
    <w:rsid w:val="00F57548"/>
    <w:rsid w:val="00F61AF1"/>
    <w:rsid w:val="00F61E18"/>
    <w:rsid w:val="00F6357B"/>
    <w:rsid w:val="00F63616"/>
    <w:rsid w:val="00F64E60"/>
    <w:rsid w:val="00F66A2D"/>
    <w:rsid w:val="00F67CB8"/>
    <w:rsid w:val="00F70C55"/>
    <w:rsid w:val="00F73C27"/>
    <w:rsid w:val="00F766B2"/>
    <w:rsid w:val="00F802B0"/>
    <w:rsid w:val="00F8247A"/>
    <w:rsid w:val="00F84DF7"/>
    <w:rsid w:val="00F874F4"/>
    <w:rsid w:val="00F93F8C"/>
    <w:rsid w:val="00F94247"/>
    <w:rsid w:val="00F97025"/>
    <w:rsid w:val="00F97397"/>
    <w:rsid w:val="00FB03ED"/>
    <w:rsid w:val="00FB0D2C"/>
    <w:rsid w:val="00FB2319"/>
    <w:rsid w:val="00FB3D8B"/>
    <w:rsid w:val="00FB6CB3"/>
    <w:rsid w:val="00FC1E7C"/>
    <w:rsid w:val="00FC21EF"/>
    <w:rsid w:val="00FC5247"/>
    <w:rsid w:val="00FD2315"/>
    <w:rsid w:val="00FD424F"/>
    <w:rsid w:val="00FD566B"/>
    <w:rsid w:val="00FD6918"/>
    <w:rsid w:val="00FE1D62"/>
    <w:rsid w:val="00FE1F51"/>
    <w:rsid w:val="00FE69CC"/>
    <w:rsid w:val="00FE6E2D"/>
    <w:rsid w:val="00FE7BD1"/>
    <w:rsid w:val="00FF1780"/>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4:docId w14:val="0DB85C33"/>
  <w15:chartTrackingRefBased/>
  <w15:docId w15:val="{27E19087-BA80-4A7A-A1E1-5FE007D4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37"/>
    <w:rPr>
      <w:rFonts w:ascii="Times New Roman" w:hAnsi="Times New Roman" w:cs="Times New Roman"/>
      <w:sz w:val="24"/>
      <w:szCs w:val="24"/>
    </w:rPr>
  </w:style>
  <w:style w:type="paragraph" w:styleId="Heading1">
    <w:name w:val="heading 1"/>
    <w:basedOn w:val="ListParagraph"/>
    <w:next w:val="Normal"/>
    <w:link w:val="Heading1Char"/>
    <w:uiPriority w:val="9"/>
    <w:qFormat/>
    <w:rsid w:val="00A37834"/>
    <w:pPr>
      <w:numPr>
        <w:numId w:val="1"/>
      </w:numPr>
      <w:outlineLvl w:val="0"/>
    </w:pPr>
    <w:rPr>
      <w:b/>
      <w:bCs/>
    </w:rPr>
  </w:style>
  <w:style w:type="paragraph" w:styleId="Heading2">
    <w:name w:val="heading 2"/>
    <w:basedOn w:val="ListParagraph"/>
    <w:next w:val="Normal"/>
    <w:link w:val="Heading2Char"/>
    <w:uiPriority w:val="9"/>
    <w:unhideWhenUsed/>
    <w:qFormat/>
    <w:rsid w:val="002D3EE2"/>
    <w:pPr>
      <w:numPr>
        <w:ilvl w:val="1"/>
        <w:numId w:val="1"/>
      </w:numPr>
      <w:ind w:left="450"/>
      <w:outlineLvl w:val="1"/>
    </w:pPr>
    <w:rPr>
      <w:b/>
      <w:bCs/>
    </w:rPr>
  </w:style>
  <w:style w:type="paragraph" w:styleId="Heading3">
    <w:name w:val="heading 3"/>
    <w:basedOn w:val="Heading2"/>
    <w:next w:val="Normal"/>
    <w:link w:val="Heading3Char"/>
    <w:uiPriority w:val="9"/>
    <w:unhideWhenUsed/>
    <w:qFormat/>
    <w:rsid w:val="000625D6"/>
    <w:pPr>
      <w:numPr>
        <w:ilvl w:val="2"/>
      </w:numPr>
      <w:ind w:left="5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0337"/>
    <w:pPr>
      <w:ind w:left="720"/>
      <w:contextualSpacing/>
    </w:pPr>
  </w:style>
  <w:style w:type="character" w:customStyle="1" w:styleId="Heading1Char">
    <w:name w:val="Heading 1 Char"/>
    <w:basedOn w:val="DefaultParagraphFont"/>
    <w:link w:val="Heading1"/>
    <w:uiPriority w:val="9"/>
    <w:rsid w:val="00A37834"/>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2D3EE2"/>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0625D6"/>
    <w:rPr>
      <w:rFonts w:ascii="Times New Roman" w:hAnsi="Times New Roman" w:cs="Times New Roman"/>
      <w:b/>
      <w:bCs/>
      <w:sz w:val="24"/>
      <w:szCs w:val="24"/>
    </w:rPr>
  </w:style>
  <w:style w:type="paragraph" w:styleId="Title">
    <w:name w:val="Title"/>
    <w:basedOn w:val="Normal"/>
    <w:next w:val="Normal"/>
    <w:link w:val="TitleChar"/>
    <w:uiPriority w:val="10"/>
    <w:qFormat/>
    <w:rsid w:val="004B0337"/>
    <w:pPr>
      <w:autoSpaceDE w:val="0"/>
      <w:autoSpaceDN w:val="0"/>
      <w:adjustRightInd w:val="0"/>
      <w:spacing w:after="0" w:line="288" w:lineRule="auto"/>
      <w:jc w:val="center"/>
    </w:pPr>
    <w:rPr>
      <w:rFonts w:eastAsia="Times New Roman"/>
      <w:b/>
      <w:sz w:val="28"/>
      <w:szCs w:val="26"/>
    </w:rPr>
  </w:style>
  <w:style w:type="character" w:customStyle="1" w:styleId="TitleChar">
    <w:name w:val="Title Char"/>
    <w:basedOn w:val="DefaultParagraphFont"/>
    <w:link w:val="Title"/>
    <w:uiPriority w:val="10"/>
    <w:rsid w:val="004B0337"/>
    <w:rPr>
      <w:rFonts w:ascii="Times New Roman" w:eastAsia="Times New Roman" w:hAnsi="Times New Roman" w:cs="Times New Roman"/>
      <w:b/>
      <w:sz w:val="28"/>
      <w:szCs w:val="26"/>
    </w:rPr>
  </w:style>
  <w:style w:type="paragraph" w:styleId="Header">
    <w:name w:val="header"/>
    <w:basedOn w:val="Normal"/>
    <w:link w:val="HeaderChar"/>
    <w:uiPriority w:val="99"/>
    <w:unhideWhenUsed/>
    <w:rsid w:val="00D20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97"/>
    <w:rPr>
      <w:rFonts w:ascii="Times New Roman" w:hAnsi="Times New Roman" w:cs="Times New Roman"/>
      <w:sz w:val="24"/>
      <w:szCs w:val="24"/>
    </w:rPr>
  </w:style>
  <w:style w:type="paragraph" w:styleId="Footer">
    <w:name w:val="footer"/>
    <w:basedOn w:val="Normal"/>
    <w:link w:val="FooterChar"/>
    <w:uiPriority w:val="99"/>
    <w:unhideWhenUsed/>
    <w:rsid w:val="00D20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97"/>
    <w:rPr>
      <w:rFonts w:ascii="Times New Roman" w:hAnsi="Times New Roman" w:cs="Times New Roman"/>
      <w:sz w:val="24"/>
      <w:szCs w:val="24"/>
    </w:rPr>
  </w:style>
  <w:style w:type="character" w:styleId="Hyperlink">
    <w:name w:val="Hyperlink"/>
    <w:basedOn w:val="DefaultParagraphFont"/>
    <w:uiPriority w:val="99"/>
    <w:unhideWhenUsed/>
    <w:rsid w:val="00363A13"/>
    <w:rPr>
      <w:color w:val="0563C1" w:themeColor="hyperlink"/>
      <w:u w:val="single"/>
    </w:rPr>
  </w:style>
  <w:style w:type="character" w:styleId="UnresolvedMention">
    <w:name w:val="Unresolved Mention"/>
    <w:basedOn w:val="DefaultParagraphFont"/>
    <w:uiPriority w:val="99"/>
    <w:semiHidden/>
    <w:unhideWhenUsed/>
    <w:rsid w:val="00363A13"/>
    <w:rPr>
      <w:color w:val="605E5C"/>
      <w:shd w:val="clear" w:color="auto" w:fill="E1DFDD"/>
    </w:rPr>
  </w:style>
  <w:style w:type="character" w:styleId="CommentReference">
    <w:name w:val="annotation reference"/>
    <w:basedOn w:val="DefaultParagraphFont"/>
    <w:uiPriority w:val="99"/>
    <w:semiHidden/>
    <w:unhideWhenUsed/>
    <w:rsid w:val="00222A56"/>
    <w:rPr>
      <w:sz w:val="16"/>
      <w:szCs w:val="16"/>
    </w:rPr>
  </w:style>
  <w:style w:type="paragraph" w:styleId="CommentText">
    <w:name w:val="annotation text"/>
    <w:basedOn w:val="Normal"/>
    <w:link w:val="CommentTextChar"/>
    <w:uiPriority w:val="99"/>
    <w:unhideWhenUsed/>
    <w:rsid w:val="00222A56"/>
    <w:pPr>
      <w:spacing w:line="240" w:lineRule="auto"/>
    </w:pPr>
    <w:rPr>
      <w:sz w:val="20"/>
      <w:szCs w:val="20"/>
    </w:rPr>
  </w:style>
  <w:style w:type="character" w:customStyle="1" w:styleId="CommentTextChar">
    <w:name w:val="Comment Text Char"/>
    <w:basedOn w:val="DefaultParagraphFont"/>
    <w:link w:val="CommentText"/>
    <w:uiPriority w:val="99"/>
    <w:rsid w:val="00222A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A56"/>
    <w:rPr>
      <w:b/>
      <w:bCs/>
    </w:rPr>
  </w:style>
  <w:style w:type="character" w:customStyle="1" w:styleId="CommentSubjectChar">
    <w:name w:val="Comment Subject Char"/>
    <w:basedOn w:val="CommentTextChar"/>
    <w:link w:val="CommentSubject"/>
    <w:uiPriority w:val="99"/>
    <w:semiHidden/>
    <w:rsid w:val="00222A56"/>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C34E86"/>
    <w:rPr>
      <w:color w:val="954F72" w:themeColor="followedHyperlink"/>
      <w:u w:val="single"/>
    </w:rPr>
  </w:style>
  <w:style w:type="character" w:customStyle="1" w:styleId="tooltip">
    <w:name w:val="tooltip"/>
    <w:basedOn w:val="DefaultParagraphFont"/>
    <w:rsid w:val="00C82AC0"/>
  </w:style>
  <w:style w:type="paragraph" w:customStyle="1" w:styleId="get-citation-citation">
    <w:name w:val="get-citation-citation"/>
    <w:basedOn w:val="Normal"/>
    <w:rsid w:val="00ED30E5"/>
    <w:pPr>
      <w:spacing w:before="100" w:beforeAutospacing="1" w:after="100" w:afterAutospacing="1" w:line="240" w:lineRule="auto"/>
    </w:pPr>
    <w:rPr>
      <w:rFonts w:eastAsia="Times New Roman"/>
    </w:rPr>
  </w:style>
  <w:style w:type="character" w:customStyle="1" w:styleId="al-author-delim">
    <w:name w:val="al-author-delim"/>
    <w:basedOn w:val="DefaultParagraphFont"/>
    <w:rsid w:val="00ED30E5"/>
  </w:style>
  <w:style w:type="character" w:styleId="Emphasis">
    <w:name w:val="Emphasis"/>
    <w:basedOn w:val="DefaultParagraphFont"/>
    <w:uiPriority w:val="20"/>
    <w:qFormat/>
    <w:rsid w:val="00ED30E5"/>
    <w:rPr>
      <w:i/>
      <w:iCs/>
    </w:rPr>
  </w:style>
  <w:style w:type="character" w:customStyle="1" w:styleId="author">
    <w:name w:val="author"/>
    <w:basedOn w:val="DefaultParagraphFont"/>
    <w:rsid w:val="008358BE"/>
  </w:style>
  <w:style w:type="character" w:customStyle="1" w:styleId="journal-title">
    <w:name w:val="journal-title"/>
    <w:basedOn w:val="DefaultParagraphFont"/>
    <w:rsid w:val="008358BE"/>
  </w:style>
  <w:style w:type="character" w:customStyle="1" w:styleId="cover-date">
    <w:name w:val="cover-date"/>
    <w:basedOn w:val="DefaultParagraphFont"/>
    <w:rsid w:val="008358BE"/>
  </w:style>
  <w:style w:type="character" w:customStyle="1" w:styleId="page-range">
    <w:name w:val="page-range"/>
    <w:basedOn w:val="DefaultParagraphFont"/>
    <w:rsid w:val="008358BE"/>
  </w:style>
  <w:style w:type="character" w:customStyle="1" w:styleId="aop">
    <w:name w:val="aop"/>
    <w:basedOn w:val="DefaultParagraphFont"/>
    <w:rsid w:val="008358BE"/>
  </w:style>
  <w:style w:type="character" w:customStyle="1" w:styleId="articletitle">
    <w:name w:val="articletitle"/>
    <w:basedOn w:val="DefaultParagraphFont"/>
    <w:rsid w:val="001305D7"/>
  </w:style>
  <w:style w:type="character" w:customStyle="1" w:styleId="pubyear">
    <w:name w:val="pubyear"/>
    <w:basedOn w:val="DefaultParagraphFont"/>
    <w:rsid w:val="001305D7"/>
  </w:style>
  <w:style w:type="character" w:customStyle="1" w:styleId="vol">
    <w:name w:val="vol"/>
    <w:basedOn w:val="DefaultParagraphFont"/>
    <w:rsid w:val="001305D7"/>
  </w:style>
  <w:style w:type="character" w:customStyle="1" w:styleId="pagefirst">
    <w:name w:val="pagefirst"/>
    <w:basedOn w:val="DefaultParagraphFont"/>
    <w:rsid w:val="001305D7"/>
  </w:style>
  <w:style w:type="character" w:customStyle="1" w:styleId="pagelast">
    <w:name w:val="pagelast"/>
    <w:basedOn w:val="DefaultParagraphFont"/>
    <w:rsid w:val="001305D7"/>
  </w:style>
  <w:style w:type="paragraph" w:customStyle="1" w:styleId="list-inline-item">
    <w:name w:val="list-inline-item"/>
    <w:basedOn w:val="Normal"/>
    <w:rsid w:val="001305D7"/>
    <w:pPr>
      <w:spacing w:before="100" w:beforeAutospacing="1" w:after="100" w:afterAutospacing="1" w:line="240" w:lineRule="auto"/>
    </w:pPr>
    <w:rPr>
      <w:rFonts w:eastAsia="Times New Roman"/>
    </w:rPr>
  </w:style>
  <w:style w:type="character" w:customStyle="1" w:styleId="hlfld-contribauthor">
    <w:name w:val="hlfld-contribauthor"/>
    <w:basedOn w:val="DefaultParagraphFont"/>
    <w:rsid w:val="001305D7"/>
  </w:style>
  <w:style w:type="character" w:customStyle="1" w:styleId="citedissue">
    <w:name w:val="citedissue"/>
    <w:basedOn w:val="DefaultParagraphFont"/>
    <w:rsid w:val="006A0C99"/>
  </w:style>
  <w:style w:type="character" w:customStyle="1" w:styleId="html-italic">
    <w:name w:val="html-italic"/>
    <w:basedOn w:val="DefaultParagraphFont"/>
    <w:rsid w:val="000363C3"/>
  </w:style>
  <w:style w:type="character" w:customStyle="1" w:styleId="anchor-text">
    <w:name w:val="anchor-text"/>
    <w:basedOn w:val="DefaultParagraphFont"/>
    <w:rsid w:val="00C55730"/>
  </w:style>
  <w:style w:type="table" w:styleId="TableGrid">
    <w:name w:val="Table Grid"/>
    <w:basedOn w:val="TableNormal"/>
    <w:uiPriority w:val="39"/>
    <w:rsid w:val="00F4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F46BFE"/>
  </w:style>
  <w:style w:type="character" w:customStyle="1" w:styleId="element-citation">
    <w:name w:val="element-citation"/>
    <w:basedOn w:val="DefaultParagraphFont"/>
    <w:rsid w:val="006F35DE"/>
  </w:style>
  <w:style w:type="character" w:customStyle="1" w:styleId="ref-journal">
    <w:name w:val="ref-journal"/>
    <w:basedOn w:val="DefaultParagraphFont"/>
    <w:rsid w:val="006F35DE"/>
  </w:style>
  <w:style w:type="character" w:customStyle="1" w:styleId="ref-vol">
    <w:name w:val="ref-vol"/>
    <w:basedOn w:val="DefaultParagraphFont"/>
    <w:rsid w:val="006F35DE"/>
  </w:style>
  <w:style w:type="character" w:customStyle="1" w:styleId="nowrap">
    <w:name w:val="nowrap"/>
    <w:basedOn w:val="DefaultParagraphFont"/>
    <w:rsid w:val="006F35DE"/>
  </w:style>
  <w:style w:type="paragraph" w:styleId="Revision">
    <w:name w:val="Revision"/>
    <w:hidden/>
    <w:uiPriority w:val="99"/>
    <w:semiHidden/>
    <w:rsid w:val="00E2510D"/>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81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3B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813B1"/>
    <w:rPr>
      <w:vertAlign w:val="superscript"/>
    </w:rPr>
  </w:style>
  <w:style w:type="paragraph" w:customStyle="1" w:styleId="whitespace-pre-wrap">
    <w:name w:val="whitespace-pre-wrap"/>
    <w:basedOn w:val="Normal"/>
    <w:rsid w:val="005F7FB7"/>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0E2039"/>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0E2039"/>
    <w:rPr>
      <w:b/>
      <w:bCs/>
    </w:rPr>
  </w:style>
  <w:style w:type="paragraph" w:styleId="Caption">
    <w:name w:val="caption"/>
    <w:basedOn w:val="Normal"/>
    <w:next w:val="Normal"/>
    <w:uiPriority w:val="35"/>
    <w:unhideWhenUsed/>
    <w:qFormat/>
    <w:rsid w:val="002A353D"/>
    <w:pPr>
      <w:spacing w:after="200" w:line="240" w:lineRule="auto"/>
      <w:jc w:val="center"/>
    </w:pPr>
    <w:rPr>
      <w:b/>
      <w:bCs/>
      <w:color w:val="000000" w:themeColor="text1"/>
    </w:rPr>
  </w:style>
  <w:style w:type="paragraph" w:styleId="z-TopofForm">
    <w:name w:val="HTML Top of Form"/>
    <w:basedOn w:val="Normal"/>
    <w:next w:val="Normal"/>
    <w:link w:val="z-TopofFormChar"/>
    <w:hidden/>
    <w:uiPriority w:val="99"/>
    <w:semiHidden/>
    <w:unhideWhenUsed/>
    <w:rsid w:val="007B24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B245D"/>
    <w:rPr>
      <w:rFonts w:ascii="Arial" w:eastAsia="Times New Roman" w:hAnsi="Arial" w:cs="Arial"/>
      <w:vanish/>
      <w:sz w:val="16"/>
      <w:szCs w:val="16"/>
    </w:rPr>
  </w:style>
  <w:style w:type="character" w:styleId="EndnoteReference">
    <w:name w:val="endnote reference"/>
    <w:basedOn w:val="DefaultParagraphFont"/>
    <w:uiPriority w:val="99"/>
    <w:semiHidden/>
    <w:unhideWhenUsed/>
    <w:rsid w:val="001E224F"/>
    <w:rPr>
      <w:vertAlign w:val="superscript"/>
    </w:rPr>
  </w:style>
  <w:style w:type="numbering" w:customStyle="1" w:styleId="NoList1">
    <w:name w:val="No List1"/>
    <w:next w:val="NoList"/>
    <w:uiPriority w:val="99"/>
    <w:semiHidden/>
    <w:unhideWhenUsed/>
    <w:rsid w:val="008858C9"/>
  </w:style>
  <w:style w:type="table" w:customStyle="1" w:styleId="TableGrid1">
    <w:name w:val="Table Grid1"/>
    <w:basedOn w:val="TableNormal"/>
    <w:next w:val="TableGrid"/>
    <w:uiPriority w:val="39"/>
    <w:rsid w:val="00885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normal">
    <w:name w:val="whitespace-normal"/>
    <w:basedOn w:val="Normal"/>
    <w:rsid w:val="00B062C5"/>
    <w:pPr>
      <w:spacing w:before="100" w:beforeAutospacing="1" w:after="100" w:afterAutospacing="1" w:line="240" w:lineRule="auto"/>
    </w:pPr>
    <w:rPr>
      <w:rFonts w:eastAsia="Times New Roman"/>
    </w:rPr>
  </w:style>
  <w:style w:type="character" w:customStyle="1" w:styleId="footnotefootnote-holder7oyio">
    <w:name w:val="footnote_footnote-holder__7oyio"/>
    <w:basedOn w:val="DefaultParagraphFont"/>
    <w:rsid w:val="002B2A06"/>
  </w:style>
  <w:style w:type="character" w:styleId="PlaceholderText">
    <w:name w:val="Placeholder Text"/>
    <w:basedOn w:val="DefaultParagraphFont"/>
    <w:uiPriority w:val="99"/>
    <w:semiHidden/>
    <w:rsid w:val="009D7F75"/>
    <w:rPr>
      <w:color w:val="808080"/>
    </w:rPr>
  </w:style>
  <w:style w:type="paragraph" w:customStyle="1" w:styleId="Quote1">
    <w:name w:val="Quote1"/>
    <w:basedOn w:val="Normal"/>
    <w:link w:val="quoteChar"/>
    <w:qFormat/>
    <w:rsid w:val="0018509E"/>
    <w:pPr>
      <w:autoSpaceDE w:val="0"/>
      <w:autoSpaceDN w:val="0"/>
      <w:adjustRightInd w:val="0"/>
      <w:spacing w:after="0" w:line="276" w:lineRule="auto"/>
      <w:ind w:left="720"/>
      <w:jc w:val="both"/>
    </w:pPr>
    <w:rPr>
      <w:rFonts w:cstheme="minorBidi"/>
      <w:i/>
      <w:iCs/>
      <w:color w:val="000000" w:themeColor="text1"/>
      <w:szCs w:val="22"/>
    </w:rPr>
  </w:style>
  <w:style w:type="character" w:customStyle="1" w:styleId="quoteChar">
    <w:name w:val="quote Char"/>
    <w:basedOn w:val="DefaultParagraphFont"/>
    <w:link w:val="Quote1"/>
    <w:rsid w:val="0018509E"/>
    <w:rPr>
      <w:rFonts w:ascii="Times New Roman" w:hAnsi="Times New Roman"/>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136">
      <w:bodyDiv w:val="1"/>
      <w:marLeft w:val="0"/>
      <w:marRight w:val="0"/>
      <w:marTop w:val="0"/>
      <w:marBottom w:val="0"/>
      <w:divBdr>
        <w:top w:val="none" w:sz="0" w:space="0" w:color="auto"/>
        <w:left w:val="none" w:sz="0" w:space="0" w:color="auto"/>
        <w:bottom w:val="none" w:sz="0" w:space="0" w:color="auto"/>
        <w:right w:val="none" w:sz="0" w:space="0" w:color="auto"/>
      </w:divBdr>
      <w:divsChild>
        <w:div w:id="1810398827">
          <w:marLeft w:val="0"/>
          <w:marRight w:val="0"/>
          <w:marTop w:val="0"/>
          <w:marBottom w:val="0"/>
          <w:divBdr>
            <w:top w:val="none" w:sz="0" w:space="0" w:color="auto"/>
            <w:left w:val="none" w:sz="0" w:space="0" w:color="auto"/>
            <w:bottom w:val="none" w:sz="0" w:space="0" w:color="auto"/>
            <w:right w:val="none" w:sz="0" w:space="0" w:color="auto"/>
          </w:divBdr>
          <w:divsChild>
            <w:div w:id="1764104563">
              <w:marLeft w:val="0"/>
              <w:marRight w:val="0"/>
              <w:marTop w:val="400"/>
              <w:marBottom w:val="400"/>
              <w:divBdr>
                <w:top w:val="none" w:sz="0" w:space="0" w:color="auto"/>
                <w:left w:val="none" w:sz="0" w:space="0" w:color="auto"/>
                <w:bottom w:val="none" w:sz="0" w:space="0" w:color="auto"/>
                <w:right w:val="none" w:sz="0" w:space="0" w:color="auto"/>
              </w:divBdr>
              <w:divsChild>
                <w:div w:id="196088823">
                  <w:marLeft w:val="0"/>
                  <w:marRight w:val="0"/>
                  <w:marTop w:val="400"/>
                  <w:marBottom w:val="400"/>
                  <w:divBdr>
                    <w:top w:val="none" w:sz="0" w:space="0" w:color="auto"/>
                    <w:left w:val="none" w:sz="0" w:space="0" w:color="auto"/>
                    <w:bottom w:val="none" w:sz="0" w:space="0" w:color="auto"/>
                    <w:right w:val="none" w:sz="0" w:space="0" w:color="auto"/>
                  </w:divBdr>
                  <w:divsChild>
                    <w:div w:id="455416932">
                      <w:marLeft w:val="0"/>
                      <w:marRight w:val="0"/>
                      <w:marTop w:val="200"/>
                      <w:marBottom w:val="200"/>
                      <w:divBdr>
                        <w:top w:val="none" w:sz="0" w:space="0" w:color="auto"/>
                        <w:left w:val="none" w:sz="0" w:space="0" w:color="auto"/>
                        <w:bottom w:val="none" w:sz="0" w:space="0" w:color="auto"/>
                        <w:right w:val="none" w:sz="0" w:space="0" w:color="auto"/>
                      </w:divBdr>
                    </w:div>
                    <w:div w:id="111879434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30350629">
      <w:bodyDiv w:val="1"/>
      <w:marLeft w:val="0"/>
      <w:marRight w:val="0"/>
      <w:marTop w:val="0"/>
      <w:marBottom w:val="0"/>
      <w:divBdr>
        <w:top w:val="none" w:sz="0" w:space="0" w:color="auto"/>
        <w:left w:val="none" w:sz="0" w:space="0" w:color="auto"/>
        <w:bottom w:val="none" w:sz="0" w:space="0" w:color="auto"/>
        <w:right w:val="none" w:sz="0" w:space="0" w:color="auto"/>
      </w:divBdr>
      <w:divsChild>
        <w:div w:id="1766917172">
          <w:marLeft w:val="0"/>
          <w:marRight w:val="0"/>
          <w:marTop w:val="0"/>
          <w:marBottom w:val="0"/>
          <w:divBdr>
            <w:top w:val="none" w:sz="0" w:space="0" w:color="auto"/>
            <w:left w:val="none" w:sz="0" w:space="0" w:color="auto"/>
            <w:bottom w:val="none" w:sz="0" w:space="0" w:color="auto"/>
            <w:right w:val="none" w:sz="0" w:space="0" w:color="auto"/>
          </w:divBdr>
          <w:divsChild>
            <w:div w:id="745495551">
              <w:marLeft w:val="0"/>
              <w:marRight w:val="0"/>
              <w:marTop w:val="0"/>
              <w:marBottom w:val="0"/>
              <w:divBdr>
                <w:top w:val="none" w:sz="0" w:space="0" w:color="auto"/>
                <w:left w:val="none" w:sz="0" w:space="0" w:color="auto"/>
                <w:bottom w:val="none" w:sz="0" w:space="0" w:color="auto"/>
                <w:right w:val="none" w:sz="0" w:space="0" w:color="auto"/>
              </w:divBdr>
              <w:divsChild>
                <w:div w:id="1633560770">
                  <w:marLeft w:val="0"/>
                  <w:marRight w:val="0"/>
                  <w:marTop w:val="0"/>
                  <w:marBottom w:val="0"/>
                  <w:divBdr>
                    <w:top w:val="none" w:sz="0" w:space="0" w:color="auto"/>
                    <w:left w:val="none" w:sz="0" w:space="0" w:color="auto"/>
                    <w:bottom w:val="none" w:sz="0" w:space="0" w:color="auto"/>
                    <w:right w:val="none" w:sz="0" w:space="0" w:color="auto"/>
                  </w:divBdr>
                </w:div>
                <w:div w:id="1756583710">
                  <w:marLeft w:val="0"/>
                  <w:marRight w:val="0"/>
                  <w:marTop w:val="0"/>
                  <w:marBottom w:val="0"/>
                  <w:divBdr>
                    <w:top w:val="none" w:sz="0" w:space="0" w:color="auto"/>
                    <w:left w:val="none" w:sz="0" w:space="0" w:color="auto"/>
                    <w:bottom w:val="none" w:sz="0" w:space="0" w:color="auto"/>
                    <w:right w:val="none" w:sz="0" w:space="0" w:color="auto"/>
                  </w:divBdr>
                  <w:divsChild>
                    <w:div w:id="546573589">
                      <w:marLeft w:val="0"/>
                      <w:marRight w:val="0"/>
                      <w:marTop w:val="0"/>
                      <w:marBottom w:val="0"/>
                      <w:divBdr>
                        <w:top w:val="none" w:sz="0" w:space="0" w:color="auto"/>
                        <w:left w:val="none" w:sz="0" w:space="0" w:color="auto"/>
                        <w:bottom w:val="none" w:sz="0" w:space="0" w:color="auto"/>
                        <w:right w:val="none" w:sz="0" w:space="0" w:color="auto"/>
                      </w:divBdr>
                      <w:divsChild>
                        <w:div w:id="1825465559">
                          <w:marLeft w:val="0"/>
                          <w:marRight w:val="0"/>
                          <w:marTop w:val="0"/>
                          <w:marBottom w:val="0"/>
                          <w:divBdr>
                            <w:top w:val="none" w:sz="0" w:space="0" w:color="auto"/>
                            <w:left w:val="none" w:sz="0" w:space="0" w:color="auto"/>
                            <w:bottom w:val="none" w:sz="0" w:space="0" w:color="auto"/>
                            <w:right w:val="none" w:sz="0" w:space="0" w:color="auto"/>
                          </w:divBdr>
                          <w:divsChild>
                            <w:div w:id="5699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447768">
          <w:marLeft w:val="0"/>
          <w:marRight w:val="0"/>
          <w:marTop w:val="0"/>
          <w:marBottom w:val="0"/>
          <w:divBdr>
            <w:top w:val="none" w:sz="0" w:space="0" w:color="auto"/>
            <w:left w:val="none" w:sz="0" w:space="0" w:color="auto"/>
            <w:bottom w:val="none" w:sz="0" w:space="0" w:color="auto"/>
            <w:right w:val="none" w:sz="0" w:space="0" w:color="auto"/>
          </w:divBdr>
          <w:divsChild>
            <w:div w:id="1168135118">
              <w:marLeft w:val="0"/>
              <w:marRight w:val="0"/>
              <w:marTop w:val="0"/>
              <w:marBottom w:val="0"/>
              <w:divBdr>
                <w:top w:val="none" w:sz="0" w:space="0" w:color="auto"/>
                <w:left w:val="none" w:sz="0" w:space="0" w:color="auto"/>
                <w:bottom w:val="none" w:sz="0" w:space="0" w:color="auto"/>
                <w:right w:val="none" w:sz="0" w:space="0" w:color="auto"/>
              </w:divBdr>
              <w:divsChild>
                <w:div w:id="1294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1079">
      <w:bodyDiv w:val="1"/>
      <w:marLeft w:val="0"/>
      <w:marRight w:val="0"/>
      <w:marTop w:val="0"/>
      <w:marBottom w:val="0"/>
      <w:divBdr>
        <w:top w:val="none" w:sz="0" w:space="0" w:color="auto"/>
        <w:left w:val="none" w:sz="0" w:space="0" w:color="auto"/>
        <w:bottom w:val="none" w:sz="0" w:space="0" w:color="auto"/>
        <w:right w:val="none" w:sz="0" w:space="0" w:color="auto"/>
      </w:divBdr>
      <w:divsChild>
        <w:div w:id="81488106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2282049">
      <w:bodyDiv w:val="1"/>
      <w:marLeft w:val="0"/>
      <w:marRight w:val="0"/>
      <w:marTop w:val="0"/>
      <w:marBottom w:val="0"/>
      <w:divBdr>
        <w:top w:val="none" w:sz="0" w:space="0" w:color="auto"/>
        <w:left w:val="none" w:sz="0" w:space="0" w:color="auto"/>
        <w:bottom w:val="none" w:sz="0" w:space="0" w:color="auto"/>
        <w:right w:val="none" w:sz="0" w:space="0" w:color="auto"/>
      </w:divBdr>
    </w:div>
    <w:div w:id="139738334">
      <w:bodyDiv w:val="1"/>
      <w:marLeft w:val="0"/>
      <w:marRight w:val="0"/>
      <w:marTop w:val="0"/>
      <w:marBottom w:val="0"/>
      <w:divBdr>
        <w:top w:val="none" w:sz="0" w:space="0" w:color="auto"/>
        <w:left w:val="none" w:sz="0" w:space="0" w:color="auto"/>
        <w:bottom w:val="none" w:sz="0" w:space="0" w:color="auto"/>
        <w:right w:val="none" w:sz="0" w:space="0" w:color="auto"/>
      </w:divBdr>
      <w:divsChild>
        <w:div w:id="79914810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3081676">
      <w:bodyDiv w:val="1"/>
      <w:marLeft w:val="0"/>
      <w:marRight w:val="0"/>
      <w:marTop w:val="0"/>
      <w:marBottom w:val="0"/>
      <w:divBdr>
        <w:top w:val="none" w:sz="0" w:space="0" w:color="auto"/>
        <w:left w:val="none" w:sz="0" w:space="0" w:color="auto"/>
        <w:bottom w:val="none" w:sz="0" w:space="0" w:color="auto"/>
        <w:right w:val="none" w:sz="0" w:space="0" w:color="auto"/>
      </w:divBdr>
      <w:divsChild>
        <w:div w:id="21050458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7742838">
      <w:bodyDiv w:val="1"/>
      <w:marLeft w:val="0"/>
      <w:marRight w:val="0"/>
      <w:marTop w:val="0"/>
      <w:marBottom w:val="0"/>
      <w:divBdr>
        <w:top w:val="none" w:sz="0" w:space="0" w:color="auto"/>
        <w:left w:val="none" w:sz="0" w:space="0" w:color="auto"/>
        <w:bottom w:val="none" w:sz="0" w:space="0" w:color="auto"/>
        <w:right w:val="none" w:sz="0" w:space="0" w:color="auto"/>
      </w:divBdr>
      <w:divsChild>
        <w:div w:id="1507550726">
          <w:marLeft w:val="0"/>
          <w:marRight w:val="0"/>
          <w:marTop w:val="0"/>
          <w:marBottom w:val="0"/>
          <w:divBdr>
            <w:top w:val="single" w:sz="2" w:space="0" w:color="auto"/>
            <w:left w:val="single" w:sz="2" w:space="0" w:color="auto"/>
            <w:bottom w:val="single" w:sz="2" w:space="0" w:color="auto"/>
            <w:right w:val="single" w:sz="2" w:space="0" w:color="auto"/>
          </w:divBdr>
          <w:divsChild>
            <w:div w:id="6064728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9389724">
      <w:bodyDiv w:val="1"/>
      <w:marLeft w:val="0"/>
      <w:marRight w:val="0"/>
      <w:marTop w:val="0"/>
      <w:marBottom w:val="0"/>
      <w:divBdr>
        <w:top w:val="none" w:sz="0" w:space="0" w:color="auto"/>
        <w:left w:val="none" w:sz="0" w:space="0" w:color="auto"/>
        <w:bottom w:val="none" w:sz="0" w:space="0" w:color="auto"/>
        <w:right w:val="none" w:sz="0" w:space="0" w:color="auto"/>
      </w:divBdr>
      <w:divsChild>
        <w:div w:id="212384236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75257656">
      <w:bodyDiv w:val="1"/>
      <w:marLeft w:val="0"/>
      <w:marRight w:val="0"/>
      <w:marTop w:val="0"/>
      <w:marBottom w:val="0"/>
      <w:divBdr>
        <w:top w:val="none" w:sz="0" w:space="0" w:color="auto"/>
        <w:left w:val="none" w:sz="0" w:space="0" w:color="auto"/>
        <w:bottom w:val="none" w:sz="0" w:space="0" w:color="auto"/>
        <w:right w:val="none" w:sz="0" w:space="0" w:color="auto"/>
      </w:divBdr>
    </w:div>
    <w:div w:id="276566859">
      <w:bodyDiv w:val="1"/>
      <w:marLeft w:val="0"/>
      <w:marRight w:val="0"/>
      <w:marTop w:val="0"/>
      <w:marBottom w:val="0"/>
      <w:divBdr>
        <w:top w:val="none" w:sz="0" w:space="0" w:color="auto"/>
        <w:left w:val="none" w:sz="0" w:space="0" w:color="auto"/>
        <w:bottom w:val="none" w:sz="0" w:space="0" w:color="auto"/>
        <w:right w:val="none" w:sz="0" w:space="0" w:color="auto"/>
      </w:divBdr>
    </w:div>
    <w:div w:id="307443771">
      <w:bodyDiv w:val="1"/>
      <w:marLeft w:val="0"/>
      <w:marRight w:val="0"/>
      <w:marTop w:val="0"/>
      <w:marBottom w:val="0"/>
      <w:divBdr>
        <w:top w:val="none" w:sz="0" w:space="0" w:color="auto"/>
        <w:left w:val="none" w:sz="0" w:space="0" w:color="auto"/>
        <w:bottom w:val="none" w:sz="0" w:space="0" w:color="auto"/>
        <w:right w:val="none" w:sz="0" w:space="0" w:color="auto"/>
      </w:divBdr>
    </w:div>
    <w:div w:id="351877490">
      <w:bodyDiv w:val="1"/>
      <w:marLeft w:val="0"/>
      <w:marRight w:val="0"/>
      <w:marTop w:val="0"/>
      <w:marBottom w:val="0"/>
      <w:divBdr>
        <w:top w:val="none" w:sz="0" w:space="0" w:color="auto"/>
        <w:left w:val="none" w:sz="0" w:space="0" w:color="auto"/>
        <w:bottom w:val="none" w:sz="0" w:space="0" w:color="auto"/>
        <w:right w:val="none" w:sz="0" w:space="0" w:color="auto"/>
      </w:divBdr>
    </w:div>
    <w:div w:id="401828091">
      <w:bodyDiv w:val="1"/>
      <w:marLeft w:val="0"/>
      <w:marRight w:val="0"/>
      <w:marTop w:val="0"/>
      <w:marBottom w:val="0"/>
      <w:divBdr>
        <w:top w:val="none" w:sz="0" w:space="0" w:color="auto"/>
        <w:left w:val="none" w:sz="0" w:space="0" w:color="auto"/>
        <w:bottom w:val="none" w:sz="0" w:space="0" w:color="auto"/>
        <w:right w:val="none" w:sz="0" w:space="0" w:color="auto"/>
      </w:divBdr>
    </w:div>
    <w:div w:id="429543019">
      <w:bodyDiv w:val="1"/>
      <w:marLeft w:val="0"/>
      <w:marRight w:val="0"/>
      <w:marTop w:val="0"/>
      <w:marBottom w:val="0"/>
      <w:divBdr>
        <w:top w:val="none" w:sz="0" w:space="0" w:color="auto"/>
        <w:left w:val="none" w:sz="0" w:space="0" w:color="auto"/>
        <w:bottom w:val="none" w:sz="0" w:space="0" w:color="auto"/>
        <w:right w:val="none" w:sz="0" w:space="0" w:color="auto"/>
      </w:divBdr>
    </w:div>
    <w:div w:id="436102775">
      <w:bodyDiv w:val="1"/>
      <w:marLeft w:val="0"/>
      <w:marRight w:val="0"/>
      <w:marTop w:val="0"/>
      <w:marBottom w:val="0"/>
      <w:divBdr>
        <w:top w:val="none" w:sz="0" w:space="0" w:color="auto"/>
        <w:left w:val="none" w:sz="0" w:space="0" w:color="auto"/>
        <w:bottom w:val="none" w:sz="0" w:space="0" w:color="auto"/>
        <w:right w:val="none" w:sz="0" w:space="0" w:color="auto"/>
      </w:divBdr>
      <w:divsChild>
        <w:div w:id="618874053">
          <w:marLeft w:val="0"/>
          <w:marRight w:val="0"/>
          <w:marTop w:val="0"/>
          <w:marBottom w:val="0"/>
          <w:divBdr>
            <w:top w:val="none" w:sz="0" w:space="0" w:color="auto"/>
            <w:left w:val="none" w:sz="0" w:space="0" w:color="auto"/>
            <w:bottom w:val="none" w:sz="0" w:space="0" w:color="auto"/>
            <w:right w:val="none" w:sz="0" w:space="0" w:color="auto"/>
          </w:divBdr>
          <w:divsChild>
            <w:div w:id="587468882">
              <w:marLeft w:val="0"/>
              <w:marRight w:val="0"/>
              <w:marTop w:val="0"/>
              <w:marBottom w:val="0"/>
              <w:divBdr>
                <w:top w:val="none" w:sz="0" w:space="0" w:color="auto"/>
                <w:left w:val="none" w:sz="0" w:space="0" w:color="auto"/>
                <w:bottom w:val="none" w:sz="0" w:space="0" w:color="auto"/>
                <w:right w:val="none" w:sz="0" w:space="0" w:color="auto"/>
              </w:divBdr>
              <w:divsChild>
                <w:div w:id="1216694204">
                  <w:marLeft w:val="0"/>
                  <w:marRight w:val="0"/>
                  <w:marTop w:val="0"/>
                  <w:marBottom w:val="0"/>
                  <w:divBdr>
                    <w:top w:val="none" w:sz="0" w:space="0" w:color="auto"/>
                    <w:left w:val="none" w:sz="0" w:space="0" w:color="auto"/>
                    <w:bottom w:val="none" w:sz="0" w:space="0" w:color="auto"/>
                    <w:right w:val="none" w:sz="0" w:space="0" w:color="auto"/>
                  </w:divBdr>
                </w:div>
                <w:div w:id="611204561">
                  <w:marLeft w:val="0"/>
                  <w:marRight w:val="0"/>
                  <w:marTop w:val="0"/>
                  <w:marBottom w:val="0"/>
                  <w:divBdr>
                    <w:top w:val="none" w:sz="0" w:space="0" w:color="auto"/>
                    <w:left w:val="none" w:sz="0" w:space="0" w:color="auto"/>
                    <w:bottom w:val="none" w:sz="0" w:space="0" w:color="auto"/>
                    <w:right w:val="none" w:sz="0" w:space="0" w:color="auto"/>
                  </w:divBdr>
                  <w:divsChild>
                    <w:div w:id="882715038">
                      <w:marLeft w:val="0"/>
                      <w:marRight w:val="0"/>
                      <w:marTop w:val="0"/>
                      <w:marBottom w:val="0"/>
                      <w:divBdr>
                        <w:top w:val="none" w:sz="0" w:space="0" w:color="auto"/>
                        <w:left w:val="none" w:sz="0" w:space="0" w:color="auto"/>
                        <w:bottom w:val="none" w:sz="0" w:space="0" w:color="auto"/>
                        <w:right w:val="none" w:sz="0" w:space="0" w:color="auto"/>
                      </w:divBdr>
                      <w:divsChild>
                        <w:div w:id="1824085373">
                          <w:marLeft w:val="0"/>
                          <w:marRight w:val="0"/>
                          <w:marTop w:val="0"/>
                          <w:marBottom w:val="0"/>
                          <w:divBdr>
                            <w:top w:val="none" w:sz="0" w:space="0" w:color="auto"/>
                            <w:left w:val="none" w:sz="0" w:space="0" w:color="auto"/>
                            <w:bottom w:val="none" w:sz="0" w:space="0" w:color="auto"/>
                            <w:right w:val="none" w:sz="0" w:space="0" w:color="auto"/>
                          </w:divBdr>
                          <w:divsChild>
                            <w:div w:id="6259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9867">
          <w:marLeft w:val="0"/>
          <w:marRight w:val="0"/>
          <w:marTop w:val="0"/>
          <w:marBottom w:val="0"/>
          <w:divBdr>
            <w:top w:val="none" w:sz="0" w:space="0" w:color="auto"/>
            <w:left w:val="none" w:sz="0" w:space="0" w:color="auto"/>
            <w:bottom w:val="none" w:sz="0" w:space="0" w:color="auto"/>
            <w:right w:val="none" w:sz="0" w:space="0" w:color="auto"/>
          </w:divBdr>
          <w:divsChild>
            <w:div w:id="1296909153">
              <w:marLeft w:val="0"/>
              <w:marRight w:val="0"/>
              <w:marTop w:val="0"/>
              <w:marBottom w:val="0"/>
              <w:divBdr>
                <w:top w:val="none" w:sz="0" w:space="0" w:color="auto"/>
                <w:left w:val="none" w:sz="0" w:space="0" w:color="auto"/>
                <w:bottom w:val="none" w:sz="0" w:space="0" w:color="auto"/>
                <w:right w:val="none" w:sz="0" w:space="0" w:color="auto"/>
              </w:divBdr>
              <w:divsChild>
                <w:div w:id="11309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56364">
      <w:bodyDiv w:val="1"/>
      <w:marLeft w:val="0"/>
      <w:marRight w:val="0"/>
      <w:marTop w:val="0"/>
      <w:marBottom w:val="0"/>
      <w:divBdr>
        <w:top w:val="none" w:sz="0" w:space="0" w:color="auto"/>
        <w:left w:val="none" w:sz="0" w:space="0" w:color="auto"/>
        <w:bottom w:val="none" w:sz="0" w:space="0" w:color="auto"/>
        <w:right w:val="none" w:sz="0" w:space="0" w:color="auto"/>
      </w:divBdr>
    </w:div>
    <w:div w:id="477650040">
      <w:bodyDiv w:val="1"/>
      <w:marLeft w:val="0"/>
      <w:marRight w:val="0"/>
      <w:marTop w:val="0"/>
      <w:marBottom w:val="0"/>
      <w:divBdr>
        <w:top w:val="none" w:sz="0" w:space="0" w:color="auto"/>
        <w:left w:val="none" w:sz="0" w:space="0" w:color="auto"/>
        <w:bottom w:val="none" w:sz="0" w:space="0" w:color="auto"/>
        <w:right w:val="none" w:sz="0" w:space="0" w:color="auto"/>
      </w:divBdr>
    </w:div>
    <w:div w:id="502940968">
      <w:bodyDiv w:val="1"/>
      <w:marLeft w:val="0"/>
      <w:marRight w:val="0"/>
      <w:marTop w:val="0"/>
      <w:marBottom w:val="0"/>
      <w:divBdr>
        <w:top w:val="none" w:sz="0" w:space="0" w:color="auto"/>
        <w:left w:val="none" w:sz="0" w:space="0" w:color="auto"/>
        <w:bottom w:val="none" w:sz="0" w:space="0" w:color="auto"/>
        <w:right w:val="none" w:sz="0" w:space="0" w:color="auto"/>
      </w:divBdr>
    </w:div>
    <w:div w:id="512452101">
      <w:bodyDiv w:val="1"/>
      <w:marLeft w:val="0"/>
      <w:marRight w:val="0"/>
      <w:marTop w:val="0"/>
      <w:marBottom w:val="0"/>
      <w:divBdr>
        <w:top w:val="none" w:sz="0" w:space="0" w:color="auto"/>
        <w:left w:val="none" w:sz="0" w:space="0" w:color="auto"/>
        <w:bottom w:val="none" w:sz="0" w:space="0" w:color="auto"/>
        <w:right w:val="none" w:sz="0" w:space="0" w:color="auto"/>
      </w:divBdr>
    </w:div>
    <w:div w:id="549609652">
      <w:bodyDiv w:val="1"/>
      <w:marLeft w:val="0"/>
      <w:marRight w:val="0"/>
      <w:marTop w:val="0"/>
      <w:marBottom w:val="0"/>
      <w:divBdr>
        <w:top w:val="none" w:sz="0" w:space="0" w:color="auto"/>
        <w:left w:val="none" w:sz="0" w:space="0" w:color="auto"/>
        <w:bottom w:val="none" w:sz="0" w:space="0" w:color="auto"/>
        <w:right w:val="none" w:sz="0" w:space="0" w:color="auto"/>
      </w:divBdr>
      <w:divsChild>
        <w:div w:id="1152260679">
          <w:marLeft w:val="0"/>
          <w:marRight w:val="0"/>
          <w:marTop w:val="0"/>
          <w:marBottom w:val="0"/>
          <w:divBdr>
            <w:top w:val="none" w:sz="0" w:space="0" w:color="auto"/>
            <w:left w:val="none" w:sz="0" w:space="0" w:color="auto"/>
            <w:bottom w:val="none" w:sz="0" w:space="0" w:color="auto"/>
            <w:right w:val="none" w:sz="0" w:space="0" w:color="auto"/>
          </w:divBdr>
          <w:divsChild>
            <w:div w:id="7604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6037">
      <w:bodyDiv w:val="1"/>
      <w:marLeft w:val="0"/>
      <w:marRight w:val="0"/>
      <w:marTop w:val="0"/>
      <w:marBottom w:val="0"/>
      <w:divBdr>
        <w:top w:val="none" w:sz="0" w:space="0" w:color="auto"/>
        <w:left w:val="none" w:sz="0" w:space="0" w:color="auto"/>
        <w:bottom w:val="none" w:sz="0" w:space="0" w:color="auto"/>
        <w:right w:val="none" w:sz="0" w:space="0" w:color="auto"/>
      </w:divBdr>
    </w:div>
    <w:div w:id="556553952">
      <w:bodyDiv w:val="1"/>
      <w:marLeft w:val="0"/>
      <w:marRight w:val="0"/>
      <w:marTop w:val="0"/>
      <w:marBottom w:val="0"/>
      <w:divBdr>
        <w:top w:val="none" w:sz="0" w:space="0" w:color="auto"/>
        <w:left w:val="none" w:sz="0" w:space="0" w:color="auto"/>
        <w:bottom w:val="none" w:sz="0" w:space="0" w:color="auto"/>
        <w:right w:val="none" w:sz="0" w:space="0" w:color="auto"/>
      </w:divBdr>
    </w:div>
    <w:div w:id="574782383">
      <w:bodyDiv w:val="1"/>
      <w:marLeft w:val="0"/>
      <w:marRight w:val="0"/>
      <w:marTop w:val="0"/>
      <w:marBottom w:val="0"/>
      <w:divBdr>
        <w:top w:val="none" w:sz="0" w:space="0" w:color="auto"/>
        <w:left w:val="none" w:sz="0" w:space="0" w:color="auto"/>
        <w:bottom w:val="none" w:sz="0" w:space="0" w:color="auto"/>
        <w:right w:val="none" w:sz="0" w:space="0" w:color="auto"/>
      </w:divBdr>
    </w:div>
    <w:div w:id="594872922">
      <w:bodyDiv w:val="1"/>
      <w:marLeft w:val="0"/>
      <w:marRight w:val="0"/>
      <w:marTop w:val="0"/>
      <w:marBottom w:val="0"/>
      <w:divBdr>
        <w:top w:val="none" w:sz="0" w:space="0" w:color="auto"/>
        <w:left w:val="none" w:sz="0" w:space="0" w:color="auto"/>
        <w:bottom w:val="none" w:sz="0" w:space="0" w:color="auto"/>
        <w:right w:val="none" w:sz="0" w:space="0" w:color="auto"/>
      </w:divBdr>
      <w:divsChild>
        <w:div w:id="385956914">
          <w:marLeft w:val="0"/>
          <w:marRight w:val="0"/>
          <w:marTop w:val="0"/>
          <w:marBottom w:val="0"/>
          <w:divBdr>
            <w:top w:val="none" w:sz="0" w:space="0" w:color="auto"/>
            <w:left w:val="none" w:sz="0" w:space="0" w:color="auto"/>
            <w:bottom w:val="none" w:sz="0" w:space="0" w:color="auto"/>
            <w:right w:val="none" w:sz="0" w:space="0" w:color="auto"/>
          </w:divBdr>
          <w:divsChild>
            <w:div w:id="14426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39477">
      <w:bodyDiv w:val="1"/>
      <w:marLeft w:val="0"/>
      <w:marRight w:val="0"/>
      <w:marTop w:val="0"/>
      <w:marBottom w:val="0"/>
      <w:divBdr>
        <w:top w:val="none" w:sz="0" w:space="0" w:color="auto"/>
        <w:left w:val="none" w:sz="0" w:space="0" w:color="auto"/>
        <w:bottom w:val="none" w:sz="0" w:space="0" w:color="auto"/>
        <w:right w:val="none" w:sz="0" w:space="0" w:color="auto"/>
      </w:divBdr>
    </w:div>
    <w:div w:id="619334850">
      <w:bodyDiv w:val="1"/>
      <w:marLeft w:val="0"/>
      <w:marRight w:val="0"/>
      <w:marTop w:val="0"/>
      <w:marBottom w:val="0"/>
      <w:divBdr>
        <w:top w:val="none" w:sz="0" w:space="0" w:color="auto"/>
        <w:left w:val="none" w:sz="0" w:space="0" w:color="auto"/>
        <w:bottom w:val="none" w:sz="0" w:space="0" w:color="auto"/>
        <w:right w:val="none" w:sz="0" w:space="0" w:color="auto"/>
      </w:divBdr>
    </w:div>
    <w:div w:id="702945233">
      <w:bodyDiv w:val="1"/>
      <w:marLeft w:val="0"/>
      <w:marRight w:val="0"/>
      <w:marTop w:val="0"/>
      <w:marBottom w:val="0"/>
      <w:divBdr>
        <w:top w:val="none" w:sz="0" w:space="0" w:color="auto"/>
        <w:left w:val="none" w:sz="0" w:space="0" w:color="auto"/>
        <w:bottom w:val="none" w:sz="0" w:space="0" w:color="auto"/>
        <w:right w:val="none" w:sz="0" w:space="0" w:color="auto"/>
      </w:divBdr>
    </w:div>
    <w:div w:id="756292436">
      <w:bodyDiv w:val="1"/>
      <w:marLeft w:val="0"/>
      <w:marRight w:val="0"/>
      <w:marTop w:val="0"/>
      <w:marBottom w:val="0"/>
      <w:divBdr>
        <w:top w:val="none" w:sz="0" w:space="0" w:color="auto"/>
        <w:left w:val="none" w:sz="0" w:space="0" w:color="auto"/>
        <w:bottom w:val="none" w:sz="0" w:space="0" w:color="auto"/>
        <w:right w:val="none" w:sz="0" w:space="0" w:color="auto"/>
      </w:divBdr>
    </w:div>
    <w:div w:id="757408928">
      <w:bodyDiv w:val="1"/>
      <w:marLeft w:val="0"/>
      <w:marRight w:val="0"/>
      <w:marTop w:val="0"/>
      <w:marBottom w:val="0"/>
      <w:divBdr>
        <w:top w:val="none" w:sz="0" w:space="0" w:color="auto"/>
        <w:left w:val="none" w:sz="0" w:space="0" w:color="auto"/>
        <w:bottom w:val="none" w:sz="0" w:space="0" w:color="auto"/>
        <w:right w:val="none" w:sz="0" w:space="0" w:color="auto"/>
      </w:divBdr>
    </w:div>
    <w:div w:id="766537252">
      <w:bodyDiv w:val="1"/>
      <w:marLeft w:val="0"/>
      <w:marRight w:val="0"/>
      <w:marTop w:val="0"/>
      <w:marBottom w:val="0"/>
      <w:divBdr>
        <w:top w:val="none" w:sz="0" w:space="0" w:color="auto"/>
        <w:left w:val="none" w:sz="0" w:space="0" w:color="auto"/>
        <w:bottom w:val="none" w:sz="0" w:space="0" w:color="auto"/>
        <w:right w:val="none" w:sz="0" w:space="0" w:color="auto"/>
      </w:divBdr>
    </w:div>
    <w:div w:id="795609939">
      <w:bodyDiv w:val="1"/>
      <w:marLeft w:val="0"/>
      <w:marRight w:val="0"/>
      <w:marTop w:val="0"/>
      <w:marBottom w:val="0"/>
      <w:divBdr>
        <w:top w:val="none" w:sz="0" w:space="0" w:color="auto"/>
        <w:left w:val="none" w:sz="0" w:space="0" w:color="auto"/>
        <w:bottom w:val="none" w:sz="0" w:space="0" w:color="auto"/>
        <w:right w:val="none" w:sz="0" w:space="0" w:color="auto"/>
      </w:divBdr>
    </w:div>
    <w:div w:id="808674276">
      <w:bodyDiv w:val="1"/>
      <w:marLeft w:val="0"/>
      <w:marRight w:val="0"/>
      <w:marTop w:val="0"/>
      <w:marBottom w:val="0"/>
      <w:divBdr>
        <w:top w:val="none" w:sz="0" w:space="0" w:color="auto"/>
        <w:left w:val="none" w:sz="0" w:space="0" w:color="auto"/>
        <w:bottom w:val="none" w:sz="0" w:space="0" w:color="auto"/>
        <w:right w:val="none" w:sz="0" w:space="0" w:color="auto"/>
      </w:divBdr>
    </w:div>
    <w:div w:id="815923902">
      <w:bodyDiv w:val="1"/>
      <w:marLeft w:val="0"/>
      <w:marRight w:val="0"/>
      <w:marTop w:val="0"/>
      <w:marBottom w:val="0"/>
      <w:divBdr>
        <w:top w:val="none" w:sz="0" w:space="0" w:color="auto"/>
        <w:left w:val="none" w:sz="0" w:space="0" w:color="auto"/>
        <w:bottom w:val="none" w:sz="0" w:space="0" w:color="auto"/>
        <w:right w:val="none" w:sz="0" w:space="0" w:color="auto"/>
      </w:divBdr>
    </w:div>
    <w:div w:id="819807373">
      <w:bodyDiv w:val="1"/>
      <w:marLeft w:val="0"/>
      <w:marRight w:val="0"/>
      <w:marTop w:val="0"/>
      <w:marBottom w:val="0"/>
      <w:divBdr>
        <w:top w:val="none" w:sz="0" w:space="0" w:color="auto"/>
        <w:left w:val="none" w:sz="0" w:space="0" w:color="auto"/>
        <w:bottom w:val="none" w:sz="0" w:space="0" w:color="auto"/>
        <w:right w:val="none" w:sz="0" w:space="0" w:color="auto"/>
      </w:divBdr>
    </w:div>
    <w:div w:id="848056145">
      <w:bodyDiv w:val="1"/>
      <w:marLeft w:val="0"/>
      <w:marRight w:val="0"/>
      <w:marTop w:val="0"/>
      <w:marBottom w:val="0"/>
      <w:divBdr>
        <w:top w:val="none" w:sz="0" w:space="0" w:color="auto"/>
        <w:left w:val="none" w:sz="0" w:space="0" w:color="auto"/>
        <w:bottom w:val="none" w:sz="0" w:space="0" w:color="auto"/>
        <w:right w:val="none" w:sz="0" w:space="0" w:color="auto"/>
      </w:divBdr>
      <w:divsChild>
        <w:div w:id="1706784701">
          <w:marLeft w:val="0"/>
          <w:marRight w:val="0"/>
          <w:marTop w:val="0"/>
          <w:marBottom w:val="0"/>
          <w:divBdr>
            <w:top w:val="none" w:sz="0" w:space="0" w:color="auto"/>
            <w:left w:val="none" w:sz="0" w:space="0" w:color="auto"/>
            <w:bottom w:val="none" w:sz="0" w:space="0" w:color="auto"/>
            <w:right w:val="none" w:sz="0" w:space="0" w:color="auto"/>
          </w:divBdr>
          <w:divsChild>
            <w:div w:id="14945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98184">
      <w:bodyDiv w:val="1"/>
      <w:marLeft w:val="0"/>
      <w:marRight w:val="0"/>
      <w:marTop w:val="0"/>
      <w:marBottom w:val="0"/>
      <w:divBdr>
        <w:top w:val="none" w:sz="0" w:space="0" w:color="auto"/>
        <w:left w:val="none" w:sz="0" w:space="0" w:color="auto"/>
        <w:bottom w:val="none" w:sz="0" w:space="0" w:color="auto"/>
        <w:right w:val="none" w:sz="0" w:space="0" w:color="auto"/>
      </w:divBdr>
    </w:div>
    <w:div w:id="929586390">
      <w:bodyDiv w:val="1"/>
      <w:marLeft w:val="0"/>
      <w:marRight w:val="0"/>
      <w:marTop w:val="0"/>
      <w:marBottom w:val="0"/>
      <w:divBdr>
        <w:top w:val="none" w:sz="0" w:space="0" w:color="auto"/>
        <w:left w:val="none" w:sz="0" w:space="0" w:color="auto"/>
        <w:bottom w:val="none" w:sz="0" w:space="0" w:color="auto"/>
        <w:right w:val="none" w:sz="0" w:space="0" w:color="auto"/>
      </w:divBdr>
      <w:divsChild>
        <w:div w:id="681013289">
          <w:marLeft w:val="0"/>
          <w:marRight w:val="0"/>
          <w:marTop w:val="0"/>
          <w:marBottom w:val="0"/>
          <w:divBdr>
            <w:top w:val="single" w:sz="2" w:space="0" w:color="E3E3E3"/>
            <w:left w:val="single" w:sz="2" w:space="0" w:color="E3E3E3"/>
            <w:bottom w:val="single" w:sz="2" w:space="0" w:color="E3E3E3"/>
            <w:right w:val="single" w:sz="2" w:space="0" w:color="E3E3E3"/>
          </w:divBdr>
          <w:divsChild>
            <w:div w:id="1972595754">
              <w:marLeft w:val="0"/>
              <w:marRight w:val="0"/>
              <w:marTop w:val="0"/>
              <w:marBottom w:val="0"/>
              <w:divBdr>
                <w:top w:val="single" w:sz="2" w:space="0" w:color="E3E3E3"/>
                <w:left w:val="single" w:sz="2" w:space="0" w:color="E3E3E3"/>
                <w:bottom w:val="single" w:sz="2" w:space="0" w:color="E3E3E3"/>
                <w:right w:val="single" w:sz="2" w:space="0" w:color="E3E3E3"/>
              </w:divBdr>
              <w:divsChild>
                <w:div w:id="1490711446">
                  <w:marLeft w:val="0"/>
                  <w:marRight w:val="0"/>
                  <w:marTop w:val="0"/>
                  <w:marBottom w:val="0"/>
                  <w:divBdr>
                    <w:top w:val="single" w:sz="2" w:space="0" w:color="E3E3E3"/>
                    <w:left w:val="single" w:sz="2" w:space="0" w:color="E3E3E3"/>
                    <w:bottom w:val="single" w:sz="2" w:space="0" w:color="E3E3E3"/>
                    <w:right w:val="single" w:sz="2" w:space="0" w:color="E3E3E3"/>
                  </w:divBdr>
                  <w:divsChild>
                    <w:div w:id="1712607857">
                      <w:marLeft w:val="0"/>
                      <w:marRight w:val="0"/>
                      <w:marTop w:val="0"/>
                      <w:marBottom w:val="0"/>
                      <w:divBdr>
                        <w:top w:val="single" w:sz="2" w:space="0" w:color="E3E3E3"/>
                        <w:left w:val="single" w:sz="2" w:space="0" w:color="E3E3E3"/>
                        <w:bottom w:val="single" w:sz="2" w:space="0" w:color="E3E3E3"/>
                        <w:right w:val="single" w:sz="2" w:space="0" w:color="E3E3E3"/>
                      </w:divBdr>
                      <w:divsChild>
                        <w:div w:id="931859259">
                          <w:marLeft w:val="0"/>
                          <w:marRight w:val="0"/>
                          <w:marTop w:val="0"/>
                          <w:marBottom w:val="0"/>
                          <w:divBdr>
                            <w:top w:val="single" w:sz="2" w:space="0" w:color="E3E3E3"/>
                            <w:left w:val="single" w:sz="2" w:space="0" w:color="E3E3E3"/>
                            <w:bottom w:val="single" w:sz="2" w:space="0" w:color="E3E3E3"/>
                            <w:right w:val="single" w:sz="2" w:space="0" w:color="E3E3E3"/>
                          </w:divBdr>
                          <w:divsChild>
                            <w:div w:id="724915798">
                              <w:marLeft w:val="0"/>
                              <w:marRight w:val="0"/>
                              <w:marTop w:val="100"/>
                              <w:marBottom w:val="100"/>
                              <w:divBdr>
                                <w:top w:val="single" w:sz="2" w:space="0" w:color="E3E3E3"/>
                                <w:left w:val="single" w:sz="2" w:space="0" w:color="E3E3E3"/>
                                <w:bottom w:val="single" w:sz="2" w:space="0" w:color="E3E3E3"/>
                                <w:right w:val="single" w:sz="2" w:space="0" w:color="E3E3E3"/>
                              </w:divBdr>
                              <w:divsChild>
                                <w:div w:id="1394541386">
                                  <w:marLeft w:val="0"/>
                                  <w:marRight w:val="0"/>
                                  <w:marTop w:val="0"/>
                                  <w:marBottom w:val="0"/>
                                  <w:divBdr>
                                    <w:top w:val="single" w:sz="2" w:space="0" w:color="E3E3E3"/>
                                    <w:left w:val="single" w:sz="2" w:space="0" w:color="E3E3E3"/>
                                    <w:bottom w:val="single" w:sz="2" w:space="0" w:color="E3E3E3"/>
                                    <w:right w:val="single" w:sz="2" w:space="0" w:color="E3E3E3"/>
                                  </w:divBdr>
                                  <w:divsChild>
                                    <w:div w:id="1541017416">
                                      <w:marLeft w:val="0"/>
                                      <w:marRight w:val="0"/>
                                      <w:marTop w:val="0"/>
                                      <w:marBottom w:val="0"/>
                                      <w:divBdr>
                                        <w:top w:val="single" w:sz="2" w:space="0" w:color="E3E3E3"/>
                                        <w:left w:val="single" w:sz="2" w:space="0" w:color="E3E3E3"/>
                                        <w:bottom w:val="single" w:sz="2" w:space="0" w:color="E3E3E3"/>
                                        <w:right w:val="single" w:sz="2" w:space="0" w:color="E3E3E3"/>
                                      </w:divBdr>
                                      <w:divsChild>
                                        <w:div w:id="1158882069">
                                          <w:marLeft w:val="0"/>
                                          <w:marRight w:val="0"/>
                                          <w:marTop w:val="0"/>
                                          <w:marBottom w:val="0"/>
                                          <w:divBdr>
                                            <w:top w:val="single" w:sz="2" w:space="0" w:color="E3E3E3"/>
                                            <w:left w:val="single" w:sz="2" w:space="0" w:color="E3E3E3"/>
                                            <w:bottom w:val="single" w:sz="2" w:space="0" w:color="E3E3E3"/>
                                            <w:right w:val="single" w:sz="2" w:space="0" w:color="E3E3E3"/>
                                          </w:divBdr>
                                          <w:divsChild>
                                            <w:div w:id="967587856">
                                              <w:marLeft w:val="0"/>
                                              <w:marRight w:val="0"/>
                                              <w:marTop w:val="0"/>
                                              <w:marBottom w:val="0"/>
                                              <w:divBdr>
                                                <w:top w:val="single" w:sz="2" w:space="0" w:color="E3E3E3"/>
                                                <w:left w:val="single" w:sz="2" w:space="0" w:color="E3E3E3"/>
                                                <w:bottom w:val="single" w:sz="2" w:space="0" w:color="E3E3E3"/>
                                                <w:right w:val="single" w:sz="2" w:space="0" w:color="E3E3E3"/>
                                              </w:divBdr>
                                              <w:divsChild>
                                                <w:div w:id="993488521">
                                                  <w:marLeft w:val="0"/>
                                                  <w:marRight w:val="0"/>
                                                  <w:marTop w:val="0"/>
                                                  <w:marBottom w:val="0"/>
                                                  <w:divBdr>
                                                    <w:top w:val="single" w:sz="2" w:space="0" w:color="E3E3E3"/>
                                                    <w:left w:val="single" w:sz="2" w:space="0" w:color="E3E3E3"/>
                                                    <w:bottom w:val="single" w:sz="2" w:space="0" w:color="E3E3E3"/>
                                                    <w:right w:val="single" w:sz="2" w:space="0" w:color="E3E3E3"/>
                                                  </w:divBdr>
                                                  <w:divsChild>
                                                    <w:div w:id="193632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942766399">
      <w:bodyDiv w:val="1"/>
      <w:marLeft w:val="0"/>
      <w:marRight w:val="0"/>
      <w:marTop w:val="0"/>
      <w:marBottom w:val="0"/>
      <w:divBdr>
        <w:top w:val="none" w:sz="0" w:space="0" w:color="auto"/>
        <w:left w:val="none" w:sz="0" w:space="0" w:color="auto"/>
        <w:bottom w:val="none" w:sz="0" w:space="0" w:color="auto"/>
        <w:right w:val="none" w:sz="0" w:space="0" w:color="auto"/>
      </w:divBdr>
      <w:divsChild>
        <w:div w:id="354893557">
          <w:marLeft w:val="0"/>
          <w:marRight w:val="0"/>
          <w:marTop w:val="450"/>
          <w:marBottom w:val="450"/>
          <w:divBdr>
            <w:top w:val="single" w:sz="6" w:space="0" w:color="C1C1C1"/>
            <w:left w:val="single" w:sz="6" w:space="0" w:color="C1C1C1"/>
            <w:bottom w:val="single" w:sz="6" w:space="0" w:color="C1C1C1"/>
            <w:right w:val="single" w:sz="6" w:space="0" w:color="C1C1C1"/>
          </w:divBdr>
          <w:divsChild>
            <w:div w:id="11031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4546">
      <w:bodyDiv w:val="1"/>
      <w:marLeft w:val="0"/>
      <w:marRight w:val="0"/>
      <w:marTop w:val="0"/>
      <w:marBottom w:val="0"/>
      <w:divBdr>
        <w:top w:val="none" w:sz="0" w:space="0" w:color="auto"/>
        <w:left w:val="none" w:sz="0" w:space="0" w:color="auto"/>
        <w:bottom w:val="none" w:sz="0" w:space="0" w:color="auto"/>
        <w:right w:val="none" w:sz="0" w:space="0" w:color="auto"/>
      </w:divBdr>
    </w:div>
    <w:div w:id="977345324">
      <w:bodyDiv w:val="1"/>
      <w:marLeft w:val="0"/>
      <w:marRight w:val="0"/>
      <w:marTop w:val="0"/>
      <w:marBottom w:val="0"/>
      <w:divBdr>
        <w:top w:val="none" w:sz="0" w:space="0" w:color="auto"/>
        <w:left w:val="none" w:sz="0" w:space="0" w:color="auto"/>
        <w:bottom w:val="none" w:sz="0" w:space="0" w:color="auto"/>
        <w:right w:val="none" w:sz="0" w:space="0" w:color="auto"/>
      </w:divBdr>
    </w:div>
    <w:div w:id="997003829">
      <w:bodyDiv w:val="1"/>
      <w:marLeft w:val="0"/>
      <w:marRight w:val="0"/>
      <w:marTop w:val="0"/>
      <w:marBottom w:val="0"/>
      <w:divBdr>
        <w:top w:val="none" w:sz="0" w:space="0" w:color="auto"/>
        <w:left w:val="none" w:sz="0" w:space="0" w:color="auto"/>
        <w:bottom w:val="none" w:sz="0" w:space="0" w:color="auto"/>
        <w:right w:val="none" w:sz="0" w:space="0" w:color="auto"/>
      </w:divBdr>
    </w:div>
    <w:div w:id="1000042489">
      <w:bodyDiv w:val="1"/>
      <w:marLeft w:val="0"/>
      <w:marRight w:val="0"/>
      <w:marTop w:val="0"/>
      <w:marBottom w:val="0"/>
      <w:divBdr>
        <w:top w:val="none" w:sz="0" w:space="0" w:color="auto"/>
        <w:left w:val="none" w:sz="0" w:space="0" w:color="auto"/>
        <w:bottom w:val="none" w:sz="0" w:space="0" w:color="auto"/>
        <w:right w:val="none" w:sz="0" w:space="0" w:color="auto"/>
      </w:divBdr>
    </w:div>
    <w:div w:id="1007371375">
      <w:bodyDiv w:val="1"/>
      <w:marLeft w:val="0"/>
      <w:marRight w:val="0"/>
      <w:marTop w:val="0"/>
      <w:marBottom w:val="0"/>
      <w:divBdr>
        <w:top w:val="none" w:sz="0" w:space="0" w:color="auto"/>
        <w:left w:val="none" w:sz="0" w:space="0" w:color="auto"/>
        <w:bottom w:val="none" w:sz="0" w:space="0" w:color="auto"/>
        <w:right w:val="none" w:sz="0" w:space="0" w:color="auto"/>
      </w:divBdr>
    </w:div>
    <w:div w:id="1052267657">
      <w:bodyDiv w:val="1"/>
      <w:marLeft w:val="0"/>
      <w:marRight w:val="0"/>
      <w:marTop w:val="0"/>
      <w:marBottom w:val="0"/>
      <w:divBdr>
        <w:top w:val="none" w:sz="0" w:space="0" w:color="auto"/>
        <w:left w:val="none" w:sz="0" w:space="0" w:color="auto"/>
        <w:bottom w:val="none" w:sz="0" w:space="0" w:color="auto"/>
        <w:right w:val="none" w:sz="0" w:space="0" w:color="auto"/>
      </w:divBdr>
    </w:div>
    <w:div w:id="1083987877">
      <w:bodyDiv w:val="1"/>
      <w:marLeft w:val="0"/>
      <w:marRight w:val="0"/>
      <w:marTop w:val="0"/>
      <w:marBottom w:val="0"/>
      <w:divBdr>
        <w:top w:val="none" w:sz="0" w:space="0" w:color="auto"/>
        <w:left w:val="none" w:sz="0" w:space="0" w:color="auto"/>
        <w:bottom w:val="none" w:sz="0" w:space="0" w:color="auto"/>
        <w:right w:val="none" w:sz="0" w:space="0" w:color="auto"/>
      </w:divBdr>
    </w:div>
    <w:div w:id="1123422981">
      <w:bodyDiv w:val="1"/>
      <w:marLeft w:val="0"/>
      <w:marRight w:val="0"/>
      <w:marTop w:val="0"/>
      <w:marBottom w:val="0"/>
      <w:divBdr>
        <w:top w:val="none" w:sz="0" w:space="0" w:color="auto"/>
        <w:left w:val="none" w:sz="0" w:space="0" w:color="auto"/>
        <w:bottom w:val="none" w:sz="0" w:space="0" w:color="auto"/>
        <w:right w:val="none" w:sz="0" w:space="0" w:color="auto"/>
      </w:divBdr>
    </w:div>
    <w:div w:id="1147671991">
      <w:bodyDiv w:val="1"/>
      <w:marLeft w:val="0"/>
      <w:marRight w:val="0"/>
      <w:marTop w:val="0"/>
      <w:marBottom w:val="0"/>
      <w:divBdr>
        <w:top w:val="none" w:sz="0" w:space="0" w:color="auto"/>
        <w:left w:val="none" w:sz="0" w:space="0" w:color="auto"/>
        <w:bottom w:val="none" w:sz="0" w:space="0" w:color="auto"/>
        <w:right w:val="none" w:sz="0" w:space="0" w:color="auto"/>
      </w:divBdr>
      <w:divsChild>
        <w:div w:id="552159334">
          <w:marLeft w:val="0"/>
          <w:marRight w:val="0"/>
          <w:marTop w:val="0"/>
          <w:marBottom w:val="0"/>
          <w:divBdr>
            <w:top w:val="none" w:sz="0" w:space="0" w:color="auto"/>
            <w:left w:val="none" w:sz="0" w:space="0" w:color="auto"/>
            <w:bottom w:val="none" w:sz="0" w:space="0" w:color="auto"/>
            <w:right w:val="none" w:sz="0" w:space="0" w:color="auto"/>
          </w:divBdr>
          <w:divsChild>
            <w:div w:id="10908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13">
      <w:bodyDiv w:val="1"/>
      <w:marLeft w:val="0"/>
      <w:marRight w:val="0"/>
      <w:marTop w:val="0"/>
      <w:marBottom w:val="0"/>
      <w:divBdr>
        <w:top w:val="none" w:sz="0" w:space="0" w:color="auto"/>
        <w:left w:val="none" w:sz="0" w:space="0" w:color="auto"/>
        <w:bottom w:val="none" w:sz="0" w:space="0" w:color="auto"/>
        <w:right w:val="none" w:sz="0" w:space="0" w:color="auto"/>
      </w:divBdr>
      <w:divsChild>
        <w:div w:id="78153759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81507528">
      <w:bodyDiv w:val="1"/>
      <w:marLeft w:val="0"/>
      <w:marRight w:val="0"/>
      <w:marTop w:val="0"/>
      <w:marBottom w:val="0"/>
      <w:divBdr>
        <w:top w:val="none" w:sz="0" w:space="0" w:color="auto"/>
        <w:left w:val="none" w:sz="0" w:space="0" w:color="auto"/>
        <w:bottom w:val="none" w:sz="0" w:space="0" w:color="auto"/>
        <w:right w:val="none" w:sz="0" w:space="0" w:color="auto"/>
      </w:divBdr>
    </w:div>
    <w:div w:id="1220437263">
      <w:bodyDiv w:val="1"/>
      <w:marLeft w:val="0"/>
      <w:marRight w:val="0"/>
      <w:marTop w:val="0"/>
      <w:marBottom w:val="0"/>
      <w:divBdr>
        <w:top w:val="none" w:sz="0" w:space="0" w:color="auto"/>
        <w:left w:val="none" w:sz="0" w:space="0" w:color="auto"/>
        <w:bottom w:val="none" w:sz="0" w:space="0" w:color="auto"/>
        <w:right w:val="none" w:sz="0" w:space="0" w:color="auto"/>
      </w:divBdr>
    </w:div>
    <w:div w:id="1274706471">
      <w:bodyDiv w:val="1"/>
      <w:marLeft w:val="0"/>
      <w:marRight w:val="0"/>
      <w:marTop w:val="0"/>
      <w:marBottom w:val="0"/>
      <w:divBdr>
        <w:top w:val="none" w:sz="0" w:space="0" w:color="auto"/>
        <w:left w:val="none" w:sz="0" w:space="0" w:color="auto"/>
        <w:bottom w:val="none" w:sz="0" w:space="0" w:color="auto"/>
        <w:right w:val="none" w:sz="0" w:space="0" w:color="auto"/>
      </w:divBdr>
    </w:div>
    <w:div w:id="1293828889">
      <w:bodyDiv w:val="1"/>
      <w:marLeft w:val="0"/>
      <w:marRight w:val="0"/>
      <w:marTop w:val="0"/>
      <w:marBottom w:val="0"/>
      <w:divBdr>
        <w:top w:val="none" w:sz="0" w:space="0" w:color="auto"/>
        <w:left w:val="none" w:sz="0" w:space="0" w:color="auto"/>
        <w:bottom w:val="none" w:sz="0" w:space="0" w:color="auto"/>
        <w:right w:val="none" w:sz="0" w:space="0" w:color="auto"/>
      </w:divBdr>
    </w:div>
    <w:div w:id="1298873664">
      <w:bodyDiv w:val="1"/>
      <w:marLeft w:val="0"/>
      <w:marRight w:val="0"/>
      <w:marTop w:val="0"/>
      <w:marBottom w:val="0"/>
      <w:divBdr>
        <w:top w:val="none" w:sz="0" w:space="0" w:color="auto"/>
        <w:left w:val="none" w:sz="0" w:space="0" w:color="auto"/>
        <w:bottom w:val="none" w:sz="0" w:space="0" w:color="auto"/>
        <w:right w:val="none" w:sz="0" w:space="0" w:color="auto"/>
      </w:divBdr>
    </w:div>
    <w:div w:id="1330402701">
      <w:bodyDiv w:val="1"/>
      <w:marLeft w:val="0"/>
      <w:marRight w:val="0"/>
      <w:marTop w:val="0"/>
      <w:marBottom w:val="0"/>
      <w:divBdr>
        <w:top w:val="none" w:sz="0" w:space="0" w:color="auto"/>
        <w:left w:val="none" w:sz="0" w:space="0" w:color="auto"/>
        <w:bottom w:val="none" w:sz="0" w:space="0" w:color="auto"/>
        <w:right w:val="none" w:sz="0" w:space="0" w:color="auto"/>
      </w:divBdr>
    </w:div>
    <w:div w:id="1403869542">
      <w:bodyDiv w:val="1"/>
      <w:marLeft w:val="0"/>
      <w:marRight w:val="0"/>
      <w:marTop w:val="0"/>
      <w:marBottom w:val="0"/>
      <w:divBdr>
        <w:top w:val="none" w:sz="0" w:space="0" w:color="auto"/>
        <w:left w:val="none" w:sz="0" w:space="0" w:color="auto"/>
        <w:bottom w:val="none" w:sz="0" w:space="0" w:color="auto"/>
        <w:right w:val="none" w:sz="0" w:space="0" w:color="auto"/>
      </w:divBdr>
    </w:div>
    <w:div w:id="1442646579">
      <w:bodyDiv w:val="1"/>
      <w:marLeft w:val="0"/>
      <w:marRight w:val="0"/>
      <w:marTop w:val="0"/>
      <w:marBottom w:val="0"/>
      <w:divBdr>
        <w:top w:val="none" w:sz="0" w:space="0" w:color="auto"/>
        <w:left w:val="none" w:sz="0" w:space="0" w:color="auto"/>
        <w:bottom w:val="none" w:sz="0" w:space="0" w:color="auto"/>
        <w:right w:val="none" w:sz="0" w:space="0" w:color="auto"/>
      </w:divBdr>
    </w:div>
    <w:div w:id="1450392801">
      <w:bodyDiv w:val="1"/>
      <w:marLeft w:val="0"/>
      <w:marRight w:val="0"/>
      <w:marTop w:val="0"/>
      <w:marBottom w:val="0"/>
      <w:divBdr>
        <w:top w:val="none" w:sz="0" w:space="0" w:color="auto"/>
        <w:left w:val="none" w:sz="0" w:space="0" w:color="auto"/>
        <w:bottom w:val="none" w:sz="0" w:space="0" w:color="auto"/>
        <w:right w:val="none" w:sz="0" w:space="0" w:color="auto"/>
      </w:divBdr>
      <w:divsChild>
        <w:div w:id="708070776">
          <w:marLeft w:val="0"/>
          <w:marRight w:val="0"/>
          <w:marTop w:val="0"/>
          <w:marBottom w:val="0"/>
          <w:divBdr>
            <w:top w:val="none" w:sz="0" w:space="0" w:color="auto"/>
            <w:left w:val="none" w:sz="0" w:space="0" w:color="auto"/>
            <w:bottom w:val="none" w:sz="0" w:space="0" w:color="auto"/>
            <w:right w:val="none" w:sz="0" w:space="0" w:color="auto"/>
          </w:divBdr>
          <w:divsChild>
            <w:div w:id="1276987979">
              <w:marLeft w:val="0"/>
              <w:marRight w:val="0"/>
              <w:marTop w:val="0"/>
              <w:marBottom w:val="0"/>
              <w:divBdr>
                <w:top w:val="none" w:sz="0" w:space="0" w:color="auto"/>
                <w:left w:val="none" w:sz="0" w:space="0" w:color="auto"/>
                <w:bottom w:val="none" w:sz="0" w:space="0" w:color="auto"/>
                <w:right w:val="none" w:sz="0" w:space="0" w:color="auto"/>
              </w:divBdr>
              <w:divsChild>
                <w:div w:id="1333532396">
                  <w:marLeft w:val="0"/>
                  <w:marRight w:val="0"/>
                  <w:marTop w:val="0"/>
                  <w:marBottom w:val="0"/>
                  <w:divBdr>
                    <w:top w:val="none" w:sz="0" w:space="0" w:color="auto"/>
                    <w:left w:val="none" w:sz="0" w:space="0" w:color="auto"/>
                    <w:bottom w:val="none" w:sz="0" w:space="0" w:color="auto"/>
                    <w:right w:val="none" w:sz="0" w:space="0" w:color="auto"/>
                  </w:divBdr>
                </w:div>
                <w:div w:id="290674609">
                  <w:marLeft w:val="0"/>
                  <w:marRight w:val="0"/>
                  <w:marTop w:val="0"/>
                  <w:marBottom w:val="0"/>
                  <w:divBdr>
                    <w:top w:val="none" w:sz="0" w:space="0" w:color="auto"/>
                    <w:left w:val="none" w:sz="0" w:space="0" w:color="auto"/>
                    <w:bottom w:val="none" w:sz="0" w:space="0" w:color="auto"/>
                    <w:right w:val="none" w:sz="0" w:space="0" w:color="auto"/>
                  </w:divBdr>
                  <w:divsChild>
                    <w:div w:id="1337001858">
                      <w:marLeft w:val="0"/>
                      <w:marRight w:val="0"/>
                      <w:marTop w:val="0"/>
                      <w:marBottom w:val="0"/>
                      <w:divBdr>
                        <w:top w:val="none" w:sz="0" w:space="0" w:color="auto"/>
                        <w:left w:val="none" w:sz="0" w:space="0" w:color="auto"/>
                        <w:bottom w:val="none" w:sz="0" w:space="0" w:color="auto"/>
                        <w:right w:val="none" w:sz="0" w:space="0" w:color="auto"/>
                      </w:divBdr>
                      <w:divsChild>
                        <w:div w:id="1915625626">
                          <w:marLeft w:val="0"/>
                          <w:marRight w:val="0"/>
                          <w:marTop w:val="0"/>
                          <w:marBottom w:val="0"/>
                          <w:divBdr>
                            <w:top w:val="none" w:sz="0" w:space="0" w:color="auto"/>
                            <w:left w:val="none" w:sz="0" w:space="0" w:color="auto"/>
                            <w:bottom w:val="none" w:sz="0" w:space="0" w:color="auto"/>
                            <w:right w:val="none" w:sz="0" w:space="0" w:color="auto"/>
                          </w:divBdr>
                          <w:divsChild>
                            <w:div w:id="16269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50753">
          <w:marLeft w:val="0"/>
          <w:marRight w:val="0"/>
          <w:marTop w:val="0"/>
          <w:marBottom w:val="0"/>
          <w:divBdr>
            <w:top w:val="none" w:sz="0" w:space="0" w:color="auto"/>
            <w:left w:val="none" w:sz="0" w:space="0" w:color="auto"/>
            <w:bottom w:val="none" w:sz="0" w:space="0" w:color="auto"/>
            <w:right w:val="none" w:sz="0" w:space="0" w:color="auto"/>
          </w:divBdr>
          <w:divsChild>
            <w:div w:id="239296398">
              <w:marLeft w:val="0"/>
              <w:marRight w:val="0"/>
              <w:marTop w:val="0"/>
              <w:marBottom w:val="0"/>
              <w:divBdr>
                <w:top w:val="none" w:sz="0" w:space="0" w:color="auto"/>
                <w:left w:val="none" w:sz="0" w:space="0" w:color="auto"/>
                <w:bottom w:val="none" w:sz="0" w:space="0" w:color="auto"/>
                <w:right w:val="none" w:sz="0" w:space="0" w:color="auto"/>
              </w:divBdr>
              <w:divsChild>
                <w:div w:id="117768758">
                  <w:marLeft w:val="0"/>
                  <w:marRight w:val="0"/>
                  <w:marTop w:val="0"/>
                  <w:marBottom w:val="0"/>
                  <w:divBdr>
                    <w:top w:val="none" w:sz="0" w:space="0" w:color="auto"/>
                    <w:left w:val="none" w:sz="0" w:space="0" w:color="auto"/>
                    <w:bottom w:val="none" w:sz="0" w:space="0" w:color="auto"/>
                    <w:right w:val="none" w:sz="0" w:space="0" w:color="auto"/>
                  </w:divBdr>
                </w:div>
                <w:div w:id="17171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20805">
      <w:bodyDiv w:val="1"/>
      <w:marLeft w:val="0"/>
      <w:marRight w:val="0"/>
      <w:marTop w:val="0"/>
      <w:marBottom w:val="0"/>
      <w:divBdr>
        <w:top w:val="none" w:sz="0" w:space="0" w:color="auto"/>
        <w:left w:val="none" w:sz="0" w:space="0" w:color="auto"/>
        <w:bottom w:val="none" w:sz="0" w:space="0" w:color="auto"/>
        <w:right w:val="none" w:sz="0" w:space="0" w:color="auto"/>
      </w:divBdr>
    </w:div>
    <w:div w:id="1497575121">
      <w:bodyDiv w:val="1"/>
      <w:marLeft w:val="0"/>
      <w:marRight w:val="0"/>
      <w:marTop w:val="0"/>
      <w:marBottom w:val="0"/>
      <w:divBdr>
        <w:top w:val="none" w:sz="0" w:space="0" w:color="auto"/>
        <w:left w:val="none" w:sz="0" w:space="0" w:color="auto"/>
        <w:bottom w:val="none" w:sz="0" w:space="0" w:color="auto"/>
        <w:right w:val="none" w:sz="0" w:space="0" w:color="auto"/>
      </w:divBdr>
      <w:divsChild>
        <w:div w:id="171379985">
          <w:marLeft w:val="0"/>
          <w:marRight w:val="0"/>
          <w:marTop w:val="450"/>
          <w:marBottom w:val="450"/>
          <w:divBdr>
            <w:top w:val="single" w:sz="6" w:space="0" w:color="C1C1C1"/>
            <w:left w:val="single" w:sz="6" w:space="0" w:color="C1C1C1"/>
            <w:bottom w:val="single" w:sz="6" w:space="0" w:color="C1C1C1"/>
            <w:right w:val="single" w:sz="6" w:space="0" w:color="C1C1C1"/>
          </w:divBdr>
          <w:divsChild>
            <w:div w:id="18731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2667">
      <w:bodyDiv w:val="1"/>
      <w:marLeft w:val="0"/>
      <w:marRight w:val="0"/>
      <w:marTop w:val="0"/>
      <w:marBottom w:val="0"/>
      <w:divBdr>
        <w:top w:val="none" w:sz="0" w:space="0" w:color="auto"/>
        <w:left w:val="none" w:sz="0" w:space="0" w:color="auto"/>
        <w:bottom w:val="none" w:sz="0" w:space="0" w:color="auto"/>
        <w:right w:val="none" w:sz="0" w:space="0" w:color="auto"/>
      </w:divBdr>
    </w:div>
    <w:div w:id="1507673248">
      <w:bodyDiv w:val="1"/>
      <w:marLeft w:val="0"/>
      <w:marRight w:val="0"/>
      <w:marTop w:val="0"/>
      <w:marBottom w:val="0"/>
      <w:divBdr>
        <w:top w:val="none" w:sz="0" w:space="0" w:color="auto"/>
        <w:left w:val="none" w:sz="0" w:space="0" w:color="auto"/>
        <w:bottom w:val="none" w:sz="0" w:space="0" w:color="auto"/>
        <w:right w:val="none" w:sz="0" w:space="0" w:color="auto"/>
      </w:divBdr>
    </w:div>
    <w:div w:id="1508712257">
      <w:bodyDiv w:val="1"/>
      <w:marLeft w:val="0"/>
      <w:marRight w:val="0"/>
      <w:marTop w:val="0"/>
      <w:marBottom w:val="0"/>
      <w:divBdr>
        <w:top w:val="none" w:sz="0" w:space="0" w:color="auto"/>
        <w:left w:val="none" w:sz="0" w:space="0" w:color="auto"/>
        <w:bottom w:val="none" w:sz="0" w:space="0" w:color="auto"/>
        <w:right w:val="none" w:sz="0" w:space="0" w:color="auto"/>
      </w:divBdr>
    </w:div>
    <w:div w:id="1535968764">
      <w:bodyDiv w:val="1"/>
      <w:marLeft w:val="0"/>
      <w:marRight w:val="0"/>
      <w:marTop w:val="0"/>
      <w:marBottom w:val="0"/>
      <w:divBdr>
        <w:top w:val="none" w:sz="0" w:space="0" w:color="auto"/>
        <w:left w:val="none" w:sz="0" w:space="0" w:color="auto"/>
        <w:bottom w:val="none" w:sz="0" w:space="0" w:color="auto"/>
        <w:right w:val="none" w:sz="0" w:space="0" w:color="auto"/>
      </w:divBdr>
    </w:div>
    <w:div w:id="1566451275">
      <w:bodyDiv w:val="1"/>
      <w:marLeft w:val="0"/>
      <w:marRight w:val="0"/>
      <w:marTop w:val="0"/>
      <w:marBottom w:val="0"/>
      <w:divBdr>
        <w:top w:val="none" w:sz="0" w:space="0" w:color="auto"/>
        <w:left w:val="none" w:sz="0" w:space="0" w:color="auto"/>
        <w:bottom w:val="none" w:sz="0" w:space="0" w:color="auto"/>
        <w:right w:val="none" w:sz="0" w:space="0" w:color="auto"/>
      </w:divBdr>
    </w:div>
    <w:div w:id="1593127905">
      <w:bodyDiv w:val="1"/>
      <w:marLeft w:val="0"/>
      <w:marRight w:val="0"/>
      <w:marTop w:val="0"/>
      <w:marBottom w:val="0"/>
      <w:divBdr>
        <w:top w:val="none" w:sz="0" w:space="0" w:color="auto"/>
        <w:left w:val="none" w:sz="0" w:space="0" w:color="auto"/>
        <w:bottom w:val="none" w:sz="0" w:space="0" w:color="auto"/>
        <w:right w:val="none" w:sz="0" w:space="0" w:color="auto"/>
      </w:divBdr>
    </w:div>
    <w:div w:id="1653485883">
      <w:bodyDiv w:val="1"/>
      <w:marLeft w:val="0"/>
      <w:marRight w:val="0"/>
      <w:marTop w:val="0"/>
      <w:marBottom w:val="0"/>
      <w:divBdr>
        <w:top w:val="none" w:sz="0" w:space="0" w:color="auto"/>
        <w:left w:val="none" w:sz="0" w:space="0" w:color="auto"/>
        <w:bottom w:val="none" w:sz="0" w:space="0" w:color="auto"/>
        <w:right w:val="none" w:sz="0" w:space="0" w:color="auto"/>
      </w:divBdr>
    </w:div>
    <w:div w:id="1695225952">
      <w:bodyDiv w:val="1"/>
      <w:marLeft w:val="0"/>
      <w:marRight w:val="0"/>
      <w:marTop w:val="0"/>
      <w:marBottom w:val="0"/>
      <w:divBdr>
        <w:top w:val="none" w:sz="0" w:space="0" w:color="auto"/>
        <w:left w:val="none" w:sz="0" w:space="0" w:color="auto"/>
        <w:bottom w:val="none" w:sz="0" w:space="0" w:color="auto"/>
        <w:right w:val="none" w:sz="0" w:space="0" w:color="auto"/>
      </w:divBdr>
    </w:div>
    <w:div w:id="1771194583">
      <w:bodyDiv w:val="1"/>
      <w:marLeft w:val="0"/>
      <w:marRight w:val="0"/>
      <w:marTop w:val="0"/>
      <w:marBottom w:val="0"/>
      <w:divBdr>
        <w:top w:val="none" w:sz="0" w:space="0" w:color="auto"/>
        <w:left w:val="none" w:sz="0" w:space="0" w:color="auto"/>
        <w:bottom w:val="none" w:sz="0" w:space="0" w:color="auto"/>
        <w:right w:val="none" w:sz="0" w:space="0" w:color="auto"/>
      </w:divBdr>
    </w:div>
    <w:div w:id="1848405466">
      <w:bodyDiv w:val="1"/>
      <w:marLeft w:val="0"/>
      <w:marRight w:val="0"/>
      <w:marTop w:val="0"/>
      <w:marBottom w:val="0"/>
      <w:divBdr>
        <w:top w:val="none" w:sz="0" w:space="0" w:color="auto"/>
        <w:left w:val="none" w:sz="0" w:space="0" w:color="auto"/>
        <w:bottom w:val="none" w:sz="0" w:space="0" w:color="auto"/>
        <w:right w:val="none" w:sz="0" w:space="0" w:color="auto"/>
      </w:divBdr>
    </w:div>
    <w:div w:id="1874998565">
      <w:bodyDiv w:val="1"/>
      <w:marLeft w:val="0"/>
      <w:marRight w:val="0"/>
      <w:marTop w:val="0"/>
      <w:marBottom w:val="0"/>
      <w:divBdr>
        <w:top w:val="none" w:sz="0" w:space="0" w:color="auto"/>
        <w:left w:val="none" w:sz="0" w:space="0" w:color="auto"/>
        <w:bottom w:val="none" w:sz="0" w:space="0" w:color="auto"/>
        <w:right w:val="none" w:sz="0" w:space="0" w:color="auto"/>
      </w:divBdr>
    </w:div>
    <w:div w:id="1886019665">
      <w:bodyDiv w:val="1"/>
      <w:marLeft w:val="0"/>
      <w:marRight w:val="0"/>
      <w:marTop w:val="0"/>
      <w:marBottom w:val="0"/>
      <w:divBdr>
        <w:top w:val="none" w:sz="0" w:space="0" w:color="auto"/>
        <w:left w:val="none" w:sz="0" w:space="0" w:color="auto"/>
        <w:bottom w:val="none" w:sz="0" w:space="0" w:color="auto"/>
        <w:right w:val="none" w:sz="0" w:space="0" w:color="auto"/>
      </w:divBdr>
      <w:divsChild>
        <w:div w:id="34204901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905872089">
      <w:bodyDiv w:val="1"/>
      <w:marLeft w:val="0"/>
      <w:marRight w:val="0"/>
      <w:marTop w:val="0"/>
      <w:marBottom w:val="0"/>
      <w:divBdr>
        <w:top w:val="none" w:sz="0" w:space="0" w:color="auto"/>
        <w:left w:val="none" w:sz="0" w:space="0" w:color="auto"/>
        <w:bottom w:val="none" w:sz="0" w:space="0" w:color="auto"/>
        <w:right w:val="none" w:sz="0" w:space="0" w:color="auto"/>
      </w:divBdr>
    </w:div>
    <w:div w:id="1919240721">
      <w:bodyDiv w:val="1"/>
      <w:marLeft w:val="0"/>
      <w:marRight w:val="0"/>
      <w:marTop w:val="0"/>
      <w:marBottom w:val="0"/>
      <w:divBdr>
        <w:top w:val="none" w:sz="0" w:space="0" w:color="auto"/>
        <w:left w:val="none" w:sz="0" w:space="0" w:color="auto"/>
        <w:bottom w:val="none" w:sz="0" w:space="0" w:color="auto"/>
        <w:right w:val="none" w:sz="0" w:space="0" w:color="auto"/>
      </w:divBdr>
      <w:divsChild>
        <w:div w:id="485440589">
          <w:marLeft w:val="0"/>
          <w:marRight w:val="0"/>
          <w:marTop w:val="0"/>
          <w:marBottom w:val="0"/>
          <w:divBdr>
            <w:top w:val="none" w:sz="0" w:space="0" w:color="auto"/>
            <w:left w:val="none" w:sz="0" w:space="0" w:color="auto"/>
            <w:bottom w:val="none" w:sz="0" w:space="0" w:color="auto"/>
            <w:right w:val="none" w:sz="0" w:space="0" w:color="auto"/>
          </w:divBdr>
          <w:divsChild>
            <w:div w:id="1220166007">
              <w:marLeft w:val="0"/>
              <w:marRight w:val="0"/>
              <w:marTop w:val="0"/>
              <w:marBottom w:val="0"/>
              <w:divBdr>
                <w:top w:val="none" w:sz="0" w:space="0" w:color="auto"/>
                <w:left w:val="none" w:sz="0" w:space="0" w:color="auto"/>
                <w:bottom w:val="none" w:sz="0" w:space="0" w:color="auto"/>
                <w:right w:val="none" w:sz="0" w:space="0" w:color="auto"/>
              </w:divBdr>
              <w:divsChild>
                <w:div w:id="97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41689">
      <w:bodyDiv w:val="1"/>
      <w:marLeft w:val="0"/>
      <w:marRight w:val="0"/>
      <w:marTop w:val="0"/>
      <w:marBottom w:val="0"/>
      <w:divBdr>
        <w:top w:val="none" w:sz="0" w:space="0" w:color="auto"/>
        <w:left w:val="none" w:sz="0" w:space="0" w:color="auto"/>
        <w:bottom w:val="none" w:sz="0" w:space="0" w:color="auto"/>
        <w:right w:val="none" w:sz="0" w:space="0" w:color="auto"/>
      </w:divBdr>
    </w:div>
    <w:div w:id="1945647976">
      <w:bodyDiv w:val="1"/>
      <w:marLeft w:val="0"/>
      <w:marRight w:val="0"/>
      <w:marTop w:val="0"/>
      <w:marBottom w:val="0"/>
      <w:divBdr>
        <w:top w:val="none" w:sz="0" w:space="0" w:color="auto"/>
        <w:left w:val="none" w:sz="0" w:space="0" w:color="auto"/>
        <w:bottom w:val="none" w:sz="0" w:space="0" w:color="auto"/>
        <w:right w:val="none" w:sz="0" w:space="0" w:color="auto"/>
      </w:divBdr>
      <w:divsChild>
        <w:div w:id="960693455">
          <w:marLeft w:val="0"/>
          <w:marRight w:val="0"/>
          <w:marTop w:val="0"/>
          <w:marBottom w:val="0"/>
          <w:divBdr>
            <w:top w:val="none" w:sz="0" w:space="0" w:color="auto"/>
            <w:left w:val="none" w:sz="0" w:space="0" w:color="auto"/>
            <w:bottom w:val="none" w:sz="0" w:space="0" w:color="auto"/>
            <w:right w:val="none" w:sz="0" w:space="0" w:color="auto"/>
          </w:divBdr>
          <w:divsChild>
            <w:div w:id="1645818925">
              <w:marLeft w:val="0"/>
              <w:marRight w:val="0"/>
              <w:marTop w:val="0"/>
              <w:marBottom w:val="0"/>
              <w:divBdr>
                <w:top w:val="none" w:sz="0" w:space="0" w:color="auto"/>
                <w:left w:val="none" w:sz="0" w:space="0" w:color="auto"/>
                <w:bottom w:val="none" w:sz="0" w:space="0" w:color="auto"/>
                <w:right w:val="none" w:sz="0" w:space="0" w:color="auto"/>
              </w:divBdr>
              <w:divsChild>
                <w:div w:id="5946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9629">
      <w:bodyDiv w:val="1"/>
      <w:marLeft w:val="0"/>
      <w:marRight w:val="0"/>
      <w:marTop w:val="0"/>
      <w:marBottom w:val="0"/>
      <w:divBdr>
        <w:top w:val="none" w:sz="0" w:space="0" w:color="auto"/>
        <w:left w:val="none" w:sz="0" w:space="0" w:color="auto"/>
        <w:bottom w:val="none" w:sz="0" w:space="0" w:color="auto"/>
        <w:right w:val="none" w:sz="0" w:space="0" w:color="auto"/>
      </w:divBdr>
      <w:divsChild>
        <w:div w:id="201136811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24435796">
      <w:bodyDiv w:val="1"/>
      <w:marLeft w:val="0"/>
      <w:marRight w:val="0"/>
      <w:marTop w:val="0"/>
      <w:marBottom w:val="0"/>
      <w:divBdr>
        <w:top w:val="none" w:sz="0" w:space="0" w:color="auto"/>
        <w:left w:val="none" w:sz="0" w:space="0" w:color="auto"/>
        <w:bottom w:val="none" w:sz="0" w:space="0" w:color="auto"/>
        <w:right w:val="none" w:sz="0" w:space="0" w:color="auto"/>
      </w:divBdr>
    </w:div>
    <w:div w:id="2032143353">
      <w:bodyDiv w:val="1"/>
      <w:marLeft w:val="0"/>
      <w:marRight w:val="0"/>
      <w:marTop w:val="0"/>
      <w:marBottom w:val="0"/>
      <w:divBdr>
        <w:top w:val="none" w:sz="0" w:space="0" w:color="auto"/>
        <w:left w:val="none" w:sz="0" w:space="0" w:color="auto"/>
        <w:bottom w:val="none" w:sz="0" w:space="0" w:color="auto"/>
        <w:right w:val="none" w:sz="0" w:space="0" w:color="auto"/>
      </w:divBdr>
    </w:div>
    <w:div w:id="2062707404">
      <w:bodyDiv w:val="1"/>
      <w:marLeft w:val="0"/>
      <w:marRight w:val="0"/>
      <w:marTop w:val="0"/>
      <w:marBottom w:val="0"/>
      <w:divBdr>
        <w:top w:val="none" w:sz="0" w:space="0" w:color="auto"/>
        <w:left w:val="none" w:sz="0" w:space="0" w:color="auto"/>
        <w:bottom w:val="none" w:sz="0" w:space="0" w:color="auto"/>
        <w:right w:val="none" w:sz="0" w:space="0" w:color="auto"/>
      </w:divBdr>
      <w:divsChild>
        <w:div w:id="390544454">
          <w:marLeft w:val="0"/>
          <w:marRight w:val="0"/>
          <w:marTop w:val="0"/>
          <w:marBottom w:val="0"/>
          <w:divBdr>
            <w:top w:val="single" w:sz="2" w:space="0" w:color="auto"/>
            <w:left w:val="single" w:sz="2" w:space="0" w:color="auto"/>
            <w:bottom w:val="single" w:sz="2" w:space="0" w:color="auto"/>
            <w:right w:val="single" w:sz="2" w:space="0" w:color="auto"/>
          </w:divBdr>
          <w:divsChild>
            <w:div w:id="2016419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1534592">
      <w:bodyDiv w:val="1"/>
      <w:marLeft w:val="0"/>
      <w:marRight w:val="0"/>
      <w:marTop w:val="0"/>
      <w:marBottom w:val="0"/>
      <w:divBdr>
        <w:top w:val="none" w:sz="0" w:space="0" w:color="auto"/>
        <w:left w:val="none" w:sz="0" w:space="0" w:color="auto"/>
        <w:bottom w:val="none" w:sz="0" w:space="0" w:color="auto"/>
        <w:right w:val="none" w:sz="0" w:space="0" w:color="auto"/>
      </w:divBdr>
    </w:div>
    <w:div w:id="2127113490">
      <w:bodyDiv w:val="1"/>
      <w:marLeft w:val="0"/>
      <w:marRight w:val="0"/>
      <w:marTop w:val="0"/>
      <w:marBottom w:val="0"/>
      <w:divBdr>
        <w:top w:val="none" w:sz="0" w:space="0" w:color="auto"/>
        <w:left w:val="none" w:sz="0" w:space="0" w:color="auto"/>
        <w:bottom w:val="none" w:sz="0" w:space="0" w:color="auto"/>
        <w:right w:val="none" w:sz="0" w:space="0" w:color="auto"/>
      </w:divBdr>
    </w:div>
    <w:div w:id="21276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8.wmf"/><Relationship Id="rId84" Type="http://schemas.openxmlformats.org/officeDocument/2006/relationships/image" Target="media/image36.wmf"/><Relationship Id="rId89" Type="http://schemas.openxmlformats.org/officeDocument/2006/relationships/oleObject" Target="embeddings/oleObject41.bin"/><Relationship Id="rId112" Type="http://schemas.openxmlformats.org/officeDocument/2006/relationships/image" Target="media/image48.wmf"/><Relationship Id="rId16" Type="http://schemas.openxmlformats.org/officeDocument/2006/relationships/image" Target="media/image4.wmf"/><Relationship Id="rId107" Type="http://schemas.openxmlformats.org/officeDocument/2006/relationships/oleObject" Target="embeddings/oleObject50.bin"/><Relationship Id="rId11" Type="http://schemas.openxmlformats.org/officeDocument/2006/relationships/image" Target="media/image1.png"/><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oleObject" Target="embeddings/oleObject22.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6.bin"/><Relationship Id="rId102" Type="http://schemas.openxmlformats.org/officeDocument/2006/relationships/image" Target="media/image44.wmf"/><Relationship Id="rId5" Type="http://schemas.openxmlformats.org/officeDocument/2006/relationships/webSettings" Target="webSettings.xml"/><Relationship Id="rId90" Type="http://schemas.openxmlformats.org/officeDocument/2006/relationships/image" Target="media/image39.wmf"/><Relationship Id="rId95" Type="http://schemas.openxmlformats.org/officeDocument/2006/relationships/image" Target="media/image41.wmf"/><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19.wmf"/><Relationship Id="rId64" Type="http://schemas.openxmlformats.org/officeDocument/2006/relationships/image" Target="media/image26.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fontTable" Target="fontTable.xml"/><Relationship Id="rId80" Type="http://schemas.openxmlformats.org/officeDocument/2006/relationships/image" Target="media/image34.wmf"/><Relationship Id="rId85" Type="http://schemas.openxmlformats.org/officeDocument/2006/relationships/oleObject" Target="embeddings/oleObject39.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47.wmf"/><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49.wmf"/><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37.wmf"/><Relationship Id="rId94" Type="http://schemas.openxmlformats.org/officeDocument/2006/relationships/oleObject" Target="embeddings/oleObject44.bin"/><Relationship Id="rId99" Type="http://schemas.openxmlformats.org/officeDocument/2006/relationships/hyperlink" Target="https://www.caee.utexas.edu/prof/bhat/ABSTRACTS/Telemedicine/OnlineSupp.pdf" TargetMode="External"/><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hyperlink" Target="mailto:bhat@mail.utexas.edu"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27.wmf"/><Relationship Id="rId87" Type="http://schemas.openxmlformats.org/officeDocument/2006/relationships/oleObject" Target="embeddings/oleObject40.bin"/><Relationship Id="rId110" Type="http://schemas.openxmlformats.org/officeDocument/2006/relationships/footer" Target="footer2.xml"/><Relationship Id="rId115" Type="http://schemas.openxmlformats.org/officeDocument/2006/relationships/oleObject" Target="embeddings/oleObject53.bin"/><Relationship Id="rId61" Type="http://schemas.openxmlformats.org/officeDocument/2006/relationships/oleObject" Target="embeddings/oleObject27.bin"/><Relationship Id="rId82" Type="http://schemas.openxmlformats.org/officeDocument/2006/relationships/image" Target="media/image35.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3.wmf"/><Relationship Id="rId105" Type="http://schemas.openxmlformats.org/officeDocument/2006/relationships/oleObject" Target="embeddings/oleObject49.bin"/><Relationship Id="rId8" Type="http://schemas.openxmlformats.org/officeDocument/2006/relationships/hyperlink" Target="mailto:angela.haddad@utexas.edu" TargetMode="External"/><Relationship Id="rId51" Type="http://schemas.openxmlformats.org/officeDocument/2006/relationships/oleObject" Target="embeddings/oleObject21.bin"/><Relationship Id="rId72" Type="http://schemas.openxmlformats.org/officeDocument/2006/relationships/image" Target="media/image30.wmf"/><Relationship Id="rId93" Type="http://schemas.openxmlformats.org/officeDocument/2006/relationships/oleObject" Target="embeddings/oleObject43.bin"/><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0.bin"/><Relationship Id="rId116" Type="http://schemas.openxmlformats.org/officeDocument/2006/relationships/image" Target="media/image50.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5.wmf"/><Relationship Id="rId83" Type="http://schemas.openxmlformats.org/officeDocument/2006/relationships/oleObject" Target="embeddings/oleObject38.bin"/><Relationship Id="rId88" Type="http://schemas.openxmlformats.org/officeDocument/2006/relationships/image" Target="media/image38.wmf"/><Relationship Id="rId111" Type="http://schemas.openxmlformats.org/officeDocument/2006/relationships/footer" Target="footer3.xm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oleObject" Target="embeddings/oleObject25.bin"/><Relationship Id="rId106"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C314-382F-4059-9A6F-48FB0F58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20551</Words>
  <Characters>421788</Characters>
  <Application>Microsoft Office Word</Application>
  <DocSecurity>0</DocSecurity>
  <Lines>3514</Lines>
  <Paragraphs>882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Angela</dc:creator>
  <cp:keywords/>
  <dc:description/>
  <cp:lastModifiedBy>Macias, Lisa J</cp:lastModifiedBy>
  <cp:revision>2</cp:revision>
  <cp:lastPrinted>2024-10-08T03:03:00Z</cp:lastPrinted>
  <dcterms:created xsi:type="dcterms:W3CDTF">2024-10-18T15:25:00Z</dcterms:created>
  <dcterms:modified xsi:type="dcterms:W3CDTF">2024-10-18T15:25:00Z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id="VUJREAn8"/&gt;&lt;style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TWinEqns">
    <vt:bool>true</vt:bool>
  </property>
  <property fmtid="{D5CDD505-2E9C-101B-9397-08002B2CF9AE}" pid="5" name="GrammarlyDocumentId">
    <vt:lpwstr>b4f4ec5d09b046af83134419e93a9f71b25caff479d6c1e1d02919d09f6fded0</vt:lpwstr>
  </property>
</Properties>
</file>