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818" w:rsidRDefault="00813818" w:rsidP="006879E5">
      <w:pPr>
        <w:pStyle w:val="1Roman"/>
        <w:tabs>
          <w:tab w:val="clear" w:pos="720"/>
        </w:tabs>
        <w:ind w:left="0" w:firstLine="0"/>
        <w:rPr>
          <w:b/>
          <w:sz w:val="24"/>
        </w:rPr>
      </w:pPr>
    </w:p>
    <w:p w:rsidR="00813818" w:rsidRDefault="00813818" w:rsidP="006879E5">
      <w:pPr>
        <w:pStyle w:val="1Roman"/>
        <w:tabs>
          <w:tab w:val="clear" w:pos="720"/>
        </w:tabs>
        <w:ind w:left="0" w:firstLine="0"/>
        <w:rPr>
          <w:b/>
          <w:sz w:val="24"/>
        </w:rPr>
      </w:pPr>
    </w:p>
    <w:p w:rsidR="006879E5" w:rsidRDefault="00227718" w:rsidP="006879E5">
      <w:pPr>
        <w:pStyle w:val="1Roman"/>
        <w:tabs>
          <w:tab w:val="clear" w:pos="720"/>
        </w:tabs>
        <w:ind w:left="0" w:firstLine="0"/>
        <w:rPr>
          <w:b/>
          <w:sz w:val="24"/>
        </w:rPr>
      </w:pPr>
      <w:r w:rsidRPr="00B755C9">
        <w:rPr>
          <w:b/>
          <w:sz w:val="24"/>
        </w:rPr>
        <w:t xml:space="preserve">Assessing the Impact of Transportation Policies on Fuel Consumption and </w:t>
      </w:r>
    </w:p>
    <w:p w:rsidR="00227718" w:rsidRDefault="00227718" w:rsidP="006879E5">
      <w:pPr>
        <w:pStyle w:val="1Roman"/>
        <w:tabs>
          <w:tab w:val="clear" w:pos="720"/>
        </w:tabs>
        <w:ind w:left="0" w:firstLine="0"/>
        <w:rPr>
          <w:b/>
          <w:sz w:val="24"/>
        </w:rPr>
      </w:pPr>
      <w:r w:rsidRPr="00B755C9">
        <w:rPr>
          <w:b/>
          <w:sz w:val="24"/>
        </w:rPr>
        <w:t>Greenhouse Gas Emissions Using a Household Vehicle Fleet Simulator</w:t>
      </w:r>
    </w:p>
    <w:p w:rsidR="006879E5" w:rsidRDefault="006879E5" w:rsidP="006879E5">
      <w:pPr>
        <w:spacing w:after="0" w:line="240" w:lineRule="auto"/>
        <w:rPr>
          <w:rFonts w:ascii="Times New Roman" w:hAnsi="Times New Roman"/>
          <w:bCs/>
          <w:sz w:val="24"/>
          <w:szCs w:val="24"/>
        </w:rPr>
      </w:pPr>
    </w:p>
    <w:p w:rsidR="00711E8E" w:rsidRDefault="00711E8E" w:rsidP="006879E5">
      <w:pPr>
        <w:spacing w:after="0" w:line="240" w:lineRule="auto"/>
        <w:rPr>
          <w:rFonts w:ascii="Times New Roman" w:hAnsi="Times New Roman"/>
          <w:bCs/>
          <w:sz w:val="24"/>
          <w:szCs w:val="24"/>
        </w:rPr>
      </w:pPr>
    </w:p>
    <w:p w:rsidR="00813818" w:rsidRDefault="00813818" w:rsidP="006879E5">
      <w:pPr>
        <w:spacing w:after="0" w:line="240" w:lineRule="auto"/>
        <w:rPr>
          <w:rFonts w:ascii="Times New Roman" w:hAnsi="Times New Roman"/>
          <w:bCs/>
          <w:sz w:val="24"/>
          <w:szCs w:val="24"/>
        </w:rPr>
      </w:pPr>
    </w:p>
    <w:p w:rsidR="00813818" w:rsidRPr="00711E8E" w:rsidRDefault="00813818" w:rsidP="006879E5">
      <w:pPr>
        <w:spacing w:after="0" w:line="240" w:lineRule="auto"/>
        <w:rPr>
          <w:rFonts w:ascii="Times New Roman" w:hAnsi="Times New Roman"/>
          <w:bCs/>
          <w:sz w:val="24"/>
          <w:szCs w:val="24"/>
        </w:rPr>
      </w:pPr>
    </w:p>
    <w:p w:rsidR="006879E5" w:rsidRPr="009771CA" w:rsidRDefault="001D2CF8" w:rsidP="006879E5">
      <w:pPr>
        <w:spacing w:after="0" w:line="240" w:lineRule="auto"/>
        <w:outlineLvl w:val="0"/>
        <w:rPr>
          <w:rFonts w:ascii="Times New Roman" w:hAnsi="Times New Roman"/>
          <w:b/>
          <w:bCs/>
          <w:sz w:val="24"/>
          <w:szCs w:val="24"/>
        </w:rPr>
      </w:pPr>
      <w:r w:rsidRPr="009771CA">
        <w:rPr>
          <w:rFonts w:ascii="Times New Roman" w:hAnsi="Times New Roman"/>
          <w:b/>
          <w:bCs/>
          <w:sz w:val="24"/>
          <w:szCs w:val="24"/>
        </w:rPr>
        <w:t>Rajesh Paleti</w:t>
      </w:r>
      <w:r>
        <w:rPr>
          <w:rFonts w:ascii="Times New Roman" w:hAnsi="Times New Roman"/>
          <w:b/>
          <w:bCs/>
          <w:sz w:val="24"/>
          <w:szCs w:val="24"/>
        </w:rPr>
        <w:t>*</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Parsons Brinckerhoff, One Penn Plaza, Suite 200</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New York, NY  10119. Tel: 212-613-8800; Fax: 212-465-5096</w:t>
      </w:r>
    </w:p>
    <w:p w:rsid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 xml:space="preserve">Email: </w:t>
      </w:r>
      <w:hyperlink r:id="rId8" w:history="1">
        <w:r w:rsidRPr="00E044DC">
          <w:rPr>
            <w:rStyle w:val="Hyperlink"/>
            <w:rFonts w:ascii="Times New Roman" w:hAnsi="Times New Roman"/>
            <w:bCs/>
            <w:sz w:val="24"/>
            <w:szCs w:val="24"/>
          </w:rPr>
          <w:t>paleti@pbworld.com</w:t>
        </w:r>
      </w:hyperlink>
      <w:r>
        <w:rPr>
          <w:rFonts w:ascii="Times New Roman" w:hAnsi="Times New Roman"/>
          <w:bCs/>
          <w:sz w:val="24"/>
          <w:szCs w:val="24"/>
        </w:rPr>
        <w:t xml:space="preserve"> </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 xml:space="preserve"> </w:t>
      </w:r>
    </w:p>
    <w:p w:rsidR="006879E5" w:rsidRPr="009771CA" w:rsidRDefault="006879E5" w:rsidP="006879E5">
      <w:pPr>
        <w:spacing w:after="0" w:line="240" w:lineRule="auto"/>
        <w:outlineLvl w:val="0"/>
        <w:rPr>
          <w:rFonts w:ascii="Times New Roman" w:hAnsi="Times New Roman"/>
          <w:b/>
          <w:bCs/>
          <w:sz w:val="24"/>
          <w:szCs w:val="24"/>
        </w:rPr>
      </w:pPr>
      <w:r w:rsidRPr="009771CA">
        <w:rPr>
          <w:rFonts w:ascii="Times New Roman" w:hAnsi="Times New Roman"/>
          <w:b/>
          <w:bCs/>
          <w:sz w:val="24"/>
          <w:szCs w:val="24"/>
        </w:rPr>
        <w:t>Chandra R. Bhat (corresponding author)</w:t>
      </w:r>
    </w:p>
    <w:p w:rsidR="001D2CF8" w:rsidRPr="00780457" w:rsidRDefault="001D2CF8" w:rsidP="001D2CF8">
      <w:pPr>
        <w:spacing w:after="0" w:line="240" w:lineRule="auto"/>
        <w:outlineLvl w:val="0"/>
        <w:rPr>
          <w:rFonts w:ascii="Times New Roman" w:hAnsi="Times New Roman"/>
          <w:bCs/>
          <w:sz w:val="24"/>
          <w:szCs w:val="24"/>
        </w:rPr>
      </w:pPr>
      <w:r w:rsidRPr="00780457">
        <w:rPr>
          <w:rFonts w:ascii="Times New Roman" w:hAnsi="Times New Roman"/>
          <w:bCs/>
          <w:sz w:val="24"/>
          <w:szCs w:val="24"/>
        </w:rPr>
        <w:t>The University of Texas at Austin</w:t>
      </w:r>
    </w:p>
    <w:p w:rsidR="001D2CF8" w:rsidRPr="00780457" w:rsidRDefault="001D2CF8" w:rsidP="001D2CF8">
      <w:pPr>
        <w:spacing w:after="0" w:line="240" w:lineRule="auto"/>
        <w:outlineLvl w:val="0"/>
        <w:rPr>
          <w:rFonts w:ascii="Times New Roman" w:hAnsi="Times New Roman"/>
          <w:bCs/>
          <w:sz w:val="24"/>
          <w:szCs w:val="24"/>
        </w:rPr>
      </w:pPr>
      <w:r w:rsidRPr="00780457">
        <w:rPr>
          <w:rFonts w:ascii="Times New Roman" w:hAnsi="Times New Roman"/>
          <w:bCs/>
          <w:sz w:val="24"/>
          <w:szCs w:val="24"/>
        </w:rPr>
        <w:t>Department of Civil, Architectural &amp; Environmental Engineering</w:t>
      </w:r>
    </w:p>
    <w:p w:rsidR="001D2CF8" w:rsidRPr="00780457" w:rsidRDefault="001D2CF8" w:rsidP="001D2CF8">
      <w:pPr>
        <w:spacing w:after="0" w:line="240" w:lineRule="auto"/>
        <w:outlineLvl w:val="0"/>
        <w:rPr>
          <w:rFonts w:ascii="Times New Roman" w:hAnsi="Times New Roman"/>
          <w:bCs/>
          <w:sz w:val="24"/>
          <w:szCs w:val="24"/>
        </w:rPr>
      </w:pPr>
      <w:r w:rsidRPr="00780457">
        <w:rPr>
          <w:rFonts w:ascii="Times New Roman" w:hAnsi="Times New Roman"/>
          <w:sz w:val="24"/>
          <w:szCs w:val="24"/>
        </w:rPr>
        <w:t>301 E. Dean Keeton St. Stop C1761, Austin TX 78712</w:t>
      </w:r>
      <w:r w:rsidRPr="00780457">
        <w:rPr>
          <w:rFonts w:ascii="Times New Roman" w:hAnsi="Times New Roman"/>
          <w:bCs/>
          <w:sz w:val="24"/>
          <w:szCs w:val="24"/>
        </w:rPr>
        <w:t>. Tel: 512-471-4535; Fax: 512-475-8744</w:t>
      </w:r>
    </w:p>
    <w:p w:rsidR="006879E5" w:rsidRDefault="001D2CF8" w:rsidP="001D2CF8">
      <w:pPr>
        <w:spacing w:after="0" w:line="240" w:lineRule="auto"/>
        <w:outlineLvl w:val="0"/>
        <w:rPr>
          <w:rFonts w:ascii="Times New Roman" w:hAnsi="Times New Roman"/>
          <w:bCs/>
          <w:sz w:val="24"/>
          <w:szCs w:val="24"/>
        </w:rPr>
      </w:pPr>
      <w:r w:rsidRPr="00780457">
        <w:rPr>
          <w:rFonts w:ascii="Times New Roman" w:hAnsi="Times New Roman"/>
          <w:bCs/>
          <w:sz w:val="24"/>
          <w:szCs w:val="24"/>
        </w:rPr>
        <w:t xml:space="preserve">Email: </w:t>
      </w:r>
      <w:hyperlink r:id="rId9" w:history="1">
        <w:r w:rsidRPr="00780457">
          <w:rPr>
            <w:rStyle w:val="Hyperlink"/>
            <w:rFonts w:ascii="Times New Roman" w:hAnsi="Times New Roman"/>
            <w:bCs/>
            <w:sz w:val="24"/>
            <w:szCs w:val="24"/>
          </w:rPr>
          <w:t>bhat@mail.utexas.edu</w:t>
        </w:r>
      </w:hyperlink>
      <w:r w:rsidR="006879E5">
        <w:rPr>
          <w:rFonts w:ascii="Times New Roman" w:hAnsi="Times New Roman"/>
          <w:bCs/>
          <w:sz w:val="24"/>
          <w:szCs w:val="24"/>
        </w:rPr>
        <w:t xml:space="preserve"> </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 xml:space="preserve"> </w:t>
      </w:r>
      <w:r>
        <w:rPr>
          <w:rFonts w:ascii="Times New Roman" w:hAnsi="Times New Roman"/>
          <w:bCs/>
          <w:sz w:val="24"/>
          <w:szCs w:val="24"/>
        </w:rPr>
        <w:t xml:space="preserve"> </w:t>
      </w:r>
    </w:p>
    <w:p w:rsidR="006879E5" w:rsidRPr="009771CA" w:rsidRDefault="006879E5" w:rsidP="006879E5">
      <w:pPr>
        <w:spacing w:after="0" w:line="240" w:lineRule="auto"/>
        <w:outlineLvl w:val="0"/>
        <w:rPr>
          <w:rFonts w:ascii="Times New Roman" w:hAnsi="Times New Roman"/>
          <w:b/>
          <w:bCs/>
          <w:sz w:val="24"/>
          <w:szCs w:val="24"/>
        </w:rPr>
      </w:pPr>
      <w:r w:rsidRPr="009771CA">
        <w:rPr>
          <w:rFonts w:ascii="Times New Roman" w:hAnsi="Times New Roman"/>
          <w:b/>
          <w:bCs/>
          <w:sz w:val="24"/>
          <w:szCs w:val="24"/>
        </w:rPr>
        <w:t>Ram M. Pendyala</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Arizona State University, School of Sustainable Engineering and the Built Environment</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Room ECG252, Tempe, AZ 85287-5306. Tel: 480-727-9164; Fax: 480-965-0557</w:t>
      </w:r>
    </w:p>
    <w:p w:rsid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 xml:space="preserve">Email: </w:t>
      </w:r>
      <w:hyperlink r:id="rId10" w:history="1">
        <w:r w:rsidRPr="00E044DC">
          <w:rPr>
            <w:rStyle w:val="Hyperlink"/>
            <w:rFonts w:ascii="Times New Roman" w:hAnsi="Times New Roman"/>
            <w:bCs/>
            <w:sz w:val="24"/>
            <w:szCs w:val="24"/>
          </w:rPr>
          <w:t>ram.pendyala@asu.edu</w:t>
        </w:r>
      </w:hyperlink>
      <w:r>
        <w:rPr>
          <w:rFonts w:ascii="Times New Roman" w:hAnsi="Times New Roman"/>
          <w:bCs/>
          <w:sz w:val="24"/>
          <w:szCs w:val="24"/>
        </w:rPr>
        <w:t xml:space="preserve"> </w:t>
      </w:r>
    </w:p>
    <w:p w:rsidR="006879E5" w:rsidRPr="006879E5" w:rsidRDefault="006879E5" w:rsidP="006879E5">
      <w:pPr>
        <w:spacing w:after="0" w:line="240" w:lineRule="auto"/>
        <w:outlineLvl w:val="0"/>
        <w:rPr>
          <w:rFonts w:ascii="Times New Roman" w:hAnsi="Times New Roman"/>
          <w:bCs/>
          <w:sz w:val="24"/>
          <w:szCs w:val="24"/>
        </w:rPr>
      </w:pPr>
    </w:p>
    <w:p w:rsidR="006879E5" w:rsidRPr="009771CA" w:rsidRDefault="006879E5" w:rsidP="006879E5">
      <w:pPr>
        <w:spacing w:after="0" w:line="240" w:lineRule="auto"/>
        <w:outlineLvl w:val="0"/>
        <w:rPr>
          <w:rFonts w:ascii="Times New Roman" w:hAnsi="Times New Roman"/>
          <w:b/>
          <w:bCs/>
          <w:sz w:val="24"/>
          <w:szCs w:val="24"/>
        </w:rPr>
      </w:pPr>
      <w:r w:rsidRPr="009771CA">
        <w:rPr>
          <w:rFonts w:ascii="Times New Roman" w:hAnsi="Times New Roman"/>
          <w:b/>
          <w:bCs/>
          <w:sz w:val="24"/>
          <w:szCs w:val="24"/>
        </w:rPr>
        <w:t>Konstadinos G. Goulias</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University of California, Department of Geography</w:t>
      </w:r>
    </w:p>
    <w:p w:rsidR="006879E5" w:rsidRP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Santa Barbara, CA 93106-4060. Tel:  805-308-2837, Fax: 805-893-2578</w:t>
      </w:r>
    </w:p>
    <w:p w:rsidR="006879E5" w:rsidRDefault="006879E5" w:rsidP="006879E5">
      <w:pPr>
        <w:spacing w:after="0" w:line="240" w:lineRule="auto"/>
        <w:outlineLvl w:val="0"/>
        <w:rPr>
          <w:rFonts w:ascii="Times New Roman" w:hAnsi="Times New Roman"/>
          <w:bCs/>
          <w:sz w:val="24"/>
          <w:szCs w:val="24"/>
        </w:rPr>
      </w:pPr>
      <w:r w:rsidRPr="006879E5">
        <w:rPr>
          <w:rFonts w:ascii="Times New Roman" w:hAnsi="Times New Roman"/>
          <w:bCs/>
          <w:sz w:val="24"/>
          <w:szCs w:val="24"/>
        </w:rPr>
        <w:t xml:space="preserve">Email: </w:t>
      </w:r>
      <w:hyperlink r:id="rId11" w:history="1">
        <w:r w:rsidRPr="00E044DC">
          <w:rPr>
            <w:rStyle w:val="Hyperlink"/>
            <w:rFonts w:ascii="Times New Roman" w:hAnsi="Times New Roman"/>
            <w:bCs/>
            <w:sz w:val="24"/>
            <w:szCs w:val="24"/>
          </w:rPr>
          <w:t>goulias@geog.ucsb.edu</w:t>
        </w:r>
      </w:hyperlink>
      <w:r>
        <w:rPr>
          <w:rFonts w:ascii="Times New Roman" w:hAnsi="Times New Roman"/>
          <w:bCs/>
          <w:sz w:val="24"/>
          <w:szCs w:val="24"/>
        </w:rPr>
        <w:t xml:space="preserve"> </w:t>
      </w:r>
    </w:p>
    <w:p w:rsidR="006879E5" w:rsidRPr="006879E5" w:rsidRDefault="006879E5" w:rsidP="009771CA">
      <w:pPr>
        <w:spacing w:after="0" w:line="240" w:lineRule="auto"/>
        <w:outlineLvl w:val="0"/>
        <w:rPr>
          <w:rFonts w:ascii="Times New Roman" w:hAnsi="Times New Roman"/>
          <w:bCs/>
          <w:sz w:val="24"/>
          <w:szCs w:val="24"/>
        </w:rPr>
      </w:pPr>
    </w:p>
    <w:p w:rsidR="006879E5" w:rsidRPr="009771CA" w:rsidRDefault="006879E5" w:rsidP="009771CA">
      <w:pPr>
        <w:spacing w:after="0" w:line="240" w:lineRule="auto"/>
        <w:outlineLvl w:val="0"/>
        <w:rPr>
          <w:rFonts w:ascii="Times New Roman" w:hAnsi="Times New Roman"/>
          <w:b/>
          <w:bCs/>
          <w:sz w:val="24"/>
          <w:szCs w:val="24"/>
        </w:rPr>
      </w:pPr>
      <w:r w:rsidRPr="009771CA">
        <w:rPr>
          <w:rFonts w:ascii="Times New Roman" w:hAnsi="Times New Roman"/>
          <w:b/>
          <w:bCs/>
          <w:sz w:val="24"/>
          <w:szCs w:val="24"/>
        </w:rPr>
        <w:t>Thomas J. Adler</w:t>
      </w:r>
    </w:p>
    <w:p w:rsidR="006879E5" w:rsidRPr="006879E5" w:rsidRDefault="006879E5" w:rsidP="009771CA">
      <w:pPr>
        <w:spacing w:after="0" w:line="240" w:lineRule="auto"/>
        <w:outlineLvl w:val="0"/>
        <w:rPr>
          <w:rFonts w:ascii="Times New Roman" w:hAnsi="Times New Roman"/>
          <w:bCs/>
          <w:sz w:val="24"/>
          <w:szCs w:val="24"/>
        </w:rPr>
      </w:pPr>
      <w:r w:rsidRPr="006879E5">
        <w:rPr>
          <w:rFonts w:ascii="Times New Roman" w:hAnsi="Times New Roman"/>
          <w:bCs/>
          <w:sz w:val="24"/>
          <w:szCs w:val="24"/>
        </w:rPr>
        <w:t>Resource Systems Group, Inc.</w:t>
      </w:r>
    </w:p>
    <w:p w:rsidR="006879E5" w:rsidRPr="006879E5" w:rsidRDefault="006879E5" w:rsidP="009771CA">
      <w:pPr>
        <w:spacing w:after="0" w:line="240" w:lineRule="auto"/>
        <w:outlineLvl w:val="0"/>
        <w:rPr>
          <w:rFonts w:ascii="Times New Roman" w:hAnsi="Times New Roman"/>
          <w:bCs/>
          <w:sz w:val="24"/>
          <w:szCs w:val="24"/>
        </w:rPr>
      </w:pPr>
      <w:r w:rsidRPr="006879E5">
        <w:rPr>
          <w:rFonts w:ascii="Times New Roman" w:hAnsi="Times New Roman"/>
          <w:bCs/>
          <w:sz w:val="24"/>
          <w:szCs w:val="24"/>
        </w:rPr>
        <w:t>55 Railroad Row, White River Junction, VT 05001</w:t>
      </w:r>
      <w:r w:rsidR="00E21702">
        <w:rPr>
          <w:rFonts w:ascii="Times New Roman" w:hAnsi="Times New Roman"/>
          <w:bCs/>
          <w:sz w:val="24"/>
          <w:szCs w:val="24"/>
        </w:rPr>
        <w:t xml:space="preserve">. </w:t>
      </w:r>
      <w:r w:rsidRPr="006879E5">
        <w:rPr>
          <w:rFonts w:ascii="Times New Roman" w:eastAsia="Times New Roman" w:hAnsi="Times New Roman"/>
          <w:sz w:val="24"/>
          <w:szCs w:val="24"/>
        </w:rPr>
        <w:t xml:space="preserve">Tel: </w:t>
      </w:r>
      <w:r w:rsidRPr="006879E5">
        <w:rPr>
          <w:rFonts w:ascii="Times New Roman" w:hAnsi="Times New Roman"/>
          <w:bCs/>
          <w:sz w:val="24"/>
          <w:szCs w:val="24"/>
        </w:rPr>
        <w:t>802-295-4999</w:t>
      </w:r>
    </w:p>
    <w:p w:rsidR="006879E5" w:rsidRPr="006879E5" w:rsidRDefault="006879E5" w:rsidP="009771CA">
      <w:pPr>
        <w:spacing w:after="0" w:line="240" w:lineRule="auto"/>
        <w:rPr>
          <w:rFonts w:ascii="Times New Roman" w:hAnsi="Times New Roman"/>
          <w:bCs/>
          <w:i/>
          <w:sz w:val="24"/>
          <w:szCs w:val="24"/>
        </w:rPr>
      </w:pPr>
      <w:r w:rsidRPr="006879E5">
        <w:rPr>
          <w:rFonts w:ascii="Times New Roman" w:hAnsi="Times New Roman"/>
          <w:bCs/>
          <w:sz w:val="24"/>
          <w:szCs w:val="24"/>
        </w:rPr>
        <w:t xml:space="preserve">Email: </w:t>
      </w:r>
      <w:hyperlink r:id="rId12" w:history="1">
        <w:r w:rsidR="009771CA" w:rsidRPr="00E044DC">
          <w:rPr>
            <w:rStyle w:val="Hyperlink"/>
            <w:rFonts w:ascii="Times New Roman" w:hAnsi="Times New Roman"/>
            <w:bCs/>
            <w:sz w:val="24"/>
            <w:szCs w:val="24"/>
          </w:rPr>
          <w:t>tadler@rsginc.com</w:t>
        </w:r>
      </w:hyperlink>
    </w:p>
    <w:p w:rsidR="006879E5" w:rsidRPr="006879E5" w:rsidRDefault="006879E5" w:rsidP="009771CA">
      <w:pPr>
        <w:pStyle w:val="1Roman"/>
        <w:tabs>
          <w:tab w:val="clear" w:pos="720"/>
        </w:tabs>
        <w:ind w:left="0" w:firstLine="0"/>
        <w:rPr>
          <w:b/>
          <w:sz w:val="24"/>
        </w:rPr>
      </w:pPr>
    </w:p>
    <w:p w:rsidR="006879E5" w:rsidRPr="006879E5" w:rsidRDefault="006879E5" w:rsidP="009771CA">
      <w:pPr>
        <w:spacing w:after="0" w:line="240" w:lineRule="auto"/>
        <w:rPr>
          <w:rFonts w:ascii="Times New Roman" w:hAnsi="Times New Roman"/>
          <w:b/>
          <w:sz w:val="24"/>
          <w:szCs w:val="24"/>
        </w:rPr>
      </w:pPr>
      <w:r w:rsidRPr="006879E5">
        <w:rPr>
          <w:rFonts w:ascii="Times New Roman" w:hAnsi="Times New Roman"/>
          <w:b/>
          <w:sz w:val="24"/>
          <w:szCs w:val="24"/>
        </w:rPr>
        <w:t>Aniss Bahreinian</w:t>
      </w:r>
    </w:p>
    <w:p w:rsidR="006879E5" w:rsidRPr="006879E5" w:rsidRDefault="006879E5" w:rsidP="009771CA">
      <w:pPr>
        <w:spacing w:after="0" w:line="240" w:lineRule="auto"/>
        <w:rPr>
          <w:rFonts w:ascii="Times New Roman" w:hAnsi="Times New Roman"/>
          <w:sz w:val="24"/>
          <w:szCs w:val="24"/>
        </w:rPr>
      </w:pPr>
      <w:r w:rsidRPr="006879E5">
        <w:rPr>
          <w:rFonts w:ascii="Times New Roman" w:hAnsi="Times New Roman"/>
          <w:sz w:val="24"/>
          <w:szCs w:val="24"/>
        </w:rPr>
        <w:t>California Energy Commission</w:t>
      </w:r>
      <w:r w:rsidR="009771CA">
        <w:rPr>
          <w:rFonts w:ascii="Times New Roman" w:hAnsi="Times New Roman"/>
          <w:sz w:val="24"/>
          <w:szCs w:val="24"/>
        </w:rPr>
        <w:t xml:space="preserve">, </w:t>
      </w:r>
      <w:r w:rsidRPr="006879E5">
        <w:rPr>
          <w:rFonts w:ascii="Times New Roman" w:hAnsi="Times New Roman"/>
          <w:sz w:val="24"/>
          <w:szCs w:val="24"/>
        </w:rPr>
        <w:t xml:space="preserve">Fuels and Transportation Division </w:t>
      </w:r>
    </w:p>
    <w:p w:rsidR="009771CA" w:rsidRPr="00E21702" w:rsidRDefault="009771CA" w:rsidP="00E21702">
      <w:pPr>
        <w:spacing w:after="0" w:line="240" w:lineRule="auto"/>
        <w:rPr>
          <w:rFonts w:ascii="Times New Roman" w:hAnsi="Times New Roman"/>
          <w:sz w:val="24"/>
          <w:lang w:val="fr-FR"/>
        </w:rPr>
      </w:pPr>
      <w:r>
        <w:rPr>
          <w:rFonts w:ascii="Times New Roman" w:hAnsi="Times New Roman"/>
          <w:sz w:val="24"/>
          <w:szCs w:val="24"/>
        </w:rPr>
        <w:t>1516 Ninth Street, MS-29, Sacramento, CA 95814</w:t>
      </w:r>
      <w:r w:rsidRPr="00E21702">
        <w:rPr>
          <w:rFonts w:ascii="Times New Roman" w:hAnsi="Times New Roman"/>
          <w:sz w:val="24"/>
          <w:szCs w:val="24"/>
        </w:rPr>
        <w:t xml:space="preserve">. </w:t>
      </w:r>
      <w:r w:rsidRPr="00E21702">
        <w:rPr>
          <w:rFonts w:ascii="Times New Roman" w:hAnsi="Times New Roman"/>
          <w:sz w:val="24"/>
          <w:lang w:val="fr-FR"/>
        </w:rPr>
        <w:t>Tel : 916-653-0381</w:t>
      </w:r>
    </w:p>
    <w:p w:rsidR="006879E5" w:rsidRPr="006879E5" w:rsidRDefault="006879E5" w:rsidP="009771CA">
      <w:pPr>
        <w:pStyle w:val="1Roman"/>
        <w:tabs>
          <w:tab w:val="clear" w:pos="720"/>
        </w:tabs>
        <w:ind w:left="0" w:firstLine="0"/>
        <w:rPr>
          <w:b/>
          <w:sz w:val="24"/>
        </w:rPr>
      </w:pPr>
      <w:r w:rsidRPr="006879E5">
        <w:rPr>
          <w:sz w:val="24"/>
          <w:lang w:val="fr-FR"/>
        </w:rPr>
        <w:t xml:space="preserve">Email: </w:t>
      </w:r>
      <w:hyperlink r:id="rId13" w:history="1">
        <w:r w:rsidR="009771CA" w:rsidRPr="00E044DC">
          <w:rPr>
            <w:rStyle w:val="Hyperlink"/>
            <w:bCs/>
            <w:sz w:val="24"/>
          </w:rPr>
          <w:t>abahrein@energy.state.ca.us</w:t>
        </w:r>
      </w:hyperlink>
      <w:r w:rsidRPr="006879E5">
        <w:rPr>
          <w:sz w:val="24"/>
        </w:rPr>
        <w:t xml:space="preserve"> </w:t>
      </w:r>
      <w:r w:rsidRPr="006879E5">
        <w:rPr>
          <w:sz w:val="24"/>
          <w:lang w:val="fr-FR"/>
        </w:rPr>
        <w:t xml:space="preserve">  </w:t>
      </w:r>
    </w:p>
    <w:p w:rsidR="006879E5" w:rsidRDefault="006879E5" w:rsidP="009771CA">
      <w:pPr>
        <w:pStyle w:val="1Roman"/>
        <w:tabs>
          <w:tab w:val="clear" w:pos="720"/>
        </w:tabs>
        <w:ind w:left="0" w:firstLine="0"/>
        <w:rPr>
          <w:b/>
          <w:sz w:val="24"/>
        </w:rPr>
      </w:pPr>
    </w:p>
    <w:p w:rsidR="006879E5" w:rsidRDefault="001D2CF8" w:rsidP="006879E5">
      <w:pPr>
        <w:pStyle w:val="1Roman"/>
        <w:tabs>
          <w:tab w:val="clear" w:pos="720"/>
        </w:tabs>
        <w:spacing w:after="120"/>
        <w:ind w:left="0" w:firstLine="0"/>
        <w:rPr>
          <w:b/>
          <w:sz w:val="24"/>
        </w:rPr>
      </w:pPr>
      <w:r>
        <w:rPr>
          <w:b/>
          <w:sz w:val="24"/>
        </w:rPr>
        <w:t>*Research undertaken when Dr. Paleti was a student at the University of Texas at Austin</w:t>
      </w:r>
    </w:p>
    <w:p w:rsidR="00E21702" w:rsidRDefault="00E21702" w:rsidP="006879E5">
      <w:pPr>
        <w:pStyle w:val="1Roman"/>
        <w:tabs>
          <w:tab w:val="clear" w:pos="720"/>
        </w:tabs>
        <w:spacing w:after="120"/>
        <w:ind w:left="0" w:firstLine="0"/>
        <w:rPr>
          <w:b/>
          <w:sz w:val="24"/>
        </w:rPr>
      </w:pPr>
    </w:p>
    <w:p w:rsidR="00EE38A1" w:rsidRDefault="00EE38A1" w:rsidP="00C13B9F">
      <w:pPr>
        <w:spacing w:after="0" w:line="240" w:lineRule="auto"/>
        <w:rPr>
          <w:rFonts w:ascii="Times New Roman" w:hAnsi="Times New Roman"/>
          <w:b/>
          <w:sz w:val="24"/>
          <w:szCs w:val="24"/>
        </w:rPr>
        <w:sectPr w:rsidR="00EE38A1" w:rsidSect="001D2CF8">
          <w:headerReference w:type="default" r:id="rId14"/>
          <w:pgSz w:w="12240" w:h="15840"/>
          <w:pgMar w:top="1440" w:right="1440" w:bottom="1440" w:left="1440" w:header="720" w:footer="720" w:gutter="0"/>
          <w:cols w:space="720"/>
          <w:titlePg/>
          <w:docGrid w:linePitch="360"/>
        </w:sectPr>
      </w:pPr>
    </w:p>
    <w:p w:rsidR="009771CA" w:rsidRPr="00A06629" w:rsidRDefault="00A06629" w:rsidP="00C13B9F">
      <w:pPr>
        <w:spacing w:after="0" w:line="240" w:lineRule="auto"/>
        <w:rPr>
          <w:rFonts w:ascii="Times New Roman" w:hAnsi="Times New Roman"/>
          <w:b/>
          <w:sz w:val="24"/>
          <w:szCs w:val="24"/>
        </w:rPr>
      </w:pPr>
      <w:r>
        <w:rPr>
          <w:rFonts w:ascii="Times New Roman" w:hAnsi="Times New Roman"/>
          <w:b/>
          <w:sz w:val="24"/>
          <w:szCs w:val="24"/>
        </w:rPr>
        <w:lastRenderedPageBreak/>
        <w:t>ABSTRACT</w:t>
      </w:r>
    </w:p>
    <w:p w:rsidR="00A06629" w:rsidRPr="001D2CF8" w:rsidRDefault="00854168" w:rsidP="001D2CF8">
      <w:pPr>
        <w:pStyle w:val="1Roman"/>
        <w:tabs>
          <w:tab w:val="clear" w:pos="720"/>
        </w:tabs>
        <w:ind w:left="0" w:firstLine="0"/>
        <w:jc w:val="both"/>
        <w:rPr>
          <w:sz w:val="24"/>
        </w:rPr>
      </w:pPr>
      <w:r>
        <w:rPr>
          <w:sz w:val="24"/>
        </w:rPr>
        <w:t>This paper describes the application of a comprehensive vehicle fleet composition and evolution model system that is capable of taking a base year vehicle fleet and evolving it over time in annual time steps through the events of vehicle disposal, replacement, and acquisition.  The model system is sensitive to a host of socio-economic, demographic, built environment, and vehicle technology and price variables, making it ideally suited for such an application.  Coupled with a demographic forecasting model system that evolves the population over time, the vehicle evolution simulator is able to predict changes in vehicle fleet composition, miles of travel, fuel consumption, and greenhouse gas emissions under a</w:t>
      </w:r>
      <w:r w:rsidR="00631068">
        <w:rPr>
          <w:sz w:val="24"/>
        </w:rPr>
        <w:t xml:space="preserve"> wide range of scenarios. </w:t>
      </w:r>
      <w:r w:rsidR="00883ED9">
        <w:rPr>
          <w:sz w:val="24"/>
        </w:rPr>
        <w:t xml:space="preserve">Based on the findings from the study, it appears that future technological innovations (increase of driving range, for example) and pricing levels (doubling of gas cost) will have greater impacts on vehicle fleet composition, utilization, energy consumption, and greenhouse gas emissions than more incentive based approaches such as free HOV lane access for alternative fuel vehicles. </w:t>
      </w:r>
      <w:r w:rsidR="00631068">
        <w:rPr>
          <w:sz w:val="24"/>
        </w:rPr>
        <w:t xml:space="preserve"> </w:t>
      </w:r>
      <w:r>
        <w:rPr>
          <w:sz w:val="24"/>
        </w:rPr>
        <w:t xml:space="preserve"> </w:t>
      </w:r>
    </w:p>
    <w:p w:rsidR="006879E5" w:rsidRDefault="006879E5" w:rsidP="00C13B9F">
      <w:pPr>
        <w:pStyle w:val="1Roman"/>
        <w:tabs>
          <w:tab w:val="clear" w:pos="720"/>
        </w:tabs>
        <w:ind w:left="0" w:firstLine="0"/>
        <w:rPr>
          <w:b/>
          <w:sz w:val="24"/>
        </w:rPr>
      </w:pPr>
    </w:p>
    <w:p w:rsidR="001D49C8" w:rsidRDefault="00E21702" w:rsidP="001D49C8">
      <w:pPr>
        <w:pStyle w:val="1Roman"/>
        <w:tabs>
          <w:tab w:val="clear" w:pos="720"/>
        </w:tabs>
        <w:ind w:left="0" w:firstLine="0"/>
        <w:jc w:val="both"/>
        <w:rPr>
          <w:sz w:val="24"/>
        </w:rPr>
      </w:pPr>
      <w:r>
        <w:rPr>
          <w:b/>
          <w:sz w:val="24"/>
        </w:rPr>
        <w:t xml:space="preserve">Keywords: </w:t>
      </w:r>
      <w:r w:rsidR="00854168">
        <w:rPr>
          <w:sz w:val="24"/>
        </w:rPr>
        <w:t>vehicle fleet composition modeling, vehicle miles prediction, microsimulation modeling, vehicle and population evolution model application, estimation of ene</w:t>
      </w:r>
      <w:r w:rsidR="001D49C8">
        <w:rPr>
          <w:sz w:val="24"/>
        </w:rPr>
        <w:t>rgy and greenhouse gas emissions</w:t>
      </w:r>
    </w:p>
    <w:p w:rsidR="001D49C8" w:rsidRPr="001D49C8" w:rsidRDefault="001D49C8" w:rsidP="001D49C8">
      <w:pPr>
        <w:pStyle w:val="1Roman"/>
        <w:tabs>
          <w:tab w:val="clear" w:pos="720"/>
        </w:tabs>
        <w:ind w:left="0" w:firstLine="0"/>
        <w:jc w:val="both"/>
        <w:rPr>
          <w:sz w:val="24"/>
        </w:rPr>
        <w:sectPr w:rsidR="001D49C8" w:rsidRPr="001D49C8" w:rsidSect="001D2CF8">
          <w:headerReference w:type="first" r:id="rId15"/>
          <w:pgSz w:w="12240" w:h="15840"/>
          <w:pgMar w:top="1440" w:right="1440" w:bottom="1440" w:left="1440" w:header="720" w:footer="720" w:gutter="0"/>
          <w:cols w:space="720"/>
          <w:titlePg/>
          <w:docGrid w:linePitch="360"/>
        </w:sectPr>
      </w:pPr>
    </w:p>
    <w:p w:rsidR="00C13B9F" w:rsidRPr="00C13B9F" w:rsidRDefault="00C13B9F" w:rsidP="00C13B9F">
      <w:pPr>
        <w:spacing w:after="0" w:line="240" w:lineRule="auto"/>
        <w:jc w:val="both"/>
        <w:rPr>
          <w:rFonts w:ascii="Times New Roman" w:hAnsi="Times New Roman"/>
          <w:b/>
          <w:sz w:val="24"/>
          <w:szCs w:val="24"/>
        </w:rPr>
      </w:pPr>
      <w:r w:rsidRPr="00C13B9F">
        <w:rPr>
          <w:rFonts w:ascii="Times New Roman" w:hAnsi="Times New Roman"/>
          <w:b/>
          <w:sz w:val="24"/>
          <w:szCs w:val="24"/>
        </w:rPr>
        <w:lastRenderedPageBreak/>
        <w:t>INTRODUCTION</w:t>
      </w:r>
    </w:p>
    <w:p w:rsidR="001C701C" w:rsidRPr="00711E8E" w:rsidRDefault="00F352AD" w:rsidP="00C13B9F">
      <w:pPr>
        <w:spacing w:after="0" w:line="240" w:lineRule="auto"/>
        <w:jc w:val="both"/>
        <w:rPr>
          <w:rFonts w:ascii="Times New Roman" w:hAnsi="Times New Roman"/>
          <w:sz w:val="24"/>
          <w:szCs w:val="24"/>
        </w:rPr>
      </w:pPr>
      <w:r w:rsidRPr="00711E8E">
        <w:rPr>
          <w:rFonts w:ascii="Times New Roman" w:hAnsi="Times New Roman"/>
          <w:sz w:val="24"/>
          <w:szCs w:val="24"/>
        </w:rPr>
        <w:t>Over the past several years, there has been considerable progress in the modeling of household vehicle fleet compositio</w:t>
      </w:r>
      <w:r w:rsidR="00631068" w:rsidRPr="00711E8E">
        <w:rPr>
          <w:rFonts w:ascii="Times New Roman" w:hAnsi="Times New Roman"/>
          <w:sz w:val="24"/>
          <w:szCs w:val="24"/>
        </w:rPr>
        <w:t>n and utilization behavior (</w:t>
      </w:r>
      <w:r w:rsidR="005E09DE" w:rsidRPr="00711E8E">
        <w:rPr>
          <w:rFonts w:ascii="Times New Roman" w:hAnsi="Times New Roman"/>
          <w:i/>
          <w:sz w:val="24"/>
          <w:szCs w:val="24"/>
        </w:rPr>
        <w:t>1</w:t>
      </w:r>
      <w:r w:rsidR="005E09DE" w:rsidRPr="00711E8E">
        <w:rPr>
          <w:rFonts w:ascii="Times New Roman" w:hAnsi="Times New Roman"/>
          <w:sz w:val="24"/>
          <w:szCs w:val="24"/>
        </w:rPr>
        <w:t xml:space="preserve">, </w:t>
      </w:r>
      <w:r w:rsidR="005E09DE" w:rsidRPr="00711E8E">
        <w:rPr>
          <w:rFonts w:ascii="Times New Roman" w:hAnsi="Times New Roman"/>
          <w:i/>
          <w:sz w:val="24"/>
          <w:szCs w:val="24"/>
        </w:rPr>
        <w:t>2</w:t>
      </w:r>
      <w:r w:rsidRPr="00711E8E">
        <w:rPr>
          <w:rFonts w:ascii="Times New Roman" w:hAnsi="Times New Roman"/>
          <w:sz w:val="24"/>
          <w:szCs w:val="24"/>
        </w:rPr>
        <w:t>).  These models make it possible to forecast the mix of vehicles that households will own and the extent to which each vehicle in a household fleet will be driven (utilized) under a wide variety of scenarios and system conditions.  More recently, a comprehensive vehicle fleet simulation and evolution model system was developed as part of a larger activity-b</w:t>
      </w:r>
      <w:r w:rsidR="001C701C" w:rsidRPr="00711E8E">
        <w:rPr>
          <w:rFonts w:ascii="Times New Roman" w:hAnsi="Times New Roman"/>
          <w:sz w:val="24"/>
          <w:szCs w:val="24"/>
        </w:rPr>
        <w:t xml:space="preserve">ased travel demand model development effort for the Southern California Association of Governments (SCAG). </w:t>
      </w:r>
      <w:r w:rsidRPr="00711E8E">
        <w:rPr>
          <w:rFonts w:ascii="Times New Roman" w:hAnsi="Times New Roman"/>
          <w:sz w:val="24"/>
          <w:szCs w:val="24"/>
        </w:rPr>
        <w:t xml:space="preserve"> </w:t>
      </w:r>
      <w:r w:rsidR="001C701C" w:rsidRPr="00711E8E">
        <w:rPr>
          <w:rFonts w:ascii="Times New Roman" w:hAnsi="Times New Roman"/>
          <w:sz w:val="24"/>
          <w:szCs w:val="24"/>
        </w:rPr>
        <w:t xml:space="preserve">The activity-based travel demand model system, called </w:t>
      </w:r>
      <w:proofErr w:type="spellStart"/>
      <w:r w:rsidR="001C701C" w:rsidRPr="00711E8E">
        <w:rPr>
          <w:rFonts w:ascii="Times New Roman" w:hAnsi="Times New Roman"/>
          <w:sz w:val="24"/>
          <w:szCs w:val="24"/>
        </w:rPr>
        <w:t>SimAGENT</w:t>
      </w:r>
      <w:proofErr w:type="spellEnd"/>
      <w:r w:rsidR="001C701C" w:rsidRPr="00711E8E">
        <w:rPr>
          <w:rFonts w:ascii="Times New Roman" w:hAnsi="Times New Roman"/>
          <w:sz w:val="24"/>
          <w:szCs w:val="24"/>
        </w:rPr>
        <w:t xml:space="preserve"> (Simulator of Activities, Greenhouse emissions, Energy, Networks, and Travel), is capable of simulating the activity-travel patterns of all households and individuals in the Southern California region, a model region that includes a population of about 18 million in the 2</w:t>
      </w:r>
      <w:r w:rsidR="00F87F61" w:rsidRPr="00711E8E">
        <w:rPr>
          <w:rFonts w:ascii="Times New Roman" w:hAnsi="Times New Roman"/>
          <w:sz w:val="24"/>
          <w:szCs w:val="24"/>
        </w:rPr>
        <w:t>008 model base year (</w:t>
      </w:r>
      <w:r w:rsidR="00294DCE" w:rsidRPr="00711E8E">
        <w:rPr>
          <w:rFonts w:ascii="Times New Roman" w:hAnsi="Times New Roman"/>
          <w:sz w:val="24"/>
          <w:szCs w:val="24"/>
        </w:rPr>
        <w:t>3</w:t>
      </w:r>
      <w:r w:rsidR="001C701C" w:rsidRPr="00711E8E">
        <w:rPr>
          <w:rFonts w:ascii="Times New Roman" w:hAnsi="Times New Roman"/>
          <w:sz w:val="24"/>
          <w:szCs w:val="24"/>
        </w:rPr>
        <w:t xml:space="preserve">).  The vehicle fleet composition and evolution </w:t>
      </w:r>
      <w:r w:rsidR="00FF74C3" w:rsidRPr="00711E8E">
        <w:rPr>
          <w:rFonts w:ascii="Times New Roman" w:hAnsi="Times New Roman"/>
          <w:sz w:val="24"/>
          <w:szCs w:val="24"/>
        </w:rPr>
        <w:t>model system</w:t>
      </w:r>
      <w:r w:rsidR="001C701C" w:rsidRPr="00711E8E">
        <w:rPr>
          <w:rFonts w:ascii="Times New Roman" w:hAnsi="Times New Roman"/>
          <w:sz w:val="24"/>
          <w:szCs w:val="24"/>
        </w:rPr>
        <w:t xml:space="preserve"> is capable of evolving </w:t>
      </w:r>
      <w:r w:rsidR="00FF74C3" w:rsidRPr="00711E8E">
        <w:rPr>
          <w:rFonts w:ascii="Times New Roman" w:hAnsi="Times New Roman"/>
          <w:sz w:val="24"/>
          <w:szCs w:val="24"/>
        </w:rPr>
        <w:t xml:space="preserve">the </w:t>
      </w:r>
      <w:r w:rsidR="001C701C" w:rsidRPr="00711E8E">
        <w:rPr>
          <w:rFonts w:ascii="Times New Roman" w:hAnsi="Times New Roman"/>
          <w:sz w:val="24"/>
          <w:szCs w:val="24"/>
        </w:rPr>
        <w:t>household fleet mix over time by reflecting and modeling household decisions to acquire, replace, and dispose of vehicles on an annual time</w:t>
      </w:r>
      <w:r w:rsidR="00F87F61" w:rsidRPr="00711E8E">
        <w:rPr>
          <w:rFonts w:ascii="Times New Roman" w:hAnsi="Times New Roman"/>
          <w:sz w:val="24"/>
          <w:szCs w:val="24"/>
        </w:rPr>
        <w:t xml:space="preserve"> scale (</w:t>
      </w:r>
      <w:r w:rsidR="00294DCE" w:rsidRPr="00711E8E">
        <w:rPr>
          <w:rFonts w:ascii="Times New Roman" w:hAnsi="Times New Roman"/>
          <w:i/>
          <w:sz w:val="24"/>
          <w:szCs w:val="24"/>
        </w:rPr>
        <w:t>4</w:t>
      </w:r>
      <w:r w:rsidR="00FF74C3" w:rsidRPr="00711E8E">
        <w:rPr>
          <w:rFonts w:ascii="Times New Roman" w:hAnsi="Times New Roman"/>
          <w:sz w:val="24"/>
          <w:szCs w:val="24"/>
        </w:rPr>
        <w:t>)</w:t>
      </w:r>
      <w:r w:rsidR="001C701C" w:rsidRPr="00711E8E">
        <w:rPr>
          <w:rFonts w:ascii="Times New Roman" w:hAnsi="Times New Roman"/>
          <w:sz w:val="24"/>
          <w:szCs w:val="24"/>
        </w:rPr>
        <w:t>.</w:t>
      </w:r>
    </w:p>
    <w:p w:rsidR="00290AE3" w:rsidRPr="00711E8E" w:rsidRDefault="001C701C" w:rsidP="00C13B9F">
      <w:pPr>
        <w:spacing w:after="0" w:line="240" w:lineRule="auto"/>
        <w:jc w:val="both"/>
        <w:rPr>
          <w:rFonts w:ascii="Times New Roman" w:hAnsi="Times New Roman"/>
          <w:sz w:val="24"/>
          <w:szCs w:val="24"/>
        </w:rPr>
      </w:pPr>
      <w:r w:rsidRPr="00711E8E">
        <w:rPr>
          <w:rFonts w:ascii="Times New Roman" w:hAnsi="Times New Roman"/>
          <w:sz w:val="24"/>
          <w:szCs w:val="24"/>
        </w:rPr>
        <w:tab/>
        <w:t>The objective of this paper is to apply this model system, in conjunction with a population evolution model system, to a few different vehicle policy scenarios and forecast the impacts of the policy actions on vehicle fleet composition, and resultant energy and emissions estimates of the future.  In the face of recent legislative initiatives in Califor</w:t>
      </w:r>
      <w:r w:rsidR="00631068" w:rsidRPr="00711E8E">
        <w:rPr>
          <w:rFonts w:ascii="Times New Roman" w:hAnsi="Times New Roman"/>
          <w:sz w:val="24"/>
          <w:szCs w:val="24"/>
        </w:rPr>
        <w:t xml:space="preserve">nia (such as SB375 and AB32; </w:t>
      </w:r>
      <w:r w:rsidR="00294DCE" w:rsidRPr="00711E8E">
        <w:rPr>
          <w:rFonts w:ascii="Times New Roman" w:hAnsi="Times New Roman"/>
          <w:i/>
          <w:sz w:val="24"/>
          <w:szCs w:val="24"/>
        </w:rPr>
        <w:t>5</w:t>
      </w:r>
      <w:r w:rsidRPr="00711E8E">
        <w:rPr>
          <w:rFonts w:ascii="Times New Roman" w:hAnsi="Times New Roman"/>
          <w:sz w:val="24"/>
          <w:szCs w:val="24"/>
        </w:rPr>
        <w:t xml:space="preserve">), it is imperative that transportation demand forecasting model systems include </w:t>
      </w:r>
      <w:r w:rsidR="00290AE3" w:rsidRPr="00711E8E">
        <w:rPr>
          <w:rFonts w:ascii="Times New Roman" w:hAnsi="Times New Roman"/>
          <w:sz w:val="24"/>
          <w:szCs w:val="24"/>
        </w:rPr>
        <w:t xml:space="preserve">vehicle fleet composition and evolution simulator capable of reflecting dynamics in the vehicle fleet mix (and resultant changes in fuel consumption and greenhouse gas emissions) brought about by socio-economic, demographic, technological, built environment, and policy changes.  </w:t>
      </w:r>
    </w:p>
    <w:p w:rsidR="00290AE3" w:rsidRDefault="00290AE3" w:rsidP="00C13B9F">
      <w:pPr>
        <w:spacing w:after="0" w:line="240" w:lineRule="auto"/>
        <w:jc w:val="both"/>
        <w:rPr>
          <w:rFonts w:ascii="Times New Roman" w:hAnsi="Times New Roman"/>
          <w:sz w:val="24"/>
          <w:szCs w:val="24"/>
        </w:rPr>
      </w:pPr>
      <w:r w:rsidRPr="00711E8E">
        <w:rPr>
          <w:rFonts w:ascii="Times New Roman" w:hAnsi="Times New Roman"/>
          <w:sz w:val="24"/>
          <w:szCs w:val="24"/>
        </w:rPr>
        <w:tab/>
        <w:t>The remainder of this paper is organized as follows.  The next section offers a brief overview of the vehicle fleet simulator.  The third section describes the policies considered for evaluation in this paper.  Results of the policy simulations are offered in the fourth section.  Concluding remarks are offered in the fifth and final section.</w:t>
      </w:r>
      <w:r>
        <w:rPr>
          <w:rFonts w:ascii="Times New Roman" w:hAnsi="Times New Roman"/>
          <w:sz w:val="24"/>
          <w:szCs w:val="24"/>
        </w:rPr>
        <w:t xml:space="preserve">  </w:t>
      </w:r>
    </w:p>
    <w:p w:rsidR="00290AE3" w:rsidRDefault="00290AE3" w:rsidP="00C13B9F">
      <w:pPr>
        <w:spacing w:after="0" w:line="240" w:lineRule="auto"/>
        <w:jc w:val="both"/>
        <w:rPr>
          <w:rFonts w:ascii="Times New Roman" w:hAnsi="Times New Roman"/>
          <w:sz w:val="24"/>
          <w:szCs w:val="24"/>
        </w:rPr>
      </w:pPr>
    </w:p>
    <w:p w:rsidR="00290AE3" w:rsidRPr="00290AE3" w:rsidRDefault="00290AE3" w:rsidP="00C13B9F">
      <w:pPr>
        <w:spacing w:after="0" w:line="240" w:lineRule="auto"/>
        <w:jc w:val="both"/>
        <w:rPr>
          <w:rFonts w:ascii="Times New Roman" w:hAnsi="Times New Roman"/>
          <w:b/>
          <w:sz w:val="24"/>
          <w:szCs w:val="24"/>
        </w:rPr>
      </w:pPr>
      <w:r>
        <w:rPr>
          <w:rFonts w:ascii="Times New Roman" w:hAnsi="Times New Roman"/>
          <w:b/>
          <w:sz w:val="24"/>
          <w:szCs w:val="24"/>
        </w:rPr>
        <w:t>SIMULATION MODEL SYSTEM</w:t>
      </w:r>
    </w:p>
    <w:p w:rsidR="00290AE3" w:rsidRDefault="00566361" w:rsidP="00C13B9F">
      <w:pPr>
        <w:spacing w:after="0" w:line="240" w:lineRule="auto"/>
        <w:jc w:val="both"/>
        <w:rPr>
          <w:rFonts w:ascii="Times New Roman" w:hAnsi="Times New Roman"/>
          <w:sz w:val="24"/>
          <w:szCs w:val="24"/>
        </w:rPr>
      </w:pPr>
      <w:r>
        <w:rPr>
          <w:rFonts w:ascii="Times New Roman" w:hAnsi="Times New Roman"/>
          <w:sz w:val="24"/>
          <w:szCs w:val="24"/>
        </w:rPr>
        <w:t xml:space="preserve">For purposes of this study, there are a few specific modules or components of </w:t>
      </w:r>
      <w:proofErr w:type="spellStart"/>
      <w:r>
        <w:rPr>
          <w:rFonts w:ascii="Times New Roman" w:hAnsi="Times New Roman"/>
          <w:sz w:val="24"/>
          <w:szCs w:val="24"/>
        </w:rPr>
        <w:t>SimAGENT</w:t>
      </w:r>
      <w:proofErr w:type="spellEnd"/>
      <w:r>
        <w:rPr>
          <w:rFonts w:ascii="Times New Roman" w:hAnsi="Times New Roman"/>
          <w:sz w:val="24"/>
          <w:szCs w:val="24"/>
        </w:rPr>
        <w:t xml:space="preserve"> that have to be invoked so that forecasts of vehicle fleet composition, and energy and emissions, can be obtained.  This section presents a brief description of these specific modules. </w:t>
      </w:r>
    </w:p>
    <w:p w:rsidR="00566361" w:rsidRDefault="00566361" w:rsidP="00C13B9F">
      <w:pPr>
        <w:spacing w:after="0" w:line="240" w:lineRule="auto"/>
        <w:jc w:val="both"/>
        <w:rPr>
          <w:rFonts w:ascii="Times New Roman" w:hAnsi="Times New Roman"/>
          <w:sz w:val="24"/>
          <w:szCs w:val="24"/>
        </w:rPr>
      </w:pPr>
    </w:p>
    <w:p w:rsidR="00566361" w:rsidRDefault="00566361" w:rsidP="00C13B9F">
      <w:pPr>
        <w:spacing w:after="0" w:line="240" w:lineRule="auto"/>
        <w:jc w:val="both"/>
        <w:rPr>
          <w:rFonts w:ascii="Times New Roman" w:hAnsi="Times New Roman"/>
          <w:sz w:val="24"/>
          <w:szCs w:val="24"/>
        </w:rPr>
      </w:pPr>
      <w:r>
        <w:rPr>
          <w:rFonts w:ascii="Times New Roman" w:hAnsi="Times New Roman"/>
          <w:b/>
          <w:sz w:val="24"/>
          <w:szCs w:val="24"/>
        </w:rPr>
        <w:t>Vehicle Fleet Simulator</w:t>
      </w:r>
    </w:p>
    <w:p w:rsidR="00CC0511" w:rsidRPr="00B755C9" w:rsidRDefault="00227718" w:rsidP="00CC0511">
      <w:pPr>
        <w:autoSpaceDE w:val="0"/>
        <w:autoSpaceDN w:val="0"/>
        <w:adjustRightInd w:val="0"/>
        <w:spacing w:after="0" w:line="240" w:lineRule="auto"/>
        <w:jc w:val="both"/>
        <w:rPr>
          <w:rFonts w:ascii="Times New Roman" w:hAnsi="Times New Roman"/>
          <w:iCs/>
          <w:sz w:val="24"/>
          <w:szCs w:val="24"/>
        </w:rPr>
      </w:pPr>
      <w:r w:rsidRPr="00711E8E">
        <w:rPr>
          <w:rFonts w:ascii="Times New Roman" w:hAnsi="Times New Roman"/>
          <w:sz w:val="24"/>
          <w:szCs w:val="24"/>
        </w:rPr>
        <w:t xml:space="preserve">The vehicle fleet simulator </w:t>
      </w:r>
      <w:r w:rsidR="00F87F61" w:rsidRPr="00711E8E">
        <w:rPr>
          <w:rFonts w:ascii="Times New Roman" w:hAnsi="Times New Roman"/>
          <w:sz w:val="24"/>
          <w:szCs w:val="24"/>
        </w:rPr>
        <w:t>(</w:t>
      </w:r>
      <w:r w:rsidR="00294DCE" w:rsidRPr="00711E8E">
        <w:rPr>
          <w:rFonts w:ascii="Times New Roman" w:hAnsi="Times New Roman"/>
          <w:i/>
          <w:sz w:val="24"/>
          <w:szCs w:val="24"/>
        </w:rPr>
        <w:t>4</w:t>
      </w:r>
      <w:r w:rsidR="00CC0511" w:rsidRPr="00711E8E">
        <w:rPr>
          <w:rFonts w:ascii="Times New Roman" w:hAnsi="Times New Roman"/>
          <w:sz w:val="24"/>
          <w:szCs w:val="24"/>
        </w:rPr>
        <w:t xml:space="preserve">) </w:t>
      </w:r>
      <w:r w:rsidRPr="00711E8E">
        <w:rPr>
          <w:rFonts w:ascii="Times New Roman" w:hAnsi="Times New Roman"/>
          <w:sz w:val="24"/>
          <w:szCs w:val="24"/>
        </w:rPr>
        <w:t>consists of two principa</w:t>
      </w:r>
      <w:r w:rsidR="00566361" w:rsidRPr="00711E8E">
        <w:rPr>
          <w:rFonts w:ascii="Times New Roman" w:hAnsi="Times New Roman"/>
          <w:sz w:val="24"/>
          <w:szCs w:val="24"/>
        </w:rPr>
        <w:t>l components:</w:t>
      </w:r>
      <w:r w:rsidRPr="00711E8E">
        <w:rPr>
          <w:rFonts w:ascii="Times New Roman" w:hAnsi="Times New Roman"/>
          <w:sz w:val="24"/>
          <w:szCs w:val="24"/>
        </w:rPr>
        <w:t xml:space="preserve"> (</w:t>
      </w:r>
      <w:r w:rsidR="009741DE" w:rsidRPr="00711E8E">
        <w:rPr>
          <w:rFonts w:ascii="Times New Roman" w:hAnsi="Times New Roman"/>
          <w:sz w:val="24"/>
          <w:szCs w:val="24"/>
        </w:rPr>
        <w:t>1) The vehicle selection module</w:t>
      </w:r>
      <w:r w:rsidRPr="00711E8E">
        <w:rPr>
          <w:rFonts w:ascii="Times New Roman" w:hAnsi="Times New Roman"/>
          <w:sz w:val="24"/>
          <w:szCs w:val="24"/>
        </w:rPr>
        <w:t xml:space="preserve"> and (2) The vehicle evolution module. Each vehicle type alternative in the vehicle selection module is defined as a combination of six vehicle body types (compact car, car, small cross utility vehicle, sport utility vehicle or SUV, van, and pick-up truck), seven fuel types (gasoline, flex fuel, plug-in hybrid, compressed natural gas (or CNG), diesel, hybrid electric, and fully electric), and five age categories (new, 1-2 years, 3-7 years, 8-12 years, and more than 12 years old). Thus, there are a total of 211 vehicle type alternatives including the alternative of no-vehicle. The model system accommodates m</w:t>
      </w:r>
      <w:r w:rsidRPr="00711E8E">
        <w:rPr>
          <w:rFonts w:ascii="Times New Roman" w:hAnsi="Times New Roman"/>
          <w:iCs/>
          <w:sz w:val="24"/>
          <w:szCs w:val="24"/>
        </w:rPr>
        <w:t>ultiple vehicle ownership and usage dimensions by assuming that vehicle fleet and usage decisions are determined through a series of unobserved (to the analyst) repeated discrete-continuous choice occasions. This framework mimics the d</w:t>
      </w:r>
      <w:r w:rsidR="00566361" w:rsidRPr="00711E8E">
        <w:rPr>
          <w:rFonts w:ascii="Times New Roman" w:hAnsi="Times New Roman"/>
          <w:iCs/>
          <w:sz w:val="24"/>
          <w:szCs w:val="24"/>
        </w:rPr>
        <w:t>ynamics in the vehicle acquisition</w:t>
      </w:r>
      <w:r w:rsidRPr="00711E8E">
        <w:rPr>
          <w:rFonts w:ascii="Times New Roman" w:hAnsi="Times New Roman"/>
          <w:iCs/>
          <w:sz w:val="24"/>
          <w:szCs w:val="24"/>
        </w:rPr>
        <w:t xml:space="preserve"> process by </w:t>
      </w:r>
      <w:r w:rsidRPr="00711E8E">
        <w:rPr>
          <w:rFonts w:ascii="Times New Roman" w:hAnsi="Times New Roman"/>
          <w:sz w:val="24"/>
          <w:szCs w:val="24"/>
        </w:rPr>
        <w:t xml:space="preserve">accommodating the impacts of the types of vehicles already owned on the type of vehicle that may be purchased in a subsequent purchase decision. </w:t>
      </w:r>
      <w:r w:rsidRPr="00711E8E">
        <w:rPr>
          <w:rFonts w:ascii="Times New Roman" w:hAnsi="Times New Roman"/>
          <w:iCs/>
          <w:sz w:val="24"/>
          <w:szCs w:val="24"/>
        </w:rPr>
        <w:t>The number of choice occasions in such a “vertical” choice behavior is linked to the</w:t>
      </w:r>
      <w:r w:rsidRPr="00B755C9">
        <w:rPr>
          <w:rFonts w:ascii="Times New Roman" w:hAnsi="Times New Roman"/>
          <w:iCs/>
          <w:sz w:val="24"/>
          <w:szCs w:val="24"/>
        </w:rPr>
        <w:t xml:space="preserve"> </w:t>
      </w:r>
      <w:r w:rsidRPr="00B755C9">
        <w:rPr>
          <w:rFonts w:ascii="Times New Roman" w:hAnsi="Times New Roman"/>
          <w:iCs/>
          <w:sz w:val="24"/>
          <w:szCs w:val="24"/>
        </w:rPr>
        <w:lastRenderedPageBreak/>
        <w:t xml:space="preserve">number of adults in the household. In particular, since the number of vehicles is almost never greater than the number of adults in the household plus two in the data, the number of choice occasions is set to be equal to the number of adults plus two. At each choice occasion, the household may choose not to purchase a vehicle or to acquire a vehicle of a certain type. </w:t>
      </w:r>
      <w:r w:rsidR="00CC0511" w:rsidRPr="00B755C9">
        <w:rPr>
          <w:rFonts w:ascii="Times New Roman" w:hAnsi="Times New Roman"/>
          <w:iCs/>
          <w:sz w:val="24"/>
          <w:szCs w:val="24"/>
        </w:rPr>
        <w:t>In the framework, the decision of the number of vehicles owned by</w:t>
      </w:r>
      <w:r w:rsidR="00CC0511">
        <w:rPr>
          <w:rFonts w:ascii="Times New Roman" w:hAnsi="Times New Roman"/>
          <w:iCs/>
          <w:sz w:val="24"/>
          <w:szCs w:val="24"/>
        </w:rPr>
        <w:t xml:space="preserve"> the household is endogenously </w:t>
      </w:r>
      <w:r w:rsidR="00CC0511" w:rsidRPr="00B755C9">
        <w:rPr>
          <w:rFonts w:ascii="Times New Roman" w:hAnsi="Times New Roman"/>
          <w:iCs/>
          <w:sz w:val="24"/>
          <w:szCs w:val="24"/>
        </w:rPr>
        <w:t>determined as the sum of those choice occa</w:t>
      </w:r>
      <w:r w:rsidR="00CC0511">
        <w:rPr>
          <w:rFonts w:ascii="Times New Roman" w:hAnsi="Times New Roman"/>
          <w:iCs/>
          <w:sz w:val="24"/>
          <w:szCs w:val="24"/>
        </w:rPr>
        <w:t>sions when the household chooses to acquire</w:t>
      </w:r>
      <w:r w:rsidR="00CC0511" w:rsidRPr="00B755C9">
        <w:rPr>
          <w:rFonts w:ascii="Times New Roman" w:hAnsi="Times New Roman"/>
          <w:iCs/>
          <w:sz w:val="24"/>
          <w:szCs w:val="24"/>
        </w:rPr>
        <w:t xml:space="preserve"> a certain vehicle type. Overall, the vehicle selection module jointly models all base year vehicle fleet characteristics in a unifying framework. </w:t>
      </w:r>
    </w:p>
    <w:p w:rsidR="00CC0511" w:rsidRDefault="00227718" w:rsidP="00CC0511">
      <w:pPr>
        <w:autoSpaceDE w:val="0"/>
        <w:autoSpaceDN w:val="0"/>
        <w:adjustRightInd w:val="0"/>
        <w:spacing w:after="0" w:line="240" w:lineRule="auto"/>
        <w:ind w:firstLine="720"/>
        <w:jc w:val="both"/>
        <w:rPr>
          <w:rFonts w:ascii="Times New Roman" w:hAnsi="Times New Roman"/>
          <w:sz w:val="24"/>
          <w:szCs w:val="24"/>
        </w:rPr>
      </w:pPr>
      <w:r w:rsidRPr="00B755C9">
        <w:rPr>
          <w:rFonts w:ascii="Times New Roman" w:hAnsi="Times New Roman"/>
          <w:iCs/>
          <w:sz w:val="24"/>
          <w:szCs w:val="24"/>
        </w:rPr>
        <w:t xml:space="preserve">In the vehicle evolution module, the number of choice occasions for evolving the vehicle fleet each year is set </w:t>
      </w:r>
      <w:r w:rsidR="00CC0511">
        <w:rPr>
          <w:rFonts w:ascii="Times New Roman" w:hAnsi="Times New Roman"/>
          <w:iCs/>
          <w:sz w:val="24"/>
          <w:szCs w:val="24"/>
        </w:rPr>
        <w:t xml:space="preserve">equal </w:t>
      </w:r>
      <w:r w:rsidRPr="00B755C9">
        <w:rPr>
          <w:rFonts w:ascii="Times New Roman" w:hAnsi="Times New Roman"/>
          <w:iCs/>
          <w:sz w:val="24"/>
          <w:szCs w:val="24"/>
        </w:rPr>
        <w:t>to the current</w:t>
      </w:r>
      <w:r w:rsidR="00CC0511">
        <w:rPr>
          <w:rFonts w:ascii="Times New Roman" w:hAnsi="Times New Roman"/>
          <w:iCs/>
          <w:sz w:val="24"/>
          <w:szCs w:val="24"/>
        </w:rPr>
        <w:t xml:space="preserve"> vehicle fleet plus one. T</w:t>
      </w:r>
      <w:r w:rsidRPr="00B755C9">
        <w:rPr>
          <w:rFonts w:ascii="Times New Roman" w:hAnsi="Times New Roman"/>
          <w:iCs/>
          <w:sz w:val="24"/>
          <w:szCs w:val="24"/>
        </w:rPr>
        <w:t>his assumes that households do not add more than one vehicle to their current fleet</w:t>
      </w:r>
      <w:r w:rsidR="00CC0511">
        <w:rPr>
          <w:rFonts w:ascii="Times New Roman" w:hAnsi="Times New Roman"/>
          <w:iCs/>
          <w:sz w:val="24"/>
          <w:szCs w:val="24"/>
        </w:rPr>
        <w:t xml:space="preserve"> in any given year</w:t>
      </w:r>
      <w:r w:rsidRPr="00B755C9">
        <w:rPr>
          <w:rFonts w:ascii="Times New Roman" w:hAnsi="Times New Roman"/>
          <w:iCs/>
          <w:sz w:val="24"/>
          <w:szCs w:val="24"/>
        </w:rPr>
        <w:t xml:space="preserve"> after considering replacements; however, the model structure </w:t>
      </w:r>
      <w:r w:rsidR="00CC0511">
        <w:rPr>
          <w:rFonts w:ascii="Times New Roman" w:hAnsi="Times New Roman"/>
          <w:iCs/>
          <w:sz w:val="24"/>
          <w:szCs w:val="24"/>
        </w:rPr>
        <w:t>can easily handle</w:t>
      </w:r>
      <w:r w:rsidRPr="00B755C9">
        <w:rPr>
          <w:rFonts w:ascii="Times New Roman" w:hAnsi="Times New Roman"/>
          <w:iCs/>
          <w:sz w:val="24"/>
          <w:szCs w:val="24"/>
        </w:rPr>
        <w:t xml:space="preserve"> any number of additional vehicles </w:t>
      </w:r>
      <w:r w:rsidR="00CC0511">
        <w:rPr>
          <w:rFonts w:ascii="Times New Roman" w:hAnsi="Times New Roman"/>
          <w:iCs/>
          <w:sz w:val="24"/>
          <w:szCs w:val="24"/>
        </w:rPr>
        <w:t>(beyond replacements)</w:t>
      </w:r>
      <w:r w:rsidRPr="00B755C9">
        <w:rPr>
          <w:rFonts w:ascii="Times New Roman" w:hAnsi="Times New Roman"/>
          <w:iCs/>
          <w:sz w:val="24"/>
          <w:szCs w:val="24"/>
        </w:rPr>
        <w:t xml:space="preserve">. For </w:t>
      </w:r>
      <w:r w:rsidR="00CC0511">
        <w:rPr>
          <w:rFonts w:ascii="Times New Roman" w:hAnsi="Times New Roman"/>
          <w:iCs/>
          <w:sz w:val="24"/>
          <w:szCs w:val="24"/>
        </w:rPr>
        <w:t>any</w:t>
      </w:r>
      <w:r w:rsidRPr="00B755C9">
        <w:rPr>
          <w:rFonts w:ascii="Times New Roman" w:hAnsi="Times New Roman"/>
          <w:iCs/>
          <w:sz w:val="24"/>
          <w:szCs w:val="24"/>
        </w:rPr>
        <w:t xml:space="preserve"> existing vehicle, the household has three options: (1) Keep the vehicle, (2) Dispose the vehicle, and (3) Replace the vehicle (and </w:t>
      </w:r>
      <w:r w:rsidR="00CC0511">
        <w:rPr>
          <w:rFonts w:ascii="Times New Roman" w:hAnsi="Times New Roman"/>
          <w:iCs/>
          <w:sz w:val="24"/>
          <w:szCs w:val="24"/>
        </w:rPr>
        <w:t xml:space="preserve">choose </w:t>
      </w:r>
      <w:r w:rsidRPr="00B755C9">
        <w:rPr>
          <w:rFonts w:ascii="Times New Roman" w:hAnsi="Times New Roman"/>
          <w:iCs/>
          <w:sz w:val="24"/>
          <w:szCs w:val="24"/>
        </w:rPr>
        <w:t>vehicle type and usage</w:t>
      </w:r>
      <w:r w:rsidR="00CC0511">
        <w:rPr>
          <w:rFonts w:ascii="Times New Roman" w:hAnsi="Times New Roman"/>
          <w:iCs/>
          <w:sz w:val="24"/>
          <w:szCs w:val="24"/>
        </w:rPr>
        <w:t xml:space="preserve"> level for</w:t>
      </w:r>
      <w:r w:rsidRPr="00B755C9">
        <w:rPr>
          <w:rFonts w:ascii="Times New Roman" w:hAnsi="Times New Roman"/>
          <w:iCs/>
          <w:sz w:val="24"/>
          <w:szCs w:val="24"/>
        </w:rPr>
        <w:t xml:space="preserve"> </w:t>
      </w:r>
      <w:r w:rsidR="00CC0511">
        <w:rPr>
          <w:rFonts w:ascii="Times New Roman" w:hAnsi="Times New Roman"/>
          <w:iCs/>
          <w:sz w:val="24"/>
          <w:szCs w:val="24"/>
        </w:rPr>
        <w:t xml:space="preserve">the </w:t>
      </w:r>
      <w:r w:rsidRPr="00B755C9">
        <w:rPr>
          <w:rFonts w:ascii="Times New Roman" w:hAnsi="Times New Roman"/>
          <w:iCs/>
          <w:sz w:val="24"/>
          <w:szCs w:val="24"/>
        </w:rPr>
        <w:t xml:space="preserve">replacement vehicle). </w:t>
      </w:r>
      <w:r w:rsidR="00CC0511">
        <w:rPr>
          <w:rFonts w:ascii="Times New Roman" w:hAnsi="Times New Roman"/>
          <w:iCs/>
          <w:sz w:val="24"/>
          <w:szCs w:val="24"/>
        </w:rPr>
        <w:t>In addition to evolutionary choice options corresponding to existing vehicles,</w:t>
      </w:r>
      <w:r w:rsidRPr="00B755C9">
        <w:rPr>
          <w:rFonts w:ascii="Times New Roman" w:hAnsi="Times New Roman"/>
          <w:iCs/>
          <w:sz w:val="24"/>
          <w:szCs w:val="24"/>
        </w:rPr>
        <w:t xml:space="preserve"> </w:t>
      </w:r>
      <w:r w:rsidR="00CC0511">
        <w:rPr>
          <w:rFonts w:ascii="Times New Roman" w:hAnsi="Times New Roman"/>
          <w:iCs/>
          <w:sz w:val="24"/>
          <w:szCs w:val="24"/>
        </w:rPr>
        <w:t xml:space="preserve">households may also choose </w:t>
      </w:r>
      <w:r w:rsidRPr="00B755C9">
        <w:rPr>
          <w:rFonts w:ascii="Times New Roman" w:hAnsi="Times New Roman"/>
          <w:iCs/>
          <w:sz w:val="24"/>
          <w:szCs w:val="24"/>
        </w:rPr>
        <w:t>“not to add a</w:t>
      </w:r>
      <w:r w:rsidR="00CC0511">
        <w:rPr>
          <w:rFonts w:ascii="Times New Roman" w:hAnsi="Times New Roman"/>
          <w:iCs/>
          <w:sz w:val="24"/>
          <w:szCs w:val="24"/>
        </w:rPr>
        <w:t xml:space="preserve"> vehicle” or “to add a vehicle” (in the latter case, the </w:t>
      </w:r>
      <w:r w:rsidRPr="00B755C9">
        <w:rPr>
          <w:rFonts w:ascii="Times New Roman" w:hAnsi="Times New Roman"/>
          <w:iCs/>
          <w:sz w:val="24"/>
          <w:szCs w:val="24"/>
        </w:rPr>
        <w:t>vehicle type and usage of the added vehicle</w:t>
      </w:r>
      <w:r w:rsidR="00CC0511">
        <w:rPr>
          <w:rFonts w:ascii="Times New Roman" w:hAnsi="Times New Roman"/>
          <w:iCs/>
          <w:sz w:val="24"/>
          <w:szCs w:val="24"/>
        </w:rPr>
        <w:t xml:space="preserve"> must be simulated)</w:t>
      </w:r>
      <w:r w:rsidRPr="00B755C9">
        <w:rPr>
          <w:rFonts w:ascii="Times New Roman" w:hAnsi="Times New Roman"/>
          <w:iCs/>
          <w:sz w:val="24"/>
          <w:szCs w:val="24"/>
        </w:rPr>
        <w:t xml:space="preserve">. All </w:t>
      </w:r>
      <w:r w:rsidR="00CC0511">
        <w:rPr>
          <w:rFonts w:ascii="Times New Roman" w:hAnsi="Times New Roman"/>
          <w:iCs/>
          <w:sz w:val="24"/>
          <w:szCs w:val="24"/>
        </w:rPr>
        <w:t xml:space="preserve">of </w:t>
      </w:r>
      <w:r w:rsidRPr="00B755C9">
        <w:rPr>
          <w:rFonts w:ascii="Times New Roman" w:hAnsi="Times New Roman"/>
          <w:iCs/>
          <w:sz w:val="24"/>
          <w:szCs w:val="24"/>
        </w:rPr>
        <w:t xml:space="preserve">the models in the evolution module are binary logit models that consider </w:t>
      </w:r>
      <w:r w:rsidR="00CC0511">
        <w:rPr>
          <w:rFonts w:ascii="Times New Roman" w:hAnsi="Times New Roman"/>
          <w:iCs/>
          <w:sz w:val="24"/>
          <w:szCs w:val="24"/>
        </w:rPr>
        <w:t xml:space="preserve">temporal </w:t>
      </w:r>
      <w:r w:rsidRPr="00B755C9">
        <w:rPr>
          <w:rFonts w:ascii="Times New Roman" w:hAnsi="Times New Roman"/>
          <w:sz w:val="24"/>
          <w:szCs w:val="24"/>
        </w:rPr>
        <w:t xml:space="preserve">dependency </w:t>
      </w:r>
      <w:r w:rsidR="00CC0511">
        <w:rPr>
          <w:rFonts w:ascii="Times New Roman" w:hAnsi="Times New Roman"/>
          <w:sz w:val="24"/>
          <w:szCs w:val="24"/>
        </w:rPr>
        <w:t>across</w:t>
      </w:r>
      <w:r w:rsidRPr="00B755C9">
        <w:rPr>
          <w:rFonts w:ascii="Times New Roman" w:hAnsi="Times New Roman"/>
          <w:sz w:val="24"/>
          <w:szCs w:val="24"/>
        </w:rPr>
        <w:t xml:space="preserve"> transaction decisions. The vehicle type and usage of all </w:t>
      </w:r>
      <w:r w:rsidR="00CC0511">
        <w:rPr>
          <w:rFonts w:ascii="Times New Roman" w:hAnsi="Times New Roman"/>
          <w:sz w:val="24"/>
          <w:szCs w:val="24"/>
        </w:rPr>
        <w:t>r</w:t>
      </w:r>
      <w:r w:rsidRPr="00B755C9">
        <w:rPr>
          <w:rFonts w:ascii="Times New Roman" w:hAnsi="Times New Roman"/>
          <w:sz w:val="24"/>
          <w:szCs w:val="24"/>
        </w:rPr>
        <w:t xml:space="preserve">eplacement/added vehicles are determined using the vehicle type choice model </w:t>
      </w:r>
      <w:r w:rsidR="00CC0511">
        <w:rPr>
          <w:rFonts w:ascii="Times New Roman" w:hAnsi="Times New Roman"/>
          <w:sz w:val="24"/>
          <w:szCs w:val="24"/>
        </w:rPr>
        <w:t xml:space="preserve">from </w:t>
      </w:r>
      <w:r w:rsidRPr="00B755C9">
        <w:rPr>
          <w:rFonts w:ascii="Times New Roman" w:hAnsi="Times New Roman"/>
          <w:sz w:val="24"/>
          <w:szCs w:val="24"/>
        </w:rPr>
        <w:t>the vehicle selection module. The vehicle type choice model includes existing vehicle fleet characteristics and the replaced vehicle characteristics as explanatory variables. This captures dependencies between future vehicle type choices (during evolution) and vehicles already owned and getting replaced.</w:t>
      </w:r>
    </w:p>
    <w:p w:rsidR="00CC0511" w:rsidRPr="00B755C9" w:rsidRDefault="00CC0511" w:rsidP="0045635E">
      <w:pPr>
        <w:autoSpaceDE w:val="0"/>
        <w:autoSpaceDN w:val="0"/>
        <w:adjustRightInd w:val="0"/>
        <w:spacing w:after="0" w:line="240" w:lineRule="auto"/>
        <w:ind w:firstLine="720"/>
        <w:jc w:val="both"/>
        <w:rPr>
          <w:rFonts w:ascii="Times New Roman" w:hAnsi="Times New Roman"/>
          <w:sz w:val="24"/>
          <w:szCs w:val="24"/>
        </w:rPr>
      </w:pPr>
      <w:r w:rsidRPr="00B755C9">
        <w:rPr>
          <w:rFonts w:ascii="Times New Roman" w:hAnsi="Times New Roman"/>
          <w:sz w:val="24"/>
          <w:szCs w:val="24"/>
        </w:rPr>
        <w:t xml:space="preserve">All </w:t>
      </w:r>
      <w:r>
        <w:rPr>
          <w:rFonts w:ascii="Times New Roman" w:hAnsi="Times New Roman"/>
          <w:sz w:val="24"/>
          <w:szCs w:val="24"/>
        </w:rPr>
        <w:t xml:space="preserve">of </w:t>
      </w:r>
      <w:r w:rsidRPr="00B755C9">
        <w:rPr>
          <w:rFonts w:ascii="Times New Roman" w:hAnsi="Times New Roman"/>
          <w:sz w:val="24"/>
          <w:szCs w:val="24"/>
        </w:rPr>
        <w:t xml:space="preserve">the models in the vehicle fleet simulator are estimated using a unique dataset that includes comprehensive information on vehicle ownership and usage decisions of households, including current fleet composition, potential future fleet composition, and vehicle evolution plans. The vehicle fleet simulator incorporates innovative methodological approaches to address the problem of multiple vehicle holdings and use, as well as to deal with the gamut of vehicle evolution decisions, all in a comprehensive and implementable forecasting framework. Specifically, the simulator encompasses state-of-the-art household vehicle type choice, usage, and evolution models estimated using a </w:t>
      </w:r>
      <w:r>
        <w:rPr>
          <w:rFonts w:ascii="Times New Roman" w:hAnsi="Times New Roman"/>
          <w:sz w:val="24"/>
          <w:szCs w:val="24"/>
        </w:rPr>
        <w:t xml:space="preserve">special-purpose </w:t>
      </w:r>
      <w:r w:rsidRPr="00B755C9">
        <w:rPr>
          <w:rFonts w:ascii="Times New Roman" w:hAnsi="Times New Roman"/>
          <w:sz w:val="24"/>
          <w:szCs w:val="24"/>
        </w:rPr>
        <w:t>2008-2009 vehicle survey data set collected from 6577 households in the State of California by Resource Systems Group, Inc. (RSG) for the California Energy Commission (CEC). T</w:t>
      </w:r>
      <w:r w:rsidR="001068B8">
        <w:rPr>
          <w:rFonts w:ascii="Times New Roman" w:hAnsi="Times New Roman"/>
          <w:sz w:val="24"/>
          <w:szCs w:val="24"/>
        </w:rPr>
        <w:t>he survey has three components:</w:t>
      </w:r>
      <w:r w:rsidRPr="00B755C9">
        <w:rPr>
          <w:rFonts w:ascii="Times New Roman" w:hAnsi="Times New Roman"/>
          <w:sz w:val="24"/>
          <w:szCs w:val="24"/>
        </w:rPr>
        <w:t xml:space="preserve"> (1) a revealed choice (RC) component, which collected information about current</w:t>
      </w:r>
      <w:r w:rsidR="00525882">
        <w:rPr>
          <w:rFonts w:ascii="Times New Roman" w:hAnsi="Times New Roman"/>
          <w:sz w:val="24"/>
          <w:szCs w:val="24"/>
        </w:rPr>
        <w:t xml:space="preserve"> and past</w:t>
      </w:r>
      <w:r w:rsidRPr="00B755C9">
        <w:rPr>
          <w:rFonts w:ascii="Times New Roman" w:hAnsi="Times New Roman"/>
          <w:sz w:val="24"/>
          <w:szCs w:val="24"/>
        </w:rPr>
        <w:t xml:space="preserve"> vehicle holding</w:t>
      </w:r>
      <w:r w:rsidR="0045635E">
        <w:rPr>
          <w:rFonts w:ascii="Times New Roman" w:hAnsi="Times New Roman"/>
          <w:sz w:val="24"/>
          <w:szCs w:val="24"/>
        </w:rPr>
        <w:t>s and usage, (2) a stated intent</w:t>
      </w:r>
      <w:r w:rsidRPr="00B755C9">
        <w:rPr>
          <w:rFonts w:ascii="Times New Roman" w:hAnsi="Times New Roman"/>
          <w:sz w:val="24"/>
          <w:szCs w:val="24"/>
        </w:rPr>
        <w:t>ions (SI) component, which collected information on replacement plans of existing vehicles and vehicle addition plans, and (3) a stated preference (SP) component, which collected inf</w:t>
      </w:r>
      <w:r w:rsidR="0045635E">
        <w:rPr>
          <w:rFonts w:ascii="Times New Roman" w:hAnsi="Times New Roman"/>
          <w:sz w:val="24"/>
          <w:szCs w:val="24"/>
        </w:rPr>
        <w:t xml:space="preserve">ormation about vehicle choices that respondents would make </w:t>
      </w:r>
      <w:r w:rsidRPr="00B755C9">
        <w:rPr>
          <w:rFonts w:ascii="Times New Roman" w:hAnsi="Times New Roman"/>
          <w:sz w:val="24"/>
          <w:szCs w:val="24"/>
        </w:rPr>
        <w:t xml:space="preserve">under hypothetical </w:t>
      </w:r>
      <w:r w:rsidR="0045635E">
        <w:rPr>
          <w:rFonts w:ascii="Times New Roman" w:hAnsi="Times New Roman"/>
          <w:sz w:val="24"/>
          <w:szCs w:val="24"/>
        </w:rPr>
        <w:t xml:space="preserve">policy, price, refueling infrastructure, and vehicle attribute </w:t>
      </w:r>
      <w:r w:rsidRPr="00B755C9">
        <w:rPr>
          <w:rFonts w:ascii="Times New Roman" w:hAnsi="Times New Roman"/>
          <w:sz w:val="24"/>
          <w:szCs w:val="24"/>
        </w:rPr>
        <w:t xml:space="preserve">scenarios.  </w:t>
      </w:r>
    </w:p>
    <w:p w:rsidR="00227718" w:rsidRPr="00B755C9" w:rsidRDefault="00227718" w:rsidP="0045635E">
      <w:pPr>
        <w:autoSpaceDE w:val="0"/>
        <w:autoSpaceDN w:val="0"/>
        <w:adjustRightInd w:val="0"/>
        <w:spacing w:after="0" w:line="240" w:lineRule="auto"/>
        <w:ind w:firstLine="720"/>
        <w:jc w:val="both"/>
        <w:rPr>
          <w:rFonts w:ascii="Times New Roman" w:hAnsi="Times New Roman"/>
          <w:sz w:val="24"/>
          <w:szCs w:val="24"/>
        </w:rPr>
      </w:pPr>
      <w:r w:rsidRPr="00B755C9">
        <w:rPr>
          <w:rFonts w:ascii="Times New Roman" w:hAnsi="Times New Roman"/>
          <w:sz w:val="24"/>
          <w:szCs w:val="24"/>
        </w:rPr>
        <w:t xml:space="preserve"> </w:t>
      </w:r>
    </w:p>
    <w:p w:rsidR="00227718" w:rsidRDefault="0045635E" w:rsidP="0045635E">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Population Evolution Simulator </w:t>
      </w:r>
    </w:p>
    <w:p w:rsidR="00B429D8" w:rsidRPr="00711E8E" w:rsidRDefault="00252D7D" w:rsidP="009741D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Any forecasting exercise must recognize explicitly that the population does not remain static over the forecast period.  As time progresses, households evolve, persons evolve, and the vehicle fleet composition and utilization patterns evolve.  </w:t>
      </w:r>
      <w:r w:rsidR="00AA3E3E">
        <w:rPr>
          <w:rFonts w:ascii="Times New Roman" w:hAnsi="Times New Roman"/>
          <w:sz w:val="24"/>
          <w:szCs w:val="24"/>
        </w:rPr>
        <w:t>T</w:t>
      </w:r>
      <w:r>
        <w:rPr>
          <w:rFonts w:ascii="Times New Roman" w:hAnsi="Times New Roman"/>
          <w:sz w:val="24"/>
          <w:szCs w:val="24"/>
        </w:rPr>
        <w:t xml:space="preserve">he population evolution model system used in this study is based on the CEMSELTS (Comprehensive Econometric </w:t>
      </w:r>
      <w:proofErr w:type="spellStart"/>
      <w:r>
        <w:rPr>
          <w:rFonts w:ascii="Times New Roman" w:hAnsi="Times New Roman"/>
          <w:sz w:val="24"/>
          <w:szCs w:val="24"/>
        </w:rPr>
        <w:t>Microsimulator</w:t>
      </w:r>
      <w:proofErr w:type="spellEnd"/>
      <w:r>
        <w:rPr>
          <w:rFonts w:ascii="Times New Roman" w:hAnsi="Times New Roman"/>
          <w:sz w:val="24"/>
          <w:szCs w:val="24"/>
        </w:rPr>
        <w:t xml:space="preserve"> of Socioeconomic, Land use, and Transportation Systems) model system which is capable of simulating and evolving </w:t>
      </w:r>
      <w:r w:rsidR="00F87F61">
        <w:rPr>
          <w:rFonts w:ascii="Times New Roman" w:hAnsi="Times New Roman"/>
          <w:sz w:val="24"/>
          <w:szCs w:val="24"/>
        </w:rPr>
        <w:t xml:space="preserve">a population over </w:t>
      </w:r>
      <w:r w:rsidR="00F87F61" w:rsidRPr="00711E8E">
        <w:rPr>
          <w:rFonts w:ascii="Times New Roman" w:hAnsi="Times New Roman"/>
          <w:sz w:val="24"/>
          <w:szCs w:val="24"/>
        </w:rPr>
        <w:t>time (</w:t>
      </w:r>
      <w:r w:rsidR="00294DCE" w:rsidRPr="00711E8E">
        <w:rPr>
          <w:rFonts w:ascii="Times New Roman" w:hAnsi="Times New Roman"/>
          <w:i/>
          <w:sz w:val="24"/>
          <w:szCs w:val="24"/>
        </w:rPr>
        <w:t>6</w:t>
      </w:r>
      <w:r w:rsidR="00294DCE" w:rsidRPr="00711E8E">
        <w:rPr>
          <w:rFonts w:ascii="Times New Roman" w:hAnsi="Times New Roman"/>
          <w:sz w:val="24"/>
          <w:szCs w:val="24"/>
        </w:rPr>
        <w:t xml:space="preserve">, </w:t>
      </w:r>
      <w:r w:rsidR="00294DCE" w:rsidRPr="00711E8E">
        <w:rPr>
          <w:rFonts w:ascii="Times New Roman" w:hAnsi="Times New Roman"/>
          <w:i/>
          <w:sz w:val="24"/>
          <w:szCs w:val="24"/>
        </w:rPr>
        <w:t>7</w:t>
      </w:r>
      <w:r w:rsidRPr="00711E8E">
        <w:rPr>
          <w:rFonts w:ascii="Times New Roman" w:hAnsi="Times New Roman"/>
          <w:sz w:val="24"/>
          <w:szCs w:val="24"/>
        </w:rPr>
        <w:t>).  The</w:t>
      </w:r>
      <w:r>
        <w:rPr>
          <w:rFonts w:ascii="Times New Roman" w:hAnsi="Times New Roman"/>
          <w:sz w:val="24"/>
          <w:szCs w:val="24"/>
        </w:rPr>
        <w:t xml:space="preserve"> socio-economic modeling system is a </w:t>
      </w:r>
      <w:r w:rsidRPr="00711E8E">
        <w:rPr>
          <w:rFonts w:ascii="Times New Roman" w:hAnsi="Times New Roman"/>
          <w:sz w:val="24"/>
          <w:szCs w:val="24"/>
        </w:rPr>
        <w:lastRenderedPageBreak/>
        <w:t>comprehensive simulator of the lifecycle processes that households and individuals experience over time</w:t>
      </w:r>
      <w:r w:rsidR="00AA3E3E" w:rsidRPr="00711E8E">
        <w:rPr>
          <w:rFonts w:ascii="Times New Roman" w:hAnsi="Times New Roman"/>
          <w:sz w:val="24"/>
          <w:szCs w:val="24"/>
        </w:rPr>
        <w:t xml:space="preserve"> including, for example, such phenomena as household migration, aging and mortality, fertility, labor force participation, education, household formation and dissolution, and work and school location transitions</w:t>
      </w:r>
      <w:r w:rsidR="009741DE" w:rsidRPr="00711E8E">
        <w:rPr>
          <w:rFonts w:ascii="Times New Roman" w:hAnsi="Times New Roman"/>
          <w:sz w:val="24"/>
          <w:szCs w:val="24"/>
        </w:rPr>
        <w:t xml:space="preserve">. </w:t>
      </w:r>
      <w:r w:rsidR="006B4F82" w:rsidRPr="00711E8E">
        <w:rPr>
          <w:rFonts w:ascii="Times New Roman" w:hAnsi="Times New Roman"/>
          <w:sz w:val="24"/>
          <w:szCs w:val="24"/>
        </w:rPr>
        <w:t xml:space="preserve">A complete </w:t>
      </w:r>
      <w:r w:rsidR="00F92CA4" w:rsidRPr="00711E8E">
        <w:rPr>
          <w:rFonts w:ascii="Times New Roman" w:hAnsi="Times New Roman"/>
          <w:sz w:val="24"/>
          <w:szCs w:val="24"/>
        </w:rPr>
        <w:t>description of the pop</w:t>
      </w:r>
      <w:r w:rsidR="00AA3E3E" w:rsidRPr="00711E8E">
        <w:rPr>
          <w:rFonts w:ascii="Times New Roman" w:hAnsi="Times New Roman"/>
          <w:sz w:val="24"/>
          <w:szCs w:val="24"/>
        </w:rPr>
        <w:t xml:space="preserve">ulation evolution model system </w:t>
      </w:r>
      <w:r w:rsidR="00F92CA4" w:rsidRPr="00711E8E">
        <w:rPr>
          <w:rFonts w:ascii="Times New Roman" w:hAnsi="Times New Roman"/>
          <w:sz w:val="24"/>
          <w:szCs w:val="24"/>
        </w:rPr>
        <w:t xml:space="preserve">and the data sets used to </w:t>
      </w:r>
      <w:r w:rsidR="00AA3E3E" w:rsidRPr="00711E8E">
        <w:rPr>
          <w:rFonts w:ascii="Times New Roman" w:hAnsi="Times New Roman"/>
          <w:sz w:val="24"/>
          <w:szCs w:val="24"/>
        </w:rPr>
        <w:t>estimate</w:t>
      </w:r>
      <w:r w:rsidR="00F92CA4" w:rsidRPr="00711E8E">
        <w:rPr>
          <w:rFonts w:ascii="Times New Roman" w:hAnsi="Times New Roman"/>
          <w:sz w:val="24"/>
          <w:szCs w:val="24"/>
        </w:rPr>
        <w:t xml:space="preserve"> </w:t>
      </w:r>
      <w:r w:rsidR="00AA3E3E" w:rsidRPr="00711E8E">
        <w:rPr>
          <w:rFonts w:ascii="Times New Roman" w:hAnsi="Times New Roman"/>
          <w:sz w:val="24"/>
          <w:szCs w:val="24"/>
        </w:rPr>
        <w:t xml:space="preserve">model components </w:t>
      </w:r>
      <w:r w:rsidR="00F87F61" w:rsidRPr="00711E8E">
        <w:rPr>
          <w:rFonts w:ascii="Times New Roman" w:hAnsi="Times New Roman"/>
          <w:sz w:val="24"/>
          <w:szCs w:val="24"/>
        </w:rPr>
        <w:t>is provided elsewhere (</w:t>
      </w:r>
      <w:r w:rsidR="00294DCE" w:rsidRPr="00711E8E">
        <w:rPr>
          <w:rFonts w:ascii="Times New Roman" w:hAnsi="Times New Roman"/>
          <w:i/>
          <w:sz w:val="24"/>
          <w:szCs w:val="24"/>
        </w:rPr>
        <w:t>7</w:t>
      </w:r>
      <w:r w:rsidR="00F92CA4" w:rsidRPr="00711E8E">
        <w:rPr>
          <w:rFonts w:ascii="Times New Roman" w:hAnsi="Times New Roman"/>
          <w:sz w:val="24"/>
          <w:szCs w:val="24"/>
        </w:rPr>
        <w:t xml:space="preserve">). </w:t>
      </w:r>
    </w:p>
    <w:p w:rsidR="002A3FD3" w:rsidRPr="00711E8E" w:rsidRDefault="002A3FD3" w:rsidP="00AA4C6D">
      <w:pPr>
        <w:autoSpaceDE w:val="0"/>
        <w:autoSpaceDN w:val="0"/>
        <w:adjustRightInd w:val="0"/>
        <w:spacing w:after="120" w:line="240" w:lineRule="auto"/>
        <w:jc w:val="both"/>
        <w:rPr>
          <w:rFonts w:ascii="Times New Roman" w:hAnsi="Times New Roman"/>
          <w:i/>
          <w:sz w:val="24"/>
          <w:szCs w:val="24"/>
        </w:rPr>
      </w:pPr>
    </w:p>
    <w:p w:rsidR="00227718" w:rsidRPr="00711E8E" w:rsidRDefault="00F92CA4" w:rsidP="00F92CA4">
      <w:pPr>
        <w:autoSpaceDE w:val="0"/>
        <w:autoSpaceDN w:val="0"/>
        <w:adjustRightInd w:val="0"/>
        <w:spacing w:after="0" w:line="240" w:lineRule="auto"/>
        <w:jc w:val="both"/>
        <w:rPr>
          <w:rFonts w:ascii="Times New Roman" w:hAnsi="Times New Roman"/>
          <w:b/>
          <w:sz w:val="24"/>
          <w:szCs w:val="24"/>
        </w:rPr>
      </w:pPr>
      <w:r w:rsidRPr="00711E8E">
        <w:rPr>
          <w:rFonts w:ascii="Times New Roman" w:hAnsi="Times New Roman"/>
          <w:b/>
          <w:sz w:val="24"/>
          <w:szCs w:val="24"/>
        </w:rPr>
        <w:t>Vehicle Fleet Prediction</w:t>
      </w:r>
    </w:p>
    <w:p w:rsidR="00731179" w:rsidRPr="00731179" w:rsidRDefault="00F92CA4" w:rsidP="00F92CA4">
      <w:pPr>
        <w:spacing w:after="0" w:line="240" w:lineRule="auto"/>
        <w:jc w:val="both"/>
        <w:rPr>
          <w:rFonts w:ascii="Times New Roman" w:hAnsi="Times New Roman"/>
          <w:sz w:val="24"/>
          <w:szCs w:val="24"/>
        </w:rPr>
      </w:pPr>
      <w:r w:rsidRPr="00711E8E">
        <w:rPr>
          <w:rFonts w:ascii="Times New Roman" w:hAnsi="Times New Roman"/>
          <w:sz w:val="24"/>
          <w:szCs w:val="24"/>
        </w:rPr>
        <w:t xml:space="preserve">The forecasting exercise conducted in this paper is performed using the sample of 6577 households in the California Energy Commission (CEC) survey.  This sample has been found to be reasonably representative of the population in </w:t>
      </w:r>
      <w:r w:rsidR="00F87F61" w:rsidRPr="00711E8E">
        <w:rPr>
          <w:rFonts w:ascii="Times New Roman" w:hAnsi="Times New Roman"/>
          <w:sz w:val="24"/>
          <w:szCs w:val="24"/>
        </w:rPr>
        <w:t>the State of California (</w:t>
      </w:r>
      <w:r w:rsidR="00294DCE" w:rsidRPr="00711E8E">
        <w:rPr>
          <w:rFonts w:ascii="Times New Roman" w:hAnsi="Times New Roman"/>
          <w:i/>
          <w:sz w:val="24"/>
          <w:szCs w:val="24"/>
        </w:rPr>
        <w:t>4</w:t>
      </w:r>
      <w:r w:rsidRPr="00711E8E">
        <w:rPr>
          <w:rFonts w:ascii="Times New Roman" w:hAnsi="Times New Roman"/>
          <w:sz w:val="24"/>
          <w:szCs w:val="24"/>
        </w:rPr>
        <w:t xml:space="preserve">) and is therefore a suitable sample for applying the evolution model system.  The evolution process starts </w:t>
      </w:r>
      <w:r w:rsidR="00CC77A9" w:rsidRPr="00711E8E">
        <w:rPr>
          <w:rFonts w:ascii="Times New Roman" w:hAnsi="Times New Roman"/>
          <w:sz w:val="24"/>
          <w:szCs w:val="24"/>
        </w:rPr>
        <w:t>off with the vehicle holdings observed in the data</w:t>
      </w:r>
      <w:r w:rsidR="001B00EA" w:rsidRPr="00711E8E">
        <w:rPr>
          <w:rFonts w:ascii="Times New Roman" w:hAnsi="Times New Roman"/>
          <w:sz w:val="24"/>
          <w:szCs w:val="24"/>
        </w:rPr>
        <w:t xml:space="preserve"> for the base year (2008)</w:t>
      </w:r>
      <w:r w:rsidR="00CC77A9" w:rsidRPr="00711E8E">
        <w:rPr>
          <w:rFonts w:ascii="Times New Roman" w:hAnsi="Times New Roman"/>
          <w:sz w:val="24"/>
          <w:szCs w:val="24"/>
        </w:rPr>
        <w:t>.</w:t>
      </w:r>
      <w:r w:rsidRPr="00711E8E">
        <w:rPr>
          <w:rFonts w:ascii="Times New Roman" w:hAnsi="Times New Roman"/>
          <w:sz w:val="24"/>
          <w:szCs w:val="24"/>
        </w:rPr>
        <w:t xml:space="preserve">  </w:t>
      </w:r>
      <w:r w:rsidR="00731179" w:rsidRPr="00711E8E">
        <w:rPr>
          <w:rFonts w:ascii="Times New Roman" w:hAnsi="Times New Roman"/>
          <w:sz w:val="24"/>
          <w:szCs w:val="24"/>
        </w:rPr>
        <w:t>F</w:t>
      </w:r>
      <w:r w:rsidR="00227718" w:rsidRPr="00711E8E">
        <w:rPr>
          <w:rFonts w:ascii="Times New Roman" w:hAnsi="Times New Roman"/>
          <w:sz w:val="24"/>
          <w:szCs w:val="24"/>
        </w:rPr>
        <w:t xml:space="preserve">or each vehicle in the base year, </w:t>
      </w:r>
      <w:r w:rsidRPr="00711E8E">
        <w:rPr>
          <w:rFonts w:ascii="Times New Roman" w:hAnsi="Times New Roman"/>
          <w:sz w:val="24"/>
          <w:szCs w:val="24"/>
        </w:rPr>
        <w:t>the model predicts</w:t>
      </w:r>
      <w:r w:rsidR="00227718" w:rsidRPr="00711E8E">
        <w:rPr>
          <w:rFonts w:ascii="Times New Roman" w:hAnsi="Times New Roman"/>
          <w:sz w:val="24"/>
          <w:szCs w:val="24"/>
        </w:rPr>
        <w:t xml:space="preserve"> whether the household decides to keep, scrap, or replace the vehicle starting with the oldest vehicle in the vehicle fleet. If there is a scrap decision, the corresponding vehicle is removed from the fleet and the existing vehicle fleet characteristics are updated. Similarly, if there is/are replacement decision(s), then the corresponding vehicle(s) from the vehicle fleet </w:t>
      </w:r>
      <w:r w:rsidRPr="00711E8E">
        <w:rPr>
          <w:rFonts w:ascii="Times New Roman" w:hAnsi="Times New Roman"/>
          <w:sz w:val="24"/>
          <w:szCs w:val="24"/>
        </w:rPr>
        <w:t>is/</w:t>
      </w:r>
      <w:r w:rsidR="00227718" w:rsidRPr="00711E8E">
        <w:rPr>
          <w:rFonts w:ascii="Times New Roman" w:hAnsi="Times New Roman"/>
          <w:sz w:val="24"/>
          <w:szCs w:val="24"/>
        </w:rPr>
        <w:t>are removed and the vehicle selection module is invoked</w:t>
      </w:r>
      <w:r w:rsidR="00227718" w:rsidRPr="00731179">
        <w:rPr>
          <w:rFonts w:ascii="Times New Roman" w:hAnsi="Times New Roman"/>
          <w:sz w:val="24"/>
          <w:szCs w:val="24"/>
        </w:rPr>
        <w:t xml:space="preserve"> to determine the characteristics of the new vehicle(s) that replaces</w:t>
      </w:r>
      <w:r w:rsidR="00CC3E3E" w:rsidRPr="00731179">
        <w:rPr>
          <w:rFonts w:ascii="Times New Roman" w:hAnsi="Times New Roman"/>
          <w:sz w:val="24"/>
          <w:szCs w:val="24"/>
        </w:rPr>
        <w:t xml:space="preserve"> </w:t>
      </w:r>
      <w:r w:rsidR="00227718" w:rsidRPr="00731179">
        <w:rPr>
          <w:rFonts w:ascii="Times New Roman" w:hAnsi="Times New Roman"/>
          <w:sz w:val="24"/>
          <w:szCs w:val="24"/>
        </w:rPr>
        <w:t xml:space="preserve">(replace) the existing vehicle(s). After determining the transaction </w:t>
      </w:r>
      <w:r>
        <w:rPr>
          <w:rFonts w:ascii="Times New Roman" w:hAnsi="Times New Roman"/>
          <w:sz w:val="24"/>
          <w:szCs w:val="24"/>
        </w:rPr>
        <w:t>decisions associated with</w:t>
      </w:r>
      <w:r w:rsidR="00227718" w:rsidRPr="00731179">
        <w:rPr>
          <w:rFonts w:ascii="Times New Roman" w:hAnsi="Times New Roman"/>
          <w:sz w:val="24"/>
          <w:szCs w:val="24"/>
        </w:rPr>
        <w:t xml:space="preserve"> existing vehicles</w:t>
      </w:r>
      <w:r>
        <w:rPr>
          <w:rFonts w:ascii="Times New Roman" w:hAnsi="Times New Roman"/>
          <w:sz w:val="24"/>
          <w:szCs w:val="24"/>
        </w:rPr>
        <w:t xml:space="preserve"> in the fleet</w:t>
      </w:r>
      <w:r w:rsidR="00227718" w:rsidRPr="00731179">
        <w:rPr>
          <w:rFonts w:ascii="Times New Roman" w:hAnsi="Times New Roman"/>
          <w:sz w:val="24"/>
          <w:szCs w:val="24"/>
        </w:rPr>
        <w:t xml:space="preserve">, </w:t>
      </w:r>
      <w:r w:rsidR="00F85775">
        <w:rPr>
          <w:rFonts w:ascii="Times New Roman" w:hAnsi="Times New Roman"/>
          <w:sz w:val="24"/>
          <w:szCs w:val="24"/>
        </w:rPr>
        <w:t>the h</w:t>
      </w:r>
      <w:r w:rsidR="00227718" w:rsidRPr="00731179">
        <w:rPr>
          <w:rFonts w:ascii="Times New Roman" w:hAnsi="Times New Roman"/>
          <w:sz w:val="24"/>
          <w:szCs w:val="24"/>
        </w:rPr>
        <w:t xml:space="preserve">ousehold decision to purchase a new vehicle is simulated. If there is an “add vehicle” decision, then the vehicle selection module is invoked to determine the characteristics of the new vehicle. </w:t>
      </w:r>
    </w:p>
    <w:p w:rsidR="00F85775" w:rsidRDefault="00731179" w:rsidP="00F85775">
      <w:pPr>
        <w:spacing w:after="0" w:line="240" w:lineRule="auto"/>
        <w:ind w:firstLine="720"/>
        <w:jc w:val="both"/>
        <w:rPr>
          <w:rFonts w:ascii="Times New Roman" w:hAnsi="Times New Roman"/>
          <w:sz w:val="24"/>
          <w:szCs w:val="24"/>
        </w:rPr>
      </w:pPr>
      <w:r w:rsidRPr="00F85775">
        <w:rPr>
          <w:rFonts w:ascii="Times New Roman" w:hAnsi="Times New Roman"/>
          <w:sz w:val="24"/>
          <w:szCs w:val="24"/>
        </w:rPr>
        <w:t xml:space="preserve">For any new household created during the </w:t>
      </w:r>
      <w:r w:rsidR="00F85775">
        <w:rPr>
          <w:rFonts w:ascii="Times New Roman" w:hAnsi="Times New Roman"/>
          <w:sz w:val="24"/>
          <w:szCs w:val="24"/>
        </w:rPr>
        <w:t xml:space="preserve">population </w:t>
      </w:r>
      <w:r w:rsidRPr="00F85775">
        <w:rPr>
          <w:rFonts w:ascii="Times New Roman" w:hAnsi="Times New Roman"/>
          <w:sz w:val="24"/>
          <w:szCs w:val="24"/>
        </w:rPr>
        <w:t>evolution</w:t>
      </w:r>
      <w:r w:rsidR="00F85775">
        <w:rPr>
          <w:rFonts w:ascii="Times New Roman" w:hAnsi="Times New Roman"/>
          <w:sz w:val="24"/>
          <w:szCs w:val="24"/>
        </w:rPr>
        <w:t xml:space="preserve"> process</w:t>
      </w:r>
      <w:r w:rsidRPr="00F85775">
        <w:rPr>
          <w:rFonts w:ascii="Times New Roman" w:hAnsi="Times New Roman"/>
          <w:sz w:val="24"/>
          <w:szCs w:val="24"/>
        </w:rPr>
        <w:t xml:space="preserve">, the synthetic choice occasions for each </w:t>
      </w:r>
      <w:r w:rsidR="00F85775">
        <w:rPr>
          <w:rFonts w:ascii="Times New Roman" w:hAnsi="Times New Roman"/>
          <w:sz w:val="24"/>
          <w:szCs w:val="24"/>
        </w:rPr>
        <w:t xml:space="preserve">newly created </w:t>
      </w:r>
      <w:r w:rsidRPr="00F85775">
        <w:rPr>
          <w:rFonts w:ascii="Times New Roman" w:hAnsi="Times New Roman"/>
          <w:sz w:val="24"/>
          <w:szCs w:val="24"/>
        </w:rPr>
        <w:t xml:space="preserve">household are constructed based on the number of adults in the household. Then, the vehicle selection module </w:t>
      </w:r>
      <w:r w:rsidR="00F85775">
        <w:rPr>
          <w:rFonts w:ascii="Times New Roman" w:hAnsi="Times New Roman"/>
          <w:sz w:val="24"/>
          <w:szCs w:val="24"/>
        </w:rPr>
        <w:t xml:space="preserve">is applied </w:t>
      </w:r>
      <w:r w:rsidRPr="00F85775">
        <w:rPr>
          <w:rFonts w:ascii="Times New Roman" w:hAnsi="Times New Roman"/>
          <w:sz w:val="24"/>
          <w:szCs w:val="24"/>
        </w:rPr>
        <w:t xml:space="preserve">to determine the vehicle type (body type, vintage and fuel type of the vehicle) and the associated annual mileage at each of the synthetic choice occasions, updating the vehicle fleet characteristics after each synthetic choice occasion. This process generates the </w:t>
      </w:r>
      <w:r w:rsidR="00F85775">
        <w:rPr>
          <w:rFonts w:ascii="Times New Roman" w:hAnsi="Times New Roman"/>
          <w:sz w:val="24"/>
          <w:szCs w:val="24"/>
        </w:rPr>
        <w:t>vehicle fleet characteristics for</w:t>
      </w:r>
      <w:r w:rsidRPr="00F85775">
        <w:rPr>
          <w:rFonts w:ascii="Times New Roman" w:hAnsi="Times New Roman"/>
          <w:sz w:val="24"/>
          <w:szCs w:val="24"/>
        </w:rPr>
        <w:t xml:space="preserve"> all new households. </w:t>
      </w:r>
    </w:p>
    <w:p w:rsidR="00731179" w:rsidRDefault="00227718" w:rsidP="00F85775">
      <w:pPr>
        <w:spacing w:after="0" w:line="240" w:lineRule="auto"/>
        <w:ind w:firstLine="720"/>
        <w:jc w:val="both"/>
        <w:rPr>
          <w:rFonts w:ascii="Times New Roman" w:hAnsi="Times New Roman"/>
          <w:sz w:val="24"/>
          <w:szCs w:val="24"/>
        </w:rPr>
      </w:pPr>
      <w:r w:rsidRPr="00F85775">
        <w:rPr>
          <w:rFonts w:ascii="Times New Roman" w:hAnsi="Times New Roman"/>
          <w:sz w:val="24"/>
          <w:szCs w:val="24"/>
        </w:rPr>
        <w:t>This e</w:t>
      </w:r>
      <w:r w:rsidR="00F85775">
        <w:rPr>
          <w:rFonts w:ascii="Times New Roman" w:hAnsi="Times New Roman"/>
          <w:sz w:val="24"/>
          <w:szCs w:val="24"/>
        </w:rPr>
        <w:t xml:space="preserve">volution procedure is executed on an annual basis/cycle until the forecast year </w:t>
      </w:r>
      <w:r w:rsidRPr="00F85775">
        <w:rPr>
          <w:rFonts w:ascii="Times New Roman" w:hAnsi="Times New Roman"/>
          <w:sz w:val="24"/>
          <w:szCs w:val="24"/>
        </w:rPr>
        <w:t xml:space="preserve">is reached. During this process, </w:t>
      </w:r>
      <w:r w:rsidR="00F85775">
        <w:rPr>
          <w:rFonts w:ascii="Times New Roman" w:hAnsi="Times New Roman"/>
          <w:sz w:val="24"/>
          <w:szCs w:val="24"/>
        </w:rPr>
        <w:t xml:space="preserve">the population evolution model system is deployed to evolve the population over time.  Based on the new socio-economic and demographic profile of households and individuals, the vehicle evolution model predicts the vehicular fleet mix in each year of the simulation.  This annual evolutionary process reflects the dynamics of the person population and vehicle population and provides rich information useful to understanding changes in regional characteristics over time.  The land use, built environment, and network accessibility measures that influence population evolution (residential and work locations, for example) and vehicle evolution are treated as exogenous to the forecasting exercise undertaken in this study.  In reality, however, it is plausible to expect built environment and network accessibility measures to change in response to changes in vehicular technology and household location choices; thus such built environment and network accessibility measures are, in reality, endogenous to the model system.  However, the application of the population and vehicle evolution model systems within this study required the study team to assume that such data is exogenous to the evolution model systems.   </w:t>
      </w:r>
      <w:r w:rsidRPr="00F85775">
        <w:rPr>
          <w:rFonts w:ascii="Times New Roman" w:hAnsi="Times New Roman"/>
          <w:sz w:val="24"/>
          <w:szCs w:val="24"/>
        </w:rPr>
        <w:t xml:space="preserve"> </w:t>
      </w:r>
    </w:p>
    <w:p w:rsidR="00227718" w:rsidRPr="00F85775" w:rsidRDefault="00227718" w:rsidP="00CD319C">
      <w:pPr>
        <w:spacing w:after="0" w:line="240" w:lineRule="auto"/>
        <w:ind w:firstLine="720"/>
        <w:jc w:val="both"/>
        <w:rPr>
          <w:rFonts w:ascii="Times New Roman" w:hAnsi="Times New Roman"/>
          <w:sz w:val="24"/>
          <w:szCs w:val="24"/>
        </w:rPr>
      </w:pPr>
      <w:r w:rsidRPr="00F85775">
        <w:rPr>
          <w:rFonts w:ascii="Times New Roman" w:hAnsi="Times New Roman"/>
          <w:sz w:val="24"/>
          <w:szCs w:val="24"/>
        </w:rPr>
        <w:t xml:space="preserve">For the analysis of the policy scenarios, the random seeds used in the microsimulation process for each household and for each </w:t>
      </w:r>
      <w:r w:rsidR="00F85775">
        <w:rPr>
          <w:rFonts w:ascii="Times New Roman" w:hAnsi="Times New Roman"/>
          <w:sz w:val="24"/>
          <w:szCs w:val="24"/>
        </w:rPr>
        <w:t xml:space="preserve">vehicle </w:t>
      </w:r>
      <w:r w:rsidRPr="00F85775">
        <w:rPr>
          <w:rFonts w:ascii="Times New Roman" w:hAnsi="Times New Roman"/>
          <w:sz w:val="24"/>
          <w:szCs w:val="24"/>
        </w:rPr>
        <w:t xml:space="preserve">choice decision occasion over the course of the forecasting period are held fixed at the base case values to ensure that any changes in the vehicle fleet characteristics and associated mileages are attributable to the policy under consideration. </w:t>
      </w:r>
    </w:p>
    <w:p w:rsidR="00CC3E3E" w:rsidRDefault="00CC3E3E" w:rsidP="00CD319C">
      <w:pPr>
        <w:spacing w:after="0" w:line="240" w:lineRule="auto"/>
        <w:jc w:val="both"/>
        <w:rPr>
          <w:rFonts w:ascii="Times New Roman" w:hAnsi="Times New Roman"/>
          <w:sz w:val="24"/>
          <w:szCs w:val="24"/>
        </w:rPr>
      </w:pPr>
    </w:p>
    <w:p w:rsidR="00F85775" w:rsidRPr="00F85775" w:rsidRDefault="00F85775" w:rsidP="00CD319C">
      <w:pPr>
        <w:spacing w:after="0" w:line="240" w:lineRule="auto"/>
        <w:jc w:val="both"/>
        <w:rPr>
          <w:rFonts w:ascii="Times New Roman" w:hAnsi="Times New Roman"/>
          <w:b/>
          <w:sz w:val="24"/>
          <w:szCs w:val="24"/>
        </w:rPr>
      </w:pPr>
      <w:r>
        <w:rPr>
          <w:rFonts w:ascii="Times New Roman" w:hAnsi="Times New Roman"/>
          <w:b/>
          <w:sz w:val="24"/>
          <w:szCs w:val="24"/>
        </w:rPr>
        <w:t>Fuel Consumption and Greenhouse Gas Emissions Calculations</w:t>
      </w:r>
    </w:p>
    <w:p w:rsidR="00B746AB" w:rsidRPr="00711E8E" w:rsidRDefault="00CD319C" w:rsidP="00CD319C">
      <w:pPr>
        <w:spacing w:after="0" w:line="240" w:lineRule="auto"/>
        <w:jc w:val="both"/>
        <w:rPr>
          <w:rFonts w:ascii="Times New Roman" w:hAnsi="Times New Roman"/>
          <w:sz w:val="24"/>
          <w:szCs w:val="24"/>
        </w:rPr>
      </w:pPr>
      <w:r>
        <w:rPr>
          <w:rFonts w:ascii="Times New Roman" w:hAnsi="Times New Roman"/>
          <w:sz w:val="24"/>
          <w:szCs w:val="24"/>
        </w:rPr>
        <w:t xml:space="preserve">The vehicle fleet composition and evolution </w:t>
      </w:r>
      <w:r w:rsidR="00227718" w:rsidRPr="00CD319C">
        <w:rPr>
          <w:rFonts w:ascii="Times New Roman" w:hAnsi="Times New Roman"/>
          <w:sz w:val="24"/>
          <w:szCs w:val="24"/>
        </w:rPr>
        <w:t>simulator predicts annual vehicle usage along with the vehicle type for each vehicle in a household.</w:t>
      </w:r>
      <w:r>
        <w:rPr>
          <w:rFonts w:ascii="Times New Roman" w:hAnsi="Times New Roman"/>
          <w:sz w:val="24"/>
          <w:szCs w:val="24"/>
        </w:rPr>
        <w:t xml:space="preserve"> </w:t>
      </w:r>
      <w:r w:rsidR="00227718" w:rsidRPr="00C33C75">
        <w:rPr>
          <w:rFonts w:ascii="Times New Roman" w:hAnsi="Times New Roman"/>
          <w:sz w:val="24"/>
          <w:szCs w:val="24"/>
        </w:rPr>
        <w:t>This enables the estimation of the total annual fuel consumption by dividing the annual mileage</w:t>
      </w:r>
      <w:r>
        <w:rPr>
          <w:rFonts w:ascii="Times New Roman" w:hAnsi="Times New Roman"/>
          <w:sz w:val="24"/>
          <w:szCs w:val="24"/>
        </w:rPr>
        <w:t xml:space="preserve"> for each vehicle in the fleet with</w:t>
      </w:r>
      <w:r w:rsidR="00227718" w:rsidRPr="00C33C75">
        <w:rPr>
          <w:rFonts w:ascii="Times New Roman" w:hAnsi="Times New Roman"/>
          <w:sz w:val="24"/>
          <w:szCs w:val="24"/>
        </w:rPr>
        <w:t xml:space="preserve"> a </w:t>
      </w:r>
      <w:r>
        <w:rPr>
          <w:rFonts w:ascii="Times New Roman" w:hAnsi="Times New Roman"/>
          <w:sz w:val="24"/>
          <w:szCs w:val="24"/>
        </w:rPr>
        <w:t xml:space="preserve">corresponding </w:t>
      </w:r>
      <w:r w:rsidR="00227718" w:rsidRPr="00C33C75">
        <w:rPr>
          <w:rFonts w:ascii="Times New Roman" w:hAnsi="Times New Roman"/>
          <w:sz w:val="24"/>
          <w:szCs w:val="24"/>
        </w:rPr>
        <w:t xml:space="preserve">fuel economy </w:t>
      </w:r>
      <w:r>
        <w:rPr>
          <w:rFonts w:ascii="Times New Roman" w:hAnsi="Times New Roman"/>
          <w:sz w:val="24"/>
          <w:szCs w:val="24"/>
        </w:rPr>
        <w:t xml:space="preserve">value </w:t>
      </w:r>
      <w:r w:rsidR="00227718" w:rsidRPr="00C33C75">
        <w:rPr>
          <w:rFonts w:ascii="Times New Roman" w:hAnsi="Times New Roman"/>
          <w:sz w:val="24"/>
          <w:szCs w:val="24"/>
        </w:rPr>
        <w:t>(</w:t>
      </w:r>
      <w:r>
        <w:rPr>
          <w:rFonts w:ascii="Times New Roman" w:hAnsi="Times New Roman"/>
          <w:sz w:val="24"/>
          <w:szCs w:val="24"/>
        </w:rPr>
        <w:t xml:space="preserve">in </w:t>
      </w:r>
      <w:r w:rsidR="00227718" w:rsidRPr="00C33C75">
        <w:rPr>
          <w:rFonts w:ascii="Times New Roman" w:hAnsi="Times New Roman"/>
          <w:sz w:val="24"/>
          <w:szCs w:val="24"/>
        </w:rPr>
        <w:t xml:space="preserve">miles per gallon) based on the vehicle type. </w:t>
      </w:r>
      <w:r>
        <w:rPr>
          <w:rFonts w:ascii="Times New Roman" w:hAnsi="Times New Roman"/>
          <w:sz w:val="24"/>
          <w:szCs w:val="24"/>
        </w:rPr>
        <w:t>The average fuel economy value across all makes/models within each vehicle type (as defined by a combination of body type, vintage, and fuel type) is used as the fuel economy estimate for any particular vehicle type.  For all vehicle types until model year 2012, fuel economy data provided by the US Department of Energy is used; this data is freely available for download at</w:t>
      </w:r>
      <w:r w:rsidR="00423C9C">
        <w:rPr>
          <w:rFonts w:ascii="Times New Roman" w:hAnsi="Times New Roman"/>
          <w:sz w:val="24"/>
          <w:szCs w:val="24"/>
        </w:rPr>
        <w:t xml:space="preserve"> </w:t>
      </w:r>
      <w:hyperlink r:id="rId16" w:history="1">
        <w:r w:rsidR="00423C9C" w:rsidRPr="00423C9C">
          <w:rPr>
            <w:rStyle w:val="Hyperlink"/>
            <w:rFonts w:ascii="Times New Roman" w:hAnsi="Times New Roman"/>
            <w:sz w:val="24"/>
            <w:szCs w:val="24"/>
          </w:rPr>
          <w:t>http://www.fueleconomy.gov/feg/download.shtml</w:t>
        </w:r>
      </w:hyperlink>
      <w:r w:rsidR="00423C9C">
        <w:rPr>
          <w:rFonts w:ascii="Times New Roman" w:hAnsi="Times New Roman"/>
          <w:sz w:val="24"/>
          <w:szCs w:val="24"/>
        </w:rPr>
        <w:t>.</w:t>
      </w:r>
      <w:r>
        <w:rPr>
          <w:rFonts w:ascii="Times New Roman" w:hAnsi="Times New Roman"/>
          <w:sz w:val="24"/>
          <w:szCs w:val="24"/>
        </w:rPr>
        <w:t xml:space="preserve">  For all model years beyond 2012, it is assumed that fuel economy will continue to improve, especially in light of federal legislative actions mandating higher fuel economy standards in future years.  It is therefore assumed that </w:t>
      </w:r>
      <w:r w:rsidRPr="00711E8E">
        <w:rPr>
          <w:rFonts w:ascii="Times New Roman" w:hAnsi="Times New Roman"/>
          <w:sz w:val="24"/>
          <w:szCs w:val="24"/>
        </w:rPr>
        <w:t>new model years will come with an a</w:t>
      </w:r>
      <w:r w:rsidR="007944D5" w:rsidRPr="00711E8E">
        <w:rPr>
          <w:rFonts w:ascii="Times New Roman" w:hAnsi="Times New Roman"/>
          <w:sz w:val="24"/>
          <w:szCs w:val="24"/>
        </w:rPr>
        <w:t>nnual fuel economy increase of three</w:t>
      </w:r>
      <w:r w:rsidRPr="00711E8E">
        <w:rPr>
          <w:rFonts w:ascii="Times New Roman" w:hAnsi="Times New Roman"/>
          <w:sz w:val="24"/>
          <w:szCs w:val="24"/>
        </w:rPr>
        <w:t xml:space="preserve"> percent.  For example, </w:t>
      </w:r>
      <w:r w:rsidR="00B746AB" w:rsidRPr="00711E8E">
        <w:rPr>
          <w:rFonts w:ascii="Times New Roman" w:hAnsi="Times New Roman"/>
          <w:sz w:val="24"/>
          <w:szCs w:val="24"/>
        </w:rPr>
        <w:t xml:space="preserve">if a new Gasoline car provides 35 mpg in 2012, </w:t>
      </w:r>
      <w:r w:rsidRPr="00711E8E">
        <w:rPr>
          <w:rFonts w:ascii="Times New Roman" w:hAnsi="Times New Roman"/>
          <w:sz w:val="24"/>
          <w:szCs w:val="24"/>
        </w:rPr>
        <w:t>then the same car would provide a mileage of</w:t>
      </w:r>
      <w:r w:rsidR="00B746AB" w:rsidRPr="00711E8E">
        <w:rPr>
          <w:rFonts w:ascii="Times New Roman" w:hAnsi="Times New Roman"/>
          <w:sz w:val="24"/>
          <w:szCs w:val="24"/>
        </w:rPr>
        <w:t xml:space="preserve"> </w:t>
      </w:r>
      <w:r w:rsidRPr="00711E8E">
        <w:rPr>
          <w:rFonts w:ascii="Times New Roman" w:hAnsi="Times New Roman"/>
          <w:sz w:val="24"/>
          <w:szCs w:val="24"/>
        </w:rPr>
        <w:t>35</w:t>
      </w:r>
      <w:r w:rsidR="00711E8E">
        <w:rPr>
          <w:rFonts w:ascii="Times New Roman" w:hAnsi="Times New Roman"/>
          <w:sz w:val="24"/>
          <w:szCs w:val="24"/>
        </w:rPr>
        <w:t>×</w:t>
      </w:r>
      <w:r w:rsidRPr="00711E8E">
        <w:rPr>
          <w:rFonts w:ascii="Times New Roman" w:hAnsi="Times New Roman"/>
          <w:sz w:val="24"/>
          <w:szCs w:val="24"/>
        </w:rPr>
        <w:t xml:space="preserve">1.03 = 36.05 mpg in 2013.  </w:t>
      </w:r>
    </w:p>
    <w:p w:rsidR="004C6733" w:rsidRPr="00711E8E" w:rsidRDefault="004C6733" w:rsidP="007944D5">
      <w:pPr>
        <w:spacing w:after="0" w:line="240" w:lineRule="auto"/>
        <w:ind w:firstLine="720"/>
        <w:jc w:val="both"/>
        <w:rPr>
          <w:rFonts w:ascii="Times New Roman" w:hAnsi="Times New Roman"/>
          <w:sz w:val="24"/>
          <w:szCs w:val="24"/>
        </w:rPr>
      </w:pPr>
      <w:r w:rsidRPr="00711E8E">
        <w:rPr>
          <w:rFonts w:ascii="Times New Roman" w:hAnsi="Times New Roman"/>
          <w:sz w:val="24"/>
          <w:szCs w:val="24"/>
        </w:rPr>
        <w:t xml:space="preserve">In addition, </w:t>
      </w:r>
      <w:r w:rsidR="00CD319C" w:rsidRPr="00711E8E">
        <w:rPr>
          <w:rFonts w:ascii="Times New Roman" w:hAnsi="Times New Roman"/>
          <w:sz w:val="24"/>
          <w:szCs w:val="24"/>
        </w:rPr>
        <w:t>the study</w:t>
      </w:r>
      <w:r w:rsidRPr="00711E8E">
        <w:rPr>
          <w:rFonts w:ascii="Times New Roman" w:hAnsi="Times New Roman"/>
          <w:sz w:val="24"/>
          <w:szCs w:val="24"/>
        </w:rPr>
        <w:t xml:space="preserve"> account</w:t>
      </w:r>
      <w:r w:rsidR="00CD319C" w:rsidRPr="00711E8E">
        <w:rPr>
          <w:rFonts w:ascii="Times New Roman" w:hAnsi="Times New Roman"/>
          <w:sz w:val="24"/>
          <w:szCs w:val="24"/>
        </w:rPr>
        <w:t>s</w:t>
      </w:r>
      <w:r w:rsidRPr="00711E8E">
        <w:rPr>
          <w:rFonts w:ascii="Times New Roman" w:hAnsi="Times New Roman"/>
          <w:sz w:val="24"/>
          <w:szCs w:val="24"/>
        </w:rPr>
        <w:t xml:space="preserve"> for the proposed </w:t>
      </w:r>
      <w:r w:rsidR="00CD319C" w:rsidRPr="00711E8E">
        <w:rPr>
          <w:rFonts w:ascii="Times New Roman" w:hAnsi="Times New Roman"/>
          <w:sz w:val="24"/>
          <w:szCs w:val="24"/>
        </w:rPr>
        <w:t xml:space="preserve">new </w:t>
      </w:r>
      <w:r w:rsidRPr="00711E8E">
        <w:rPr>
          <w:rFonts w:ascii="Times New Roman" w:hAnsi="Times New Roman"/>
          <w:sz w:val="24"/>
          <w:szCs w:val="24"/>
        </w:rPr>
        <w:t>corporate average fuel economy (CAF</w:t>
      </w:r>
      <w:r w:rsidR="001463C6" w:rsidRPr="00711E8E">
        <w:rPr>
          <w:rFonts w:ascii="Times New Roman" w:hAnsi="Times New Roman"/>
          <w:sz w:val="24"/>
          <w:szCs w:val="24"/>
        </w:rPr>
        <w:t>E</w:t>
      </w:r>
      <w:r w:rsidRPr="00711E8E">
        <w:rPr>
          <w:rFonts w:ascii="Times New Roman" w:hAnsi="Times New Roman"/>
          <w:sz w:val="24"/>
          <w:szCs w:val="24"/>
        </w:rPr>
        <w:t>) standards for all light duty vehicles of model years 2017 to 2025. Specifically, the new standards require all passenger cars (including sub-compacts to large sedans and station wagons, crossover utility vehicles, SUVs, and minivans) to have a minimum fuel economy of 37.8 miles per gallon (mpg) in model year 2012 and 56.0 mpg in model year 2025 and all light trucks to have a minimum fuel economy of 34.1 mpg in model year 2012 and 49.6 mpg in model year 2025 (</w:t>
      </w:r>
      <w:r w:rsidR="00294DCE" w:rsidRPr="00711E8E">
        <w:rPr>
          <w:rFonts w:ascii="Times New Roman" w:hAnsi="Times New Roman"/>
          <w:i/>
          <w:sz w:val="24"/>
          <w:szCs w:val="24"/>
        </w:rPr>
        <w:t>8</w:t>
      </w:r>
      <w:r w:rsidRPr="00711E8E">
        <w:rPr>
          <w:rFonts w:ascii="Times New Roman" w:hAnsi="Times New Roman"/>
          <w:sz w:val="24"/>
          <w:szCs w:val="24"/>
        </w:rPr>
        <w:t>).</w:t>
      </w:r>
      <w:r w:rsidR="007944D5" w:rsidRPr="00711E8E">
        <w:rPr>
          <w:rFonts w:ascii="Times New Roman" w:hAnsi="Times New Roman"/>
          <w:sz w:val="24"/>
          <w:szCs w:val="24"/>
        </w:rPr>
        <w:t xml:space="preserve"> So, </w:t>
      </w:r>
      <w:r w:rsidRPr="00711E8E">
        <w:rPr>
          <w:rFonts w:ascii="Times New Roman" w:hAnsi="Times New Roman"/>
          <w:sz w:val="24"/>
          <w:szCs w:val="24"/>
        </w:rPr>
        <w:t>all new model years starting 2017 are set to meet these new CAF</w:t>
      </w:r>
      <w:r w:rsidR="001463C6" w:rsidRPr="00711E8E">
        <w:rPr>
          <w:rFonts w:ascii="Times New Roman" w:hAnsi="Times New Roman"/>
          <w:sz w:val="24"/>
          <w:szCs w:val="24"/>
        </w:rPr>
        <w:t>E</w:t>
      </w:r>
      <w:r w:rsidRPr="00711E8E">
        <w:rPr>
          <w:rFonts w:ascii="Times New Roman" w:hAnsi="Times New Roman"/>
          <w:sz w:val="24"/>
          <w:szCs w:val="24"/>
        </w:rPr>
        <w:t xml:space="preserve"> standards in case t</w:t>
      </w:r>
      <w:r w:rsidR="007944D5" w:rsidRPr="00711E8E">
        <w:rPr>
          <w:rFonts w:ascii="Times New Roman" w:hAnsi="Times New Roman"/>
          <w:sz w:val="24"/>
          <w:szCs w:val="24"/>
        </w:rPr>
        <w:t>heir mileage computed using a three percent</w:t>
      </w:r>
      <w:r w:rsidRPr="00711E8E">
        <w:rPr>
          <w:rFonts w:ascii="Times New Roman" w:hAnsi="Times New Roman"/>
          <w:sz w:val="24"/>
          <w:szCs w:val="24"/>
        </w:rPr>
        <w:t xml:space="preserve"> annual increase in fuel economy values as described earlier com</w:t>
      </w:r>
      <w:r w:rsidR="00CD319C" w:rsidRPr="00711E8E">
        <w:rPr>
          <w:rFonts w:ascii="Times New Roman" w:hAnsi="Times New Roman"/>
          <w:sz w:val="24"/>
          <w:szCs w:val="24"/>
        </w:rPr>
        <w:t>es out to be lower than the CAFE</w:t>
      </w:r>
      <w:r w:rsidRPr="00711E8E">
        <w:rPr>
          <w:rFonts w:ascii="Times New Roman" w:hAnsi="Times New Roman"/>
          <w:sz w:val="24"/>
          <w:szCs w:val="24"/>
        </w:rPr>
        <w:t xml:space="preserve"> standard.</w:t>
      </w:r>
    </w:p>
    <w:p w:rsidR="007944D5" w:rsidRPr="00711E8E" w:rsidRDefault="007944D5" w:rsidP="001068B8">
      <w:pPr>
        <w:spacing w:after="0" w:line="240" w:lineRule="auto"/>
        <w:ind w:firstLine="720"/>
        <w:jc w:val="both"/>
        <w:rPr>
          <w:rFonts w:ascii="Times New Roman" w:hAnsi="Times New Roman"/>
          <w:sz w:val="24"/>
          <w:szCs w:val="24"/>
        </w:rPr>
      </w:pPr>
      <w:r w:rsidRPr="00711E8E">
        <w:rPr>
          <w:rFonts w:ascii="Times New Roman" w:hAnsi="Times New Roman"/>
          <w:sz w:val="24"/>
          <w:szCs w:val="24"/>
        </w:rPr>
        <w:t xml:space="preserve">A series of assumptions and calculations are made to compute energy consumption and tailpipe emissions for different vehicle types. The study team had to make reasonable assumptions regarding the entry of new vehicles into the market.  For example, there are currently no all-electric sport utility vehicles and minivans in the market.  It is assumed that such vehicles will become available starting in the model year 2015. The following is a list of assumptions and procedures used to facilitate the computations: </w:t>
      </w:r>
    </w:p>
    <w:p w:rsidR="007944D5" w:rsidRDefault="007944D5" w:rsidP="001068B8">
      <w:pPr>
        <w:spacing w:after="0" w:line="240" w:lineRule="auto"/>
        <w:ind w:firstLine="720"/>
        <w:jc w:val="both"/>
        <w:rPr>
          <w:rFonts w:ascii="Times New Roman" w:hAnsi="Times New Roman"/>
          <w:sz w:val="24"/>
          <w:szCs w:val="24"/>
        </w:rPr>
      </w:pPr>
    </w:p>
    <w:p w:rsidR="007D3E43" w:rsidRPr="00B746AB" w:rsidRDefault="007944D5" w:rsidP="00F87F61">
      <w:pPr>
        <w:pStyle w:val="ListParagraph"/>
        <w:numPr>
          <w:ilvl w:val="0"/>
          <w:numId w:val="4"/>
        </w:numPr>
        <w:autoSpaceDE w:val="0"/>
        <w:autoSpaceDN w:val="0"/>
        <w:adjustRightInd w:val="0"/>
        <w:spacing w:after="80" w:line="240" w:lineRule="auto"/>
        <w:ind w:left="360"/>
        <w:contextualSpacing w:val="0"/>
        <w:jc w:val="both"/>
        <w:rPr>
          <w:rFonts w:ascii="Times New Roman" w:hAnsi="Times New Roman"/>
          <w:sz w:val="24"/>
          <w:szCs w:val="24"/>
        </w:rPr>
      </w:pPr>
      <w:r>
        <w:rPr>
          <w:rFonts w:ascii="Times New Roman" w:hAnsi="Times New Roman"/>
          <w:sz w:val="24"/>
          <w:szCs w:val="24"/>
        </w:rPr>
        <w:t>A</w:t>
      </w:r>
      <w:r w:rsidR="007D3E43">
        <w:rPr>
          <w:rFonts w:ascii="Times New Roman" w:hAnsi="Times New Roman"/>
          <w:sz w:val="24"/>
          <w:szCs w:val="24"/>
        </w:rPr>
        <w:t xml:space="preserve">ll </w:t>
      </w:r>
      <w:r>
        <w:rPr>
          <w:rFonts w:ascii="Times New Roman" w:hAnsi="Times New Roman"/>
          <w:sz w:val="24"/>
          <w:szCs w:val="24"/>
        </w:rPr>
        <w:t>c</w:t>
      </w:r>
      <w:r w:rsidR="007D3E43">
        <w:rPr>
          <w:rFonts w:ascii="Times New Roman" w:hAnsi="Times New Roman"/>
          <w:sz w:val="24"/>
          <w:szCs w:val="24"/>
        </w:rPr>
        <w:t>osts associated with vehicle usage including vehicle purchase price and vehicle main</w:t>
      </w:r>
      <w:r>
        <w:rPr>
          <w:rFonts w:ascii="Times New Roman" w:hAnsi="Times New Roman"/>
          <w:sz w:val="24"/>
          <w:szCs w:val="24"/>
        </w:rPr>
        <w:t xml:space="preserve">tenance cost are expected to increase by three percent </w:t>
      </w:r>
      <w:r w:rsidR="007D3E43">
        <w:rPr>
          <w:rFonts w:ascii="Times New Roman" w:hAnsi="Times New Roman"/>
          <w:sz w:val="24"/>
          <w:szCs w:val="24"/>
        </w:rPr>
        <w:t>every year.</w:t>
      </w:r>
    </w:p>
    <w:p w:rsidR="00C33C75" w:rsidRPr="00C33C75" w:rsidRDefault="00684CF5" w:rsidP="00F87F61">
      <w:pPr>
        <w:pStyle w:val="ListParagraph"/>
        <w:numPr>
          <w:ilvl w:val="0"/>
          <w:numId w:val="4"/>
        </w:numPr>
        <w:spacing w:after="80" w:line="240" w:lineRule="auto"/>
        <w:ind w:left="360"/>
        <w:contextualSpacing w:val="0"/>
        <w:jc w:val="both"/>
        <w:rPr>
          <w:rFonts w:ascii="Times New Roman" w:hAnsi="Times New Roman"/>
          <w:sz w:val="24"/>
          <w:szCs w:val="24"/>
        </w:rPr>
      </w:pPr>
      <w:r w:rsidRPr="00C33C75">
        <w:rPr>
          <w:rFonts w:ascii="Times New Roman" w:hAnsi="Times New Roman"/>
          <w:sz w:val="24"/>
          <w:szCs w:val="24"/>
        </w:rPr>
        <w:t xml:space="preserve">For </w:t>
      </w:r>
      <w:r w:rsidR="00227718" w:rsidRPr="00C33C75">
        <w:rPr>
          <w:rFonts w:ascii="Times New Roman" w:hAnsi="Times New Roman"/>
          <w:sz w:val="24"/>
          <w:szCs w:val="24"/>
        </w:rPr>
        <w:t xml:space="preserve">hybrid-electric vehicles and plug-in hybrids, </w:t>
      </w:r>
      <w:r w:rsidR="007944D5">
        <w:rPr>
          <w:rFonts w:ascii="Times New Roman" w:hAnsi="Times New Roman"/>
          <w:sz w:val="24"/>
          <w:szCs w:val="24"/>
        </w:rPr>
        <w:t>it is</w:t>
      </w:r>
      <w:r w:rsidR="00227718" w:rsidRPr="00C33C75">
        <w:rPr>
          <w:rFonts w:ascii="Times New Roman" w:hAnsi="Times New Roman"/>
          <w:sz w:val="24"/>
          <w:szCs w:val="24"/>
        </w:rPr>
        <w:t xml:space="preserve"> assume</w:t>
      </w:r>
      <w:r w:rsidR="007944D5">
        <w:rPr>
          <w:rFonts w:ascii="Times New Roman" w:hAnsi="Times New Roman"/>
          <w:sz w:val="24"/>
          <w:szCs w:val="24"/>
        </w:rPr>
        <w:t>d</w:t>
      </w:r>
      <w:r w:rsidR="00227718" w:rsidRPr="00C33C75">
        <w:rPr>
          <w:rFonts w:ascii="Times New Roman" w:hAnsi="Times New Roman"/>
          <w:sz w:val="24"/>
          <w:szCs w:val="24"/>
        </w:rPr>
        <w:t xml:space="preserve"> that the </w:t>
      </w:r>
      <w:r w:rsidR="00575A2D" w:rsidRPr="00C33C75">
        <w:rPr>
          <w:rFonts w:ascii="Times New Roman" w:hAnsi="Times New Roman"/>
          <w:sz w:val="24"/>
          <w:szCs w:val="24"/>
        </w:rPr>
        <w:t>liquid fuel</w:t>
      </w:r>
      <w:r w:rsidR="00227718" w:rsidRPr="00C33C75">
        <w:rPr>
          <w:rFonts w:ascii="Times New Roman" w:hAnsi="Times New Roman"/>
          <w:sz w:val="24"/>
          <w:szCs w:val="24"/>
        </w:rPr>
        <w:t xml:space="preserve"> </w:t>
      </w:r>
      <w:r w:rsidR="002D214D" w:rsidRPr="00C33C75">
        <w:rPr>
          <w:rFonts w:ascii="Times New Roman" w:hAnsi="Times New Roman"/>
          <w:sz w:val="24"/>
          <w:szCs w:val="24"/>
        </w:rPr>
        <w:t xml:space="preserve">(which produces GHG emissions) </w:t>
      </w:r>
      <w:r w:rsidR="00227718" w:rsidRPr="00C33C75">
        <w:rPr>
          <w:rFonts w:ascii="Times New Roman" w:hAnsi="Times New Roman"/>
          <w:sz w:val="24"/>
          <w:szCs w:val="24"/>
        </w:rPr>
        <w:t xml:space="preserve">used in the vehicles is gasoline (and </w:t>
      </w:r>
      <w:r w:rsidR="00937257" w:rsidRPr="00C33C75">
        <w:rPr>
          <w:rFonts w:ascii="Times New Roman" w:hAnsi="Times New Roman"/>
          <w:sz w:val="24"/>
          <w:szCs w:val="24"/>
        </w:rPr>
        <w:t xml:space="preserve">not </w:t>
      </w:r>
      <w:r w:rsidR="00FC4E9C" w:rsidRPr="00C33C75">
        <w:rPr>
          <w:rFonts w:ascii="Times New Roman" w:hAnsi="Times New Roman"/>
          <w:sz w:val="24"/>
          <w:szCs w:val="24"/>
        </w:rPr>
        <w:t>a</w:t>
      </w:r>
      <w:r w:rsidR="00227718" w:rsidRPr="00C33C75">
        <w:rPr>
          <w:rFonts w:ascii="Times New Roman" w:hAnsi="Times New Roman"/>
          <w:sz w:val="24"/>
          <w:szCs w:val="24"/>
        </w:rPr>
        <w:t>n</w:t>
      </w:r>
      <w:r w:rsidR="00FC4E9C" w:rsidRPr="00C33C75">
        <w:rPr>
          <w:rFonts w:ascii="Times New Roman" w:hAnsi="Times New Roman"/>
          <w:sz w:val="24"/>
          <w:szCs w:val="24"/>
        </w:rPr>
        <w:t xml:space="preserve">y </w:t>
      </w:r>
      <w:r w:rsidR="00227718" w:rsidRPr="00C33C75">
        <w:rPr>
          <w:rFonts w:ascii="Times New Roman" w:hAnsi="Times New Roman"/>
          <w:sz w:val="24"/>
          <w:szCs w:val="24"/>
        </w:rPr>
        <w:t>ot</w:t>
      </w:r>
      <w:r w:rsidR="00FC4E9C" w:rsidRPr="00C33C75">
        <w:rPr>
          <w:rFonts w:ascii="Times New Roman" w:hAnsi="Times New Roman"/>
          <w:sz w:val="24"/>
          <w:szCs w:val="24"/>
        </w:rPr>
        <w:t>her</w:t>
      </w:r>
      <w:r w:rsidR="00227718" w:rsidRPr="00C33C75">
        <w:rPr>
          <w:rFonts w:ascii="Times New Roman" w:hAnsi="Times New Roman"/>
          <w:sz w:val="24"/>
          <w:szCs w:val="24"/>
        </w:rPr>
        <w:t xml:space="preserve"> </w:t>
      </w:r>
      <w:r w:rsidR="00FC4E9C" w:rsidRPr="00C33C75">
        <w:rPr>
          <w:rFonts w:ascii="Times New Roman" w:hAnsi="Times New Roman"/>
          <w:sz w:val="24"/>
          <w:szCs w:val="24"/>
        </w:rPr>
        <w:t>fuel</w:t>
      </w:r>
      <w:r w:rsidR="002D214D" w:rsidRPr="00C33C75">
        <w:rPr>
          <w:rFonts w:ascii="Times New Roman" w:hAnsi="Times New Roman"/>
          <w:sz w:val="24"/>
          <w:szCs w:val="24"/>
        </w:rPr>
        <w:t xml:space="preserve"> suc</w:t>
      </w:r>
      <w:r w:rsidR="007944D5">
        <w:rPr>
          <w:rFonts w:ascii="Times New Roman" w:hAnsi="Times New Roman"/>
          <w:sz w:val="24"/>
          <w:szCs w:val="24"/>
        </w:rPr>
        <w:t>h as diesel or</w:t>
      </w:r>
      <w:r w:rsidR="002D214D" w:rsidRPr="00C33C75">
        <w:rPr>
          <w:rFonts w:ascii="Times New Roman" w:hAnsi="Times New Roman"/>
          <w:sz w:val="24"/>
          <w:szCs w:val="24"/>
        </w:rPr>
        <w:t xml:space="preserve"> flex</w:t>
      </w:r>
      <w:r w:rsidR="007944D5">
        <w:rPr>
          <w:rFonts w:ascii="Times New Roman" w:hAnsi="Times New Roman"/>
          <w:sz w:val="24"/>
          <w:szCs w:val="24"/>
        </w:rPr>
        <w:t xml:space="preserve"> </w:t>
      </w:r>
      <w:r w:rsidR="002D214D" w:rsidRPr="00C33C75">
        <w:rPr>
          <w:rFonts w:ascii="Times New Roman" w:hAnsi="Times New Roman"/>
          <w:sz w:val="24"/>
          <w:szCs w:val="24"/>
        </w:rPr>
        <w:t>fuel</w:t>
      </w:r>
      <w:r w:rsidR="00227718" w:rsidRPr="00C33C75">
        <w:rPr>
          <w:rFonts w:ascii="Times New Roman" w:hAnsi="Times New Roman"/>
          <w:sz w:val="24"/>
          <w:szCs w:val="24"/>
        </w:rPr>
        <w:t xml:space="preserve">). </w:t>
      </w:r>
      <w:r w:rsidR="00937257" w:rsidRPr="00C33C75">
        <w:rPr>
          <w:rFonts w:ascii="Times New Roman" w:hAnsi="Times New Roman"/>
          <w:sz w:val="24"/>
          <w:szCs w:val="24"/>
        </w:rPr>
        <w:t>For example,</w:t>
      </w:r>
      <w:r w:rsidR="007546D1" w:rsidRPr="00C33C75">
        <w:rPr>
          <w:rFonts w:ascii="Times New Roman" w:hAnsi="Times New Roman"/>
          <w:sz w:val="24"/>
          <w:szCs w:val="24"/>
        </w:rPr>
        <w:t xml:space="preserve"> </w:t>
      </w:r>
      <w:r w:rsidR="00937257" w:rsidRPr="00C33C75">
        <w:rPr>
          <w:rFonts w:ascii="Times New Roman" w:hAnsi="Times New Roman"/>
          <w:sz w:val="24"/>
          <w:szCs w:val="24"/>
        </w:rPr>
        <w:t xml:space="preserve">if the </w:t>
      </w:r>
      <w:r w:rsidR="007944D5">
        <w:rPr>
          <w:rFonts w:ascii="Times New Roman" w:hAnsi="Times New Roman"/>
          <w:sz w:val="24"/>
          <w:szCs w:val="24"/>
        </w:rPr>
        <w:t xml:space="preserve">fuel </w:t>
      </w:r>
      <w:r w:rsidR="00937257" w:rsidRPr="00C33C75">
        <w:rPr>
          <w:rFonts w:ascii="Times New Roman" w:hAnsi="Times New Roman"/>
          <w:sz w:val="24"/>
          <w:szCs w:val="24"/>
        </w:rPr>
        <w:t xml:space="preserve">economy value of a hybrid-electric vehicle </w:t>
      </w:r>
      <w:r w:rsidRPr="00C33C75">
        <w:rPr>
          <w:rFonts w:ascii="Times New Roman" w:hAnsi="Times New Roman"/>
          <w:sz w:val="24"/>
          <w:szCs w:val="24"/>
        </w:rPr>
        <w:t xml:space="preserve">is estimated to be </w:t>
      </w:r>
      <w:r w:rsidR="00937257" w:rsidRPr="00C33C75">
        <w:rPr>
          <w:rFonts w:ascii="Times New Roman" w:hAnsi="Times New Roman"/>
          <w:sz w:val="24"/>
          <w:szCs w:val="24"/>
        </w:rPr>
        <w:t xml:space="preserve">90 miles per gallon, </w:t>
      </w:r>
      <w:r w:rsidR="007944D5">
        <w:rPr>
          <w:rFonts w:ascii="Times New Roman" w:hAnsi="Times New Roman"/>
          <w:sz w:val="24"/>
          <w:szCs w:val="24"/>
        </w:rPr>
        <w:t>then it is assumed that</w:t>
      </w:r>
      <w:r w:rsidR="00937257" w:rsidRPr="00C33C75">
        <w:rPr>
          <w:rFonts w:ascii="Times New Roman" w:hAnsi="Times New Roman"/>
          <w:sz w:val="24"/>
          <w:szCs w:val="24"/>
        </w:rPr>
        <w:t xml:space="preserve"> the vehicle provides a mileage of 90 miles per gallon of gasoline. </w:t>
      </w:r>
    </w:p>
    <w:p w:rsidR="00C33C75" w:rsidRPr="00C33C75" w:rsidRDefault="00227718" w:rsidP="00F87F61">
      <w:pPr>
        <w:pStyle w:val="ListParagraph"/>
        <w:numPr>
          <w:ilvl w:val="0"/>
          <w:numId w:val="4"/>
        </w:numPr>
        <w:spacing w:after="80" w:line="240" w:lineRule="auto"/>
        <w:ind w:left="360"/>
        <w:contextualSpacing w:val="0"/>
        <w:jc w:val="both"/>
        <w:rPr>
          <w:rFonts w:ascii="Times New Roman" w:hAnsi="Times New Roman"/>
          <w:sz w:val="24"/>
          <w:szCs w:val="24"/>
        </w:rPr>
      </w:pPr>
      <w:r w:rsidRPr="00C33C75">
        <w:rPr>
          <w:rFonts w:ascii="Times New Roman" w:hAnsi="Times New Roman"/>
          <w:sz w:val="24"/>
          <w:szCs w:val="24"/>
        </w:rPr>
        <w:t>The fuel economy value estimates of compressed natural gas (CNG) and fully electric vehicles represent the miles per gallon of gasoline equivalent (</w:t>
      </w:r>
      <w:proofErr w:type="spellStart"/>
      <w:r w:rsidRPr="00C33C75">
        <w:rPr>
          <w:rFonts w:ascii="Times New Roman" w:hAnsi="Times New Roman"/>
          <w:sz w:val="24"/>
          <w:szCs w:val="24"/>
        </w:rPr>
        <w:t>MPGe</w:t>
      </w:r>
      <w:proofErr w:type="spellEnd"/>
      <w:r w:rsidRPr="00C33C75">
        <w:rPr>
          <w:rFonts w:ascii="Times New Roman" w:hAnsi="Times New Roman"/>
          <w:sz w:val="24"/>
          <w:szCs w:val="24"/>
        </w:rPr>
        <w:t xml:space="preserve">) values. </w:t>
      </w:r>
    </w:p>
    <w:p w:rsidR="00C33C75" w:rsidRPr="00C33C75" w:rsidRDefault="00227718" w:rsidP="00F87F61">
      <w:pPr>
        <w:pStyle w:val="ListParagraph"/>
        <w:numPr>
          <w:ilvl w:val="0"/>
          <w:numId w:val="4"/>
        </w:numPr>
        <w:spacing w:after="80" w:line="240" w:lineRule="auto"/>
        <w:ind w:left="360"/>
        <w:contextualSpacing w:val="0"/>
        <w:jc w:val="both"/>
        <w:rPr>
          <w:rFonts w:ascii="Times New Roman" w:hAnsi="Times New Roman"/>
          <w:sz w:val="24"/>
          <w:szCs w:val="24"/>
        </w:rPr>
      </w:pPr>
      <w:r w:rsidRPr="00C33C75">
        <w:rPr>
          <w:rFonts w:ascii="Times New Roman" w:hAnsi="Times New Roman"/>
          <w:sz w:val="24"/>
          <w:szCs w:val="24"/>
        </w:rPr>
        <w:t xml:space="preserve">For CNG vehicles, a Gasoline Gallon Equivalent (GGE) factor of 0.51 cubic feet (at 3600 psi, which is the pressure in most CNG cylinders) is used to convert the gallons of gasoline to equivalent volume of CNG with the same energy content. </w:t>
      </w:r>
    </w:p>
    <w:p w:rsidR="00C33C75" w:rsidRDefault="007944D5" w:rsidP="001068B8">
      <w:pPr>
        <w:pStyle w:val="ListParagraph"/>
        <w:numPr>
          <w:ilvl w:val="0"/>
          <w:numId w:val="4"/>
        </w:numPr>
        <w:spacing w:after="0" w:line="240" w:lineRule="auto"/>
        <w:ind w:left="360"/>
        <w:jc w:val="both"/>
        <w:rPr>
          <w:rFonts w:ascii="Times New Roman" w:hAnsi="Times New Roman"/>
          <w:sz w:val="24"/>
          <w:szCs w:val="24"/>
        </w:rPr>
      </w:pPr>
      <w:r>
        <w:rPr>
          <w:rFonts w:ascii="Times New Roman" w:hAnsi="Times New Roman"/>
          <w:sz w:val="24"/>
          <w:szCs w:val="24"/>
        </w:rPr>
        <w:lastRenderedPageBreak/>
        <w:t xml:space="preserve">All </w:t>
      </w:r>
      <w:r w:rsidR="00227718" w:rsidRPr="00C33C75">
        <w:rPr>
          <w:rFonts w:ascii="Times New Roman" w:hAnsi="Times New Roman"/>
          <w:sz w:val="24"/>
          <w:szCs w:val="24"/>
        </w:rPr>
        <w:t xml:space="preserve">fully electric vehicles </w:t>
      </w:r>
      <w:r>
        <w:rPr>
          <w:rFonts w:ascii="Times New Roman" w:hAnsi="Times New Roman"/>
          <w:sz w:val="24"/>
          <w:szCs w:val="24"/>
        </w:rPr>
        <w:t>emit zero greenhouse gas</w:t>
      </w:r>
      <w:r w:rsidR="00937257" w:rsidRPr="00C33C75">
        <w:rPr>
          <w:rFonts w:ascii="Times New Roman" w:hAnsi="Times New Roman"/>
          <w:sz w:val="24"/>
          <w:szCs w:val="24"/>
        </w:rPr>
        <w:t xml:space="preserve"> </w:t>
      </w:r>
      <w:r>
        <w:rPr>
          <w:rFonts w:ascii="Times New Roman" w:hAnsi="Times New Roman"/>
          <w:sz w:val="24"/>
          <w:szCs w:val="24"/>
        </w:rPr>
        <w:t xml:space="preserve">(GHG) </w:t>
      </w:r>
      <w:r w:rsidR="00937257" w:rsidRPr="00C33C75">
        <w:rPr>
          <w:rFonts w:ascii="Times New Roman" w:hAnsi="Times New Roman"/>
          <w:sz w:val="24"/>
          <w:szCs w:val="24"/>
        </w:rPr>
        <w:t xml:space="preserve">emissions and thus </w:t>
      </w:r>
      <w:r w:rsidR="002D214D" w:rsidRPr="00C33C75">
        <w:rPr>
          <w:rFonts w:ascii="Times New Roman" w:hAnsi="Times New Roman"/>
          <w:sz w:val="24"/>
          <w:szCs w:val="24"/>
        </w:rPr>
        <w:t>are not considered</w:t>
      </w:r>
      <w:r w:rsidR="00937257" w:rsidRPr="00C33C75">
        <w:rPr>
          <w:rFonts w:ascii="Times New Roman" w:hAnsi="Times New Roman"/>
          <w:sz w:val="24"/>
          <w:szCs w:val="24"/>
        </w:rPr>
        <w:t xml:space="preserve"> in </w:t>
      </w:r>
      <w:r w:rsidR="002D214D" w:rsidRPr="00C33C75">
        <w:rPr>
          <w:rFonts w:ascii="Times New Roman" w:hAnsi="Times New Roman"/>
          <w:sz w:val="24"/>
          <w:szCs w:val="24"/>
        </w:rPr>
        <w:t xml:space="preserve">the </w:t>
      </w:r>
      <w:r w:rsidR="007546D1" w:rsidRPr="00C33C75">
        <w:rPr>
          <w:rFonts w:ascii="Times New Roman" w:hAnsi="Times New Roman"/>
          <w:sz w:val="24"/>
          <w:szCs w:val="24"/>
        </w:rPr>
        <w:t xml:space="preserve">GHG emissions </w:t>
      </w:r>
      <w:r w:rsidR="00937257" w:rsidRPr="00C33C75">
        <w:rPr>
          <w:rFonts w:ascii="Times New Roman" w:hAnsi="Times New Roman"/>
          <w:sz w:val="24"/>
          <w:szCs w:val="24"/>
        </w:rPr>
        <w:t>calculation</w:t>
      </w:r>
      <w:r w:rsidR="00937257" w:rsidRPr="00B755C9">
        <w:rPr>
          <w:rStyle w:val="FootnoteReference"/>
          <w:rFonts w:ascii="Times New Roman" w:hAnsi="Times New Roman"/>
          <w:sz w:val="24"/>
          <w:szCs w:val="24"/>
        </w:rPr>
        <w:footnoteReference w:id="1"/>
      </w:r>
      <w:r w:rsidR="00937257" w:rsidRPr="00C33C75">
        <w:rPr>
          <w:rFonts w:ascii="Times New Roman" w:hAnsi="Times New Roman"/>
          <w:sz w:val="24"/>
          <w:szCs w:val="24"/>
        </w:rPr>
        <w:t>.</w:t>
      </w:r>
      <w:r w:rsidR="00227718" w:rsidRPr="00C33C75">
        <w:rPr>
          <w:rFonts w:ascii="Times New Roman" w:hAnsi="Times New Roman"/>
          <w:sz w:val="24"/>
          <w:szCs w:val="24"/>
        </w:rPr>
        <w:t xml:space="preserve"> </w:t>
      </w:r>
    </w:p>
    <w:p w:rsidR="001068B8" w:rsidRPr="00C33C75" w:rsidRDefault="001068B8" w:rsidP="001068B8">
      <w:pPr>
        <w:pStyle w:val="ListParagraph"/>
        <w:spacing w:after="0" w:line="240" w:lineRule="auto"/>
        <w:ind w:left="360"/>
        <w:jc w:val="both"/>
        <w:rPr>
          <w:rFonts w:ascii="Times New Roman" w:hAnsi="Times New Roman"/>
          <w:sz w:val="24"/>
          <w:szCs w:val="24"/>
        </w:rPr>
      </w:pPr>
    </w:p>
    <w:p w:rsidR="008C6153" w:rsidRDefault="008C6153" w:rsidP="001068B8">
      <w:pPr>
        <w:spacing w:after="0" w:line="240" w:lineRule="auto"/>
        <w:jc w:val="both"/>
        <w:rPr>
          <w:rFonts w:ascii="Times New Roman" w:hAnsi="Times New Roman"/>
          <w:sz w:val="24"/>
          <w:szCs w:val="24"/>
        </w:rPr>
      </w:pPr>
      <w:r>
        <w:rPr>
          <w:rFonts w:ascii="Times New Roman" w:hAnsi="Times New Roman"/>
          <w:sz w:val="24"/>
          <w:szCs w:val="24"/>
        </w:rPr>
        <w:t xml:space="preserve">At the end of this step, </w:t>
      </w:r>
      <w:r w:rsidR="00227718" w:rsidRPr="008C6153">
        <w:rPr>
          <w:rFonts w:ascii="Times New Roman" w:hAnsi="Times New Roman"/>
          <w:sz w:val="24"/>
          <w:szCs w:val="24"/>
        </w:rPr>
        <w:t xml:space="preserve">the total fuel consumption by gasoline, diesel, flex fuel, and CNG </w:t>
      </w:r>
      <w:r w:rsidR="007944D5" w:rsidRPr="008C6153">
        <w:rPr>
          <w:rFonts w:ascii="Times New Roman" w:hAnsi="Times New Roman"/>
          <w:sz w:val="24"/>
          <w:szCs w:val="24"/>
        </w:rPr>
        <w:t>is obtained.  S</w:t>
      </w:r>
      <w:r w:rsidR="00575A2D" w:rsidRPr="008C6153">
        <w:rPr>
          <w:rFonts w:ascii="Times New Roman" w:hAnsi="Times New Roman"/>
          <w:sz w:val="24"/>
          <w:szCs w:val="24"/>
        </w:rPr>
        <w:t>ince the liquid fuel in hybrid-electric and plug-in electric vehicles is assumed to be gasoline, they do not appear separately in the list of fu</w:t>
      </w:r>
      <w:r w:rsidR="007944D5" w:rsidRPr="008C6153">
        <w:rPr>
          <w:rFonts w:ascii="Times New Roman" w:hAnsi="Times New Roman"/>
          <w:sz w:val="24"/>
          <w:szCs w:val="24"/>
        </w:rPr>
        <w:t>el types in this study</w:t>
      </w:r>
      <w:r w:rsidR="00227718" w:rsidRPr="008C6153">
        <w:rPr>
          <w:rFonts w:ascii="Times New Roman" w:hAnsi="Times New Roman"/>
          <w:sz w:val="24"/>
          <w:szCs w:val="24"/>
        </w:rPr>
        <w:t xml:space="preserve">. </w:t>
      </w:r>
    </w:p>
    <w:p w:rsidR="00227718" w:rsidRPr="008C6153" w:rsidRDefault="008C6153" w:rsidP="008C6153">
      <w:pPr>
        <w:spacing w:after="0" w:line="240" w:lineRule="auto"/>
        <w:ind w:firstLine="720"/>
        <w:jc w:val="both"/>
        <w:rPr>
          <w:rFonts w:ascii="Times New Roman" w:hAnsi="Times New Roman"/>
          <w:sz w:val="24"/>
          <w:szCs w:val="24"/>
        </w:rPr>
      </w:pPr>
      <w:r>
        <w:rPr>
          <w:rFonts w:ascii="Times New Roman" w:hAnsi="Times New Roman"/>
          <w:sz w:val="24"/>
          <w:szCs w:val="24"/>
        </w:rPr>
        <w:t>T</w:t>
      </w:r>
      <w:r w:rsidR="00227718" w:rsidRPr="008C6153">
        <w:rPr>
          <w:rFonts w:ascii="Times New Roman" w:hAnsi="Times New Roman"/>
          <w:sz w:val="24"/>
          <w:szCs w:val="24"/>
        </w:rPr>
        <w:t xml:space="preserve">he associated </w:t>
      </w:r>
      <w:r w:rsidRPr="00B755C9">
        <w:rPr>
          <w:position w:val="-10"/>
        </w:rPr>
        <w:object w:dxaOrig="4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pt;height:17.6pt" o:ole="">
            <v:imagedata r:id="rId17" o:title=""/>
          </v:shape>
          <o:OLEObject Type="Embed" ProgID="Equation.3" ShapeID="_x0000_i1025" DrawAspect="Content" ObjectID="_1456906736" r:id="rId18"/>
        </w:object>
      </w:r>
      <w:r w:rsidR="00227718" w:rsidRPr="008C6153">
        <w:rPr>
          <w:rFonts w:ascii="Times New Roman" w:hAnsi="Times New Roman"/>
          <w:sz w:val="24"/>
          <w:szCs w:val="24"/>
        </w:rPr>
        <w:t xml:space="preserve"> </w:t>
      </w:r>
      <w:r w:rsidR="007F4C04" w:rsidRPr="008C6153">
        <w:rPr>
          <w:rFonts w:ascii="Times New Roman" w:hAnsi="Times New Roman"/>
          <w:sz w:val="24"/>
          <w:szCs w:val="24"/>
        </w:rPr>
        <w:t>emissions are</w:t>
      </w:r>
      <w:r w:rsidR="00227718" w:rsidRPr="008C6153">
        <w:rPr>
          <w:rFonts w:ascii="Times New Roman" w:hAnsi="Times New Roman"/>
          <w:sz w:val="24"/>
          <w:szCs w:val="24"/>
        </w:rPr>
        <w:t xml:space="preserve"> estimated </w:t>
      </w:r>
      <w:r>
        <w:rPr>
          <w:rFonts w:ascii="Times New Roman" w:hAnsi="Times New Roman"/>
          <w:sz w:val="24"/>
          <w:szCs w:val="24"/>
        </w:rPr>
        <w:t>based on</w:t>
      </w:r>
      <w:r w:rsidR="00227718" w:rsidRPr="008C6153">
        <w:rPr>
          <w:rFonts w:ascii="Times New Roman" w:hAnsi="Times New Roman"/>
          <w:sz w:val="24"/>
          <w:szCs w:val="24"/>
        </w:rPr>
        <w:t xml:space="preserve"> the following equation that EPA uses for all emissions inventory calculations:</w:t>
      </w:r>
    </w:p>
    <w:p w:rsidR="008C6153" w:rsidRPr="008C6153" w:rsidRDefault="007944D5" w:rsidP="00F87F61">
      <w:pPr>
        <w:spacing w:after="80" w:line="240" w:lineRule="auto"/>
        <w:jc w:val="both"/>
        <w:rPr>
          <w:rFonts w:ascii="Times New Roman" w:hAnsi="Times New Roman"/>
          <w:sz w:val="24"/>
          <w:szCs w:val="24"/>
        </w:rPr>
      </w:pPr>
      <w:r w:rsidRPr="007944D5">
        <w:rPr>
          <w:position w:val="-66"/>
        </w:rPr>
        <w:object w:dxaOrig="9880" w:dyaOrig="1460">
          <v:shape id="_x0000_i1026" type="#_x0000_t75" style="width:494.8pt;height:72.85pt" o:ole="">
            <v:imagedata r:id="rId19" o:title=""/>
          </v:shape>
          <o:OLEObject Type="Embed" ProgID="Equation.3" ShapeID="_x0000_i1026" DrawAspect="Content" ObjectID="_1456906737" r:id="rId20"/>
        </w:object>
      </w:r>
      <w:r w:rsidR="008C6153" w:rsidRPr="008C6153">
        <w:rPr>
          <w:rFonts w:ascii="Times New Roman" w:hAnsi="Times New Roman"/>
          <w:sz w:val="24"/>
          <w:szCs w:val="24"/>
        </w:rPr>
        <w:t xml:space="preserve">The following steps and assumptions are embedded in the greenhouse gas emissions calculation procedure: </w:t>
      </w:r>
    </w:p>
    <w:p w:rsidR="00C33C75" w:rsidRPr="007944D5" w:rsidRDefault="00227718" w:rsidP="00F87F61">
      <w:pPr>
        <w:pStyle w:val="ListParagraph"/>
        <w:numPr>
          <w:ilvl w:val="0"/>
          <w:numId w:val="15"/>
        </w:numPr>
        <w:spacing w:after="80" w:line="240" w:lineRule="auto"/>
        <w:contextualSpacing w:val="0"/>
        <w:jc w:val="both"/>
        <w:rPr>
          <w:rFonts w:ascii="Times New Roman" w:hAnsi="Times New Roman"/>
          <w:sz w:val="24"/>
          <w:szCs w:val="24"/>
        </w:rPr>
      </w:pPr>
      <w:r w:rsidRPr="007944D5">
        <w:rPr>
          <w:rFonts w:ascii="Times New Roman" w:hAnsi="Times New Roman"/>
          <w:sz w:val="24"/>
          <w:szCs w:val="24"/>
        </w:rPr>
        <w:t xml:space="preserve">The oxidation factor </w:t>
      </w:r>
      <w:r w:rsidR="008C6153">
        <w:rPr>
          <w:rFonts w:ascii="Times New Roman" w:hAnsi="Times New Roman"/>
          <w:sz w:val="24"/>
          <w:szCs w:val="24"/>
        </w:rPr>
        <w:t xml:space="preserve">in the equation </w:t>
      </w:r>
      <w:r w:rsidRPr="007944D5">
        <w:rPr>
          <w:rFonts w:ascii="Times New Roman" w:hAnsi="Times New Roman"/>
          <w:sz w:val="24"/>
          <w:szCs w:val="24"/>
        </w:rPr>
        <w:t xml:space="preserve">accounts for the fact that some percentage of carbon remains un-oxidized. EPA suggests using an oxidation factor of 0.99. Also, EPA uses 2,421 and 2,778 grams as the carbon content in gasoline and diesel </w:t>
      </w:r>
      <w:r w:rsidRPr="00711E8E">
        <w:rPr>
          <w:rFonts w:ascii="Times New Roman" w:hAnsi="Times New Roman"/>
          <w:sz w:val="24"/>
          <w:szCs w:val="24"/>
        </w:rPr>
        <w:t>vehicles</w:t>
      </w:r>
      <w:r w:rsidR="00064865" w:rsidRPr="00711E8E">
        <w:rPr>
          <w:rFonts w:ascii="Times New Roman" w:hAnsi="Times New Roman"/>
          <w:sz w:val="24"/>
          <w:szCs w:val="24"/>
        </w:rPr>
        <w:t xml:space="preserve"> (</w:t>
      </w:r>
      <w:r w:rsidR="00DA2A7A" w:rsidRPr="00711E8E">
        <w:rPr>
          <w:rFonts w:ascii="Times New Roman" w:hAnsi="Times New Roman"/>
          <w:i/>
          <w:sz w:val="24"/>
          <w:szCs w:val="24"/>
        </w:rPr>
        <w:t>9</w:t>
      </w:r>
      <w:r w:rsidR="00064865" w:rsidRPr="00711E8E">
        <w:rPr>
          <w:rFonts w:ascii="Times New Roman" w:hAnsi="Times New Roman"/>
          <w:sz w:val="24"/>
          <w:szCs w:val="24"/>
        </w:rPr>
        <w:t>)</w:t>
      </w:r>
      <w:r w:rsidRPr="00711E8E">
        <w:rPr>
          <w:rFonts w:ascii="Times New Roman" w:hAnsi="Times New Roman"/>
          <w:sz w:val="24"/>
          <w:szCs w:val="24"/>
        </w:rPr>
        <w:t>.</w:t>
      </w:r>
      <w:r w:rsidRPr="007944D5">
        <w:rPr>
          <w:rFonts w:ascii="Times New Roman" w:hAnsi="Times New Roman"/>
          <w:sz w:val="24"/>
          <w:szCs w:val="24"/>
        </w:rPr>
        <w:t xml:space="preserve"> </w:t>
      </w:r>
    </w:p>
    <w:p w:rsidR="00C33C75" w:rsidRPr="00C33C75" w:rsidRDefault="008C6153" w:rsidP="00F87F61">
      <w:pPr>
        <w:pStyle w:val="ListParagraph"/>
        <w:numPr>
          <w:ilvl w:val="0"/>
          <w:numId w:val="4"/>
        </w:numPr>
        <w:spacing w:after="80" w:line="240" w:lineRule="auto"/>
        <w:ind w:left="360"/>
        <w:contextualSpacing w:val="0"/>
        <w:jc w:val="both"/>
        <w:rPr>
          <w:rFonts w:ascii="Times New Roman" w:hAnsi="Times New Roman"/>
          <w:sz w:val="24"/>
          <w:szCs w:val="24"/>
        </w:rPr>
      </w:pPr>
      <w:r>
        <w:rPr>
          <w:rFonts w:ascii="Times New Roman" w:hAnsi="Times New Roman"/>
          <w:sz w:val="24"/>
          <w:szCs w:val="24"/>
        </w:rPr>
        <w:t>It is</w:t>
      </w:r>
      <w:r w:rsidR="00227718" w:rsidRPr="00C33C75">
        <w:rPr>
          <w:rFonts w:ascii="Times New Roman" w:hAnsi="Times New Roman"/>
          <w:sz w:val="24"/>
          <w:szCs w:val="24"/>
        </w:rPr>
        <w:t xml:space="preserve"> assume</w:t>
      </w:r>
      <w:r>
        <w:rPr>
          <w:rFonts w:ascii="Times New Roman" w:hAnsi="Times New Roman"/>
          <w:sz w:val="24"/>
          <w:szCs w:val="24"/>
        </w:rPr>
        <w:t xml:space="preserve">d that all </w:t>
      </w:r>
      <w:r w:rsidR="00227718" w:rsidRPr="00C33C75">
        <w:rPr>
          <w:rFonts w:ascii="Times New Roman" w:hAnsi="Times New Roman"/>
          <w:sz w:val="24"/>
          <w:szCs w:val="24"/>
        </w:rPr>
        <w:t xml:space="preserve">flex fuel vehicles </w:t>
      </w:r>
      <w:r>
        <w:rPr>
          <w:rFonts w:ascii="Times New Roman" w:hAnsi="Times New Roman"/>
          <w:sz w:val="24"/>
          <w:szCs w:val="24"/>
        </w:rPr>
        <w:t>use E85 blend which contains 85 percent</w:t>
      </w:r>
      <w:r w:rsidR="00227718" w:rsidRPr="00C33C75">
        <w:rPr>
          <w:rFonts w:ascii="Times New Roman" w:hAnsi="Times New Roman"/>
          <w:sz w:val="24"/>
          <w:szCs w:val="24"/>
        </w:rPr>
        <w:t xml:space="preserve"> ethanol and </w:t>
      </w:r>
      <w:r>
        <w:rPr>
          <w:rFonts w:ascii="Times New Roman" w:hAnsi="Times New Roman"/>
          <w:sz w:val="24"/>
          <w:szCs w:val="24"/>
        </w:rPr>
        <w:t>15 percent</w:t>
      </w:r>
      <w:r w:rsidR="00227718" w:rsidRPr="00C33C75">
        <w:rPr>
          <w:rFonts w:ascii="Times New Roman" w:hAnsi="Times New Roman"/>
          <w:sz w:val="24"/>
          <w:szCs w:val="24"/>
        </w:rPr>
        <w:t xml:space="preserve"> gasoline. </w:t>
      </w:r>
      <w:r>
        <w:rPr>
          <w:rFonts w:ascii="Times New Roman" w:hAnsi="Times New Roman"/>
          <w:sz w:val="24"/>
          <w:szCs w:val="24"/>
        </w:rPr>
        <w:t xml:space="preserve">Thus, </w:t>
      </w:r>
      <w:r w:rsidR="00227718" w:rsidRPr="00C33C75">
        <w:rPr>
          <w:rFonts w:ascii="Times New Roman" w:hAnsi="Times New Roman"/>
          <w:sz w:val="24"/>
          <w:szCs w:val="24"/>
        </w:rPr>
        <w:t>the carbon content of</w:t>
      </w:r>
      <w:r>
        <w:rPr>
          <w:rFonts w:ascii="Times New Roman" w:hAnsi="Times New Roman"/>
          <w:sz w:val="24"/>
          <w:szCs w:val="24"/>
        </w:rPr>
        <w:t xml:space="preserve"> flex fuel is obtained as 2,421x</w:t>
      </w:r>
      <w:r w:rsidR="00227718" w:rsidRPr="00C33C75">
        <w:rPr>
          <w:rFonts w:ascii="Times New Roman" w:hAnsi="Times New Roman"/>
          <w:sz w:val="24"/>
          <w:szCs w:val="24"/>
        </w:rPr>
        <w:t xml:space="preserve">0.15 = 363.15. </w:t>
      </w:r>
    </w:p>
    <w:p w:rsidR="00C33C75" w:rsidRPr="00C33C75" w:rsidRDefault="00227718" w:rsidP="00F87F61">
      <w:pPr>
        <w:pStyle w:val="ListParagraph"/>
        <w:numPr>
          <w:ilvl w:val="0"/>
          <w:numId w:val="4"/>
        </w:numPr>
        <w:spacing w:after="80" w:line="240" w:lineRule="auto"/>
        <w:ind w:left="360"/>
        <w:contextualSpacing w:val="0"/>
        <w:jc w:val="both"/>
        <w:rPr>
          <w:rFonts w:ascii="Times New Roman" w:hAnsi="Times New Roman"/>
          <w:sz w:val="24"/>
          <w:szCs w:val="24"/>
        </w:rPr>
      </w:pPr>
      <w:r w:rsidRPr="00C33C75">
        <w:rPr>
          <w:rFonts w:ascii="Times New Roman" w:hAnsi="Times New Roman"/>
          <w:sz w:val="24"/>
          <w:szCs w:val="24"/>
        </w:rPr>
        <w:t xml:space="preserve">The </w:t>
      </w:r>
      <w:r w:rsidRPr="00B755C9">
        <w:rPr>
          <w:position w:val="-10"/>
        </w:rPr>
        <w:object w:dxaOrig="480" w:dyaOrig="340">
          <v:shape id="_x0000_i1027" type="#_x0000_t75" style="width:24.3pt;height:17.6pt" o:ole="">
            <v:imagedata r:id="rId17" o:title=""/>
          </v:shape>
          <o:OLEObject Type="Embed" ProgID="Equation.3" ShapeID="_x0000_i1027" DrawAspect="Content" ObjectID="_1456906738" r:id="rId21"/>
        </w:object>
      </w:r>
      <w:r w:rsidRPr="00C33C75">
        <w:rPr>
          <w:rFonts w:ascii="Times New Roman" w:hAnsi="Times New Roman"/>
          <w:sz w:val="24"/>
          <w:szCs w:val="24"/>
        </w:rPr>
        <w:t xml:space="preserve"> emissions from CNG vehicles are computed using a carbon content value of 490 grams of carbon per cubic meter of CNG. This value is obtained from</w:t>
      </w:r>
      <w:r w:rsidR="008C6153">
        <w:rPr>
          <w:rFonts w:ascii="Times New Roman" w:hAnsi="Times New Roman"/>
          <w:sz w:val="24"/>
          <w:szCs w:val="24"/>
        </w:rPr>
        <w:t xml:space="preserve"> the</w:t>
      </w:r>
      <w:r w:rsidRPr="00C33C75">
        <w:rPr>
          <w:rFonts w:ascii="Times New Roman" w:hAnsi="Times New Roman"/>
          <w:sz w:val="24"/>
          <w:szCs w:val="24"/>
        </w:rPr>
        <w:t xml:space="preserve"> Bio-energy Feedstock Information Network (BFIN) </w:t>
      </w:r>
      <w:r w:rsidRPr="00711E8E">
        <w:rPr>
          <w:rFonts w:ascii="Times New Roman" w:hAnsi="Times New Roman"/>
          <w:sz w:val="24"/>
          <w:szCs w:val="24"/>
        </w:rPr>
        <w:t xml:space="preserve">website </w:t>
      </w:r>
      <w:r w:rsidR="001B1DD3" w:rsidRPr="00711E8E">
        <w:rPr>
          <w:rFonts w:ascii="Times New Roman" w:hAnsi="Times New Roman"/>
          <w:sz w:val="24"/>
          <w:szCs w:val="24"/>
        </w:rPr>
        <w:t>(</w:t>
      </w:r>
      <w:r w:rsidR="00DA2A7A" w:rsidRPr="00711E8E">
        <w:rPr>
          <w:rFonts w:ascii="Times New Roman" w:hAnsi="Times New Roman"/>
          <w:i/>
          <w:sz w:val="24"/>
          <w:szCs w:val="24"/>
        </w:rPr>
        <w:t>10</w:t>
      </w:r>
      <w:r w:rsidR="001B1DD3" w:rsidRPr="00711E8E">
        <w:rPr>
          <w:rFonts w:ascii="Times New Roman" w:hAnsi="Times New Roman"/>
          <w:sz w:val="24"/>
          <w:szCs w:val="24"/>
        </w:rPr>
        <w:t>)</w:t>
      </w:r>
      <w:r w:rsidRPr="00711E8E">
        <w:rPr>
          <w:rFonts w:ascii="Times New Roman" w:hAnsi="Times New Roman"/>
          <w:sz w:val="24"/>
          <w:szCs w:val="24"/>
        </w:rPr>
        <w:t>.</w:t>
      </w:r>
      <w:r w:rsidRPr="00C33C75">
        <w:rPr>
          <w:rFonts w:ascii="Times New Roman" w:hAnsi="Times New Roman"/>
          <w:sz w:val="24"/>
          <w:szCs w:val="24"/>
        </w:rPr>
        <w:t xml:space="preserve"> </w:t>
      </w:r>
    </w:p>
    <w:p w:rsidR="00227718" w:rsidRPr="00C33C75" w:rsidRDefault="00227718" w:rsidP="008C6153">
      <w:pPr>
        <w:pStyle w:val="ListParagraph"/>
        <w:numPr>
          <w:ilvl w:val="0"/>
          <w:numId w:val="4"/>
        </w:numPr>
        <w:spacing w:after="0" w:line="240" w:lineRule="auto"/>
        <w:ind w:left="360"/>
        <w:jc w:val="both"/>
        <w:rPr>
          <w:rFonts w:ascii="Times New Roman" w:hAnsi="Times New Roman"/>
          <w:sz w:val="24"/>
          <w:szCs w:val="24"/>
        </w:rPr>
      </w:pPr>
      <w:r w:rsidRPr="00C33C75">
        <w:rPr>
          <w:rFonts w:ascii="Times New Roman" w:hAnsi="Times New Roman"/>
          <w:sz w:val="24"/>
          <w:szCs w:val="24"/>
        </w:rPr>
        <w:t xml:space="preserve">All </w:t>
      </w:r>
      <w:r w:rsidR="008C6153">
        <w:rPr>
          <w:rFonts w:ascii="Times New Roman" w:hAnsi="Times New Roman"/>
          <w:sz w:val="24"/>
          <w:szCs w:val="24"/>
        </w:rPr>
        <w:t xml:space="preserve">of </w:t>
      </w:r>
      <w:r w:rsidRPr="00C33C75">
        <w:rPr>
          <w:rFonts w:ascii="Times New Roman" w:hAnsi="Times New Roman"/>
          <w:sz w:val="24"/>
          <w:szCs w:val="24"/>
        </w:rPr>
        <w:t xml:space="preserve">the </w:t>
      </w:r>
      <w:r w:rsidRPr="00B755C9">
        <w:rPr>
          <w:position w:val="-10"/>
        </w:rPr>
        <w:object w:dxaOrig="1060" w:dyaOrig="340">
          <v:shape id="_x0000_i1028" type="#_x0000_t75" style="width:52.75pt;height:17.6pt" o:ole="">
            <v:imagedata r:id="rId22" o:title=""/>
          </v:shape>
          <o:OLEObject Type="Embed" ProgID="Equation.3" ShapeID="_x0000_i1028" DrawAspect="Content" ObjectID="_1456906739" r:id="rId23"/>
        </w:object>
      </w:r>
      <w:r w:rsidRPr="00C33C75">
        <w:rPr>
          <w:rFonts w:ascii="Times New Roman" w:hAnsi="Times New Roman"/>
          <w:sz w:val="24"/>
          <w:szCs w:val="24"/>
        </w:rPr>
        <w:t>GHG emissions including</w:t>
      </w:r>
      <w:r w:rsidRPr="00B755C9">
        <w:rPr>
          <w:position w:val="-10"/>
        </w:rPr>
        <w:object w:dxaOrig="540" w:dyaOrig="340">
          <v:shape id="_x0000_i1029" type="#_x0000_t75" style="width:26.8pt;height:17.6pt" o:ole="">
            <v:imagedata r:id="rId24" o:title=""/>
          </v:shape>
          <o:OLEObject Type="Embed" ProgID="Equation.3" ShapeID="_x0000_i1029" DrawAspect="Content" ObjectID="_1456906740" r:id="rId25"/>
        </w:object>
      </w:r>
      <w:r w:rsidRPr="00C33C75">
        <w:rPr>
          <w:rFonts w:ascii="Times New Roman" w:hAnsi="Times New Roman"/>
          <w:sz w:val="24"/>
          <w:szCs w:val="24"/>
        </w:rPr>
        <w:t>,</w:t>
      </w:r>
      <w:r w:rsidRPr="00B755C9">
        <w:rPr>
          <w:position w:val="-10"/>
        </w:rPr>
        <w:object w:dxaOrig="499" w:dyaOrig="340">
          <v:shape id="_x0000_i1030" type="#_x0000_t75" style="width:24.3pt;height:17.6pt" o:ole="">
            <v:imagedata r:id="rId26" o:title=""/>
          </v:shape>
          <o:OLEObject Type="Embed" ProgID="Equation.3" ShapeID="_x0000_i1030" DrawAspect="Content" ObjectID="_1456906741" r:id="rId27"/>
        </w:object>
      </w:r>
      <w:proofErr w:type="gramStart"/>
      <w:r w:rsidRPr="00C33C75">
        <w:rPr>
          <w:rFonts w:ascii="Times New Roman" w:hAnsi="Times New Roman"/>
          <w:sz w:val="24"/>
          <w:szCs w:val="24"/>
        </w:rPr>
        <w:t>,</w:t>
      </w:r>
      <w:proofErr w:type="gramEnd"/>
      <w:r w:rsidRPr="00C33C75">
        <w:rPr>
          <w:rFonts w:ascii="Times New Roman" w:hAnsi="Times New Roman"/>
          <w:sz w:val="24"/>
          <w:szCs w:val="24"/>
        </w:rPr>
        <w:t xml:space="preserve"> and </w:t>
      </w:r>
      <w:r w:rsidRPr="00B755C9">
        <w:rPr>
          <w:position w:val="-6"/>
        </w:rPr>
        <w:object w:dxaOrig="580" w:dyaOrig="279">
          <v:shape id="_x0000_i1031" type="#_x0000_t75" style="width:29.3pt;height:14.25pt" o:ole="">
            <v:imagedata r:id="rId28" o:title=""/>
          </v:shape>
          <o:OLEObject Type="Embed" ProgID="Equation.3" ShapeID="_x0000_i1031" DrawAspect="Content" ObjectID="_1456906742" r:id="rId29"/>
        </w:object>
      </w:r>
      <w:r w:rsidRPr="00C33C75">
        <w:rPr>
          <w:rFonts w:ascii="Times New Roman" w:hAnsi="Times New Roman"/>
          <w:sz w:val="24"/>
          <w:szCs w:val="24"/>
        </w:rPr>
        <w:t>(</w:t>
      </w:r>
      <w:proofErr w:type="spellStart"/>
      <w:r w:rsidRPr="00C33C75">
        <w:rPr>
          <w:rFonts w:ascii="Times New Roman" w:hAnsi="Times New Roman"/>
          <w:sz w:val="24"/>
          <w:szCs w:val="24"/>
        </w:rPr>
        <w:t>hydrofluorocarbons</w:t>
      </w:r>
      <w:proofErr w:type="spellEnd"/>
      <w:r w:rsidRPr="00C33C75">
        <w:rPr>
          <w:rFonts w:ascii="Times New Roman" w:hAnsi="Times New Roman"/>
          <w:sz w:val="24"/>
          <w:szCs w:val="24"/>
        </w:rPr>
        <w:t xml:space="preserve">) usually constitute 5% of total GHG </w:t>
      </w:r>
      <w:r w:rsidR="008C6153">
        <w:rPr>
          <w:rFonts w:ascii="Times New Roman" w:hAnsi="Times New Roman"/>
          <w:sz w:val="24"/>
          <w:szCs w:val="24"/>
        </w:rPr>
        <w:t>emissions;</w:t>
      </w:r>
      <w:r w:rsidRPr="00C33C75">
        <w:rPr>
          <w:rFonts w:ascii="Times New Roman" w:hAnsi="Times New Roman"/>
          <w:sz w:val="24"/>
          <w:szCs w:val="24"/>
        </w:rPr>
        <w:t xml:space="preserve"> so the total </w:t>
      </w:r>
      <w:r w:rsidRPr="00B755C9">
        <w:rPr>
          <w:position w:val="-10"/>
        </w:rPr>
        <w:object w:dxaOrig="480" w:dyaOrig="340">
          <v:shape id="_x0000_i1032" type="#_x0000_t75" style="width:24.3pt;height:17.6pt" o:ole="">
            <v:imagedata r:id="rId17" o:title=""/>
          </v:shape>
          <o:OLEObject Type="Embed" ProgID="Equation.3" ShapeID="_x0000_i1032" DrawAspect="Content" ObjectID="_1456906743" r:id="rId30"/>
        </w:object>
      </w:r>
      <w:r w:rsidRPr="00C33C75">
        <w:rPr>
          <w:rFonts w:ascii="Times New Roman" w:hAnsi="Times New Roman"/>
          <w:sz w:val="24"/>
          <w:szCs w:val="24"/>
        </w:rPr>
        <w:t xml:space="preserve">emissions is multiplied by a factor of </w:t>
      </w:r>
      <w:r w:rsidRPr="00B755C9">
        <w:rPr>
          <w:position w:val="-28"/>
        </w:rPr>
        <w:object w:dxaOrig="680" w:dyaOrig="680">
          <v:shape id="_x0000_i1033" type="#_x0000_t75" style="width:33.5pt;height:33.5pt" o:ole="">
            <v:imagedata r:id="rId31" o:title=""/>
          </v:shape>
          <o:OLEObject Type="Embed" ProgID="Equation.3" ShapeID="_x0000_i1033" DrawAspect="Content" ObjectID="_1456906744" r:id="rId32"/>
        </w:object>
      </w:r>
      <w:r w:rsidRPr="00C33C75">
        <w:rPr>
          <w:rFonts w:ascii="Times New Roman" w:hAnsi="Times New Roman"/>
          <w:sz w:val="24"/>
          <w:szCs w:val="24"/>
        </w:rPr>
        <w:t>to obtain the total GHG emissions</w:t>
      </w:r>
      <w:r w:rsidR="00D6153D">
        <w:rPr>
          <w:rFonts w:ascii="Times New Roman" w:hAnsi="Times New Roman"/>
          <w:sz w:val="24"/>
          <w:szCs w:val="24"/>
        </w:rPr>
        <w:t xml:space="preserve"> </w:t>
      </w:r>
      <w:r w:rsidR="00D6153D" w:rsidRPr="00711E8E">
        <w:rPr>
          <w:rFonts w:ascii="Times New Roman" w:hAnsi="Times New Roman"/>
          <w:sz w:val="24"/>
          <w:szCs w:val="24"/>
        </w:rPr>
        <w:t>(</w:t>
      </w:r>
      <w:r w:rsidR="00DA2A7A" w:rsidRPr="00711E8E">
        <w:rPr>
          <w:rFonts w:ascii="Times New Roman" w:hAnsi="Times New Roman"/>
          <w:i/>
          <w:sz w:val="24"/>
          <w:szCs w:val="24"/>
        </w:rPr>
        <w:t>9</w:t>
      </w:r>
      <w:r w:rsidR="00D6153D" w:rsidRPr="00711E8E">
        <w:rPr>
          <w:rFonts w:ascii="Times New Roman" w:hAnsi="Times New Roman"/>
          <w:sz w:val="24"/>
          <w:szCs w:val="24"/>
        </w:rPr>
        <w:t>)</w:t>
      </w:r>
      <w:r w:rsidRPr="00711E8E">
        <w:rPr>
          <w:rFonts w:ascii="Times New Roman" w:hAnsi="Times New Roman"/>
          <w:sz w:val="24"/>
          <w:szCs w:val="24"/>
        </w:rPr>
        <w:t>.</w:t>
      </w:r>
    </w:p>
    <w:p w:rsidR="00227718" w:rsidRDefault="00227718" w:rsidP="008C6153">
      <w:pPr>
        <w:spacing w:after="0" w:line="240" w:lineRule="auto"/>
        <w:jc w:val="both"/>
        <w:rPr>
          <w:rFonts w:ascii="Times New Roman" w:hAnsi="Times New Roman"/>
          <w:sz w:val="24"/>
          <w:szCs w:val="24"/>
        </w:rPr>
      </w:pPr>
    </w:p>
    <w:p w:rsidR="008C6153" w:rsidRPr="008C6153" w:rsidRDefault="008C6153" w:rsidP="008C6153">
      <w:pPr>
        <w:spacing w:after="0" w:line="240" w:lineRule="auto"/>
        <w:jc w:val="both"/>
        <w:rPr>
          <w:rFonts w:ascii="Times New Roman" w:hAnsi="Times New Roman"/>
          <w:b/>
          <w:sz w:val="24"/>
          <w:szCs w:val="24"/>
        </w:rPr>
      </w:pPr>
      <w:r>
        <w:rPr>
          <w:rFonts w:ascii="Times New Roman" w:hAnsi="Times New Roman"/>
          <w:b/>
          <w:sz w:val="24"/>
          <w:szCs w:val="24"/>
        </w:rPr>
        <w:t>POLICIES CONSIDERED</w:t>
      </w:r>
    </w:p>
    <w:p w:rsidR="008C6153" w:rsidRDefault="00375037" w:rsidP="00F87F61">
      <w:pPr>
        <w:spacing w:after="80" w:line="240" w:lineRule="auto"/>
        <w:jc w:val="both"/>
        <w:rPr>
          <w:rFonts w:ascii="Times New Roman" w:hAnsi="Times New Roman"/>
          <w:sz w:val="24"/>
          <w:szCs w:val="24"/>
        </w:rPr>
      </w:pPr>
      <w:r>
        <w:rPr>
          <w:rFonts w:ascii="Times New Roman" w:hAnsi="Times New Roman"/>
          <w:sz w:val="24"/>
          <w:szCs w:val="24"/>
        </w:rPr>
        <w:t xml:space="preserve">The study involved exercising and testing the model system for a variety of policy, market-based, and technological scenarios.  In the interest of brevity, and to illustrate the types of sensitivity that the model is capable of reflecting, this paper offers a detailed description of results obtained when the model system was employed to analyze the impacts of three distinct types of policies: </w:t>
      </w:r>
    </w:p>
    <w:p w:rsidR="00375037" w:rsidRDefault="00375037" w:rsidP="00F87F61">
      <w:pPr>
        <w:pStyle w:val="ListParagraph"/>
        <w:numPr>
          <w:ilvl w:val="0"/>
          <w:numId w:val="16"/>
        </w:numPr>
        <w:spacing w:after="80" w:line="240" w:lineRule="auto"/>
        <w:contextualSpacing w:val="0"/>
        <w:jc w:val="both"/>
        <w:rPr>
          <w:rFonts w:ascii="Times New Roman" w:hAnsi="Times New Roman"/>
          <w:sz w:val="24"/>
          <w:szCs w:val="24"/>
        </w:rPr>
      </w:pPr>
      <w:r>
        <w:rPr>
          <w:rFonts w:ascii="Times New Roman" w:hAnsi="Times New Roman"/>
          <w:sz w:val="24"/>
          <w:szCs w:val="24"/>
        </w:rPr>
        <w:t>Incentive-based policy: Free HOV lane access for all non-gasoline vehicles (</w:t>
      </w:r>
      <w:r w:rsidRPr="00C42D63">
        <w:rPr>
          <w:rFonts w:ascii="Times New Roman" w:hAnsi="Times New Roman"/>
          <w:sz w:val="24"/>
          <w:szCs w:val="24"/>
        </w:rPr>
        <w:t>CNG, hybrid-electric, plug-in hybrid, and fully electric</w:t>
      </w:r>
      <w:r>
        <w:rPr>
          <w:rFonts w:ascii="Times New Roman" w:hAnsi="Times New Roman"/>
          <w:sz w:val="24"/>
          <w:szCs w:val="24"/>
        </w:rPr>
        <w:t>)</w:t>
      </w:r>
    </w:p>
    <w:p w:rsidR="00375037" w:rsidRDefault="00375037" w:rsidP="00F87F61">
      <w:pPr>
        <w:pStyle w:val="ListParagraph"/>
        <w:numPr>
          <w:ilvl w:val="0"/>
          <w:numId w:val="16"/>
        </w:numPr>
        <w:spacing w:after="80" w:line="240" w:lineRule="auto"/>
        <w:contextualSpacing w:val="0"/>
        <w:jc w:val="both"/>
        <w:rPr>
          <w:rFonts w:ascii="Times New Roman" w:hAnsi="Times New Roman"/>
          <w:sz w:val="24"/>
          <w:szCs w:val="24"/>
        </w:rPr>
      </w:pPr>
      <w:r>
        <w:rPr>
          <w:rFonts w:ascii="Times New Roman" w:hAnsi="Times New Roman"/>
          <w:sz w:val="24"/>
          <w:szCs w:val="24"/>
        </w:rPr>
        <w:t>Future market scenario: Price of gasoline doubles (in real dollars)</w:t>
      </w:r>
    </w:p>
    <w:p w:rsidR="00375037" w:rsidRPr="00375037" w:rsidRDefault="00375037" w:rsidP="00F87F61">
      <w:pPr>
        <w:pStyle w:val="ListParagraph"/>
        <w:numPr>
          <w:ilvl w:val="0"/>
          <w:numId w:val="16"/>
        </w:numPr>
        <w:spacing w:after="80" w:line="240" w:lineRule="auto"/>
        <w:contextualSpacing w:val="0"/>
        <w:jc w:val="both"/>
        <w:rPr>
          <w:rFonts w:ascii="Times New Roman" w:hAnsi="Times New Roman"/>
          <w:sz w:val="24"/>
          <w:szCs w:val="24"/>
        </w:rPr>
      </w:pPr>
      <w:r>
        <w:rPr>
          <w:rFonts w:ascii="Times New Roman" w:hAnsi="Times New Roman"/>
          <w:sz w:val="24"/>
          <w:szCs w:val="24"/>
        </w:rPr>
        <w:t xml:space="preserve">Technology-based scenario: Driving range of CNG vehicles and fully electric vehicles will be greater than 200 miles </w:t>
      </w:r>
    </w:p>
    <w:p w:rsidR="00375037" w:rsidRDefault="00375037" w:rsidP="00375037">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In order to illustrate the ability of the model to reflect changes brought about by a combination of scenarios, the impacts of a combination of the future market scenario and technology-based scenario are also considered and documented in this paper.  </w:t>
      </w:r>
    </w:p>
    <w:p w:rsidR="00E61281" w:rsidRDefault="00B900FC" w:rsidP="00375037">
      <w:pPr>
        <w:spacing w:after="0" w:line="240" w:lineRule="auto"/>
        <w:ind w:firstLine="720"/>
        <w:jc w:val="both"/>
        <w:rPr>
          <w:rFonts w:ascii="Times New Roman" w:hAnsi="Times New Roman"/>
          <w:sz w:val="24"/>
          <w:szCs w:val="24"/>
        </w:rPr>
      </w:pPr>
      <w:r w:rsidRPr="00375037">
        <w:rPr>
          <w:rFonts w:ascii="Times New Roman" w:hAnsi="Times New Roman"/>
          <w:sz w:val="24"/>
          <w:szCs w:val="24"/>
        </w:rPr>
        <w:t>In the baseline scenario against which all policy scenarios</w:t>
      </w:r>
      <w:r w:rsidR="00375037">
        <w:rPr>
          <w:rFonts w:ascii="Times New Roman" w:hAnsi="Times New Roman"/>
          <w:sz w:val="24"/>
          <w:szCs w:val="24"/>
        </w:rPr>
        <w:t xml:space="preserve"> are compared</w:t>
      </w:r>
      <w:r w:rsidRPr="00375037">
        <w:rPr>
          <w:rFonts w:ascii="Times New Roman" w:hAnsi="Times New Roman"/>
          <w:sz w:val="24"/>
          <w:szCs w:val="24"/>
        </w:rPr>
        <w:t xml:space="preserve">, </w:t>
      </w:r>
      <w:r w:rsidR="00375037">
        <w:rPr>
          <w:rFonts w:ascii="Times New Roman" w:hAnsi="Times New Roman"/>
          <w:sz w:val="24"/>
          <w:szCs w:val="24"/>
        </w:rPr>
        <w:t>it is</w:t>
      </w:r>
      <w:r w:rsidRPr="00375037">
        <w:rPr>
          <w:rFonts w:ascii="Times New Roman" w:hAnsi="Times New Roman"/>
          <w:sz w:val="24"/>
          <w:szCs w:val="24"/>
        </w:rPr>
        <w:t xml:space="preserve"> assume</w:t>
      </w:r>
      <w:r w:rsidR="00375037">
        <w:rPr>
          <w:rFonts w:ascii="Times New Roman" w:hAnsi="Times New Roman"/>
          <w:sz w:val="24"/>
          <w:szCs w:val="24"/>
        </w:rPr>
        <w:t>d</w:t>
      </w:r>
      <w:r w:rsidRPr="00375037">
        <w:rPr>
          <w:rFonts w:ascii="Times New Roman" w:hAnsi="Times New Roman"/>
          <w:sz w:val="24"/>
          <w:szCs w:val="24"/>
        </w:rPr>
        <w:t xml:space="preserve"> that new vehicle </w:t>
      </w:r>
      <w:r w:rsidR="00375037">
        <w:rPr>
          <w:rFonts w:ascii="Times New Roman" w:hAnsi="Times New Roman"/>
          <w:sz w:val="24"/>
          <w:szCs w:val="24"/>
        </w:rPr>
        <w:t>mileage values</w:t>
      </w:r>
      <w:r w:rsidRPr="00375037">
        <w:rPr>
          <w:rFonts w:ascii="Times New Roman" w:hAnsi="Times New Roman"/>
          <w:sz w:val="24"/>
          <w:szCs w:val="24"/>
        </w:rPr>
        <w:t>, vehicle purchase prices, fuel costs, and maintenance costs inc</w:t>
      </w:r>
      <w:r w:rsidR="00375037">
        <w:rPr>
          <w:rFonts w:ascii="Times New Roman" w:hAnsi="Times New Roman"/>
          <w:sz w:val="24"/>
          <w:szCs w:val="24"/>
        </w:rPr>
        <w:t>rease by three percent</w:t>
      </w:r>
      <w:r w:rsidRPr="00375037">
        <w:rPr>
          <w:rFonts w:ascii="Times New Roman" w:hAnsi="Times New Roman"/>
          <w:sz w:val="24"/>
          <w:szCs w:val="24"/>
        </w:rPr>
        <w:t xml:space="preserve"> every year.</w:t>
      </w:r>
      <w:r w:rsidR="00375037">
        <w:rPr>
          <w:rFonts w:ascii="Times New Roman" w:hAnsi="Times New Roman"/>
          <w:sz w:val="24"/>
          <w:szCs w:val="24"/>
        </w:rPr>
        <w:t xml:space="preserve">  New vehicle mileage values are adjusted if necessary to match CAFE standards set by federal policy (as mentioned earlier).</w:t>
      </w:r>
      <w:r w:rsidR="00524DE5" w:rsidRPr="00375037">
        <w:rPr>
          <w:rFonts w:ascii="Times New Roman" w:hAnsi="Times New Roman"/>
          <w:sz w:val="24"/>
          <w:szCs w:val="24"/>
        </w:rPr>
        <w:t xml:space="preserve"> </w:t>
      </w:r>
      <w:r w:rsidR="00375037">
        <w:rPr>
          <w:rFonts w:ascii="Times New Roman" w:hAnsi="Times New Roman"/>
          <w:sz w:val="24"/>
          <w:szCs w:val="24"/>
        </w:rPr>
        <w:t xml:space="preserve"> Across all scenarios, it is </w:t>
      </w:r>
      <w:r w:rsidRPr="00375037">
        <w:rPr>
          <w:rFonts w:ascii="Times New Roman" w:hAnsi="Times New Roman"/>
          <w:sz w:val="24"/>
          <w:szCs w:val="24"/>
        </w:rPr>
        <w:t>assume</w:t>
      </w:r>
      <w:r w:rsidR="00375037">
        <w:rPr>
          <w:rFonts w:ascii="Times New Roman" w:hAnsi="Times New Roman"/>
          <w:sz w:val="24"/>
          <w:szCs w:val="24"/>
        </w:rPr>
        <w:t>d</w:t>
      </w:r>
      <w:r w:rsidR="001068B8">
        <w:rPr>
          <w:rFonts w:ascii="Times New Roman" w:hAnsi="Times New Roman"/>
          <w:sz w:val="24"/>
          <w:szCs w:val="24"/>
        </w:rPr>
        <w:t xml:space="preserve"> that the time</w:t>
      </w:r>
      <w:r w:rsidRPr="00375037">
        <w:rPr>
          <w:rFonts w:ascii="Times New Roman" w:hAnsi="Times New Roman"/>
          <w:sz w:val="24"/>
          <w:szCs w:val="24"/>
        </w:rPr>
        <w:t xml:space="preserve">line when vehicles of different fuel types become available is </w:t>
      </w:r>
      <w:r w:rsidR="00375037">
        <w:rPr>
          <w:rFonts w:ascii="Times New Roman" w:hAnsi="Times New Roman"/>
          <w:sz w:val="24"/>
          <w:szCs w:val="24"/>
        </w:rPr>
        <w:t xml:space="preserve">exactly the </w:t>
      </w:r>
      <w:r w:rsidRPr="00375037">
        <w:rPr>
          <w:rFonts w:ascii="Times New Roman" w:hAnsi="Times New Roman"/>
          <w:sz w:val="24"/>
          <w:szCs w:val="24"/>
        </w:rPr>
        <w:t>same.</w:t>
      </w:r>
      <w:r w:rsidR="00375037">
        <w:rPr>
          <w:rFonts w:ascii="Times New Roman" w:hAnsi="Times New Roman"/>
          <w:sz w:val="24"/>
          <w:szCs w:val="24"/>
        </w:rPr>
        <w:t xml:space="preserve">  This paper documents the impact of the policy and market scenarios</w:t>
      </w:r>
      <w:r w:rsidR="00227718" w:rsidRPr="008539BD">
        <w:rPr>
          <w:rFonts w:ascii="Times New Roman" w:hAnsi="Times New Roman"/>
          <w:sz w:val="24"/>
          <w:szCs w:val="24"/>
        </w:rPr>
        <w:t xml:space="preserve"> on the total number </w:t>
      </w:r>
      <w:r w:rsidR="00375037">
        <w:rPr>
          <w:rFonts w:ascii="Times New Roman" w:hAnsi="Times New Roman"/>
          <w:sz w:val="24"/>
          <w:szCs w:val="24"/>
        </w:rPr>
        <w:t xml:space="preserve">and share </w:t>
      </w:r>
      <w:r w:rsidR="00227718" w:rsidRPr="008539BD">
        <w:rPr>
          <w:rFonts w:ascii="Times New Roman" w:hAnsi="Times New Roman"/>
          <w:sz w:val="24"/>
          <w:szCs w:val="24"/>
        </w:rPr>
        <w:t>of vehicles owned</w:t>
      </w:r>
      <w:r w:rsidR="00375037">
        <w:rPr>
          <w:rFonts w:ascii="Times New Roman" w:hAnsi="Times New Roman"/>
          <w:sz w:val="24"/>
          <w:szCs w:val="24"/>
        </w:rPr>
        <w:t xml:space="preserve"> by households</w:t>
      </w:r>
      <w:r w:rsidR="00227718" w:rsidRPr="008539BD">
        <w:rPr>
          <w:rFonts w:ascii="Times New Roman" w:hAnsi="Times New Roman"/>
          <w:sz w:val="24"/>
          <w:szCs w:val="24"/>
        </w:rPr>
        <w:t>, consumption levels of different fuels, and the associated GHG emissions</w:t>
      </w:r>
      <w:r w:rsidR="008539BD">
        <w:rPr>
          <w:rFonts w:ascii="Times New Roman" w:hAnsi="Times New Roman"/>
          <w:sz w:val="24"/>
          <w:szCs w:val="24"/>
        </w:rPr>
        <w:t>.</w:t>
      </w:r>
    </w:p>
    <w:p w:rsidR="00375037" w:rsidRDefault="00375037" w:rsidP="00375037">
      <w:pPr>
        <w:spacing w:after="0" w:line="240" w:lineRule="auto"/>
        <w:ind w:firstLine="720"/>
        <w:jc w:val="both"/>
        <w:rPr>
          <w:rFonts w:ascii="Times New Roman" w:hAnsi="Times New Roman"/>
          <w:sz w:val="24"/>
          <w:szCs w:val="24"/>
        </w:rPr>
      </w:pPr>
    </w:p>
    <w:p w:rsidR="00375037" w:rsidRPr="00375037" w:rsidRDefault="00375037" w:rsidP="00375037">
      <w:pPr>
        <w:spacing w:after="0" w:line="240" w:lineRule="auto"/>
        <w:jc w:val="both"/>
        <w:rPr>
          <w:rFonts w:ascii="Times New Roman" w:hAnsi="Times New Roman"/>
          <w:b/>
          <w:sz w:val="24"/>
          <w:szCs w:val="24"/>
        </w:rPr>
      </w:pPr>
      <w:r>
        <w:rPr>
          <w:rFonts w:ascii="Times New Roman" w:hAnsi="Times New Roman"/>
          <w:b/>
          <w:sz w:val="24"/>
          <w:szCs w:val="24"/>
        </w:rPr>
        <w:t>RESULTS OF EVOLUTIONARY MODEL SYSTEM APPLICATION</w:t>
      </w:r>
    </w:p>
    <w:p w:rsidR="002165E6" w:rsidRDefault="00375037" w:rsidP="002165E6">
      <w:pPr>
        <w:spacing w:after="0" w:line="240" w:lineRule="auto"/>
        <w:jc w:val="both"/>
        <w:rPr>
          <w:rFonts w:ascii="Times New Roman" w:hAnsi="Times New Roman"/>
          <w:sz w:val="24"/>
          <w:szCs w:val="24"/>
        </w:rPr>
      </w:pPr>
      <w:r>
        <w:rPr>
          <w:rFonts w:ascii="Times New Roman" w:hAnsi="Times New Roman"/>
          <w:sz w:val="24"/>
          <w:szCs w:val="24"/>
        </w:rPr>
        <w:t xml:space="preserve">The model system was applied to forecast the person population and the vehicle population, and associated fuel consumption and GHG emissions, to the years 2020 and </w:t>
      </w:r>
      <w:r w:rsidR="002165E6">
        <w:rPr>
          <w:rFonts w:ascii="Times New Roman" w:hAnsi="Times New Roman"/>
          <w:sz w:val="24"/>
          <w:szCs w:val="24"/>
        </w:rPr>
        <w:t>2030.  The results of the effort are described in this section.</w:t>
      </w:r>
    </w:p>
    <w:p w:rsidR="002165E6" w:rsidRDefault="002165E6" w:rsidP="002165E6">
      <w:pPr>
        <w:spacing w:after="0" w:line="240" w:lineRule="auto"/>
        <w:jc w:val="both"/>
        <w:rPr>
          <w:rFonts w:ascii="Times New Roman" w:hAnsi="Times New Roman"/>
          <w:sz w:val="24"/>
          <w:szCs w:val="24"/>
        </w:rPr>
      </w:pPr>
    </w:p>
    <w:p w:rsidR="002165E6" w:rsidRPr="002165E6" w:rsidRDefault="002165E6" w:rsidP="002165E6">
      <w:pPr>
        <w:spacing w:after="0" w:line="240" w:lineRule="auto"/>
        <w:jc w:val="both"/>
        <w:rPr>
          <w:rFonts w:ascii="Times New Roman" w:hAnsi="Times New Roman"/>
          <w:b/>
          <w:sz w:val="24"/>
          <w:szCs w:val="24"/>
        </w:rPr>
      </w:pPr>
      <w:r>
        <w:rPr>
          <w:rFonts w:ascii="Times New Roman" w:hAnsi="Times New Roman"/>
          <w:b/>
          <w:sz w:val="24"/>
          <w:szCs w:val="24"/>
        </w:rPr>
        <w:t>Population Evolution Model</w:t>
      </w:r>
    </w:p>
    <w:p w:rsidR="002165E6" w:rsidRPr="00711E8E" w:rsidRDefault="002165E6" w:rsidP="002165E6">
      <w:pPr>
        <w:spacing w:after="0" w:line="240" w:lineRule="auto"/>
        <w:jc w:val="both"/>
        <w:rPr>
          <w:rFonts w:ascii="Times New Roman" w:hAnsi="Times New Roman"/>
          <w:sz w:val="24"/>
          <w:szCs w:val="24"/>
        </w:rPr>
      </w:pPr>
      <w:r>
        <w:rPr>
          <w:rFonts w:ascii="Times New Roman" w:hAnsi="Times New Roman"/>
          <w:sz w:val="24"/>
          <w:szCs w:val="24"/>
        </w:rPr>
        <w:t>The population evolution model was applied to the baseline survey sample of 6577 households and all of the persons residing in the respondent households.  Treating 2008 as the base year and assuming the 6577 households constitutes a base year population, the population size and age distribution forecast by the population evolution model system for horizon years 2020 and 2030 were compared against established forecasts furnished by the Ca</w:t>
      </w:r>
      <w:r w:rsidR="001068B8">
        <w:rPr>
          <w:rFonts w:ascii="Times New Roman" w:hAnsi="Times New Roman"/>
          <w:sz w:val="24"/>
          <w:szCs w:val="24"/>
        </w:rPr>
        <w:t xml:space="preserve">lifornia Department of Finance </w:t>
      </w:r>
      <w:r w:rsidR="001068B8" w:rsidRPr="00711E8E">
        <w:rPr>
          <w:rFonts w:ascii="Times New Roman" w:hAnsi="Times New Roman"/>
          <w:sz w:val="24"/>
          <w:szCs w:val="24"/>
        </w:rPr>
        <w:t>(</w:t>
      </w:r>
      <w:r w:rsidR="00DA2A7A" w:rsidRPr="00711E8E">
        <w:rPr>
          <w:rFonts w:ascii="Times New Roman" w:hAnsi="Times New Roman"/>
          <w:i/>
          <w:sz w:val="24"/>
          <w:szCs w:val="24"/>
        </w:rPr>
        <w:t>11</w:t>
      </w:r>
      <w:r w:rsidR="001068B8" w:rsidRPr="00711E8E">
        <w:rPr>
          <w:rFonts w:ascii="Times New Roman" w:hAnsi="Times New Roman"/>
          <w:sz w:val="24"/>
          <w:szCs w:val="24"/>
        </w:rPr>
        <w:t xml:space="preserve">) </w:t>
      </w:r>
      <w:r w:rsidRPr="00711E8E">
        <w:rPr>
          <w:rFonts w:ascii="Times New Roman" w:hAnsi="Times New Roman"/>
          <w:sz w:val="24"/>
          <w:szCs w:val="24"/>
        </w:rPr>
        <w:t>and Pitkin and Myers (</w:t>
      </w:r>
      <w:r w:rsidRPr="00711E8E">
        <w:rPr>
          <w:rFonts w:ascii="Times New Roman" w:hAnsi="Times New Roman"/>
          <w:i/>
          <w:sz w:val="24"/>
          <w:szCs w:val="24"/>
        </w:rPr>
        <w:t>12</w:t>
      </w:r>
      <w:r w:rsidRPr="00711E8E">
        <w:rPr>
          <w:rFonts w:ascii="Times New Roman" w:hAnsi="Times New Roman"/>
          <w:sz w:val="24"/>
          <w:szCs w:val="24"/>
        </w:rPr>
        <w:t xml:space="preserve">).  As it is not appropriate to compare actual numbers, the population growth and the age distribution of the population were compared for the horizon years.  </w:t>
      </w:r>
    </w:p>
    <w:p w:rsidR="002165E6" w:rsidRPr="00711E8E" w:rsidRDefault="002165E6" w:rsidP="002165E6">
      <w:pPr>
        <w:spacing w:after="0" w:line="240" w:lineRule="auto"/>
        <w:jc w:val="both"/>
        <w:rPr>
          <w:rFonts w:ascii="Times New Roman" w:hAnsi="Times New Roman"/>
          <w:sz w:val="24"/>
          <w:szCs w:val="24"/>
        </w:rPr>
      </w:pPr>
      <w:r w:rsidRPr="00711E8E">
        <w:rPr>
          <w:rFonts w:ascii="Times New Roman" w:hAnsi="Times New Roman"/>
          <w:sz w:val="24"/>
          <w:szCs w:val="24"/>
        </w:rPr>
        <w:tab/>
        <w:t>In general, it is found that the population evolution model is able to replicate established forecasts quite well.  The population evolution model used in this study grew the population (of 6577 households) by 9.41 percent to the year 2020; the corresponding population growth increases predicted by California Department of Finance and Pitkin and Myers (</w:t>
      </w:r>
      <w:r w:rsidR="00DA2A7A" w:rsidRPr="00711E8E">
        <w:rPr>
          <w:rFonts w:ascii="Times New Roman" w:hAnsi="Times New Roman"/>
          <w:i/>
          <w:sz w:val="24"/>
          <w:szCs w:val="24"/>
        </w:rPr>
        <w:t>11</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12</w:t>
      </w:r>
      <w:r w:rsidRPr="00711E8E">
        <w:rPr>
          <w:rFonts w:ascii="Times New Roman" w:hAnsi="Times New Roman"/>
          <w:sz w:val="24"/>
          <w:szCs w:val="24"/>
        </w:rPr>
        <w:t>) are 9.39 and 9.35 percent respectively.  By the year 2030, the study forecast a population growth of 18.53 percent.  This is slightly lower than, but still very much in line, with the established forecasts of 19.46 percent and 19.90 percent growth predicted by the California Department of Finance and Pitkin and Myers (</w:t>
      </w:r>
      <w:r w:rsidR="00DA2A7A" w:rsidRPr="00711E8E">
        <w:rPr>
          <w:rFonts w:ascii="Times New Roman" w:hAnsi="Times New Roman"/>
          <w:i/>
          <w:sz w:val="24"/>
          <w:szCs w:val="24"/>
        </w:rPr>
        <w:t>11</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12</w:t>
      </w:r>
      <w:r w:rsidRPr="00711E8E">
        <w:rPr>
          <w:rFonts w:ascii="Times New Roman" w:hAnsi="Times New Roman"/>
          <w:sz w:val="24"/>
          <w:szCs w:val="24"/>
        </w:rPr>
        <w:t xml:space="preserve">) respectively.  </w:t>
      </w:r>
    </w:p>
    <w:p w:rsidR="002165E6" w:rsidRDefault="002165E6" w:rsidP="002165E6">
      <w:pPr>
        <w:spacing w:after="0" w:line="240" w:lineRule="auto"/>
        <w:ind w:firstLine="720"/>
        <w:jc w:val="both"/>
        <w:rPr>
          <w:rFonts w:ascii="Times New Roman" w:hAnsi="Times New Roman"/>
          <w:sz w:val="24"/>
          <w:szCs w:val="24"/>
        </w:rPr>
      </w:pPr>
      <w:r w:rsidRPr="00711E8E">
        <w:rPr>
          <w:rFonts w:ascii="Times New Roman" w:hAnsi="Times New Roman"/>
          <w:sz w:val="24"/>
          <w:szCs w:val="24"/>
        </w:rPr>
        <w:t xml:space="preserve">An examination of the age distribution of the future year population predicted by the population evolution model system suggests that the model system tends to age the population more than that implied by the established forecasts.  The age distribution of the base year population (i.e., the respondent sample of the survey) is already skewed in favor of older age groups </w:t>
      </w:r>
      <w:r w:rsidR="00CE55E3" w:rsidRPr="00711E8E">
        <w:rPr>
          <w:rFonts w:ascii="Times New Roman" w:hAnsi="Times New Roman"/>
          <w:sz w:val="24"/>
          <w:szCs w:val="24"/>
        </w:rPr>
        <w:t>when compared with the true population distribution provided by the California Department of Finance and Pitkin and Myers (</w:t>
      </w:r>
      <w:r w:rsidR="00DA2A7A" w:rsidRPr="00711E8E">
        <w:rPr>
          <w:rFonts w:ascii="Times New Roman" w:hAnsi="Times New Roman"/>
          <w:i/>
          <w:sz w:val="24"/>
          <w:szCs w:val="24"/>
        </w:rPr>
        <w:t>11</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12</w:t>
      </w:r>
      <w:r w:rsidR="00CE55E3" w:rsidRPr="00711E8E">
        <w:rPr>
          <w:rFonts w:ascii="Times New Roman" w:hAnsi="Times New Roman"/>
          <w:sz w:val="24"/>
          <w:szCs w:val="24"/>
        </w:rPr>
        <w:t>).  The model system then appears to age the population further at a rate that is faster than that implied by the two established benchmark forecasts.  In the year 2020, for example, the percent of individuals 65 and above is predicted to be 23 percent in the study (increased from 14.8 percent in the base year); the corresponding percent is 15 percent in the California Department of Finance and Pitkin and Myers (</w:t>
      </w:r>
      <w:r w:rsidR="00DA2A7A" w:rsidRPr="00711E8E">
        <w:rPr>
          <w:rFonts w:ascii="Times New Roman" w:hAnsi="Times New Roman"/>
          <w:i/>
          <w:sz w:val="24"/>
          <w:szCs w:val="24"/>
        </w:rPr>
        <w:t>11</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12</w:t>
      </w:r>
      <w:r w:rsidR="00CE55E3" w:rsidRPr="00711E8E">
        <w:rPr>
          <w:rFonts w:ascii="Times New Roman" w:hAnsi="Times New Roman"/>
          <w:sz w:val="24"/>
          <w:szCs w:val="24"/>
        </w:rPr>
        <w:t>) forecast (increased from 11.5 percent in the base year).  Similar differences are seen in the 2030 forecast as well.  In the year 2030, the study predicts that 28.5 percent of the population will be</w:t>
      </w:r>
      <w:r w:rsidR="00CE55E3">
        <w:rPr>
          <w:rFonts w:ascii="Times New Roman" w:hAnsi="Times New Roman"/>
          <w:sz w:val="24"/>
          <w:szCs w:val="24"/>
        </w:rPr>
        <w:t xml:space="preserve"> </w:t>
      </w:r>
      <w:r w:rsidR="00CE55E3" w:rsidRPr="00711E8E">
        <w:rPr>
          <w:rFonts w:ascii="Times New Roman" w:hAnsi="Times New Roman"/>
          <w:sz w:val="24"/>
          <w:szCs w:val="24"/>
        </w:rPr>
        <w:lastRenderedPageBreak/>
        <w:t>65 or above; the corresponding forecast provided by the California Department of Finance and Pitkin and Myers (</w:t>
      </w:r>
      <w:r w:rsidR="00DA2A7A" w:rsidRPr="00711E8E">
        <w:rPr>
          <w:rFonts w:ascii="Times New Roman" w:hAnsi="Times New Roman"/>
          <w:i/>
          <w:sz w:val="24"/>
          <w:szCs w:val="24"/>
        </w:rPr>
        <w:t>11</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12</w:t>
      </w:r>
      <w:r w:rsidR="00CE55E3" w:rsidRPr="00711E8E">
        <w:rPr>
          <w:rFonts w:ascii="Times New Roman" w:hAnsi="Times New Roman"/>
          <w:sz w:val="24"/>
          <w:szCs w:val="24"/>
        </w:rPr>
        <w:t>) is just under 19 percent.  It appears that the model is aging the population, but may not be adequately reflecting international immigration patterns which balance and moderate the aging of the population. The differences in age distribution have implications; as vehicle fleet composition is sensitive to socio-economic and demographic characteristics, the aging of the population will impact vehicle fleet forecasts produced in this study.  The results of the model application effort should be interpreted with this cautionary note in mind.  Nevertheless, the exercise is useful in demonstrating the application of the model for analyzing alternative scenarios.</w:t>
      </w:r>
      <w:r w:rsidR="00CE55E3">
        <w:rPr>
          <w:rFonts w:ascii="Times New Roman" w:hAnsi="Times New Roman"/>
          <w:sz w:val="24"/>
          <w:szCs w:val="24"/>
        </w:rPr>
        <w:t xml:space="preserve">   </w:t>
      </w:r>
      <w:r>
        <w:rPr>
          <w:rFonts w:ascii="Times New Roman" w:hAnsi="Times New Roman"/>
          <w:sz w:val="24"/>
          <w:szCs w:val="24"/>
        </w:rPr>
        <w:t xml:space="preserve"> </w:t>
      </w:r>
    </w:p>
    <w:p w:rsidR="002165E6" w:rsidRDefault="002165E6" w:rsidP="002165E6">
      <w:pPr>
        <w:spacing w:after="0" w:line="240" w:lineRule="auto"/>
        <w:jc w:val="both"/>
        <w:rPr>
          <w:rFonts w:ascii="Times New Roman" w:hAnsi="Times New Roman"/>
          <w:sz w:val="24"/>
          <w:szCs w:val="24"/>
        </w:rPr>
      </w:pPr>
    </w:p>
    <w:p w:rsidR="002165E6" w:rsidRPr="002868B7" w:rsidRDefault="002868B7" w:rsidP="002165E6">
      <w:pPr>
        <w:spacing w:after="0" w:line="240" w:lineRule="auto"/>
        <w:jc w:val="both"/>
        <w:rPr>
          <w:rFonts w:ascii="Times New Roman" w:hAnsi="Times New Roman"/>
          <w:b/>
          <w:sz w:val="24"/>
          <w:szCs w:val="24"/>
        </w:rPr>
      </w:pPr>
      <w:r>
        <w:rPr>
          <w:rFonts w:ascii="Times New Roman" w:hAnsi="Times New Roman"/>
          <w:b/>
          <w:sz w:val="24"/>
          <w:szCs w:val="24"/>
        </w:rPr>
        <w:t>Vehicle Fleet Forecasts</w:t>
      </w:r>
    </w:p>
    <w:p w:rsidR="002868B7" w:rsidRDefault="002868B7" w:rsidP="002165E6">
      <w:pPr>
        <w:spacing w:after="0" w:line="240" w:lineRule="auto"/>
        <w:jc w:val="both"/>
        <w:rPr>
          <w:rFonts w:ascii="Times New Roman" w:hAnsi="Times New Roman"/>
          <w:sz w:val="24"/>
          <w:szCs w:val="24"/>
        </w:rPr>
      </w:pPr>
      <w:r>
        <w:rPr>
          <w:rFonts w:ascii="Times New Roman" w:hAnsi="Times New Roman"/>
          <w:sz w:val="24"/>
          <w:szCs w:val="24"/>
        </w:rPr>
        <w:t xml:space="preserve">The vehicle fleet forecasts that result from the application of the vehicle evolution model system are presented in Table 1.  The base year values are those for 2008, the year of the California Energy Commission survey.  Assuming a standard progression as per the assumptions outlined earlier in this paper, baseline estimates of various attributes may be obtained for the forecast years of 2020 and 2030.  In the base year of 2008, it is found that the 6577 households own 13016 vehicles.  Under baseline growth conditions, the number of vehicles increases to 15548 and 16697 respectively in 2020 and 2030. Although the number of vehicles increases, the vehicle ownership per household actually decreases, presumably because the increase in the number of households is greater than the increase in the number of vehicles.  It is likely that the aging of the population (predicted by the population evolution model) contributes to this phenomenon; households with older individuals are likely to be smaller in size and have fewer cars.  Moreover, individuals in these age groups may have ceased driving thus reducing car ownership and driving levels.  The results are consistent with the population evolution predicted by the socio-economic model system.  </w:t>
      </w:r>
    </w:p>
    <w:p w:rsidR="00AE74AE" w:rsidRDefault="00AE74AE" w:rsidP="002165E6">
      <w:pPr>
        <w:spacing w:after="0" w:line="240" w:lineRule="auto"/>
        <w:jc w:val="both"/>
        <w:rPr>
          <w:rFonts w:ascii="Times New Roman" w:hAnsi="Times New Roman"/>
          <w:sz w:val="24"/>
          <w:szCs w:val="24"/>
        </w:rPr>
      </w:pPr>
      <w:r>
        <w:rPr>
          <w:rFonts w:ascii="Times New Roman" w:hAnsi="Times New Roman"/>
          <w:sz w:val="24"/>
          <w:szCs w:val="24"/>
        </w:rPr>
        <w:tab/>
        <w:t xml:space="preserve">The vehicle fleet forecasts under baseline growth conditions suggest that the share of pick-up trucks will drop, and then increase again in the year 2030.  This is likely an artifact of the assumptions </w:t>
      </w:r>
      <w:r w:rsidR="00151F96">
        <w:rPr>
          <w:rFonts w:ascii="Times New Roman" w:hAnsi="Times New Roman"/>
          <w:sz w:val="24"/>
          <w:szCs w:val="24"/>
        </w:rPr>
        <w:t>about</w:t>
      </w:r>
      <w:r>
        <w:rPr>
          <w:rFonts w:ascii="Times New Roman" w:hAnsi="Times New Roman"/>
          <w:sz w:val="24"/>
          <w:szCs w:val="24"/>
        </w:rPr>
        <w:t xml:space="preserve"> technology availability</w:t>
      </w:r>
      <w:r w:rsidR="00151F96">
        <w:rPr>
          <w:rFonts w:ascii="Times New Roman" w:hAnsi="Times New Roman"/>
          <w:sz w:val="24"/>
          <w:szCs w:val="24"/>
        </w:rPr>
        <w:t xml:space="preserve"> that are inherent to the study</w:t>
      </w:r>
      <w:r>
        <w:rPr>
          <w:rFonts w:ascii="Times New Roman" w:hAnsi="Times New Roman"/>
          <w:sz w:val="24"/>
          <w:szCs w:val="24"/>
        </w:rPr>
        <w:t xml:space="preserve">.  The study assumes that fuel-efficient options among pick-up trucks become available starting in the year 2020.  </w:t>
      </w:r>
      <w:r w:rsidR="00151F96">
        <w:rPr>
          <w:rFonts w:ascii="Times New Roman" w:hAnsi="Times New Roman"/>
          <w:sz w:val="24"/>
          <w:szCs w:val="24"/>
        </w:rPr>
        <w:t xml:space="preserve">With respect to fuel type, it is found that – even in the baseline growth conditions – the share of gasoline vehicles drops dramatically.  The share of gasoline vehicles drops to less than one-half of the value in the base year.  As the baseline growth scenario incorporates a number of assumptions regarding the availability of fuel efficient and alternative fuel vehicles in horizon years, it is not surprising to see the vehicle fleet composition shift considerably towards alternative fuel vehicles in the future.  The share of flex fuel vehicles increases dramatically, along with that of hybrid vehicles (both plug-in hybrid and hybrid electric) and diesel vehicles.  Based on the vehicle fleet evolution model predictions in this study, the future is likely to be characterized by a heterogeneous mix of vehicle types on the nation’s roadways.  As households shed gasoline cars and acquire newer fuel efficient and alternative fuel vehicles, the age distribution of the fleet undergoes considerable change as well.  The fleet becomes considerably younger with nearly 30 percent of the vehicles new in the years 2020 and 2030, compared to a much smaller 5.82 percent of vehicles classified as new in the base year of 2008. </w:t>
      </w:r>
      <w:r>
        <w:rPr>
          <w:rFonts w:ascii="Times New Roman" w:hAnsi="Times New Roman"/>
          <w:sz w:val="24"/>
          <w:szCs w:val="24"/>
        </w:rPr>
        <w:t xml:space="preserve">  </w:t>
      </w:r>
    </w:p>
    <w:p w:rsidR="00AC0138" w:rsidRDefault="002868B7" w:rsidP="002165E6">
      <w:pPr>
        <w:spacing w:after="0" w:line="240" w:lineRule="auto"/>
        <w:jc w:val="both"/>
        <w:rPr>
          <w:rFonts w:ascii="Times New Roman" w:hAnsi="Times New Roman"/>
          <w:sz w:val="24"/>
          <w:szCs w:val="24"/>
        </w:rPr>
      </w:pPr>
      <w:r>
        <w:rPr>
          <w:rFonts w:ascii="Times New Roman" w:hAnsi="Times New Roman"/>
          <w:sz w:val="24"/>
          <w:szCs w:val="24"/>
        </w:rPr>
        <w:tab/>
        <w:t>If free HOV lane access is granted to all non-gasoline vehicles (</w:t>
      </w:r>
      <w:r w:rsidRPr="00C42D63">
        <w:rPr>
          <w:rFonts w:ascii="Times New Roman" w:hAnsi="Times New Roman"/>
          <w:sz w:val="24"/>
          <w:szCs w:val="24"/>
        </w:rPr>
        <w:t>CNG, hybrid-electric, plug-in hybrid, and fully electric</w:t>
      </w:r>
      <w:r>
        <w:rPr>
          <w:rFonts w:ascii="Times New Roman" w:hAnsi="Times New Roman"/>
          <w:sz w:val="24"/>
          <w:szCs w:val="24"/>
        </w:rPr>
        <w:t xml:space="preserve">), </w:t>
      </w:r>
      <w:r w:rsidR="00AE74AE">
        <w:rPr>
          <w:rFonts w:ascii="Times New Roman" w:hAnsi="Times New Roman"/>
          <w:sz w:val="24"/>
          <w:szCs w:val="24"/>
        </w:rPr>
        <w:t>then the total number of vehicles in the population increases slightly.  It appears that there may be greater acquisition of vehicles (particularly non-gasoline vehicles) to take advantage of the free HOV lane acces</w:t>
      </w:r>
      <w:r w:rsidR="00151F96">
        <w:rPr>
          <w:rFonts w:ascii="Times New Roman" w:hAnsi="Times New Roman"/>
          <w:sz w:val="24"/>
          <w:szCs w:val="24"/>
        </w:rPr>
        <w:t xml:space="preserve">s afforded these vehicles.  There is no </w:t>
      </w:r>
      <w:r w:rsidR="00151F96">
        <w:rPr>
          <w:rFonts w:ascii="Times New Roman" w:hAnsi="Times New Roman"/>
          <w:sz w:val="24"/>
          <w:szCs w:val="24"/>
        </w:rPr>
        <w:lastRenderedPageBreak/>
        <w:t>appreciable change in the body type distribution between the baseline scenario forecasts and the HOV lane access scenario forecasts.  In general, with inherent assumptions that technology options become available in the future in both scenarios, it is not surprising that both scenarios produce similar body type distributions for the fleet forecast. The age distribution is likewise rather similar between the baseline forecast scenario and the free HOV lane access scenario. The difference, as expected, is seen primarily in the fuel type distribution. With free HOV lane access for alternative fuel vehicles, the share of gasoline cars falls further to just about one-third of all vehicles in the year 2030.  The share of flex fuel vehicles falls as well (because the HOV lane access is not granted to these vehicles.  The share of all other vehicle fuel types increases</w:t>
      </w:r>
      <w:r w:rsidR="00AC0138">
        <w:rPr>
          <w:rFonts w:ascii="Times New Roman" w:hAnsi="Times New Roman"/>
          <w:sz w:val="24"/>
          <w:szCs w:val="24"/>
        </w:rPr>
        <w:t xml:space="preserve"> with rather large increases in plug-in hybrid and hybrid electric vehicle shares.  The share of diesel vehicles drops relative to the baseline scenario as consumers shift to the various types of electric vehicles.  </w:t>
      </w:r>
    </w:p>
    <w:p w:rsidR="00AC0138" w:rsidRDefault="00AC0138" w:rsidP="002165E6">
      <w:pPr>
        <w:spacing w:after="0" w:line="240" w:lineRule="auto"/>
        <w:jc w:val="both"/>
        <w:rPr>
          <w:rFonts w:ascii="Times New Roman" w:hAnsi="Times New Roman"/>
          <w:sz w:val="24"/>
          <w:szCs w:val="24"/>
        </w:rPr>
      </w:pPr>
      <w:r>
        <w:rPr>
          <w:rFonts w:ascii="Times New Roman" w:hAnsi="Times New Roman"/>
          <w:sz w:val="24"/>
          <w:szCs w:val="24"/>
        </w:rPr>
        <w:tab/>
        <w:t xml:space="preserve">In the case of the scenario where gas cost doubles, it is found that vehicle ownership levels decrease.  The total number of vehicles increases more modestly from the base year (relative to the baseline forecast scenario) and the average number of vehicles per household decreases considerably, reaching  a value of 1.62 in 2030 (relative to 1.98 in the base year of 2008).  When gas cost doubles, there is shorter term shift towards smaller vehicle body types.  The share of compact cars increases (relative to the base year of 2008) and is higher than that forecast in the baseline growth scenario.  Although the share of cars decreases, the share of small cross utility vehicles increases considerably when compared with the 2008 share.  The share of larger vehicles such as sport utility vehicles and pick-up trucks decreases.  As the study assumes the availability of fuel efficient versions of the large vehicles starting in 2020, the share of large vehicle body types increases once again between 2020 and 2030.  An examination of the age distribution shows that vehicles become considerably younger in the short term, as households turnover their fleet more rapidly in response to a doubling of gas cost.  However, in the long term (to 2030), the share of older vehicles increases (relative to 2020) while the share of vehicles in the 1-7 year age range decreases.  </w:t>
      </w:r>
    </w:p>
    <w:p w:rsidR="000E323F" w:rsidRPr="00711E8E" w:rsidRDefault="00AC0138" w:rsidP="002165E6">
      <w:pPr>
        <w:spacing w:after="0" w:line="240" w:lineRule="auto"/>
        <w:jc w:val="both"/>
        <w:rPr>
          <w:rFonts w:ascii="Times New Roman" w:hAnsi="Times New Roman"/>
          <w:sz w:val="24"/>
          <w:szCs w:val="24"/>
        </w:rPr>
      </w:pPr>
      <w:r>
        <w:rPr>
          <w:rFonts w:ascii="Times New Roman" w:hAnsi="Times New Roman"/>
          <w:sz w:val="24"/>
          <w:szCs w:val="24"/>
        </w:rPr>
        <w:tab/>
        <w:t xml:space="preserve">The doubling of gas cost is predicted to have an appreciable impact on fuel type distribution in the fleet.  However, the model system predicts that the shift away from gasoline cars is smaller in this scenario than the free HOV lane access scenario.  In the doubling of gas cost scenario, the share of gasoline vehicles stays at about 40 percent; in the free HOV lane access scenario, the share of gasoline vehicles dropped to about 33 percent.  </w:t>
      </w:r>
      <w:r w:rsidR="000E323F">
        <w:rPr>
          <w:rFonts w:ascii="Times New Roman" w:hAnsi="Times New Roman"/>
          <w:sz w:val="24"/>
          <w:szCs w:val="24"/>
        </w:rPr>
        <w:t>While the share of pure electric vehicles goes up across the two scenarios, the share of hybrid and plug-in electric hybrid vehicles is lower in the gas cost doubling scenario than the free HOV lane access scenario.  These findings are consistent with the notion that traveler choices and behavior are largely insensitive to changes in fuel price; travel demand is generally inelastic with</w:t>
      </w:r>
      <w:r w:rsidR="001068B8">
        <w:rPr>
          <w:rFonts w:ascii="Times New Roman" w:hAnsi="Times New Roman"/>
          <w:sz w:val="24"/>
          <w:szCs w:val="24"/>
        </w:rPr>
        <w:t xml:space="preserve"> respect to gas </w:t>
      </w:r>
      <w:r w:rsidR="001068B8" w:rsidRPr="00711E8E">
        <w:rPr>
          <w:rFonts w:ascii="Times New Roman" w:hAnsi="Times New Roman"/>
          <w:sz w:val="24"/>
          <w:szCs w:val="24"/>
        </w:rPr>
        <w:t>prices (</w:t>
      </w:r>
      <w:r w:rsidR="00DA2A7A" w:rsidRPr="00711E8E">
        <w:rPr>
          <w:rFonts w:ascii="Times New Roman" w:hAnsi="Times New Roman"/>
          <w:i/>
          <w:sz w:val="24"/>
          <w:szCs w:val="24"/>
        </w:rPr>
        <w:t>13</w:t>
      </w:r>
      <w:r w:rsidR="00DA2A7A" w:rsidRPr="00711E8E">
        <w:rPr>
          <w:rFonts w:ascii="Times New Roman" w:hAnsi="Times New Roman"/>
          <w:sz w:val="24"/>
          <w:szCs w:val="24"/>
        </w:rPr>
        <w:t xml:space="preserve">, </w:t>
      </w:r>
      <w:r w:rsidR="00DA2A7A" w:rsidRPr="00711E8E">
        <w:rPr>
          <w:rFonts w:ascii="Times New Roman" w:hAnsi="Times New Roman"/>
          <w:i/>
          <w:sz w:val="24"/>
          <w:szCs w:val="24"/>
        </w:rPr>
        <w:t>14</w:t>
      </w:r>
      <w:r w:rsidR="000E323F" w:rsidRPr="00711E8E">
        <w:rPr>
          <w:rFonts w:ascii="Times New Roman" w:hAnsi="Times New Roman"/>
          <w:sz w:val="24"/>
          <w:szCs w:val="24"/>
        </w:rPr>
        <w:t xml:space="preserve">).  </w:t>
      </w:r>
    </w:p>
    <w:p w:rsidR="00F739EB" w:rsidRDefault="000E323F" w:rsidP="002165E6">
      <w:pPr>
        <w:spacing w:after="0" w:line="240" w:lineRule="auto"/>
        <w:jc w:val="both"/>
        <w:rPr>
          <w:rFonts w:ascii="Times New Roman" w:hAnsi="Times New Roman"/>
          <w:sz w:val="24"/>
          <w:szCs w:val="24"/>
        </w:rPr>
      </w:pPr>
      <w:r>
        <w:rPr>
          <w:rFonts w:ascii="Times New Roman" w:hAnsi="Times New Roman"/>
          <w:sz w:val="24"/>
          <w:szCs w:val="24"/>
        </w:rPr>
        <w:tab/>
        <w:t xml:space="preserve">The scenario where driving range of CNG and fully-electric vehicles is dramatically increased to over 200 miles offers forecasts that are quite consistent with expectations.  Vehicle ownership levels are slightly higher than in the baseline growth scenario, presumably because households acquire the new high-range alternative fuel vehicles.  In the body type distribution, it is found that the share of vans increases considerably relative to the other scenarios.  It is likely that households (which have aged over time) would like to acquire comfortable and family-friendly vans that are easy to drive when there is no range anxiety associated with the electric and CNG versions of these vehicles.  The age distribution shows that households are inclined to acquire new electric vehicles with no range issues; the percent of new vehicles in the fleet is </w:t>
      </w:r>
      <w:r>
        <w:rPr>
          <w:rFonts w:ascii="Times New Roman" w:hAnsi="Times New Roman"/>
          <w:sz w:val="24"/>
          <w:szCs w:val="24"/>
        </w:rPr>
        <w:lastRenderedPageBreak/>
        <w:t xml:space="preserve">about 40 percent in the forecast years under the increased driving range scenario.  The most dramatic shift can be seen, as expected, in the fuel type distribution.  The share of fully electric vehicles increases dramatically to constitute about one-fourth of the fleet in the scenario forecast years.  The share of gasoline vehicles drops to about one-third of all vehicles.  </w:t>
      </w:r>
    </w:p>
    <w:p w:rsidR="00CE55E3" w:rsidRDefault="00F739EB" w:rsidP="002165E6">
      <w:pPr>
        <w:spacing w:after="0" w:line="240" w:lineRule="auto"/>
        <w:jc w:val="both"/>
        <w:rPr>
          <w:rFonts w:ascii="Times New Roman" w:hAnsi="Times New Roman"/>
          <w:sz w:val="24"/>
          <w:szCs w:val="24"/>
        </w:rPr>
      </w:pPr>
      <w:r>
        <w:rPr>
          <w:rFonts w:ascii="Times New Roman" w:hAnsi="Times New Roman"/>
          <w:sz w:val="24"/>
          <w:szCs w:val="24"/>
        </w:rPr>
        <w:tab/>
        <w:t xml:space="preserve">As expected the combination scenario shows a more dramatic impact across the dimensions of interest.  With a doubling of gas cost coupled with a dramatic increase in driving range, the shares of CNG and fully electric vehicles increase even further relative to all other scenarios. The shares of gasoline, flex fuel, and other types of electric vehicles drop even further.  Overall, it can be seen that the vehicle evolution model system, coupled with a population evolution model system, is able to provide vehicle fleet forecasts that are intuitive and insightful in response to changes in policy, market, and technology availability conditions.     </w:t>
      </w:r>
    </w:p>
    <w:p w:rsidR="00F739EB" w:rsidRDefault="00F739EB" w:rsidP="002165E6">
      <w:pPr>
        <w:spacing w:after="0" w:line="240" w:lineRule="auto"/>
        <w:jc w:val="both"/>
        <w:rPr>
          <w:rFonts w:ascii="Times New Roman" w:hAnsi="Times New Roman"/>
          <w:sz w:val="24"/>
          <w:szCs w:val="24"/>
        </w:rPr>
      </w:pPr>
      <w:r>
        <w:rPr>
          <w:rFonts w:ascii="Times New Roman" w:hAnsi="Times New Roman"/>
          <w:sz w:val="24"/>
          <w:szCs w:val="24"/>
        </w:rPr>
        <w:tab/>
      </w:r>
    </w:p>
    <w:p w:rsidR="00CE55E3" w:rsidRDefault="002868B7" w:rsidP="002165E6">
      <w:pPr>
        <w:spacing w:after="0" w:line="240" w:lineRule="auto"/>
        <w:jc w:val="both"/>
        <w:rPr>
          <w:rFonts w:ascii="Times New Roman" w:hAnsi="Times New Roman"/>
          <w:b/>
          <w:sz w:val="24"/>
          <w:szCs w:val="24"/>
        </w:rPr>
      </w:pPr>
      <w:r>
        <w:rPr>
          <w:rFonts w:ascii="Times New Roman" w:hAnsi="Times New Roman"/>
          <w:b/>
          <w:sz w:val="24"/>
          <w:szCs w:val="24"/>
        </w:rPr>
        <w:t>Fuel Consumption and Emissions Forecasts</w:t>
      </w:r>
    </w:p>
    <w:p w:rsidR="00182328" w:rsidRDefault="00F739EB" w:rsidP="002165E6">
      <w:pPr>
        <w:spacing w:after="0" w:line="240" w:lineRule="auto"/>
        <w:jc w:val="both"/>
        <w:rPr>
          <w:rFonts w:ascii="Times New Roman" w:hAnsi="Times New Roman"/>
          <w:sz w:val="24"/>
          <w:szCs w:val="24"/>
        </w:rPr>
      </w:pPr>
      <w:r>
        <w:rPr>
          <w:rFonts w:ascii="Times New Roman" w:hAnsi="Times New Roman"/>
          <w:sz w:val="24"/>
          <w:szCs w:val="24"/>
        </w:rPr>
        <w:t xml:space="preserve">Table 2 presents the fuel consumption and greenhouse gas emissions forecasts for the alternative scenarios considered in this study.  </w:t>
      </w:r>
      <w:r w:rsidR="00182328">
        <w:rPr>
          <w:rFonts w:ascii="Times New Roman" w:hAnsi="Times New Roman"/>
          <w:sz w:val="24"/>
          <w:szCs w:val="24"/>
        </w:rPr>
        <w:t>In the baseline scenario, it is found that average annual household mileage decreases over the long term, but average annual vehicle mileage increases.  With the aging of the population (as predicted by the population evolution model system), it is likely that household sizes are reduced and presence of children is less relative to the base year. As a result, household mileage reduces; on the other hand, the increased discretionary time that older people have, combined with the increased share of alternative and clean fuel vehicles, is likely to result in an increase in per vehicle mileage.  As households are forecast to own fewer vehicles in the future, the vehicles that they do have end up being driven more on a per-vehicle basis.  In the baseline scenario forecast, it is found that gasoline consumption decreases considerably while consumption of other fuels increases.  This is consistent with the earlier findings reported in Table 1 where the share of gasoline vehicles drops dramatically from the base year to the forecast years.  As a consequence, the simulation results show that greenhouse gas emissions (last row of Table 2) decrease substantially in the forecast years (under the baseline scenario</w:t>
      </w:r>
      <w:r w:rsidR="00811163">
        <w:rPr>
          <w:rFonts w:ascii="Times New Roman" w:hAnsi="Times New Roman"/>
          <w:sz w:val="24"/>
          <w:szCs w:val="24"/>
        </w:rPr>
        <w:t>)</w:t>
      </w:r>
      <w:r w:rsidR="00182328">
        <w:rPr>
          <w:rFonts w:ascii="Times New Roman" w:hAnsi="Times New Roman"/>
          <w:sz w:val="24"/>
          <w:szCs w:val="24"/>
        </w:rPr>
        <w:t xml:space="preserve">. </w:t>
      </w:r>
    </w:p>
    <w:p w:rsidR="00411662" w:rsidRDefault="00182328" w:rsidP="002165E6">
      <w:pPr>
        <w:spacing w:after="0" w:line="240" w:lineRule="auto"/>
        <w:jc w:val="both"/>
        <w:rPr>
          <w:rFonts w:ascii="Times New Roman" w:hAnsi="Times New Roman"/>
          <w:sz w:val="24"/>
          <w:szCs w:val="24"/>
        </w:rPr>
      </w:pPr>
      <w:r>
        <w:rPr>
          <w:rFonts w:ascii="Times New Roman" w:hAnsi="Times New Roman"/>
          <w:sz w:val="24"/>
          <w:szCs w:val="24"/>
        </w:rPr>
        <w:tab/>
        <w:t xml:space="preserve">With free HOV lane access, it should be recalled that households shifted to electric vehicles of all types and decreased share of gasoline, flex fuel, and diesel vehicles.  This shift in fleet mix is reflected in the results for this scenario in Table 2.  </w:t>
      </w:r>
      <w:r w:rsidR="00411662">
        <w:rPr>
          <w:rFonts w:ascii="Times New Roman" w:hAnsi="Times New Roman"/>
          <w:sz w:val="24"/>
          <w:szCs w:val="24"/>
        </w:rPr>
        <w:t xml:space="preserve">While there is no appreciable change in mileage values relative to the baseline scenario, it is found that the total gasoline consumption is slightly higher in the free HOV lane access scenario relative the baseline scenario.  This is likely because of the large increase in the share of plug-in hybrid and hybrid- electric vehicles that was forecast by the vehicle fleet forecasting model system.  The energy consumption of these vehicles was converted into equivalent gasoline consumption and their greater presence in the fleet mix contributes to greater gasoline consumption.  On the other hand, there is a decrease in flex fuel consumption and diesel consumption relative to the baseline scenario.  The total emissions show a considerable drop, presumably because the hybrid electric and plug-in hybrid electric vehicles emit less greenhouse gas emissions than diesel vehicles and flex fuel vehicles (both of which exhibited larger shares in the baseline scenario case).  </w:t>
      </w:r>
    </w:p>
    <w:p w:rsidR="0039735D" w:rsidRDefault="00411662" w:rsidP="00F87F61">
      <w:pPr>
        <w:spacing w:after="0" w:line="240" w:lineRule="auto"/>
        <w:ind w:firstLine="720"/>
        <w:jc w:val="both"/>
        <w:rPr>
          <w:rFonts w:ascii="Times New Roman" w:hAnsi="Times New Roman"/>
          <w:sz w:val="24"/>
          <w:szCs w:val="24"/>
        </w:rPr>
      </w:pPr>
      <w:r>
        <w:rPr>
          <w:rFonts w:ascii="Times New Roman" w:hAnsi="Times New Roman"/>
          <w:sz w:val="24"/>
          <w:szCs w:val="24"/>
        </w:rPr>
        <w:t xml:space="preserve">A doubling of gas cost results in a decrease in the annual average household mileage, both relative to the base year and relative to the baseline forecast.  It appears that the doubling of gas cost results in a lower utilization (miles driven) of vehicles and the vehicle fleet composition and utilization model system is able to reflect this phenomenon.  On a per-vehicle basis, however, it is found that average annual vehicle mileage is higher in the future under the </w:t>
      </w:r>
      <w:r>
        <w:rPr>
          <w:rFonts w:ascii="Times New Roman" w:hAnsi="Times New Roman"/>
          <w:sz w:val="24"/>
          <w:szCs w:val="24"/>
        </w:rPr>
        <w:lastRenderedPageBreak/>
        <w:t xml:space="preserve">doubling of gas cost relative to the base year.  With fewer vehicles owned by households relative to the base year, it is not unexpected for the mileage accrued on a per-vehicle basis to be larger relative to the base year.  However, this value is smaller relative to the baseline scenario forecast suggesting that the doubling of gas cost has a dampening effect </w:t>
      </w:r>
      <w:r w:rsidR="0039735D">
        <w:rPr>
          <w:rFonts w:ascii="Times New Roman" w:hAnsi="Times New Roman"/>
          <w:sz w:val="24"/>
          <w:szCs w:val="24"/>
        </w:rPr>
        <w:t xml:space="preserve">relative to a baseline growth scenario.  As expected, doubling of gas cost brings about a substantial decrease in total gasoline consumption relative to the base year, and relative to the baseline forecast.  Only the consumption of CNG increases relative to the baseline scenario as the share of these vehicles in the fleet increases and the price of CNG remains unchanged. The reduced vehicle miles of travel coupled with a shift in vehicle fleet mix (there is an increase in CNG and fully-electric vehicle share in this scenario) contributes to a substantial drop in total greenhouse gas emissions in this scenario.  The drop in greenhouse gas emissions is considerably larger in this scenario than in the free HOV lane access scenario.  This is consistent with expectations; the free HOV lane access is an incentive to use alternative fuel vehicles, but not reduce vehicle utilization.  The doubling of gas cost is an incentive to both use alternative fuel vehicles and reduce vehicle utilization (wherever a gasoline vehicle is involved).  This combination contributes to the rather large drop in emissions seen in the last row of Table 2 for this scenario.  </w:t>
      </w:r>
    </w:p>
    <w:p w:rsidR="00271D73" w:rsidRDefault="0039735D" w:rsidP="00F87F61">
      <w:pPr>
        <w:spacing w:after="0" w:line="240" w:lineRule="auto"/>
        <w:ind w:firstLine="720"/>
        <w:jc w:val="both"/>
        <w:rPr>
          <w:rFonts w:ascii="Times New Roman" w:hAnsi="Times New Roman"/>
          <w:sz w:val="24"/>
          <w:szCs w:val="24"/>
        </w:rPr>
      </w:pPr>
      <w:r>
        <w:rPr>
          <w:rFonts w:ascii="Times New Roman" w:hAnsi="Times New Roman"/>
          <w:sz w:val="24"/>
          <w:szCs w:val="24"/>
        </w:rPr>
        <w:t xml:space="preserve">The increase in driving range for CNG and fully-electric vehicles is associated with an increase in average annual household mileage and a rather stable per-vehicle average annual mileage relative to the baseline scenario.  With the elimination of range anxiety, travelers are now able to drive vehicles longer distances and this contributes to the increased mileage relative to the baseline scenario.  As the vehicle fleet mix shifts considerably with a greater share of CNG and fully-electric vehicles, the gasoline consumption drops substantially in this scenario.  Compared to the baseline scenario, gasoline consumption is lower by </w:t>
      </w:r>
      <w:r w:rsidR="00271D73">
        <w:rPr>
          <w:rFonts w:ascii="Times New Roman" w:hAnsi="Times New Roman"/>
          <w:sz w:val="24"/>
          <w:szCs w:val="24"/>
        </w:rPr>
        <w:t>about</w:t>
      </w:r>
      <w:r>
        <w:rPr>
          <w:rFonts w:ascii="Times New Roman" w:hAnsi="Times New Roman"/>
          <w:sz w:val="24"/>
          <w:szCs w:val="24"/>
        </w:rPr>
        <w:t xml:space="preserve"> </w:t>
      </w:r>
      <w:r w:rsidR="00271D73">
        <w:rPr>
          <w:rFonts w:ascii="Times New Roman" w:hAnsi="Times New Roman"/>
          <w:sz w:val="24"/>
          <w:szCs w:val="24"/>
        </w:rPr>
        <w:t>35</w:t>
      </w:r>
      <w:r>
        <w:rPr>
          <w:rFonts w:ascii="Times New Roman" w:hAnsi="Times New Roman"/>
          <w:sz w:val="24"/>
          <w:szCs w:val="24"/>
        </w:rPr>
        <w:t xml:space="preserve"> percent</w:t>
      </w:r>
      <w:r w:rsidR="00271D73">
        <w:rPr>
          <w:rFonts w:ascii="Times New Roman" w:hAnsi="Times New Roman"/>
          <w:sz w:val="24"/>
          <w:szCs w:val="24"/>
        </w:rPr>
        <w:t xml:space="preserve"> (the corresponding percent reduction in the doubling of gas cost scenario is 13.4 percent in 2030).  Similarly, the consumption of flex fuel drops substantially, while the consumption of CNG fuel increases relative to the baseline scenario.  When compared with the gas cost doubling scenario and the free HOV lane access scenario, the increased driving range scenario offers the largest decreases in greenhouse gas emissions.  </w:t>
      </w:r>
    </w:p>
    <w:p w:rsidR="00271D73" w:rsidRDefault="00271D73" w:rsidP="002165E6">
      <w:pPr>
        <w:spacing w:after="0" w:line="240" w:lineRule="auto"/>
        <w:jc w:val="both"/>
        <w:rPr>
          <w:rFonts w:ascii="Times New Roman" w:hAnsi="Times New Roman"/>
          <w:sz w:val="24"/>
          <w:szCs w:val="24"/>
        </w:rPr>
      </w:pPr>
      <w:r>
        <w:rPr>
          <w:rFonts w:ascii="Times New Roman" w:hAnsi="Times New Roman"/>
          <w:sz w:val="24"/>
          <w:szCs w:val="24"/>
        </w:rPr>
        <w:tab/>
        <w:t xml:space="preserve">As expected a combination scenario offers even greater benefits with the reductions in gasoline consumption and greenhouse gas emissions virtually equal to the sum of the reductions seen when the policy actions were implemented in isolation.  The combination scenario involves a doubling of gas cost and an increase in the driving range for CNG and fully-electric vehicles.  In the combination scenario, it is seen that mileage is fairly stable; the doubling of gas cost is compensated by the increase in driving range and the combination scenario results in mileage values rather similar to those seen in the baseline forecast scenario.  However, reductions in gasoline consumption and greenhouse gas emissions amount to nearly 50 percent in the year 2030 when compared with the baseline scenario.  </w:t>
      </w:r>
    </w:p>
    <w:p w:rsidR="00271D73" w:rsidRDefault="00271D73" w:rsidP="00271D73">
      <w:pPr>
        <w:spacing w:after="0" w:line="240" w:lineRule="auto"/>
        <w:jc w:val="both"/>
        <w:rPr>
          <w:rFonts w:ascii="Times New Roman" w:hAnsi="Times New Roman"/>
          <w:sz w:val="24"/>
          <w:szCs w:val="24"/>
        </w:rPr>
      </w:pPr>
      <w:r>
        <w:rPr>
          <w:rFonts w:ascii="Times New Roman" w:hAnsi="Times New Roman"/>
          <w:sz w:val="24"/>
          <w:szCs w:val="24"/>
        </w:rPr>
        <w:tab/>
      </w:r>
    </w:p>
    <w:p w:rsidR="00227718" w:rsidRDefault="00E46117" w:rsidP="00271D73">
      <w:pPr>
        <w:spacing w:after="0" w:line="240" w:lineRule="auto"/>
        <w:jc w:val="both"/>
        <w:rPr>
          <w:rFonts w:ascii="Times New Roman" w:hAnsi="Times New Roman"/>
          <w:b/>
          <w:sz w:val="24"/>
          <w:szCs w:val="24"/>
        </w:rPr>
      </w:pPr>
      <w:r w:rsidRPr="00DD56D3">
        <w:rPr>
          <w:rFonts w:ascii="Times New Roman" w:hAnsi="Times New Roman"/>
          <w:b/>
          <w:sz w:val="24"/>
          <w:szCs w:val="24"/>
        </w:rPr>
        <w:t>CONCLUSIONS</w:t>
      </w:r>
    </w:p>
    <w:p w:rsidR="003D5244" w:rsidRDefault="003D5244" w:rsidP="00271D73">
      <w:pPr>
        <w:spacing w:after="0" w:line="240" w:lineRule="auto"/>
        <w:jc w:val="both"/>
        <w:rPr>
          <w:rFonts w:ascii="Times New Roman" w:hAnsi="Times New Roman"/>
          <w:sz w:val="24"/>
          <w:szCs w:val="24"/>
        </w:rPr>
      </w:pPr>
      <w:r>
        <w:rPr>
          <w:rFonts w:ascii="Times New Roman" w:hAnsi="Times New Roman"/>
          <w:sz w:val="24"/>
          <w:szCs w:val="24"/>
        </w:rPr>
        <w:t xml:space="preserve">This paper describes the application of a comprehensive vehicle fleet composition and evolution model system that is capable of evolving a base year vehicle fleet in an annual time step.  The model system operates in a microsimulation framework at the level of the household and is therefore ideally suited for integration in activity-based travel demand modeling approaches.  The model takes a base year vehicle fleet of a household and then evolves the vehicles through the lifecycle events of disposal, replacement, and new vehicle acquisition.  The vehicle fleet simulation model system is coupled with a socio-economic (demographic) forecasting model </w:t>
      </w:r>
      <w:r>
        <w:rPr>
          <w:rFonts w:ascii="Times New Roman" w:hAnsi="Times New Roman"/>
          <w:sz w:val="24"/>
          <w:szCs w:val="24"/>
        </w:rPr>
        <w:lastRenderedPageBreak/>
        <w:t xml:space="preserve">system so that the population of a model region can be evolved over time, and the evolution of the vehicle fleet can reflect socio-economic shifts in the population. The various model components of the vehicle fleet evolution model system are estimated using a vehicle choice survey data set conducted by the California Energy Commission in the State of California.  </w:t>
      </w:r>
    </w:p>
    <w:p w:rsidR="00256D17" w:rsidRPr="00711E8E" w:rsidRDefault="003D5244" w:rsidP="00256D17">
      <w:pPr>
        <w:spacing w:after="0" w:line="240" w:lineRule="auto"/>
        <w:jc w:val="both"/>
        <w:rPr>
          <w:rFonts w:ascii="Times New Roman" w:hAnsi="Times New Roman"/>
          <w:sz w:val="24"/>
          <w:szCs w:val="24"/>
        </w:rPr>
      </w:pPr>
      <w:r>
        <w:rPr>
          <w:rFonts w:ascii="Times New Roman" w:hAnsi="Times New Roman"/>
          <w:sz w:val="24"/>
          <w:szCs w:val="24"/>
        </w:rPr>
        <w:tab/>
        <w:t xml:space="preserve">The vehicle fleet simulator is applied to a host of scenarios to investigate the ability of the model system to provide forecasts of vehicle fleet composition, annual fuel consumption, and greenhouse gas emissions under alternative scenarios. The population and vehicle fleet are evolved in annual time steps to the years 2020 and 2030 (starting with a base year of 2008) for the 6557 households in the survey sample. </w:t>
      </w:r>
      <w:r w:rsidR="003F0E08">
        <w:rPr>
          <w:rFonts w:ascii="Times New Roman" w:hAnsi="Times New Roman"/>
          <w:sz w:val="24"/>
          <w:szCs w:val="24"/>
        </w:rPr>
        <w:t>Based on the findings from the study, it appears that future technological innovations (increase of driving range, for example) and pricing levels (doubling of gas cost) will have greater impacts on vehicle fleet composition, utilization, energy consumption, and greenhouse gas emissions than more incentive based approaches such as free HOV lane access for alternative fuel vehicles.  Given that under some</w:t>
      </w:r>
      <w:r w:rsidR="003F0E08" w:rsidRPr="00686A78">
        <w:rPr>
          <w:rFonts w:ascii="Times New Roman" w:hAnsi="Times New Roman"/>
          <w:sz w:val="24"/>
          <w:szCs w:val="24"/>
        </w:rPr>
        <w:t xml:space="preserve"> policy scenarios, the share of electric vehicles can increase substantially, it is important to undertake more comprehensive analysis of the additional burden that this shift would put on the e</w:t>
      </w:r>
      <w:r w:rsidR="003F0E08">
        <w:rPr>
          <w:rFonts w:ascii="Times New Roman" w:hAnsi="Times New Roman"/>
          <w:sz w:val="24"/>
          <w:szCs w:val="24"/>
        </w:rPr>
        <w:t>lectricity infrastructure of a</w:t>
      </w:r>
      <w:r w:rsidR="003F0E08" w:rsidRPr="00686A78">
        <w:rPr>
          <w:rFonts w:ascii="Times New Roman" w:hAnsi="Times New Roman"/>
          <w:sz w:val="24"/>
          <w:szCs w:val="24"/>
        </w:rPr>
        <w:t xml:space="preserve"> region. Also, innovative strategies to meet the demand must be explored to facilitate this impending transition towards electric vehicles </w:t>
      </w:r>
      <w:r w:rsidR="003F0E08" w:rsidRPr="00711E8E">
        <w:rPr>
          <w:rFonts w:ascii="Times New Roman" w:hAnsi="Times New Roman"/>
          <w:sz w:val="24"/>
          <w:szCs w:val="24"/>
        </w:rPr>
        <w:t>(</w:t>
      </w:r>
      <w:r w:rsidR="00DA2A7A" w:rsidRPr="00711E8E">
        <w:rPr>
          <w:rFonts w:ascii="Times New Roman" w:hAnsi="Times New Roman"/>
          <w:i/>
          <w:sz w:val="24"/>
          <w:szCs w:val="24"/>
        </w:rPr>
        <w:t>15</w:t>
      </w:r>
      <w:r w:rsidR="003F0E08" w:rsidRPr="00711E8E">
        <w:rPr>
          <w:rFonts w:ascii="Times New Roman" w:hAnsi="Times New Roman"/>
          <w:sz w:val="24"/>
          <w:szCs w:val="24"/>
        </w:rPr>
        <w:t xml:space="preserve">).  </w:t>
      </w:r>
      <w:r w:rsidR="008D197A" w:rsidRPr="00711E8E">
        <w:rPr>
          <w:rFonts w:ascii="Times New Roman" w:hAnsi="Times New Roman"/>
          <w:sz w:val="24"/>
          <w:szCs w:val="24"/>
        </w:rPr>
        <w:t xml:space="preserve">Also, </w:t>
      </w:r>
      <w:r w:rsidR="003F0E08" w:rsidRPr="00711E8E">
        <w:rPr>
          <w:rFonts w:ascii="Times New Roman" w:hAnsi="Times New Roman"/>
          <w:sz w:val="24"/>
          <w:szCs w:val="24"/>
        </w:rPr>
        <w:t xml:space="preserve">this study and the model system it utilizes </w:t>
      </w:r>
      <w:r w:rsidR="001D1BA6" w:rsidRPr="00711E8E">
        <w:rPr>
          <w:rFonts w:ascii="Times New Roman" w:hAnsi="Times New Roman"/>
          <w:sz w:val="24"/>
          <w:szCs w:val="24"/>
        </w:rPr>
        <w:t>focus only on the emissions associated with vehicle operation</w:t>
      </w:r>
      <w:r w:rsidR="008D197A" w:rsidRPr="00711E8E">
        <w:rPr>
          <w:rFonts w:ascii="Times New Roman" w:hAnsi="Times New Roman"/>
          <w:sz w:val="24"/>
          <w:szCs w:val="24"/>
        </w:rPr>
        <w:t xml:space="preserve">. </w:t>
      </w:r>
      <w:r w:rsidR="003F0E08" w:rsidRPr="00711E8E">
        <w:rPr>
          <w:rFonts w:ascii="Times New Roman" w:hAnsi="Times New Roman"/>
          <w:sz w:val="24"/>
          <w:szCs w:val="24"/>
        </w:rPr>
        <w:t>However,</w:t>
      </w:r>
      <w:r w:rsidR="008D197A" w:rsidRPr="00711E8E">
        <w:rPr>
          <w:rFonts w:ascii="Times New Roman" w:hAnsi="Times New Roman"/>
          <w:sz w:val="24"/>
          <w:szCs w:val="24"/>
        </w:rPr>
        <w:t xml:space="preserve"> although fully electric vehicles produce zero emissions while in operation, there are some emissions associated with the car manufacturing</w:t>
      </w:r>
      <w:r w:rsidR="002843C8" w:rsidRPr="00711E8E">
        <w:rPr>
          <w:rFonts w:ascii="Times New Roman" w:hAnsi="Times New Roman"/>
          <w:sz w:val="24"/>
          <w:szCs w:val="24"/>
        </w:rPr>
        <w:t xml:space="preserve"> </w:t>
      </w:r>
      <w:r w:rsidR="003F0E08" w:rsidRPr="00711E8E">
        <w:rPr>
          <w:rFonts w:ascii="Times New Roman" w:hAnsi="Times New Roman"/>
          <w:sz w:val="24"/>
          <w:szCs w:val="24"/>
        </w:rPr>
        <w:t xml:space="preserve">and </w:t>
      </w:r>
      <w:r w:rsidR="008D197A" w:rsidRPr="00711E8E">
        <w:rPr>
          <w:rFonts w:ascii="Times New Roman" w:hAnsi="Times New Roman"/>
          <w:sz w:val="24"/>
          <w:szCs w:val="24"/>
        </w:rPr>
        <w:t>electricity generation</w:t>
      </w:r>
      <w:r w:rsidR="003F0E08" w:rsidRPr="00711E8E">
        <w:rPr>
          <w:rFonts w:ascii="Times New Roman" w:hAnsi="Times New Roman"/>
          <w:sz w:val="24"/>
          <w:szCs w:val="24"/>
        </w:rPr>
        <w:t xml:space="preserve"> processes</w:t>
      </w:r>
      <w:r w:rsidR="008D197A" w:rsidRPr="00711E8E">
        <w:rPr>
          <w:rFonts w:ascii="Times New Roman" w:hAnsi="Times New Roman"/>
          <w:sz w:val="24"/>
          <w:szCs w:val="24"/>
        </w:rPr>
        <w:t>. A more comprehensive well-to-wheel analysis is needed to understand the overall impact of these policies on the environment</w:t>
      </w:r>
      <w:r w:rsidR="008D07B7" w:rsidRPr="00711E8E">
        <w:rPr>
          <w:rFonts w:ascii="Times New Roman" w:hAnsi="Times New Roman"/>
          <w:sz w:val="24"/>
          <w:szCs w:val="24"/>
        </w:rPr>
        <w:t xml:space="preserve"> (</w:t>
      </w:r>
      <w:r w:rsidR="00DA2A7A" w:rsidRPr="00711E8E">
        <w:rPr>
          <w:rFonts w:ascii="Times New Roman" w:hAnsi="Times New Roman"/>
          <w:i/>
          <w:sz w:val="24"/>
          <w:szCs w:val="24"/>
        </w:rPr>
        <w:t>16</w:t>
      </w:r>
      <w:r w:rsidR="008D07B7" w:rsidRPr="00711E8E">
        <w:rPr>
          <w:rFonts w:ascii="Times New Roman" w:hAnsi="Times New Roman"/>
          <w:sz w:val="24"/>
          <w:szCs w:val="24"/>
        </w:rPr>
        <w:t>)</w:t>
      </w:r>
      <w:r w:rsidR="008D197A" w:rsidRPr="00711E8E">
        <w:rPr>
          <w:rFonts w:ascii="Times New Roman" w:hAnsi="Times New Roman"/>
          <w:sz w:val="24"/>
          <w:szCs w:val="24"/>
        </w:rPr>
        <w:t>.</w:t>
      </w:r>
      <w:r w:rsidR="00444168" w:rsidRPr="00711E8E">
        <w:rPr>
          <w:rFonts w:ascii="Times New Roman" w:hAnsi="Times New Roman"/>
          <w:sz w:val="24"/>
          <w:szCs w:val="24"/>
        </w:rPr>
        <w:t xml:space="preserve">  This study did not explicitly consider vehicle purchase price related scenarios, but the model system is fully capable of analyzing such scenarios.  As there may be federal subsidies and tax rebates associated with the purchase of certain vehicle types, the model system may be applied to the analysis of such policies and purchase price scenarios.  Such an exercise remains a task for future research. </w:t>
      </w:r>
      <w:r w:rsidR="00256D17" w:rsidRPr="00711E8E">
        <w:rPr>
          <w:rFonts w:ascii="Times New Roman" w:hAnsi="Times New Roman"/>
          <w:b/>
          <w:iCs/>
          <w:sz w:val="24"/>
          <w:szCs w:val="24"/>
        </w:rPr>
        <w:br w:type="page"/>
      </w:r>
    </w:p>
    <w:p w:rsidR="00227718" w:rsidRPr="0091335E" w:rsidRDefault="00227718" w:rsidP="003F0E08">
      <w:pPr>
        <w:autoSpaceDE w:val="0"/>
        <w:autoSpaceDN w:val="0"/>
        <w:adjustRightInd w:val="0"/>
        <w:spacing w:after="0" w:line="240" w:lineRule="auto"/>
        <w:rPr>
          <w:rFonts w:ascii="Times New Roman" w:hAnsi="Times New Roman"/>
          <w:b/>
          <w:iCs/>
          <w:sz w:val="24"/>
          <w:szCs w:val="24"/>
        </w:rPr>
      </w:pPr>
      <w:r w:rsidRPr="0091335E">
        <w:rPr>
          <w:rFonts w:ascii="Times New Roman" w:hAnsi="Times New Roman"/>
          <w:b/>
          <w:iCs/>
          <w:sz w:val="24"/>
          <w:szCs w:val="24"/>
        </w:rPr>
        <w:lastRenderedPageBreak/>
        <w:t>REFERENCES</w:t>
      </w:r>
    </w:p>
    <w:p w:rsidR="00DA2A7A" w:rsidRPr="00711E8E" w:rsidRDefault="00711E8E" w:rsidP="00DA2A7A">
      <w:pPr>
        <w:pStyle w:val="NormalWeb"/>
        <w:numPr>
          <w:ilvl w:val="0"/>
          <w:numId w:val="18"/>
        </w:numPr>
        <w:spacing w:before="0" w:beforeAutospacing="0" w:after="0" w:afterAutospacing="0"/>
        <w:ind w:left="360"/>
        <w:contextualSpacing/>
        <w:jc w:val="both"/>
      </w:pPr>
      <w:r>
        <w:t>Bhat, C.R., and S. Sen.</w:t>
      </w:r>
      <w:r w:rsidR="00DA2A7A" w:rsidRPr="00711E8E">
        <w:t xml:space="preserve"> Household </w:t>
      </w:r>
      <w:r w:rsidR="00A770EF">
        <w:t>V</w:t>
      </w:r>
      <w:r w:rsidR="00DA2A7A" w:rsidRPr="00711E8E">
        <w:t xml:space="preserve">ehicle </w:t>
      </w:r>
      <w:r w:rsidR="00A770EF">
        <w:t>T</w:t>
      </w:r>
      <w:r w:rsidR="00DA2A7A" w:rsidRPr="00711E8E">
        <w:t xml:space="preserve">ype </w:t>
      </w:r>
      <w:r w:rsidR="00A770EF">
        <w:t>H</w:t>
      </w:r>
      <w:r w:rsidR="00DA2A7A" w:rsidRPr="00711E8E">
        <w:t xml:space="preserve">oldings and </w:t>
      </w:r>
      <w:r w:rsidR="00A770EF">
        <w:t>U</w:t>
      </w:r>
      <w:r w:rsidR="00DA2A7A" w:rsidRPr="00711E8E">
        <w:t xml:space="preserve">sage: </w:t>
      </w:r>
      <w:r w:rsidR="00A770EF">
        <w:t>A</w:t>
      </w:r>
      <w:r w:rsidR="00DA2A7A" w:rsidRPr="00711E8E">
        <w:t xml:space="preserve">n </w:t>
      </w:r>
      <w:r w:rsidR="00A770EF">
        <w:t>A</w:t>
      </w:r>
      <w:r w:rsidR="00DA2A7A" w:rsidRPr="00711E8E">
        <w:t xml:space="preserve">pplication of the </w:t>
      </w:r>
      <w:r w:rsidR="00A770EF">
        <w:t>M</w:t>
      </w:r>
      <w:r w:rsidR="00DA2A7A" w:rsidRPr="00711E8E">
        <w:t xml:space="preserve">ultiple </w:t>
      </w:r>
      <w:r w:rsidR="00A770EF">
        <w:t>D</w:t>
      </w:r>
      <w:r w:rsidR="00DA2A7A" w:rsidRPr="00711E8E">
        <w:t>iscrete-</w:t>
      </w:r>
      <w:r w:rsidR="00A770EF">
        <w:t>C</w:t>
      </w:r>
      <w:r w:rsidR="00DA2A7A" w:rsidRPr="00711E8E">
        <w:t xml:space="preserve">ontinuous </w:t>
      </w:r>
      <w:r w:rsidR="00A770EF">
        <w:t>E</w:t>
      </w:r>
      <w:r w:rsidR="00DA2A7A" w:rsidRPr="00711E8E">
        <w:t xml:space="preserve">xtreme </w:t>
      </w:r>
      <w:r w:rsidR="00A770EF">
        <w:t>V</w:t>
      </w:r>
      <w:r w:rsidR="00DA2A7A" w:rsidRPr="00711E8E">
        <w:t xml:space="preserve">alue (MDCEV) </w:t>
      </w:r>
      <w:r w:rsidR="00A770EF">
        <w:t>M</w:t>
      </w:r>
      <w:r w:rsidR="00DA2A7A" w:rsidRPr="00711E8E">
        <w:t xml:space="preserve">odel. </w:t>
      </w:r>
      <w:r w:rsidR="00DA2A7A" w:rsidRPr="00711E8E">
        <w:rPr>
          <w:i/>
        </w:rPr>
        <w:t>Transportation Research Part B</w:t>
      </w:r>
      <w:r w:rsidR="00DA2A7A" w:rsidRPr="00711E8E">
        <w:t xml:space="preserve">, </w:t>
      </w:r>
      <w:r>
        <w:t>Vol. 40, No. 1</w:t>
      </w:r>
      <w:r w:rsidR="00DA2A7A" w:rsidRPr="00711E8E">
        <w:t>, 2006, pp. 35-53.</w:t>
      </w:r>
    </w:p>
    <w:p w:rsidR="00DA2A7A" w:rsidRPr="00711E8E" w:rsidRDefault="00DA2A7A" w:rsidP="00DA2A7A">
      <w:pPr>
        <w:pStyle w:val="NormalWeb"/>
        <w:numPr>
          <w:ilvl w:val="0"/>
          <w:numId w:val="18"/>
        </w:numPr>
        <w:spacing w:before="0" w:beforeAutospacing="0" w:after="0" w:afterAutospacing="0"/>
        <w:ind w:left="360"/>
        <w:contextualSpacing/>
        <w:jc w:val="both"/>
      </w:pPr>
      <w:r w:rsidRPr="00711E8E">
        <w:t xml:space="preserve">Bhat, C.R., S. Sen, and N. Eluru. </w:t>
      </w:r>
      <w:r w:rsidRPr="00711E8E">
        <w:rPr>
          <w:bCs/>
        </w:rPr>
        <w:t xml:space="preserve">The </w:t>
      </w:r>
      <w:r w:rsidR="00A770EF">
        <w:rPr>
          <w:bCs/>
        </w:rPr>
        <w:t>I</w:t>
      </w:r>
      <w:r w:rsidRPr="00711E8E">
        <w:rPr>
          <w:bCs/>
        </w:rPr>
        <w:t xml:space="preserve">mpact of </w:t>
      </w:r>
      <w:r w:rsidR="00A770EF">
        <w:rPr>
          <w:bCs/>
        </w:rPr>
        <w:t>D</w:t>
      </w:r>
      <w:r w:rsidRPr="00711E8E">
        <w:rPr>
          <w:bCs/>
        </w:rPr>
        <w:t xml:space="preserve">emographics, </w:t>
      </w:r>
      <w:r w:rsidR="00A770EF">
        <w:rPr>
          <w:bCs/>
        </w:rPr>
        <w:t>B</w:t>
      </w:r>
      <w:r w:rsidRPr="00711E8E">
        <w:rPr>
          <w:bCs/>
        </w:rPr>
        <w:t xml:space="preserve">uilt </w:t>
      </w:r>
      <w:r w:rsidR="00A770EF">
        <w:rPr>
          <w:bCs/>
        </w:rPr>
        <w:t>E</w:t>
      </w:r>
      <w:r w:rsidRPr="00711E8E">
        <w:rPr>
          <w:bCs/>
        </w:rPr>
        <w:t xml:space="preserve">nvironment </w:t>
      </w:r>
      <w:r w:rsidR="00A770EF">
        <w:rPr>
          <w:bCs/>
        </w:rPr>
        <w:t>A</w:t>
      </w:r>
      <w:r w:rsidRPr="00711E8E">
        <w:rPr>
          <w:bCs/>
        </w:rPr>
        <w:t xml:space="preserve">ttributes, </w:t>
      </w:r>
      <w:r w:rsidR="00A770EF">
        <w:rPr>
          <w:bCs/>
        </w:rPr>
        <w:t>V</w:t>
      </w:r>
      <w:r w:rsidRPr="00711E8E">
        <w:rPr>
          <w:bCs/>
        </w:rPr>
        <w:t xml:space="preserve">ehicle </w:t>
      </w:r>
      <w:r w:rsidR="00A770EF">
        <w:rPr>
          <w:bCs/>
        </w:rPr>
        <w:t>C</w:t>
      </w:r>
      <w:r w:rsidRPr="00711E8E">
        <w:rPr>
          <w:bCs/>
        </w:rPr>
        <w:t xml:space="preserve">haracteristics, and </w:t>
      </w:r>
      <w:r w:rsidR="00A770EF">
        <w:rPr>
          <w:bCs/>
        </w:rPr>
        <w:t>G</w:t>
      </w:r>
      <w:r w:rsidRPr="00711E8E">
        <w:rPr>
          <w:bCs/>
        </w:rPr>
        <w:t xml:space="preserve">asoline </w:t>
      </w:r>
      <w:r w:rsidR="00A770EF">
        <w:rPr>
          <w:bCs/>
        </w:rPr>
        <w:t>P</w:t>
      </w:r>
      <w:r w:rsidRPr="00711E8E">
        <w:rPr>
          <w:bCs/>
        </w:rPr>
        <w:t xml:space="preserve">rices on </w:t>
      </w:r>
      <w:r w:rsidR="00A770EF">
        <w:rPr>
          <w:bCs/>
        </w:rPr>
        <w:t>H</w:t>
      </w:r>
      <w:r w:rsidRPr="00711E8E">
        <w:rPr>
          <w:bCs/>
        </w:rPr>
        <w:t xml:space="preserve">ousehold </w:t>
      </w:r>
      <w:r w:rsidR="00A770EF">
        <w:rPr>
          <w:bCs/>
        </w:rPr>
        <w:t>V</w:t>
      </w:r>
      <w:r w:rsidRPr="00711E8E">
        <w:rPr>
          <w:bCs/>
        </w:rPr>
        <w:t xml:space="preserve">ehicle </w:t>
      </w:r>
      <w:r w:rsidR="00A770EF">
        <w:rPr>
          <w:bCs/>
        </w:rPr>
        <w:t>H</w:t>
      </w:r>
      <w:r w:rsidRPr="00711E8E">
        <w:rPr>
          <w:bCs/>
        </w:rPr>
        <w:t xml:space="preserve">oldings and </w:t>
      </w:r>
      <w:r w:rsidR="00A770EF">
        <w:rPr>
          <w:bCs/>
        </w:rPr>
        <w:t>U</w:t>
      </w:r>
      <w:r w:rsidRPr="00711E8E">
        <w:rPr>
          <w:bCs/>
        </w:rPr>
        <w:t>se</w:t>
      </w:r>
      <w:r w:rsidRPr="00711E8E">
        <w:t xml:space="preserve">. </w:t>
      </w:r>
      <w:r w:rsidRPr="00711E8E">
        <w:rPr>
          <w:i/>
          <w:iCs/>
        </w:rPr>
        <w:t>Transportation Research Part B</w:t>
      </w:r>
      <w:r w:rsidRPr="00711E8E">
        <w:t xml:space="preserve">, </w:t>
      </w:r>
      <w:r w:rsidR="00711E8E">
        <w:t>Vol. 43, No. 1</w:t>
      </w:r>
      <w:r w:rsidRPr="00711E8E">
        <w:t>, 2009, pp. 1-18.</w:t>
      </w:r>
    </w:p>
    <w:p w:rsidR="00DA2A7A" w:rsidRPr="00711E8E"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sz w:val="24"/>
          <w:szCs w:val="24"/>
        </w:rPr>
        <w:t>Goulias, K.G., C.R. Bhat,  R.M. Pendyala, Y. Chen, R. Paleti, K.C. Konduri, T. Lei, D. Tang, S.Y. Yoon, G. Huang, and H-H. Hu. Simulator of Activities, Greenhouse Emissions, Networks, and Travel (</w:t>
      </w:r>
      <w:proofErr w:type="spellStart"/>
      <w:r w:rsidR="00A770EF">
        <w:rPr>
          <w:rFonts w:ascii="Times New Roman" w:hAnsi="Times New Roman"/>
          <w:sz w:val="24"/>
          <w:szCs w:val="24"/>
        </w:rPr>
        <w:t>SimAGENT</w:t>
      </w:r>
      <w:proofErr w:type="spellEnd"/>
      <w:r w:rsidR="00A770EF">
        <w:rPr>
          <w:rFonts w:ascii="Times New Roman" w:hAnsi="Times New Roman"/>
          <w:sz w:val="24"/>
          <w:szCs w:val="24"/>
        </w:rPr>
        <w:t xml:space="preserve">) in Southern </w:t>
      </w:r>
      <w:proofErr w:type="spellStart"/>
      <w:r w:rsidR="00A770EF">
        <w:rPr>
          <w:rFonts w:ascii="Times New Roman" w:hAnsi="Times New Roman"/>
          <w:sz w:val="24"/>
          <w:szCs w:val="24"/>
        </w:rPr>
        <w:t>Californi</w:t>
      </w:r>
      <w:proofErr w:type="spellEnd"/>
      <w:r w:rsidR="00A770EF">
        <w:rPr>
          <w:rFonts w:ascii="Times New Roman" w:hAnsi="Times New Roman"/>
          <w:sz w:val="24"/>
          <w:szCs w:val="24"/>
        </w:rPr>
        <w:t>.</w:t>
      </w:r>
      <w:r w:rsidRPr="00711E8E">
        <w:rPr>
          <w:rFonts w:ascii="Times New Roman" w:hAnsi="Times New Roman"/>
          <w:sz w:val="24"/>
          <w:szCs w:val="24"/>
        </w:rPr>
        <w:t>, Proceedings of the 91st Annual Meeting of the Transportation Research Board, Washington D.C., January, 2012.</w:t>
      </w:r>
    </w:p>
    <w:p w:rsidR="00DA2A7A" w:rsidRPr="00711E8E" w:rsidRDefault="00DA2A7A" w:rsidP="00DA2A7A">
      <w:pPr>
        <w:pStyle w:val="ListParagraph"/>
        <w:numPr>
          <w:ilvl w:val="0"/>
          <w:numId w:val="18"/>
        </w:numPr>
        <w:spacing w:after="0" w:line="240" w:lineRule="auto"/>
        <w:ind w:left="360"/>
        <w:jc w:val="both"/>
        <w:rPr>
          <w:rFonts w:ascii="Times New Roman" w:hAnsi="Times New Roman"/>
          <w:i/>
          <w:iCs/>
          <w:sz w:val="24"/>
          <w:szCs w:val="24"/>
        </w:rPr>
      </w:pPr>
      <w:r w:rsidRPr="00711E8E">
        <w:rPr>
          <w:rFonts w:ascii="Times New Roman" w:hAnsi="Times New Roman"/>
          <w:sz w:val="24"/>
          <w:szCs w:val="24"/>
        </w:rPr>
        <w:t>Paleti, R., N. Eluru, C.R. Bhat, R.M. Pendyala, T.J. Adler, and K.G. Goulias. T</w:t>
      </w:r>
      <w:r w:rsidRPr="00711E8E">
        <w:rPr>
          <w:rFonts w:ascii="Times New Roman" w:hAnsi="Times New Roman"/>
          <w:bCs/>
          <w:sz w:val="24"/>
          <w:szCs w:val="24"/>
        </w:rPr>
        <w:t xml:space="preserve">he </w:t>
      </w:r>
      <w:r w:rsidR="00A770EF">
        <w:rPr>
          <w:rFonts w:ascii="Times New Roman" w:hAnsi="Times New Roman"/>
          <w:bCs/>
          <w:sz w:val="24"/>
          <w:szCs w:val="24"/>
        </w:rPr>
        <w:t>D</w:t>
      </w:r>
      <w:r w:rsidRPr="00711E8E">
        <w:rPr>
          <w:rFonts w:ascii="Times New Roman" w:hAnsi="Times New Roman"/>
          <w:bCs/>
          <w:sz w:val="24"/>
          <w:szCs w:val="24"/>
        </w:rPr>
        <w:t xml:space="preserve">esign of a </w:t>
      </w:r>
      <w:r w:rsidR="00A770EF">
        <w:rPr>
          <w:rFonts w:ascii="Times New Roman" w:hAnsi="Times New Roman"/>
          <w:bCs/>
          <w:sz w:val="24"/>
          <w:szCs w:val="24"/>
        </w:rPr>
        <w:t>C</w:t>
      </w:r>
      <w:r w:rsidRPr="00711E8E">
        <w:rPr>
          <w:rFonts w:ascii="Times New Roman" w:hAnsi="Times New Roman"/>
          <w:bCs/>
          <w:sz w:val="24"/>
          <w:szCs w:val="24"/>
        </w:rPr>
        <w:t xml:space="preserve">omprehensive </w:t>
      </w:r>
      <w:proofErr w:type="spellStart"/>
      <w:r w:rsidR="00A770EF">
        <w:rPr>
          <w:rFonts w:ascii="Times New Roman" w:hAnsi="Times New Roman"/>
          <w:bCs/>
          <w:sz w:val="24"/>
          <w:szCs w:val="24"/>
        </w:rPr>
        <w:t>M</w:t>
      </w:r>
      <w:r w:rsidRPr="00711E8E">
        <w:rPr>
          <w:rFonts w:ascii="Times New Roman" w:hAnsi="Times New Roman"/>
          <w:bCs/>
          <w:sz w:val="24"/>
          <w:szCs w:val="24"/>
        </w:rPr>
        <w:t>icrosimulator</w:t>
      </w:r>
      <w:proofErr w:type="spellEnd"/>
      <w:r w:rsidRPr="00711E8E">
        <w:rPr>
          <w:rFonts w:ascii="Times New Roman" w:hAnsi="Times New Roman"/>
          <w:bCs/>
          <w:sz w:val="24"/>
          <w:szCs w:val="24"/>
        </w:rPr>
        <w:t xml:space="preserve"> of </w:t>
      </w:r>
      <w:r w:rsidR="00A770EF">
        <w:rPr>
          <w:rFonts w:ascii="Times New Roman" w:hAnsi="Times New Roman"/>
          <w:bCs/>
          <w:sz w:val="24"/>
          <w:szCs w:val="24"/>
        </w:rPr>
        <w:t>H</w:t>
      </w:r>
      <w:r w:rsidRPr="00711E8E">
        <w:rPr>
          <w:rFonts w:ascii="Times New Roman" w:hAnsi="Times New Roman"/>
          <w:bCs/>
          <w:sz w:val="24"/>
          <w:szCs w:val="24"/>
        </w:rPr>
        <w:t xml:space="preserve">ousehold </w:t>
      </w:r>
      <w:r w:rsidR="00A770EF">
        <w:rPr>
          <w:rFonts w:ascii="Times New Roman" w:hAnsi="Times New Roman"/>
          <w:bCs/>
          <w:sz w:val="24"/>
          <w:szCs w:val="24"/>
        </w:rPr>
        <w:t>V</w:t>
      </w:r>
      <w:r w:rsidRPr="00711E8E">
        <w:rPr>
          <w:rFonts w:ascii="Times New Roman" w:hAnsi="Times New Roman"/>
          <w:bCs/>
          <w:sz w:val="24"/>
          <w:szCs w:val="24"/>
        </w:rPr>
        <w:t xml:space="preserve">ehicle </w:t>
      </w:r>
      <w:r w:rsidR="00A770EF">
        <w:rPr>
          <w:rFonts w:ascii="Times New Roman" w:hAnsi="Times New Roman"/>
          <w:bCs/>
          <w:sz w:val="24"/>
          <w:szCs w:val="24"/>
        </w:rPr>
        <w:t>F</w:t>
      </w:r>
      <w:r w:rsidRPr="00711E8E">
        <w:rPr>
          <w:rFonts w:ascii="Times New Roman" w:hAnsi="Times New Roman"/>
          <w:bCs/>
          <w:sz w:val="24"/>
          <w:szCs w:val="24"/>
        </w:rPr>
        <w:t xml:space="preserve">leet </w:t>
      </w:r>
      <w:r w:rsidR="00A770EF">
        <w:rPr>
          <w:rFonts w:ascii="Times New Roman" w:hAnsi="Times New Roman"/>
          <w:bCs/>
          <w:sz w:val="24"/>
          <w:szCs w:val="24"/>
        </w:rPr>
        <w:t>C</w:t>
      </w:r>
      <w:r w:rsidRPr="00711E8E">
        <w:rPr>
          <w:rFonts w:ascii="Times New Roman" w:hAnsi="Times New Roman"/>
          <w:bCs/>
          <w:sz w:val="24"/>
          <w:szCs w:val="24"/>
        </w:rPr>
        <w:t xml:space="preserve">omposition, </w:t>
      </w:r>
      <w:r w:rsidR="00A770EF">
        <w:rPr>
          <w:rFonts w:ascii="Times New Roman" w:hAnsi="Times New Roman"/>
          <w:bCs/>
          <w:sz w:val="24"/>
          <w:szCs w:val="24"/>
        </w:rPr>
        <w:t>U</w:t>
      </w:r>
      <w:r w:rsidRPr="00711E8E">
        <w:rPr>
          <w:rFonts w:ascii="Times New Roman" w:hAnsi="Times New Roman"/>
          <w:bCs/>
          <w:sz w:val="24"/>
          <w:szCs w:val="24"/>
        </w:rPr>
        <w:t xml:space="preserve">tilization, and </w:t>
      </w:r>
      <w:r w:rsidR="00A770EF">
        <w:rPr>
          <w:rFonts w:ascii="Times New Roman" w:hAnsi="Times New Roman"/>
          <w:bCs/>
          <w:sz w:val="24"/>
          <w:szCs w:val="24"/>
        </w:rPr>
        <w:t>E</w:t>
      </w:r>
      <w:r w:rsidRPr="00711E8E">
        <w:rPr>
          <w:rFonts w:ascii="Times New Roman" w:hAnsi="Times New Roman"/>
          <w:bCs/>
          <w:sz w:val="24"/>
          <w:szCs w:val="24"/>
        </w:rPr>
        <w:t>volution.</w:t>
      </w:r>
      <w:r w:rsidRPr="00711E8E">
        <w:rPr>
          <w:rFonts w:ascii="Times New Roman" w:hAnsi="Times New Roman"/>
          <w:sz w:val="24"/>
          <w:szCs w:val="24"/>
        </w:rPr>
        <w:t xml:space="preserve"> </w:t>
      </w:r>
      <w:r w:rsidR="00A770EF">
        <w:rPr>
          <w:rFonts w:ascii="Times New Roman" w:hAnsi="Times New Roman"/>
          <w:sz w:val="24"/>
          <w:szCs w:val="24"/>
        </w:rPr>
        <w:t xml:space="preserve">In </w:t>
      </w:r>
      <w:r w:rsidRPr="00711E8E">
        <w:rPr>
          <w:rFonts w:ascii="Times New Roman" w:hAnsi="Times New Roman"/>
          <w:i/>
          <w:sz w:val="24"/>
          <w:szCs w:val="24"/>
        </w:rPr>
        <w:t>Transportation Research Record</w:t>
      </w:r>
      <w:r w:rsidR="00A770EF">
        <w:rPr>
          <w:rFonts w:ascii="Times New Roman" w:hAnsi="Times New Roman"/>
          <w:i/>
          <w:sz w:val="24"/>
          <w:szCs w:val="24"/>
        </w:rPr>
        <w:t>: Journal of the Transportation Research Board, No.</w:t>
      </w:r>
      <w:r w:rsidRPr="00711E8E">
        <w:rPr>
          <w:rFonts w:ascii="Times New Roman" w:hAnsi="Times New Roman"/>
          <w:sz w:val="24"/>
          <w:szCs w:val="24"/>
        </w:rPr>
        <w:t xml:space="preserve"> </w:t>
      </w:r>
      <w:r w:rsidRPr="00A770EF">
        <w:rPr>
          <w:rFonts w:ascii="Times New Roman" w:hAnsi="Times New Roman"/>
          <w:i/>
          <w:sz w:val="24"/>
          <w:szCs w:val="24"/>
        </w:rPr>
        <w:t>2254</w:t>
      </w:r>
      <w:r w:rsidRPr="00711E8E">
        <w:rPr>
          <w:rFonts w:ascii="Times New Roman" w:hAnsi="Times New Roman"/>
          <w:sz w:val="24"/>
          <w:szCs w:val="24"/>
        </w:rPr>
        <w:t>,</w:t>
      </w:r>
      <w:r w:rsidR="00A770EF" w:rsidRPr="00A770EF">
        <w:rPr>
          <w:rFonts w:ascii="Times New Roman" w:hAnsi="Times New Roman"/>
          <w:i/>
          <w:sz w:val="24"/>
          <w:szCs w:val="24"/>
        </w:rPr>
        <w:t xml:space="preserve"> </w:t>
      </w:r>
      <w:r w:rsidR="00A770EF" w:rsidRPr="00A770EF">
        <w:rPr>
          <w:rFonts w:ascii="Times New Roman" w:hAnsi="Times New Roman"/>
          <w:sz w:val="24"/>
          <w:szCs w:val="24"/>
        </w:rPr>
        <w:t>Transportation Research Board</w:t>
      </w:r>
      <w:r w:rsidR="00A770EF">
        <w:rPr>
          <w:rFonts w:ascii="Times New Roman" w:hAnsi="Times New Roman"/>
          <w:sz w:val="24"/>
          <w:szCs w:val="24"/>
        </w:rPr>
        <w:t xml:space="preserve"> of the National Academies, Washington, D.C.,</w:t>
      </w:r>
      <w:r w:rsidRPr="00711E8E">
        <w:rPr>
          <w:rFonts w:ascii="Times New Roman" w:hAnsi="Times New Roman"/>
          <w:sz w:val="24"/>
          <w:szCs w:val="24"/>
        </w:rPr>
        <w:t xml:space="preserve"> 2011, pp. 44-57</w:t>
      </w:r>
      <w:r w:rsidRPr="00711E8E">
        <w:rPr>
          <w:rFonts w:ascii="Times New Roman" w:hAnsi="Times New Roman"/>
          <w:i/>
          <w:iCs/>
          <w:sz w:val="24"/>
          <w:szCs w:val="24"/>
        </w:rPr>
        <w:t>.</w:t>
      </w:r>
    </w:p>
    <w:p w:rsidR="00DA2A7A" w:rsidRPr="00CB0D16" w:rsidRDefault="00DA2A7A" w:rsidP="00DA2A7A">
      <w:pPr>
        <w:pStyle w:val="NormalWeb"/>
        <w:numPr>
          <w:ilvl w:val="0"/>
          <w:numId w:val="18"/>
        </w:numPr>
        <w:spacing w:before="0" w:beforeAutospacing="0" w:after="0" w:afterAutospacing="0"/>
        <w:ind w:left="360"/>
        <w:contextualSpacing/>
        <w:jc w:val="both"/>
      </w:pPr>
      <w:r w:rsidRPr="00711E8E">
        <w:t>Clayton, A. California Greenhouse Gas Reduction – AB32 and SB375: An Overview of Recent Legislation.  Center for Geographic Information Science Research, California Polytechnic University, Pomona, CA, 2009.</w:t>
      </w:r>
      <w:r w:rsidRPr="008D5FAE">
        <w:rPr>
          <w:color w:val="00B050"/>
        </w:rPr>
        <w:t xml:space="preserve"> </w:t>
      </w:r>
      <w:r w:rsidRPr="00CB0D16">
        <w:t xml:space="preserve">Available at </w:t>
      </w:r>
      <w:hyperlink r:id="rId33" w:history="1">
        <w:r w:rsidRPr="00CB0D16">
          <w:rPr>
            <w:rStyle w:val="Hyperlink"/>
          </w:rPr>
          <w:t>http://leonard.csusb.edu/outreach/documents/FINAL_GHGReductionOverview-AB32_SB375_ARC.pdf</w:t>
        </w:r>
      </w:hyperlink>
      <w:r w:rsidRPr="00CB0D16">
        <w:t xml:space="preserve">, accessed July 31, 2013. </w:t>
      </w:r>
    </w:p>
    <w:p w:rsidR="00DA2A7A" w:rsidRPr="00711E8E"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sz w:val="24"/>
          <w:szCs w:val="24"/>
        </w:rPr>
        <w:t xml:space="preserve">Pendyala, R.M., C.R. Bhat, K.G. Goulias, R. Paleti, K.C. Konduri, R. Sidharthan, H. Hu, G. </w:t>
      </w:r>
      <w:proofErr w:type="spellStart"/>
      <w:r w:rsidRPr="00711E8E">
        <w:rPr>
          <w:rFonts w:ascii="Times New Roman" w:hAnsi="Times New Roman"/>
          <w:sz w:val="24"/>
          <w:szCs w:val="24"/>
        </w:rPr>
        <w:t>Huan</w:t>
      </w:r>
      <w:proofErr w:type="spellEnd"/>
      <w:r w:rsidRPr="00711E8E">
        <w:rPr>
          <w:rFonts w:ascii="Times New Roman" w:hAnsi="Times New Roman"/>
          <w:sz w:val="24"/>
          <w:szCs w:val="24"/>
        </w:rPr>
        <w:t xml:space="preserve">, K.P. Christian. The </w:t>
      </w:r>
      <w:r w:rsidR="00A770EF">
        <w:rPr>
          <w:rFonts w:ascii="Times New Roman" w:hAnsi="Times New Roman"/>
          <w:sz w:val="24"/>
          <w:szCs w:val="24"/>
        </w:rPr>
        <w:t>A</w:t>
      </w:r>
      <w:r w:rsidRPr="00711E8E">
        <w:rPr>
          <w:rFonts w:ascii="Times New Roman" w:hAnsi="Times New Roman"/>
          <w:sz w:val="24"/>
          <w:szCs w:val="24"/>
        </w:rPr>
        <w:t xml:space="preserve">pplication of a </w:t>
      </w:r>
      <w:r w:rsidR="00A770EF">
        <w:rPr>
          <w:rFonts w:ascii="Times New Roman" w:hAnsi="Times New Roman"/>
          <w:sz w:val="24"/>
          <w:szCs w:val="24"/>
        </w:rPr>
        <w:t>S</w:t>
      </w:r>
      <w:r w:rsidRPr="00711E8E">
        <w:rPr>
          <w:rFonts w:ascii="Times New Roman" w:hAnsi="Times New Roman"/>
          <w:sz w:val="24"/>
          <w:szCs w:val="24"/>
        </w:rPr>
        <w:t>ocio-</w:t>
      </w:r>
      <w:r w:rsidR="00A770EF">
        <w:rPr>
          <w:rFonts w:ascii="Times New Roman" w:hAnsi="Times New Roman"/>
          <w:sz w:val="24"/>
          <w:szCs w:val="24"/>
        </w:rPr>
        <w:t>E</w:t>
      </w:r>
      <w:r w:rsidRPr="00711E8E">
        <w:rPr>
          <w:rFonts w:ascii="Times New Roman" w:hAnsi="Times New Roman"/>
          <w:sz w:val="24"/>
          <w:szCs w:val="24"/>
        </w:rPr>
        <w:t xml:space="preserve">conomic </w:t>
      </w:r>
      <w:r w:rsidR="00A770EF">
        <w:rPr>
          <w:rFonts w:ascii="Times New Roman" w:hAnsi="Times New Roman"/>
          <w:sz w:val="24"/>
          <w:szCs w:val="24"/>
        </w:rPr>
        <w:t>M</w:t>
      </w:r>
      <w:r w:rsidRPr="00711E8E">
        <w:rPr>
          <w:rFonts w:ascii="Times New Roman" w:hAnsi="Times New Roman"/>
          <w:sz w:val="24"/>
          <w:szCs w:val="24"/>
        </w:rPr>
        <w:t xml:space="preserve">odel </w:t>
      </w:r>
      <w:r w:rsidR="00A770EF">
        <w:rPr>
          <w:rFonts w:ascii="Times New Roman" w:hAnsi="Times New Roman"/>
          <w:sz w:val="24"/>
          <w:szCs w:val="24"/>
        </w:rPr>
        <w:t>S</w:t>
      </w:r>
      <w:r w:rsidRPr="00711E8E">
        <w:rPr>
          <w:rFonts w:ascii="Times New Roman" w:hAnsi="Times New Roman"/>
          <w:sz w:val="24"/>
          <w:szCs w:val="24"/>
        </w:rPr>
        <w:t xml:space="preserve">ystem for </w:t>
      </w:r>
      <w:r w:rsidR="00A770EF">
        <w:rPr>
          <w:rFonts w:ascii="Times New Roman" w:hAnsi="Times New Roman"/>
          <w:sz w:val="24"/>
          <w:szCs w:val="24"/>
        </w:rPr>
        <w:t>A</w:t>
      </w:r>
      <w:r w:rsidRPr="00711E8E">
        <w:rPr>
          <w:rFonts w:ascii="Times New Roman" w:hAnsi="Times New Roman"/>
          <w:sz w:val="24"/>
          <w:szCs w:val="24"/>
        </w:rPr>
        <w:t xml:space="preserve">ctivity </w:t>
      </w:r>
      <w:r w:rsidR="00A770EF">
        <w:rPr>
          <w:rFonts w:ascii="Times New Roman" w:hAnsi="Times New Roman"/>
          <w:sz w:val="24"/>
          <w:szCs w:val="24"/>
        </w:rPr>
        <w:t>B</w:t>
      </w:r>
      <w:r w:rsidRPr="00711E8E">
        <w:rPr>
          <w:rFonts w:ascii="Times New Roman" w:hAnsi="Times New Roman"/>
          <w:sz w:val="24"/>
          <w:szCs w:val="24"/>
        </w:rPr>
        <w:t xml:space="preserve">ased </w:t>
      </w:r>
      <w:r w:rsidR="00A770EF">
        <w:rPr>
          <w:rFonts w:ascii="Times New Roman" w:hAnsi="Times New Roman"/>
          <w:sz w:val="24"/>
          <w:szCs w:val="24"/>
        </w:rPr>
        <w:t>M</w:t>
      </w:r>
      <w:r w:rsidRPr="00711E8E">
        <w:rPr>
          <w:rFonts w:ascii="Times New Roman" w:hAnsi="Times New Roman"/>
          <w:sz w:val="24"/>
          <w:szCs w:val="24"/>
        </w:rPr>
        <w:t xml:space="preserve">odeling: </w:t>
      </w:r>
      <w:r w:rsidR="00A770EF">
        <w:rPr>
          <w:rFonts w:ascii="Times New Roman" w:hAnsi="Times New Roman"/>
          <w:sz w:val="24"/>
          <w:szCs w:val="24"/>
        </w:rPr>
        <w:t>E</w:t>
      </w:r>
      <w:r w:rsidRPr="00711E8E">
        <w:rPr>
          <w:rFonts w:ascii="Times New Roman" w:hAnsi="Times New Roman"/>
          <w:sz w:val="24"/>
          <w:szCs w:val="24"/>
        </w:rPr>
        <w:t xml:space="preserve">xperience from Southern California. </w:t>
      </w:r>
      <w:r w:rsidR="00A770EF">
        <w:rPr>
          <w:rFonts w:ascii="Times New Roman" w:hAnsi="Times New Roman"/>
          <w:sz w:val="24"/>
          <w:szCs w:val="24"/>
        </w:rPr>
        <w:t xml:space="preserve">In </w:t>
      </w:r>
      <w:r w:rsidR="00A770EF" w:rsidRPr="00711E8E">
        <w:rPr>
          <w:rFonts w:ascii="Times New Roman" w:hAnsi="Times New Roman"/>
          <w:i/>
          <w:sz w:val="24"/>
          <w:szCs w:val="24"/>
        </w:rPr>
        <w:t>Transportation Research Record</w:t>
      </w:r>
      <w:r w:rsidR="00A770EF">
        <w:rPr>
          <w:rFonts w:ascii="Times New Roman" w:hAnsi="Times New Roman"/>
          <w:i/>
          <w:sz w:val="24"/>
          <w:szCs w:val="24"/>
        </w:rPr>
        <w:t>: Journal of the Transportation Research Board, No.</w:t>
      </w:r>
      <w:r w:rsidR="00A770EF" w:rsidRPr="00711E8E">
        <w:rPr>
          <w:rFonts w:ascii="Times New Roman" w:hAnsi="Times New Roman"/>
          <w:sz w:val="24"/>
          <w:szCs w:val="24"/>
        </w:rPr>
        <w:t xml:space="preserve"> </w:t>
      </w:r>
      <w:r w:rsidRPr="00A770EF">
        <w:rPr>
          <w:rFonts w:ascii="Times New Roman" w:hAnsi="Times New Roman"/>
          <w:i/>
          <w:sz w:val="24"/>
          <w:szCs w:val="24"/>
        </w:rPr>
        <w:t>2303</w:t>
      </w:r>
      <w:r w:rsidRPr="00711E8E">
        <w:rPr>
          <w:rFonts w:ascii="Times New Roman" w:hAnsi="Times New Roman"/>
          <w:sz w:val="24"/>
          <w:szCs w:val="24"/>
        </w:rPr>
        <w:t xml:space="preserve">, </w:t>
      </w:r>
      <w:r w:rsidR="00A770EF" w:rsidRPr="00A770EF">
        <w:rPr>
          <w:rFonts w:ascii="Times New Roman" w:hAnsi="Times New Roman"/>
          <w:sz w:val="24"/>
          <w:szCs w:val="24"/>
        </w:rPr>
        <w:t>Transportation Research Board</w:t>
      </w:r>
      <w:r w:rsidR="00A770EF">
        <w:rPr>
          <w:rFonts w:ascii="Times New Roman" w:hAnsi="Times New Roman"/>
          <w:sz w:val="24"/>
          <w:szCs w:val="24"/>
        </w:rPr>
        <w:t xml:space="preserve"> of the National Academies, Washington, D.C.,</w:t>
      </w:r>
      <w:r w:rsidR="00A770EF" w:rsidRPr="00711E8E">
        <w:rPr>
          <w:rFonts w:ascii="Times New Roman" w:hAnsi="Times New Roman"/>
          <w:sz w:val="24"/>
          <w:szCs w:val="24"/>
        </w:rPr>
        <w:t xml:space="preserve"> </w:t>
      </w:r>
      <w:r w:rsidRPr="00711E8E">
        <w:rPr>
          <w:rFonts w:ascii="Times New Roman" w:hAnsi="Times New Roman"/>
          <w:sz w:val="24"/>
          <w:szCs w:val="24"/>
        </w:rPr>
        <w:t>2012, pp. 71-80.</w:t>
      </w:r>
    </w:p>
    <w:p w:rsidR="00DA2A7A" w:rsidRPr="00711E8E"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sz w:val="24"/>
          <w:szCs w:val="24"/>
        </w:rPr>
        <w:t xml:space="preserve">Eluru, N., A.R. Pinjari, J.Y. </w:t>
      </w:r>
      <w:proofErr w:type="spellStart"/>
      <w:r w:rsidRPr="00711E8E">
        <w:rPr>
          <w:rFonts w:ascii="Times New Roman" w:hAnsi="Times New Roman"/>
          <w:sz w:val="24"/>
          <w:szCs w:val="24"/>
        </w:rPr>
        <w:t>Guo</w:t>
      </w:r>
      <w:proofErr w:type="spellEnd"/>
      <w:r w:rsidRPr="00711E8E">
        <w:rPr>
          <w:rFonts w:ascii="Times New Roman" w:hAnsi="Times New Roman"/>
          <w:sz w:val="24"/>
          <w:szCs w:val="24"/>
        </w:rPr>
        <w:t xml:space="preserve">, I.N. Sener, S. Srinivasan, R.B. Copperman, and C.R. Bhat. Population </w:t>
      </w:r>
      <w:r w:rsidR="00A770EF">
        <w:rPr>
          <w:rFonts w:ascii="Times New Roman" w:hAnsi="Times New Roman"/>
          <w:sz w:val="24"/>
          <w:szCs w:val="24"/>
        </w:rPr>
        <w:t>U</w:t>
      </w:r>
      <w:r w:rsidRPr="00711E8E">
        <w:rPr>
          <w:rFonts w:ascii="Times New Roman" w:hAnsi="Times New Roman"/>
          <w:sz w:val="24"/>
          <w:szCs w:val="24"/>
        </w:rPr>
        <w:t xml:space="preserve">pdating </w:t>
      </w:r>
      <w:r w:rsidR="00A770EF">
        <w:rPr>
          <w:rFonts w:ascii="Times New Roman" w:hAnsi="Times New Roman"/>
          <w:sz w:val="24"/>
          <w:szCs w:val="24"/>
        </w:rPr>
        <w:t>S</w:t>
      </w:r>
      <w:r w:rsidRPr="00711E8E">
        <w:rPr>
          <w:rFonts w:ascii="Times New Roman" w:hAnsi="Times New Roman"/>
          <w:sz w:val="24"/>
          <w:szCs w:val="24"/>
        </w:rPr>
        <w:t xml:space="preserve">ystem </w:t>
      </w:r>
      <w:r w:rsidR="00A770EF">
        <w:rPr>
          <w:rFonts w:ascii="Times New Roman" w:hAnsi="Times New Roman"/>
          <w:sz w:val="24"/>
          <w:szCs w:val="24"/>
        </w:rPr>
        <w:t>S</w:t>
      </w:r>
      <w:r w:rsidRPr="00711E8E">
        <w:rPr>
          <w:rFonts w:ascii="Times New Roman" w:hAnsi="Times New Roman"/>
          <w:sz w:val="24"/>
          <w:szCs w:val="24"/>
        </w:rPr>
        <w:t xml:space="preserve">tructures and </w:t>
      </w:r>
      <w:r w:rsidR="00A770EF">
        <w:rPr>
          <w:rFonts w:ascii="Times New Roman" w:hAnsi="Times New Roman"/>
          <w:sz w:val="24"/>
          <w:szCs w:val="24"/>
        </w:rPr>
        <w:t>M</w:t>
      </w:r>
      <w:r w:rsidRPr="00711E8E">
        <w:rPr>
          <w:rFonts w:ascii="Times New Roman" w:hAnsi="Times New Roman"/>
          <w:sz w:val="24"/>
          <w:szCs w:val="24"/>
        </w:rPr>
        <w:t xml:space="preserve">odels </w:t>
      </w:r>
      <w:r w:rsidR="00A770EF">
        <w:rPr>
          <w:rFonts w:ascii="Times New Roman" w:hAnsi="Times New Roman"/>
          <w:sz w:val="24"/>
          <w:szCs w:val="24"/>
        </w:rPr>
        <w:t>E</w:t>
      </w:r>
      <w:r w:rsidRPr="00711E8E">
        <w:rPr>
          <w:rFonts w:ascii="Times New Roman" w:hAnsi="Times New Roman"/>
          <w:sz w:val="24"/>
          <w:szCs w:val="24"/>
        </w:rPr>
        <w:t xml:space="preserve">mbedded in the </w:t>
      </w:r>
      <w:r w:rsidR="00A770EF">
        <w:rPr>
          <w:rFonts w:ascii="Times New Roman" w:hAnsi="Times New Roman"/>
          <w:sz w:val="24"/>
          <w:szCs w:val="24"/>
        </w:rPr>
        <w:t>C</w:t>
      </w:r>
      <w:r w:rsidRPr="00711E8E">
        <w:rPr>
          <w:rFonts w:ascii="Times New Roman" w:hAnsi="Times New Roman"/>
          <w:sz w:val="24"/>
          <w:szCs w:val="24"/>
        </w:rPr>
        <w:t xml:space="preserve">omprehensive </w:t>
      </w:r>
      <w:r w:rsidR="00A770EF">
        <w:rPr>
          <w:rFonts w:ascii="Times New Roman" w:hAnsi="Times New Roman"/>
          <w:sz w:val="24"/>
          <w:szCs w:val="24"/>
        </w:rPr>
        <w:t>E</w:t>
      </w:r>
      <w:r w:rsidRPr="00711E8E">
        <w:rPr>
          <w:rFonts w:ascii="Times New Roman" w:hAnsi="Times New Roman"/>
          <w:sz w:val="24"/>
          <w:szCs w:val="24"/>
        </w:rPr>
        <w:t xml:space="preserve">conometric </w:t>
      </w:r>
      <w:proofErr w:type="spellStart"/>
      <w:r w:rsidR="00A770EF">
        <w:rPr>
          <w:rFonts w:ascii="Times New Roman" w:hAnsi="Times New Roman"/>
          <w:sz w:val="24"/>
          <w:szCs w:val="24"/>
        </w:rPr>
        <w:t>Microsimulator</w:t>
      </w:r>
      <w:proofErr w:type="spellEnd"/>
      <w:r w:rsidR="00A770EF">
        <w:rPr>
          <w:rFonts w:ascii="Times New Roman" w:hAnsi="Times New Roman"/>
          <w:sz w:val="24"/>
          <w:szCs w:val="24"/>
        </w:rPr>
        <w:t xml:space="preserve"> for Urban Systems.</w:t>
      </w:r>
      <w:r w:rsidRPr="00711E8E">
        <w:rPr>
          <w:rFonts w:ascii="Times New Roman" w:hAnsi="Times New Roman"/>
          <w:sz w:val="24"/>
          <w:szCs w:val="24"/>
        </w:rPr>
        <w:t xml:space="preserve"> </w:t>
      </w:r>
      <w:r w:rsidR="00A770EF">
        <w:rPr>
          <w:rFonts w:ascii="Times New Roman" w:hAnsi="Times New Roman"/>
          <w:sz w:val="24"/>
          <w:szCs w:val="24"/>
        </w:rPr>
        <w:t xml:space="preserve">In </w:t>
      </w:r>
      <w:r w:rsidR="00A770EF" w:rsidRPr="00711E8E">
        <w:rPr>
          <w:rFonts w:ascii="Times New Roman" w:hAnsi="Times New Roman"/>
          <w:i/>
          <w:sz w:val="24"/>
          <w:szCs w:val="24"/>
        </w:rPr>
        <w:t>Transportation Research Record</w:t>
      </w:r>
      <w:r w:rsidR="00A770EF">
        <w:rPr>
          <w:rFonts w:ascii="Times New Roman" w:hAnsi="Times New Roman"/>
          <w:i/>
          <w:sz w:val="24"/>
          <w:szCs w:val="24"/>
        </w:rPr>
        <w:t>: Journal of the Transportation Research Board, No.</w:t>
      </w:r>
      <w:r w:rsidR="00A770EF" w:rsidRPr="00711E8E">
        <w:rPr>
          <w:rFonts w:ascii="Times New Roman" w:hAnsi="Times New Roman"/>
          <w:sz w:val="24"/>
          <w:szCs w:val="24"/>
        </w:rPr>
        <w:t xml:space="preserve"> </w:t>
      </w:r>
      <w:r w:rsidRPr="00A770EF">
        <w:rPr>
          <w:rFonts w:ascii="Times New Roman" w:hAnsi="Times New Roman"/>
          <w:i/>
          <w:sz w:val="24"/>
          <w:szCs w:val="24"/>
        </w:rPr>
        <w:t>2076</w:t>
      </w:r>
      <w:r w:rsidRPr="00711E8E">
        <w:rPr>
          <w:rFonts w:ascii="Times New Roman" w:hAnsi="Times New Roman"/>
          <w:sz w:val="24"/>
          <w:szCs w:val="24"/>
        </w:rPr>
        <w:t xml:space="preserve">, </w:t>
      </w:r>
      <w:r w:rsidR="00A770EF" w:rsidRPr="00A770EF">
        <w:rPr>
          <w:rFonts w:ascii="Times New Roman" w:hAnsi="Times New Roman"/>
          <w:sz w:val="24"/>
          <w:szCs w:val="24"/>
        </w:rPr>
        <w:t>Transportation Research Board</w:t>
      </w:r>
      <w:r w:rsidR="00A770EF">
        <w:rPr>
          <w:rFonts w:ascii="Times New Roman" w:hAnsi="Times New Roman"/>
          <w:sz w:val="24"/>
          <w:szCs w:val="24"/>
        </w:rPr>
        <w:t xml:space="preserve"> of the National Academies, Washington, D.C.,</w:t>
      </w:r>
      <w:r w:rsidR="00A770EF" w:rsidRPr="00711E8E">
        <w:rPr>
          <w:rFonts w:ascii="Times New Roman" w:hAnsi="Times New Roman"/>
          <w:sz w:val="24"/>
          <w:szCs w:val="24"/>
        </w:rPr>
        <w:t xml:space="preserve"> </w:t>
      </w:r>
      <w:r w:rsidRPr="00711E8E">
        <w:rPr>
          <w:rFonts w:ascii="Times New Roman" w:hAnsi="Times New Roman"/>
          <w:sz w:val="24"/>
          <w:szCs w:val="24"/>
        </w:rPr>
        <w:t>2008, pp. 171-182.</w:t>
      </w:r>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sz w:val="24"/>
          <w:szCs w:val="24"/>
        </w:rPr>
        <w:t>NHTSA.</w:t>
      </w:r>
      <w:r>
        <w:rPr>
          <w:rFonts w:ascii="Times New Roman" w:hAnsi="Times New Roman"/>
          <w:sz w:val="24"/>
          <w:szCs w:val="24"/>
        </w:rPr>
        <w:t xml:space="preserve"> </w:t>
      </w:r>
      <w:r w:rsidRPr="00CB0D16">
        <w:rPr>
          <w:rFonts w:ascii="Times New Roman" w:hAnsi="Times New Roman"/>
          <w:sz w:val="24"/>
          <w:szCs w:val="24"/>
        </w:rPr>
        <w:t xml:space="preserve">Fact </w:t>
      </w:r>
      <w:r w:rsidR="00A770EF">
        <w:rPr>
          <w:rFonts w:ascii="Times New Roman" w:hAnsi="Times New Roman"/>
          <w:sz w:val="24"/>
          <w:szCs w:val="24"/>
        </w:rPr>
        <w:t>S</w:t>
      </w:r>
      <w:r w:rsidRPr="00CB0D16">
        <w:rPr>
          <w:rFonts w:ascii="Times New Roman" w:hAnsi="Times New Roman"/>
          <w:sz w:val="24"/>
          <w:szCs w:val="24"/>
        </w:rPr>
        <w:t>heet: CAFE - Fuel Economy</w:t>
      </w:r>
      <w:r>
        <w:rPr>
          <w:rFonts w:ascii="Times New Roman" w:hAnsi="Times New Roman"/>
          <w:sz w:val="24"/>
          <w:szCs w:val="24"/>
        </w:rPr>
        <w:t>, 2012</w:t>
      </w:r>
      <w:r w:rsidRPr="00CB0D16">
        <w:rPr>
          <w:rFonts w:ascii="Times New Roman" w:hAnsi="Times New Roman"/>
          <w:sz w:val="24"/>
          <w:szCs w:val="24"/>
        </w:rPr>
        <w:t xml:space="preserve">. Available at: </w:t>
      </w:r>
      <w:hyperlink r:id="rId34" w:history="1">
        <w:r w:rsidRPr="00CB0D16">
          <w:rPr>
            <w:rStyle w:val="Hyperlink"/>
            <w:rFonts w:ascii="Times New Roman" w:hAnsi="Times New Roman"/>
            <w:sz w:val="24"/>
            <w:szCs w:val="24"/>
          </w:rPr>
          <w:t>http://www.nhtsa.gov/staticfiles/rulemaking/pdf/cafe/2017-25_CAFE_NPRM_Factsheet.pdf</w:t>
        </w:r>
      </w:hyperlink>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sz w:val="24"/>
          <w:szCs w:val="24"/>
        </w:rPr>
        <w:t>EPA.</w:t>
      </w:r>
      <w:r w:rsidRPr="00CB0D16">
        <w:rPr>
          <w:rFonts w:ascii="Times New Roman" w:hAnsi="Times New Roman"/>
          <w:sz w:val="24"/>
          <w:szCs w:val="24"/>
        </w:rPr>
        <w:t xml:space="preserve"> Emissions Facts: Greenhouse Gas Emissions from a Typical Passenger Vehicle, </w:t>
      </w:r>
      <w:r w:rsidRPr="00CB0D16">
        <w:rPr>
          <w:rFonts w:ascii="Times New Roman" w:hAnsi="Times New Roman"/>
          <w:i/>
          <w:iCs/>
          <w:sz w:val="24"/>
          <w:szCs w:val="24"/>
        </w:rPr>
        <w:t>Ofﬁce of Transportation and Air Quality</w:t>
      </w:r>
      <w:r w:rsidRPr="00CB0D16">
        <w:rPr>
          <w:rFonts w:ascii="Times New Roman" w:hAnsi="Times New Roman"/>
          <w:sz w:val="24"/>
          <w:szCs w:val="24"/>
        </w:rPr>
        <w:t xml:space="preserve"> (6401A) EPA420-F-05-004 February 2005. </w:t>
      </w:r>
      <w:hyperlink r:id="rId35" w:history="1">
        <w:r w:rsidRPr="00CB0D16">
          <w:rPr>
            <w:rStyle w:val="Hyperlink"/>
            <w:rFonts w:ascii="Times New Roman" w:hAnsi="Times New Roman"/>
            <w:sz w:val="24"/>
            <w:szCs w:val="24"/>
          </w:rPr>
          <w:t>http://www.epa.gov/otaq/climate/420f05004.pdf</w:t>
        </w:r>
      </w:hyperlink>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711E8E">
        <w:rPr>
          <w:rFonts w:ascii="Times New Roman" w:hAnsi="Times New Roman"/>
          <w:bCs/>
          <w:sz w:val="24"/>
          <w:szCs w:val="24"/>
        </w:rPr>
        <w:t>BFIN.</w:t>
      </w:r>
      <w:r w:rsidRPr="00CB0D16">
        <w:rPr>
          <w:rFonts w:ascii="Times New Roman" w:hAnsi="Times New Roman"/>
          <w:bCs/>
          <w:sz w:val="24"/>
          <w:szCs w:val="24"/>
        </w:rPr>
        <w:t xml:space="preserve"> Bioenergy </w:t>
      </w:r>
      <w:r w:rsidR="00A770EF">
        <w:rPr>
          <w:rFonts w:ascii="Times New Roman" w:hAnsi="Times New Roman"/>
          <w:bCs/>
          <w:sz w:val="24"/>
          <w:szCs w:val="24"/>
        </w:rPr>
        <w:t>C</w:t>
      </w:r>
      <w:r w:rsidRPr="00CB0D16">
        <w:rPr>
          <w:rFonts w:ascii="Times New Roman" w:hAnsi="Times New Roman"/>
          <w:bCs/>
          <w:sz w:val="24"/>
          <w:szCs w:val="24"/>
        </w:rPr>
        <w:t xml:space="preserve">onversion </w:t>
      </w:r>
      <w:r w:rsidR="00A770EF">
        <w:rPr>
          <w:rFonts w:ascii="Times New Roman" w:hAnsi="Times New Roman"/>
          <w:bCs/>
          <w:sz w:val="24"/>
          <w:szCs w:val="24"/>
        </w:rPr>
        <w:t>F</w:t>
      </w:r>
      <w:r w:rsidRPr="00CB0D16">
        <w:rPr>
          <w:rFonts w:ascii="Times New Roman" w:hAnsi="Times New Roman"/>
          <w:bCs/>
          <w:sz w:val="24"/>
          <w:szCs w:val="24"/>
        </w:rPr>
        <w:t>actors. Oak Ridge National Laboratory</w:t>
      </w:r>
      <w:r>
        <w:rPr>
          <w:rFonts w:ascii="Times New Roman" w:hAnsi="Times New Roman"/>
          <w:bCs/>
          <w:sz w:val="24"/>
          <w:szCs w:val="24"/>
        </w:rPr>
        <w:t>, 2012</w:t>
      </w:r>
      <w:r w:rsidRPr="00CB0D16">
        <w:rPr>
          <w:rFonts w:ascii="Times New Roman" w:hAnsi="Times New Roman"/>
          <w:bCs/>
          <w:sz w:val="24"/>
          <w:szCs w:val="24"/>
        </w:rPr>
        <w:t xml:space="preserve">. Retrieved from: </w:t>
      </w:r>
      <w:hyperlink r:id="rId36" w:history="1">
        <w:r w:rsidRPr="00CB0D16">
          <w:rPr>
            <w:rStyle w:val="Hyperlink"/>
            <w:rFonts w:ascii="Times New Roman" w:hAnsi="Times New Roman"/>
            <w:sz w:val="24"/>
            <w:szCs w:val="24"/>
          </w:rPr>
          <w:t>http://bioenergy.ornl.gov/papers/misc/energy_conv.html</w:t>
        </w:r>
      </w:hyperlink>
    </w:p>
    <w:p w:rsidR="00DA2A7A" w:rsidRPr="00CB0D16" w:rsidRDefault="00DA2A7A" w:rsidP="00DA2A7A">
      <w:pPr>
        <w:pStyle w:val="ListParagraph"/>
        <w:numPr>
          <w:ilvl w:val="0"/>
          <w:numId w:val="18"/>
        </w:numPr>
        <w:spacing w:after="0" w:line="240" w:lineRule="auto"/>
        <w:ind w:left="360"/>
        <w:jc w:val="both"/>
        <w:rPr>
          <w:rFonts w:ascii="Times New Roman" w:hAnsi="Times New Roman"/>
          <w:sz w:val="24"/>
          <w:szCs w:val="24"/>
        </w:rPr>
      </w:pPr>
      <w:r w:rsidRPr="00711E8E">
        <w:rPr>
          <w:rFonts w:ascii="Times New Roman" w:hAnsi="Times New Roman"/>
          <w:sz w:val="24"/>
          <w:szCs w:val="24"/>
        </w:rPr>
        <w:t>DOF.</w:t>
      </w:r>
      <w:r w:rsidRPr="00CB0D16">
        <w:rPr>
          <w:rFonts w:ascii="Times New Roman" w:hAnsi="Times New Roman"/>
          <w:sz w:val="24"/>
          <w:szCs w:val="24"/>
        </w:rPr>
        <w:t xml:space="preserve"> Interim Population Projections for California and its Counties 2010-2050</w:t>
      </w:r>
      <w:r>
        <w:rPr>
          <w:rFonts w:ascii="Times New Roman" w:hAnsi="Times New Roman"/>
          <w:sz w:val="24"/>
          <w:szCs w:val="24"/>
        </w:rPr>
        <w:t>, 2012</w:t>
      </w:r>
      <w:r w:rsidRPr="00CB0D16">
        <w:rPr>
          <w:rFonts w:ascii="Times New Roman" w:hAnsi="Times New Roman"/>
          <w:sz w:val="24"/>
          <w:szCs w:val="24"/>
        </w:rPr>
        <w:t xml:space="preserve">. Available at: </w:t>
      </w:r>
      <w:hyperlink r:id="rId37" w:history="1">
        <w:r w:rsidRPr="00CB0D16">
          <w:rPr>
            <w:rStyle w:val="Hyperlink"/>
            <w:rFonts w:ascii="Times New Roman" w:hAnsi="Times New Roman"/>
            <w:sz w:val="24"/>
            <w:szCs w:val="24"/>
          </w:rPr>
          <w:t>http://www.dof.ca.gov/research/demographic/reports/projections/interim/view.php</w:t>
        </w:r>
      </w:hyperlink>
    </w:p>
    <w:p w:rsidR="00DA2A7A" w:rsidRPr="00CB0D16" w:rsidRDefault="00DA2A7A" w:rsidP="00DA2A7A">
      <w:pPr>
        <w:pStyle w:val="ListParagraph"/>
        <w:keepLines/>
        <w:numPr>
          <w:ilvl w:val="0"/>
          <w:numId w:val="18"/>
        </w:numPr>
        <w:autoSpaceDE w:val="0"/>
        <w:autoSpaceDN w:val="0"/>
        <w:adjustRightInd w:val="0"/>
        <w:spacing w:after="0" w:line="240" w:lineRule="auto"/>
        <w:ind w:left="360"/>
        <w:jc w:val="both"/>
        <w:rPr>
          <w:rStyle w:val="A6"/>
          <w:sz w:val="24"/>
          <w:szCs w:val="24"/>
        </w:rPr>
      </w:pPr>
      <w:r w:rsidRPr="00711E8E">
        <w:rPr>
          <w:rFonts w:ascii="Times New Roman" w:hAnsi="Times New Roman"/>
          <w:sz w:val="24"/>
          <w:szCs w:val="24"/>
        </w:rPr>
        <w:t>Pitkin, J. and D. Myers.</w:t>
      </w:r>
      <w:r w:rsidRPr="00CB0D16">
        <w:rPr>
          <w:rFonts w:ascii="Times New Roman" w:hAnsi="Times New Roman"/>
          <w:color w:val="000000"/>
          <w:sz w:val="24"/>
          <w:szCs w:val="24"/>
        </w:rPr>
        <w:t xml:space="preserve"> Generational </w:t>
      </w:r>
      <w:r w:rsidR="00A770EF">
        <w:rPr>
          <w:rFonts w:ascii="Times New Roman" w:hAnsi="Times New Roman"/>
          <w:color w:val="000000"/>
          <w:sz w:val="24"/>
          <w:szCs w:val="24"/>
        </w:rPr>
        <w:t>P</w:t>
      </w:r>
      <w:r w:rsidRPr="00CB0D16">
        <w:rPr>
          <w:rFonts w:ascii="Times New Roman" w:hAnsi="Times New Roman"/>
          <w:color w:val="000000"/>
          <w:sz w:val="24"/>
          <w:szCs w:val="24"/>
        </w:rPr>
        <w:t xml:space="preserve">rojections of the California </w:t>
      </w:r>
      <w:r w:rsidR="00A770EF">
        <w:rPr>
          <w:rFonts w:ascii="Times New Roman" w:hAnsi="Times New Roman"/>
          <w:color w:val="000000"/>
          <w:sz w:val="24"/>
          <w:szCs w:val="24"/>
        </w:rPr>
        <w:t>P</w:t>
      </w:r>
      <w:r w:rsidRPr="00CB0D16">
        <w:rPr>
          <w:rFonts w:ascii="Times New Roman" w:hAnsi="Times New Roman"/>
          <w:color w:val="000000"/>
          <w:sz w:val="24"/>
          <w:szCs w:val="24"/>
        </w:rPr>
        <w:t xml:space="preserve">opulation by </w:t>
      </w:r>
      <w:r w:rsidR="00A770EF">
        <w:rPr>
          <w:rFonts w:ascii="Times New Roman" w:hAnsi="Times New Roman"/>
          <w:color w:val="000000"/>
          <w:sz w:val="24"/>
          <w:szCs w:val="24"/>
        </w:rPr>
        <w:t>N</w:t>
      </w:r>
      <w:r w:rsidRPr="00CB0D16">
        <w:rPr>
          <w:rFonts w:ascii="Times New Roman" w:hAnsi="Times New Roman"/>
          <w:color w:val="000000"/>
          <w:sz w:val="24"/>
          <w:szCs w:val="24"/>
        </w:rPr>
        <w:t xml:space="preserve">ativity and </w:t>
      </w:r>
      <w:r w:rsidR="00A770EF">
        <w:rPr>
          <w:rFonts w:ascii="Times New Roman" w:hAnsi="Times New Roman"/>
          <w:color w:val="000000"/>
          <w:sz w:val="24"/>
          <w:szCs w:val="24"/>
        </w:rPr>
        <w:t>Y</w:t>
      </w:r>
      <w:r w:rsidRPr="00CB0D16">
        <w:rPr>
          <w:rFonts w:ascii="Times New Roman" w:hAnsi="Times New Roman"/>
          <w:color w:val="000000"/>
          <w:sz w:val="24"/>
          <w:szCs w:val="24"/>
        </w:rPr>
        <w:t xml:space="preserve">ear of </w:t>
      </w:r>
      <w:r w:rsidR="00A770EF">
        <w:rPr>
          <w:rFonts w:ascii="Times New Roman" w:hAnsi="Times New Roman"/>
          <w:color w:val="000000"/>
          <w:sz w:val="24"/>
          <w:szCs w:val="24"/>
        </w:rPr>
        <w:t>I</w:t>
      </w:r>
      <w:r w:rsidRPr="00CB0D16">
        <w:rPr>
          <w:rFonts w:ascii="Times New Roman" w:hAnsi="Times New Roman"/>
          <w:color w:val="000000"/>
          <w:sz w:val="24"/>
          <w:szCs w:val="24"/>
        </w:rPr>
        <w:t xml:space="preserve">mmigrant </w:t>
      </w:r>
      <w:r w:rsidR="00A770EF">
        <w:rPr>
          <w:rFonts w:ascii="Times New Roman" w:hAnsi="Times New Roman"/>
          <w:color w:val="000000"/>
          <w:sz w:val="24"/>
          <w:szCs w:val="24"/>
        </w:rPr>
        <w:t>A</w:t>
      </w:r>
      <w:r w:rsidRPr="00CB0D16">
        <w:rPr>
          <w:rFonts w:ascii="Times New Roman" w:hAnsi="Times New Roman"/>
          <w:color w:val="000000"/>
          <w:sz w:val="24"/>
          <w:szCs w:val="24"/>
        </w:rPr>
        <w:t>rrival. Produced by the Population Dynamics Research Group, Sol Price School of Public Policy, University of Southern California</w:t>
      </w:r>
      <w:r>
        <w:rPr>
          <w:rFonts w:ascii="Times New Roman" w:hAnsi="Times New Roman"/>
          <w:color w:val="000000"/>
          <w:sz w:val="24"/>
          <w:szCs w:val="24"/>
        </w:rPr>
        <w:t>, 2012</w:t>
      </w:r>
      <w:r w:rsidRPr="00CB0D16">
        <w:rPr>
          <w:rFonts w:ascii="Times New Roman" w:hAnsi="Times New Roman"/>
          <w:color w:val="000000"/>
          <w:sz w:val="24"/>
          <w:szCs w:val="24"/>
        </w:rPr>
        <w:t xml:space="preserve">. Available at: </w:t>
      </w:r>
      <w:hyperlink r:id="rId38" w:history="1">
        <w:r w:rsidRPr="00CB0D16">
          <w:rPr>
            <w:rStyle w:val="Hyperlink"/>
            <w:rFonts w:ascii="Times New Roman" w:hAnsi="Times New Roman"/>
            <w:sz w:val="24"/>
            <w:szCs w:val="24"/>
          </w:rPr>
          <w:t>http://www.usc.edu/schools/price/research/popdynamics</w:t>
        </w:r>
      </w:hyperlink>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CB0D16">
        <w:rPr>
          <w:rFonts w:ascii="Times New Roman" w:hAnsi="Times New Roman"/>
          <w:sz w:val="24"/>
          <w:szCs w:val="24"/>
        </w:rPr>
        <w:lastRenderedPageBreak/>
        <w:t xml:space="preserve">Goodwin, P., J. Dargay, and M. </w:t>
      </w:r>
      <w:proofErr w:type="spellStart"/>
      <w:r w:rsidRPr="00CB0D16">
        <w:rPr>
          <w:rFonts w:ascii="Times New Roman" w:hAnsi="Times New Roman"/>
          <w:sz w:val="24"/>
          <w:szCs w:val="24"/>
        </w:rPr>
        <w:t>Hanly</w:t>
      </w:r>
      <w:proofErr w:type="spellEnd"/>
      <w:r>
        <w:rPr>
          <w:rFonts w:ascii="Times New Roman" w:hAnsi="Times New Roman"/>
          <w:sz w:val="24"/>
          <w:szCs w:val="24"/>
        </w:rPr>
        <w:t>.</w:t>
      </w:r>
      <w:r w:rsidRPr="00CB0D16">
        <w:rPr>
          <w:rFonts w:ascii="Times New Roman" w:hAnsi="Times New Roman"/>
          <w:sz w:val="24"/>
          <w:szCs w:val="24"/>
        </w:rPr>
        <w:t xml:space="preserve"> </w:t>
      </w:r>
      <w:proofErr w:type="spellStart"/>
      <w:r w:rsidRPr="00CB0D16">
        <w:rPr>
          <w:rFonts w:ascii="Times New Roman" w:hAnsi="Times New Roman"/>
          <w:sz w:val="24"/>
          <w:szCs w:val="24"/>
        </w:rPr>
        <w:t>Elasticities</w:t>
      </w:r>
      <w:proofErr w:type="spellEnd"/>
      <w:r w:rsidRPr="00CB0D16">
        <w:rPr>
          <w:rFonts w:ascii="Times New Roman" w:hAnsi="Times New Roman"/>
          <w:sz w:val="24"/>
          <w:szCs w:val="24"/>
        </w:rPr>
        <w:t xml:space="preserve"> of </w:t>
      </w:r>
      <w:r w:rsidR="00A770EF">
        <w:rPr>
          <w:rFonts w:ascii="Times New Roman" w:hAnsi="Times New Roman"/>
          <w:sz w:val="24"/>
          <w:szCs w:val="24"/>
        </w:rPr>
        <w:t>Road T</w:t>
      </w:r>
      <w:r w:rsidRPr="00CB0D16">
        <w:rPr>
          <w:rFonts w:ascii="Times New Roman" w:hAnsi="Times New Roman"/>
          <w:sz w:val="24"/>
          <w:szCs w:val="24"/>
        </w:rPr>
        <w:t xml:space="preserve">raffic and </w:t>
      </w:r>
      <w:r w:rsidR="00A770EF">
        <w:rPr>
          <w:rFonts w:ascii="Times New Roman" w:hAnsi="Times New Roman"/>
          <w:sz w:val="24"/>
          <w:szCs w:val="24"/>
        </w:rPr>
        <w:t>F</w:t>
      </w:r>
      <w:r w:rsidRPr="00CB0D16">
        <w:rPr>
          <w:rFonts w:ascii="Times New Roman" w:hAnsi="Times New Roman"/>
          <w:sz w:val="24"/>
          <w:szCs w:val="24"/>
        </w:rPr>
        <w:t xml:space="preserve">uel </w:t>
      </w:r>
      <w:r w:rsidR="00A770EF">
        <w:rPr>
          <w:rFonts w:ascii="Times New Roman" w:hAnsi="Times New Roman"/>
          <w:sz w:val="24"/>
          <w:szCs w:val="24"/>
        </w:rPr>
        <w:t>C</w:t>
      </w:r>
      <w:r w:rsidRPr="00CB0D16">
        <w:rPr>
          <w:rFonts w:ascii="Times New Roman" w:hAnsi="Times New Roman"/>
          <w:sz w:val="24"/>
          <w:szCs w:val="24"/>
        </w:rPr>
        <w:t xml:space="preserve">onsumption with </w:t>
      </w:r>
      <w:r w:rsidR="00A770EF">
        <w:rPr>
          <w:rFonts w:ascii="Times New Roman" w:hAnsi="Times New Roman"/>
          <w:sz w:val="24"/>
          <w:szCs w:val="24"/>
        </w:rPr>
        <w:t>R</w:t>
      </w:r>
      <w:r w:rsidRPr="00CB0D16">
        <w:rPr>
          <w:rFonts w:ascii="Times New Roman" w:hAnsi="Times New Roman"/>
          <w:sz w:val="24"/>
          <w:szCs w:val="24"/>
        </w:rPr>
        <w:t xml:space="preserve">espect to </w:t>
      </w:r>
      <w:r w:rsidR="00A770EF">
        <w:rPr>
          <w:rFonts w:ascii="Times New Roman" w:hAnsi="Times New Roman"/>
          <w:sz w:val="24"/>
          <w:szCs w:val="24"/>
        </w:rPr>
        <w:t>P</w:t>
      </w:r>
      <w:r w:rsidRPr="00CB0D16">
        <w:rPr>
          <w:rFonts w:ascii="Times New Roman" w:hAnsi="Times New Roman"/>
          <w:sz w:val="24"/>
          <w:szCs w:val="24"/>
        </w:rPr>
        <w:t xml:space="preserve">rice and </w:t>
      </w:r>
      <w:r w:rsidR="00A770EF">
        <w:rPr>
          <w:rFonts w:ascii="Times New Roman" w:hAnsi="Times New Roman"/>
          <w:sz w:val="24"/>
          <w:szCs w:val="24"/>
        </w:rPr>
        <w:t>I</w:t>
      </w:r>
      <w:r w:rsidRPr="00CB0D16">
        <w:rPr>
          <w:rFonts w:ascii="Times New Roman" w:hAnsi="Times New Roman"/>
          <w:sz w:val="24"/>
          <w:szCs w:val="24"/>
        </w:rPr>
        <w:t xml:space="preserve">ncome: </w:t>
      </w:r>
      <w:r w:rsidR="00A770EF">
        <w:rPr>
          <w:rFonts w:ascii="Times New Roman" w:hAnsi="Times New Roman"/>
          <w:sz w:val="24"/>
          <w:szCs w:val="24"/>
        </w:rPr>
        <w:t>A</w:t>
      </w:r>
      <w:r w:rsidRPr="00CB0D16">
        <w:rPr>
          <w:rFonts w:ascii="Times New Roman" w:hAnsi="Times New Roman"/>
          <w:sz w:val="24"/>
          <w:szCs w:val="24"/>
        </w:rPr>
        <w:t xml:space="preserve"> </w:t>
      </w:r>
      <w:r w:rsidR="00A770EF">
        <w:rPr>
          <w:rFonts w:ascii="Times New Roman" w:hAnsi="Times New Roman"/>
          <w:sz w:val="24"/>
          <w:szCs w:val="24"/>
        </w:rPr>
        <w:t>R</w:t>
      </w:r>
      <w:r w:rsidRPr="00CB0D16">
        <w:rPr>
          <w:rFonts w:ascii="Times New Roman" w:hAnsi="Times New Roman"/>
          <w:sz w:val="24"/>
          <w:szCs w:val="24"/>
        </w:rPr>
        <w:t xml:space="preserve">eview. </w:t>
      </w:r>
      <w:r w:rsidRPr="00CB0D16">
        <w:rPr>
          <w:rFonts w:ascii="Times New Roman" w:hAnsi="Times New Roman"/>
          <w:i/>
          <w:sz w:val="24"/>
          <w:szCs w:val="24"/>
        </w:rPr>
        <w:t>Transport Reviews</w:t>
      </w:r>
      <w:r w:rsidRPr="00CB0D16">
        <w:rPr>
          <w:rFonts w:ascii="Times New Roman" w:hAnsi="Times New Roman"/>
          <w:sz w:val="24"/>
          <w:szCs w:val="24"/>
        </w:rPr>
        <w:t xml:space="preserve">, </w:t>
      </w:r>
      <w:r w:rsidR="00A770EF">
        <w:rPr>
          <w:rFonts w:ascii="Times New Roman" w:hAnsi="Times New Roman"/>
          <w:sz w:val="24"/>
          <w:szCs w:val="24"/>
        </w:rPr>
        <w:t>Vol. 24, No. 3</w:t>
      </w:r>
      <w:r w:rsidRPr="00CB0D16">
        <w:rPr>
          <w:rFonts w:ascii="Times New Roman" w:hAnsi="Times New Roman"/>
          <w:sz w:val="24"/>
          <w:szCs w:val="24"/>
        </w:rPr>
        <w:t xml:space="preserve">, </w:t>
      </w:r>
      <w:r>
        <w:rPr>
          <w:rFonts w:ascii="Times New Roman" w:hAnsi="Times New Roman"/>
          <w:sz w:val="24"/>
          <w:szCs w:val="24"/>
        </w:rPr>
        <w:t xml:space="preserve">2004, </w:t>
      </w:r>
      <w:r w:rsidRPr="00CB0D16">
        <w:rPr>
          <w:rFonts w:ascii="Times New Roman" w:hAnsi="Times New Roman"/>
          <w:sz w:val="24"/>
          <w:szCs w:val="24"/>
        </w:rPr>
        <w:t xml:space="preserve">pp. 275-292. </w:t>
      </w:r>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CB0D16">
        <w:rPr>
          <w:rFonts w:ascii="Times New Roman" w:hAnsi="Times New Roman"/>
          <w:sz w:val="24"/>
          <w:szCs w:val="24"/>
        </w:rPr>
        <w:t xml:space="preserve">Graham, D.J. and S. </w:t>
      </w:r>
      <w:proofErr w:type="spellStart"/>
      <w:r w:rsidRPr="00CB0D16">
        <w:rPr>
          <w:rFonts w:ascii="Times New Roman" w:hAnsi="Times New Roman"/>
          <w:sz w:val="24"/>
          <w:szCs w:val="24"/>
        </w:rPr>
        <w:t>Glaister</w:t>
      </w:r>
      <w:proofErr w:type="spellEnd"/>
      <w:r>
        <w:rPr>
          <w:rFonts w:ascii="Times New Roman" w:hAnsi="Times New Roman"/>
          <w:sz w:val="24"/>
          <w:szCs w:val="24"/>
        </w:rPr>
        <w:t>.</w:t>
      </w:r>
      <w:r w:rsidRPr="00CB0D16">
        <w:rPr>
          <w:rFonts w:ascii="Times New Roman" w:hAnsi="Times New Roman"/>
          <w:sz w:val="24"/>
          <w:szCs w:val="24"/>
        </w:rPr>
        <w:t xml:space="preserve"> Road </w:t>
      </w:r>
      <w:r w:rsidR="00A770EF">
        <w:rPr>
          <w:rFonts w:ascii="Times New Roman" w:hAnsi="Times New Roman"/>
          <w:sz w:val="24"/>
          <w:szCs w:val="24"/>
        </w:rPr>
        <w:t>T</w:t>
      </w:r>
      <w:r w:rsidRPr="00CB0D16">
        <w:rPr>
          <w:rFonts w:ascii="Times New Roman" w:hAnsi="Times New Roman"/>
          <w:sz w:val="24"/>
          <w:szCs w:val="24"/>
        </w:rPr>
        <w:t xml:space="preserve">raffic </w:t>
      </w:r>
      <w:r w:rsidR="00A770EF">
        <w:rPr>
          <w:rFonts w:ascii="Times New Roman" w:hAnsi="Times New Roman"/>
          <w:sz w:val="24"/>
          <w:szCs w:val="24"/>
        </w:rPr>
        <w:t>D</w:t>
      </w:r>
      <w:r w:rsidRPr="00CB0D16">
        <w:rPr>
          <w:rFonts w:ascii="Times New Roman" w:hAnsi="Times New Roman"/>
          <w:sz w:val="24"/>
          <w:szCs w:val="24"/>
        </w:rPr>
        <w:t xml:space="preserve">emand </w:t>
      </w:r>
      <w:r w:rsidR="00A770EF">
        <w:rPr>
          <w:rFonts w:ascii="Times New Roman" w:hAnsi="Times New Roman"/>
          <w:sz w:val="24"/>
          <w:szCs w:val="24"/>
        </w:rPr>
        <w:t>E</w:t>
      </w:r>
      <w:r w:rsidRPr="00CB0D16">
        <w:rPr>
          <w:rFonts w:ascii="Times New Roman" w:hAnsi="Times New Roman"/>
          <w:sz w:val="24"/>
          <w:szCs w:val="24"/>
        </w:rPr>
        <w:t xml:space="preserve">lasticity </w:t>
      </w:r>
      <w:r w:rsidR="00A770EF">
        <w:rPr>
          <w:rFonts w:ascii="Times New Roman" w:hAnsi="Times New Roman"/>
          <w:sz w:val="24"/>
          <w:szCs w:val="24"/>
        </w:rPr>
        <w:t>E</w:t>
      </w:r>
      <w:r w:rsidRPr="00CB0D16">
        <w:rPr>
          <w:rFonts w:ascii="Times New Roman" w:hAnsi="Times New Roman"/>
          <w:sz w:val="24"/>
          <w:szCs w:val="24"/>
        </w:rPr>
        <w:t xml:space="preserve">stimates: </w:t>
      </w:r>
      <w:r w:rsidR="00A770EF">
        <w:rPr>
          <w:rFonts w:ascii="Times New Roman" w:hAnsi="Times New Roman"/>
          <w:sz w:val="24"/>
          <w:szCs w:val="24"/>
        </w:rPr>
        <w:t>A</w:t>
      </w:r>
      <w:r w:rsidRPr="00CB0D16">
        <w:rPr>
          <w:rFonts w:ascii="Times New Roman" w:hAnsi="Times New Roman"/>
          <w:sz w:val="24"/>
          <w:szCs w:val="24"/>
        </w:rPr>
        <w:t xml:space="preserve"> </w:t>
      </w:r>
      <w:r w:rsidR="00A770EF">
        <w:rPr>
          <w:rFonts w:ascii="Times New Roman" w:hAnsi="Times New Roman"/>
          <w:sz w:val="24"/>
          <w:szCs w:val="24"/>
        </w:rPr>
        <w:t>R</w:t>
      </w:r>
      <w:r w:rsidRPr="00CB0D16">
        <w:rPr>
          <w:rFonts w:ascii="Times New Roman" w:hAnsi="Times New Roman"/>
          <w:sz w:val="24"/>
          <w:szCs w:val="24"/>
        </w:rPr>
        <w:t xml:space="preserve">eview. </w:t>
      </w:r>
      <w:r w:rsidRPr="00CB0D16">
        <w:rPr>
          <w:rFonts w:ascii="Times New Roman" w:hAnsi="Times New Roman"/>
          <w:i/>
          <w:sz w:val="24"/>
          <w:szCs w:val="24"/>
        </w:rPr>
        <w:t>Transport Reviews</w:t>
      </w:r>
      <w:r w:rsidRPr="00CB0D16">
        <w:rPr>
          <w:rFonts w:ascii="Times New Roman" w:hAnsi="Times New Roman"/>
          <w:sz w:val="24"/>
          <w:szCs w:val="24"/>
        </w:rPr>
        <w:t xml:space="preserve">, </w:t>
      </w:r>
      <w:r w:rsidR="00A770EF">
        <w:rPr>
          <w:rFonts w:ascii="Times New Roman" w:hAnsi="Times New Roman"/>
          <w:sz w:val="24"/>
          <w:szCs w:val="24"/>
        </w:rPr>
        <w:t xml:space="preserve">Vol. </w:t>
      </w:r>
      <w:r w:rsidRPr="00CB0D16">
        <w:rPr>
          <w:rFonts w:ascii="Times New Roman" w:hAnsi="Times New Roman"/>
          <w:sz w:val="24"/>
          <w:szCs w:val="24"/>
        </w:rPr>
        <w:t>2</w:t>
      </w:r>
      <w:r w:rsidR="00A770EF">
        <w:rPr>
          <w:rFonts w:ascii="Times New Roman" w:hAnsi="Times New Roman"/>
          <w:sz w:val="24"/>
          <w:szCs w:val="24"/>
        </w:rPr>
        <w:t>4, No. 3</w:t>
      </w:r>
      <w:r w:rsidRPr="00CB0D16">
        <w:rPr>
          <w:rFonts w:ascii="Times New Roman" w:hAnsi="Times New Roman"/>
          <w:sz w:val="24"/>
          <w:szCs w:val="24"/>
        </w:rPr>
        <w:t xml:space="preserve">, </w:t>
      </w:r>
      <w:r>
        <w:rPr>
          <w:rFonts w:ascii="Times New Roman" w:hAnsi="Times New Roman"/>
          <w:sz w:val="24"/>
          <w:szCs w:val="24"/>
        </w:rPr>
        <w:t xml:space="preserve">2004, </w:t>
      </w:r>
      <w:r w:rsidRPr="00CB0D16">
        <w:rPr>
          <w:rFonts w:ascii="Times New Roman" w:hAnsi="Times New Roman"/>
          <w:sz w:val="24"/>
          <w:szCs w:val="24"/>
        </w:rPr>
        <w:t xml:space="preserve">pp. 261-274. </w:t>
      </w:r>
    </w:p>
    <w:p w:rsidR="00DA2A7A" w:rsidRPr="00CB0D16" w:rsidRDefault="00DA2A7A" w:rsidP="00DA2A7A">
      <w:pPr>
        <w:pStyle w:val="ListParagraph"/>
        <w:numPr>
          <w:ilvl w:val="0"/>
          <w:numId w:val="18"/>
        </w:numPr>
        <w:autoSpaceDE w:val="0"/>
        <w:autoSpaceDN w:val="0"/>
        <w:adjustRightInd w:val="0"/>
        <w:spacing w:after="0" w:line="240" w:lineRule="auto"/>
        <w:ind w:left="360"/>
        <w:jc w:val="both"/>
        <w:rPr>
          <w:rFonts w:ascii="Times New Roman" w:hAnsi="Times New Roman"/>
          <w:sz w:val="24"/>
          <w:szCs w:val="24"/>
        </w:rPr>
      </w:pPr>
      <w:r w:rsidRPr="00CB0D16">
        <w:rPr>
          <w:rFonts w:ascii="Times New Roman" w:hAnsi="Times New Roman"/>
          <w:sz w:val="24"/>
          <w:szCs w:val="24"/>
        </w:rPr>
        <w:t>Anderson, P.H., J.A. Mathews, and M. Rask</w:t>
      </w:r>
      <w:r>
        <w:rPr>
          <w:rFonts w:ascii="Times New Roman" w:hAnsi="Times New Roman"/>
          <w:sz w:val="24"/>
          <w:szCs w:val="24"/>
        </w:rPr>
        <w:t>.</w:t>
      </w:r>
      <w:r w:rsidRPr="00CB0D16">
        <w:rPr>
          <w:rFonts w:ascii="Times New Roman" w:hAnsi="Times New Roman"/>
          <w:sz w:val="24"/>
          <w:szCs w:val="24"/>
        </w:rPr>
        <w:t xml:space="preserve"> Integrating </w:t>
      </w:r>
      <w:r w:rsidR="00A770EF">
        <w:rPr>
          <w:rFonts w:ascii="Times New Roman" w:hAnsi="Times New Roman"/>
          <w:sz w:val="24"/>
          <w:szCs w:val="24"/>
        </w:rPr>
        <w:t>P</w:t>
      </w:r>
      <w:r w:rsidRPr="00CB0D16">
        <w:rPr>
          <w:rFonts w:ascii="Times New Roman" w:hAnsi="Times New Roman"/>
          <w:sz w:val="24"/>
          <w:szCs w:val="24"/>
        </w:rPr>
        <w:t xml:space="preserve">rivate </w:t>
      </w:r>
      <w:r w:rsidR="00A770EF">
        <w:rPr>
          <w:rFonts w:ascii="Times New Roman" w:hAnsi="Times New Roman"/>
          <w:sz w:val="24"/>
          <w:szCs w:val="24"/>
        </w:rPr>
        <w:t>T</w:t>
      </w:r>
      <w:r w:rsidRPr="00CB0D16">
        <w:rPr>
          <w:rFonts w:ascii="Times New Roman" w:hAnsi="Times New Roman"/>
          <w:sz w:val="24"/>
          <w:szCs w:val="24"/>
        </w:rPr>
        <w:t xml:space="preserve">ransport into </w:t>
      </w:r>
      <w:r w:rsidR="00A770EF">
        <w:rPr>
          <w:rFonts w:ascii="Times New Roman" w:hAnsi="Times New Roman"/>
          <w:sz w:val="24"/>
          <w:szCs w:val="24"/>
        </w:rPr>
        <w:t>R</w:t>
      </w:r>
      <w:r w:rsidRPr="00CB0D16">
        <w:rPr>
          <w:rFonts w:ascii="Times New Roman" w:hAnsi="Times New Roman"/>
          <w:sz w:val="24"/>
          <w:szCs w:val="24"/>
        </w:rPr>
        <w:t xml:space="preserve">enewable </w:t>
      </w:r>
      <w:r w:rsidR="00A770EF">
        <w:rPr>
          <w:rFonts w:ascii="Times New Roman" w:hAnsi="Times New Roman"/>
          <w:sz w:val="24"/>
          <w:szCs w:val="24"/>
        </w:rPr>
        <w:t>E</w:t>
      </w:r>
      <w:r w:rsidRPr="00CB0D16">
        <w:rPr>
          <w:rFonts w:ascii="Times New Roman" w:hAnsi="Times New Roman"/>
          <w:sz w:val="24"/>
          <w:szCs w:val="24"/>
        </w:rPr>
        <w:t xml:space="preserve">nergy </w:t>
      </w:r>
      <w:r w:rsidR="00A770EF">
        <w:rPr>
          <w:rFonts w:ascii="Times New Roman" w:hAnsi="Times New Roman"/>
          <w:sz w:val="24"/>
          <w:szCs w:val="24"/>
        </w:rPr>
        <w:t>P</w:t>
      </w:r>
      <w:r w:rsidRPr="00CB0D16">
        <w:rPr>
          <w:rFonts w:ascii="Times New Roman" w:hAnsi="Times New Roman"/>
          <w:sz w:val="24"/>
          <w:szCs w:val="24"/>
        </w:rPr>
        <w:t xml:space="preserve">olicy: The </w:t>
      </w:r>
      <w:r w:rsidR="00A770EF">
        <w:rPr>
          <w:rFonts w:ascii="Times New Roman" w:hAnsi="Times New Roman"/>
          <w:sz w:val="24"/>
          <w:szCs w:val="24"/>
        </w:rPr>
        <w:t>S</w:t>
      </w:r>
      <w:r w:rsidRPr="00CB0D16">
        <w:rPr>
          <w:rFonts w:ascii="Times New Roman" w:hAnsi="Times New Roman"/>
          <w:sz w:val="24"/>
          <w:szCs w:val="24"/>
        </w:rPr>
        <w:t xml:space="preserve">trategy of </w:t>
      </w:r>
      <w:r w:rsidR="00A770EF">
        <w:rPr>
          <w:rFonts w:ascii="Times New Roman" w:hAnsi="Times New Roman"/>
          <w:sz w:val="24"/>
          <w:szCs w:val="24"/>
        </w:rPr>
        <w:t>C</w:t>
      </w:r>
      <w:r w:rsidRPr="00CB0D16">
        <w:rPr>
          <w:rFonts w:ascii="Times New Roman" w:hAnsi="Times New Roman"/>
          <w:sz w:val="24"/>
          <w:szCs w:val="24"/>
        </w:rPr>
        <w:t xml:space="preserve">reating </w:t>
      </w:r>
      <w:r w:rsidR="00A770EF">
        <w:rPr>
          <w:rFonts w:ascii="Times New Roman" w:hAnsi="Times New Roman"/>
          <w:sz w:val="24"/>
          <w:szCs w:val="24"/>
        </w:rPr>
        <w:t>I</w:t>
      </w:r>
      <w:r w:rsidRPr="00CB0D16">
        <w:rPr>
          <w:rFonts w:ascii="Times New Roman" w:hAnsi="Times New Roman"/>
          <w:sz w:val="24"/>
          <w:szCs w:val="24"/>
        </w:rPr>
        <w:t xml:space="preserve">ntelligent </w:t>
      </w:r>
      <w:r w:rsidR="00A770EF">
        <w:rPr>
          <w:rFonts w:ascii="Times New Roman" w:hAnsi="Times New Roman"/>
          <w:sz w:val="24"/>
          <w:szCs w:val="24"/>
        </w:rPr>
        <w:t>R</w:t>
      </w:r>
      <w:r w:rsidRPr="00CB0D16">
        <w:rPr>
          <w:rFonts w:ascii="Times New Roman" w:hAnsi="Times New Roman"/>
          <w:sz w:val="24"/>
          <w:szCs w:val="24"/>
        </w:rPr>
        <w:t xml:space="preserve">echarging </w:t>
      </w:r>
      <w:r w:rsidR="00A770EF">
        <w:rPr>
          <w:rFonts w:ascii="Times New Roman" w:hAnsi="Times New Roman"/>
          <w:sz w:val="24"/>
          <w:szCs w:val="24"/>
        </w:rPr>
        <w:t>G</w:t>
      </w:r>
      <w:r w:rsidRPr="00CB0D16">
        <w:rPr>
          <w:rFonts w:ascii="Times New Roman" w:hAnsi="Times New Roman"/>
          <w:sz w:val="24"/>
          <w:szCs w:val="24"/>
        </w:rPr>
        <w:t xml:space="preserve">rids for </w:t>
      </w:r>
      <w:r w:rsidR="00A770EF">
        <w:rPr>
          <w:rFonts w:ascii="Times New Roman" w:hAnsi="Times New Roman"/>
          <w:sz w:val="24"/>
          <w:szCs w:val="24"/>
        </w:rPr>
        <w:t>E</w:t>
      </w:r>
      <w:r w:rsidRPr="00CB0D16">
        <w:rPr>
          <w:rFonts w:ascii="Times New Roman" w:hAnsi="Times New Roman"/>
          <w:sz w:val="24"/>
          <w:szCs w:val="24"/>
        </w:rPr>
        <w:t xml:space="preserve">lectric </w:t>
      </w:r>
      <w:r w:rsidR="00A770EF">
        <w:rPr>
          <w:rFonts w:ascii="Times New Roman" w:hAnsi="Times New Roman"/>
          <w:sz w:val="24"/>
          <w:szCs w:val="24"/>
        </w:rPr>
        <w:t>V</w:t>
      </w:r>
      <w:r w:rsidRPr="00CB0D16">
        <w:rPr>
          <w:rFonts w:ascii="Times New Roman" w:hAnsi="Times New Roman"/>
          <w:sz w:val="24"/>
          <w:szCs w:val="24"/>
        </w:rPr>
        <w:t xml:space="preserve">ehicles, </w:t>
      </w:r>
      <w:r w:rsidRPr="00CB0D16">
        <w:rPr>
          <w:rFonts w:ascii="Times New Roman" w:hAnsi="Times New Roman"/>
          <w:i/>
          <w:sz w:val="24"/>
          <w:szCs w:val="24"/>
        </w:rPr>
        <w:t>Energy Policy</w:t>
      </w:r>
      <w:r w:rsidRPr="00CB0D16">
        <w:rPr>
          <w:rFonts w:ascii="Times New Roman" w:hAnsi="Times New Roman"/>
          <w:sz w:val="24"/>
          <w:szCs w:val="24"/>
        </w:rPr>
        <w:t xml:space="preserve">, </w:t>
      </w:r>
      <w:r w:rsidR="00A770EF">
        <w:rPr>
          <w:rFonts w:ascii="Times New Roman" w:hAnsi="Times New Roman"/>
          <w:sz w:val="24"/>
          <w:szCs w:val="24"/>
        </w:rPr>
        <w:t xml:space="preserve">Vol. </w:t>
      </w:r>
      <w:r w:rsidRPr="00CB0D16">
        <w:rPr>
          <w:rFonts w:ascii="Times New Roman" w:hAnsi="Times New Roman"/>
          <w:sz w:val="24"/>
          <w:szCs w:val="24"/>
        </w:rPr>
        <w:t xml:space="preserve">37, </w:t>
      </w:r>
      <w:r>
        <w:rPr>
          <w:rFonts w:ascii="Times New Roman" w:hAnsi="Times New Roman"/>
          <w:sz w:val="24"/>
          <w:szCs w:val="24"/>
        </w:rPr>
        <w:t xml:space="preserve">2009, pp. </w:t>
      </w:r>
      <w:r w:rsidRPr="00CB0D16">
        <w:rPr>
          <w:rFonts w:ascii="Times New Roman" w:hAnsi="Times New Roman"/>
          <w:sz w:val="24"/>
          <w:szCs w:val="24"/>
        </w:rPr>
        <w:t>2481-2486.</w:t>
      </w:r>
    </w:p>
    <w:p w:rsidR="00DA2A7A" w:rsidRPr="008A3CF5" w:rsidRDefault="00DA2A7A" w:rsidP="00DA2A7A">
      <w:pPr>
        <w:pStyle w:val="ListParagraph"/>
        <w:numPr>
          <w:ilvl w:val="0"/>
          <w:numId w:val="18"/>
        </w:numPr>
        <w:autoSpaceDE w:val="0"/>
        <w:autoSpaceDN w:val="0"/>
        <w:adjustRightInd w:val="0"/>
        <w:spacing w:after="0" w:line="240" w:lineRule="auto"/>
        <w:ind w:left="360"/>
        <w:jc w:val="both"/>
        <w:rPr>
          <w:rStyle w:val="A6"/>
          <w:sz w:val="24"/>
          <w:szCs w:val="24"/>
          <w:u w:val="none"/>
        </w:rPr>
      </w:pPr>
      <w:r w:rsidRPr="008A3CF5">
        <w:rPr>
          <w:rStyle w:val="A6"/>
          <w:sz w:val="24"/>
          <w:szCs w:val="24"/>
          <w:u w:val="none"/>
        </w:rPr>
        <w:t xml:space="preserve">Thomas, S. How </w:t>
      </w:r>
      <w:r w:rsidR="00757D54">
        <w:rPr>
          <w:rStyle w:val="A6"/>
          <w:sz w:val="24"/>
          <w:szCs w:val="24"/>
          <w:u w:val="none"/>
        </w:rPr>
        <w:t>G</w:t>
      </w:r>
      <w:r w:rsidRPr="008A3CF5">
        <w:rPr>
          <w:rStyle w:val="A6"/>
          <w:sz w:val="24"/>
          <w:szCs w:val="24"/>
          <w:u w:val="none"/>
        </w:rPr>
        <w:t xml:space="preserve">reen are </w:t>
      </w:r>
      <w:r w:rsidR="00757D54">
        <w:rPr>
          <w:rStyle w:val="A6"/>
          <w:sz w:val="24"/>
          <w:szCs w:val="24"/>
          <w:u w:val="none"/>
        </w:rPr>
        <w:t>E</w:t>
      </w:r>
      <w:r w:rsidRPr="008A3CF5">
        <w:rPr>
          <w:rStyle w:val="A6"/>
          <w:sz w:val="24"/>
          <w:szCs w:val="24"/>
          <w:u w:val="none"/>
        </w:rPr>
        <w:t xml:space="preserve">lectric </w:t>
      </w:r>
      <w:r w:rsidR="00757D54">
        <w:rPr>
          <w:rStyle w:val="A6"/>
          <w:sz w:val="24"/>
          <w:szCs w:val="24"/>
          <w:u w:val="none"/>
        </w:rPr>
        <w:t>V</w:t>
      </w:r>
      <w:r w:rsidRPr="008A3CF5">
        <w:rPr>
          <w:rStyle w:val="A6"/>
          <w:sz w:val="24"/>
          <w:szCs w:val="24"/>
          <w:u w:val="none"/>
        </w:rPr>
        <w:t xml:space="preserve">ehicles? </w:t>
      </w:r>
      <w:r w:rsidRPr="008A3CF5">
        <w:rPr>
          <w:rStyle w:val="A6"/>
          <w:i/>
          <w:sz w:val="24"/>
          <w:szCs w:val="24"/>
          <w:u w:val="none"/>
        </w:rPr>
        <w:t>International Journal of Hydrogen Energy</w:t>
      </w:r>
      <w:r w:rsidRPr="008A3CF5">
        <w:rPr>
          <w:rStyle w:val="A6"/>
          <w:sz w:val="24"/>
          <w:szCs w:val="24"/>
          <w:u w:val="none"/>
        </w:rPr>
        <w:t xml:space="preserve">, </w:t>
      </w:r>
      <w:r w:rsidR="00A770EF">
        <w:rPr>
          <w:rStyle w:val="A6"/>
          <w:sz w:val="24"/>
          <w:szCs w:val="24"/>
          <w:u w:val="none"/>
        </w:rPr>
        <w:t xml:space="preserve">Vol. </w:t>
      </w:r>
      <w:r w:rsidRPr="008A3CF5">
        <w:rPr>
          <w:rStyle w:val="A6"/>
          <w:sz w:val="24"/>
          <w:szCs w:val="24"/>
          <w:u w:val="none"/>
        </w:rPr>
        <w:t>37, 2012, pp. 6053-6062.</w:t>
      </w:r>
    </w:p>
    <w:p w:rsidR="00DA2A7A" w:rsidRDefault="00DA2A7A" w:rsidP="00DA2A7A">
      <w:pPr>
        <w:ind w:left="360"/>
        <w:jc w:val="both"/>
      </w:pPr>
    </w:p>
    <w:p w:rsidR="00711E8E" w:rsidRDefault="00711E8E" w:rsidP="00F87F61">
      <w:pPr>
        <w:autoSpaceDE w:val="0"/>
        <w:autoSpaceDN w:val="0"/>
        <w:adjustRightInd w:val="0"/>
        <w:spacing w:after="0" w:line="240" w:lineRule="auto"/>
        <w:ind w:left="450" w:hanging="450"/>
        <w:jc w:val="both"/>
        <w:rPr>
          <w:rStyle w:val="A6"/>
          <w:sz w:val="24"/>
          <w:szCs w:val="24"/>
          <w:u w:val="none"/>
        </w:rPr>
        <w:sectPr w:rsidR="00711E8E" w:rsidSect="005E09DE">
          <w:headerReference w:type="first" r:id="rId39"/>
          <w:pgSz w:w="12240" w:h="15840" w:code="1"/>
          <w:pgMar w:top="1440" w:right="1440" w:bottom="1440" w:left="1440" w:header="720" w:footer="720" w:gutter="0"/>
          <w:pgNumType w:start="1"/>
          <w:cols w:space="720"/>
          <w:titlePg/>
          <w:docGrid w:linePitch="360"/>
        </w:sectPr>
      </w:pPr>
    </w:p>
    <w:p w:rsidR="0091335E" w:rsidRPr="00711E8E" w:rsidRDefault="00711E8E" w:rsidP="00F87F61">
      <w:pPr>
        <w:autoSpaceDE w:val="0"/>
        <w:autoSpaceDN w:val="0"/>
        <w:adjustRightInd w:val="0"/>
        <w:spacing w:after="0" w:line="240" w:lineRule="auto"/>
        <w:ind w:left="450" w:hanging="450"/>
        <w:jc w:val="both"/>
        <w:rPr>
          <w:rStyle w:val="A6"/>
          <w:b/>
          <w:sz w:val="24"/>
          <w:szCs w:val="24"/>
          <w:u w:val="none"/>
        </w:rPr>
      </w:pPr>
      <w:r w:rsidRPr="00711E8E">
        <w:rPr>
          <w:rStyle w:val="A6"/>
          <w:b/>
          <w:sz w:val="24"/>
          <w:szCs w:val="24"/>
          <w:u w:val="none"/>
        </w:rPr>
        <w:lastRenderedPageBreak/>
        <w:t>LIST OF TABLES</w:t>
      </w:r>
    </w:p>
    <w:p w:rsidR="00711E8E" w:rsidRDefault="00711E8E" w:rsidP="00F87F61">
      <w:pPr>
        <w:autoSpaceDE w:val="0"/>
        <w:autoSpaceDN w:val="0"/>
        <w:adjustRightInd w:val="0"/>
        <w:spacing w:after="0" w:line="240" w:lineRule="auto"/>
        <w:ind w:left="450" w:hanging="450"/>
        <w:jc w:val="both"/>
        <w:rPr>
          <w:rStyle w:val="A6"/>
          <w:sz w:val="24"/>
          <w:szCs w:val="24"/>
          <w:u w:val="none"/>
        </w:rPr>
      </w:pPr>
    </w:p>
    <w:p w:rsidR="00711E8E" w:rsidRDefault="00711E8E" w:rsidP="00F87F61">
      <w:pPr>
        <w:autoSpaceDE w:val="0"/>
        <w:autoSpaceDN w:val="0"/>
        <w:adjustRightInd w:val="0"/>
        <w:spacing w:after="0" w:line="240" w:lineRule="auto"/>
        <w:ind w:left="450" w:hanging="450"/>
        <w:jc w:val="both"/>
        <w:rPr>
          <w:rFonts w:ascii="Times New Roman" w:hAnsi="Times New Roman"/>
          <w:sz w:val="24"/>
          <w:szCs w:val="24"/>
        </w:rPr>
      </w:pPr>
      <w:r w:rsidRPr="00711E8E">
        <w:rPr>
          <w:rFonts w:ascii="Times New Roman" w:hAnsi="Times New Roman"/>
          <w:sz w:val="24"/>
          <w:szCs w:val="24"/>
        </w:rPr>
        <w:t xml:space="preserve">TABLE </w:t>
      </w:r>
      <w:proofErr w:type="gramStart"/>
      <w:r w:rsidRPr="00711E8E">
        <w:rPr>
          <w:rFonts w:ascii="Times New Roman" w:hAnsi="Times New Roman"/>
          <w:sz w:val="24"/>
          <w:szCs w:val="24"/>
        </w:rPr>
        <w:t>1  Vehicle</w:t>
      </w:r>
      <w:proofErr w:type="gramEnd"/>
      <w:r w:rsidRPr="00711E8E">
        <w:rPr>
          <w:rFonts w:ascii="Times New Roman" w:hAnsi="Times New Roman"/>
          <w:sz w:val="24"/>
          <w:szCs w:val="24"/>
        </w:rPr>
        <w:t xml:space="preserve"> Fleet Composition in 2020 and 2030</w:t>
      </w:r>
    </w:p>
    <w:p w:rsidR="00711E8E" w:rsidRPr="00711E8E" w:rsidRDefault="00711E8E" w:rsidP="00F87F61">
      <w:pPr>
        <w:autoSpaceDE w:val="0"/>
        <w:autoSpaceDN w:val="0"/>
        <w:adjustRightInd w:val="0"/>
        <w:spacing w:after="0" w:line="240" w:lineRule="auto"/>
        <w:ind w:left="450" w:hanging="450"/>
        <w:jc w:val="both"/>
        <w:rPr>
          <w:rStyle w:val="A6"/>
          <w:sz w:val="24"/>
          <w:szCs w:val="24"/>
          <w:u w:val="none"/>
        </w:rPr>
      </w:pPr>
      <w:r w:rsidRPr="00711E8E">
        <w:rPr>
          <w:rFonts w:ascii="Times New Roman" w:hAnsi="Times New Roman"/>
          <w:sz w:val="24"/>
          <w:szCs w:val="24"/>
        </w:rPr>
        <w:t xml:space="preserve">TABLE </w:t>
      </w:r>
      <w:proofErr w:type="gramStart"/>
      <w:r w:rsidRPr="00711E8E">
        <w:rPr>
          <w:rFonts w:ascii="Times New Roman" w:hAnsi="Times New Roman"/>
          <w:sz w:val="24"/>
          <w:szCs w:val="24"/>
        </w:rPr>
        <w:t>2</w:t>
      </w:r>
      <w:r>
        <w:rPr>
          <w:rFonts w:ascii="Times New Roman" w:hAnsi="Times New Roman"/>
          <w:sz w:val="24"/>
          <w:szCs w:val="24"/>
        </w:rPr>
        <w:t xml:space="preserve"> </w:t>
      </w:r>
      <w:r w:rsidRPr="00711E8E">
        <w:rPr>
          <w:rFonts w:ascii="Times New Roman" w:hAnsi="Times New Roman"/>
          <w:sz w:val="24"/>
          <w:szCs w:val="24"/>
        </w:rPr>
        <w:t xml:space="preserve"> Vehicle</w:t>
      </w:r>
      <w:proofErr w:type="gramEnd"/>
      <w:r w:rsidRPr="00711E8E">
        <w:rPr>
          <w:rFonts w:ascii="Times New Roman" w:hAnsi="Times New Roman"/>
          <w:sz w:val="24"/>
          <w:szCs w:val="24"/>
        </w:rPr>
        <w:t xml:space="preserve"> Mileage, Fuel Consumption, and Emissions in 2020 and 2030</w:t>
      </w:r>
    </w:p>
    <w:p w:rsidR="00686A78" w:rsidRPr="00711E8E" w:rsidRDefault="00686A78" w:rsidP="00522AF3">
      <w:pPr>
        <w:rPr>
          <w:rFonts w:ascii="Times New Roman" w:hAnsi="Times New Roman"/>
        </w:rPr>
      </w:pPr>
    </w:p>
    <w:p w:rsidR="00DA2A7A" w:rsidRPr="00711E8E" w:rsidRDefault="00DA2A7A" w:rsidP="00522AF3">
      <w:pPr>
        <w:rPr>
          <w:rFonts w:ascii="Times New Roman" w:hAnsi="Times New Roman"/>
        </w:rPr>
      </w:pPr>
    </w:p>
    <w:p w:rsidR="00DA2A7A" w:rsidRPr="00711E8E" w:rsidRDefault="00DA2A7A" w:rsidP="00522AF3">
      <w:pPr>
        <w:rPr>
          <w:rFonts w:ascii="Times New Roman" w:hAnsi="Times New Roman"/>
        </w:rPr>
        <w:sectPr w:rsidR="00DA2A7A" w:rsidRPr="00711E8E" w:rsidSect="00711E8E">
          <w:pgSz w:w="12240" w:h="15840" w:code="1"/>
          <w:pgMar w:top="1440" w:right="1440" w:bottom="1440" w:left="1440" w:header="720" w:footer="720" w:gutter="0"/>
          <w:cols w:space="720"/>
          <w:titlePg/>
          <w:docGrid w:linePitch="360"/>
        </w:sectPr>
      </w:pPr>
    </w:p>
    <w:p w:rsidR="00F87F61" w:rsidRDefault="00F87F61" w:rsidP="00885668">
      <w:pPr>
        <w:spacing w:after="120" w:line="240" w:lineRule="auto"/>
        <w:jc w:val="center"/>
        <w:rPr>
          <w:rFonts w:ascii="Times New Roman" w:hAnsi="Times New Roman"/>
          <w:b/>
          <w:sz w:val="24"/>
          <w:szCs w:val="24"/>
        </w:rPr>
      </w:pPr>
    </w:p>
    <w:p w:rsidR="00885668" w:rsidRPr="00122069" w:rsidRDefault="00711E8E" w:rsidP="00885668">
      <w:pPr>
        <w:spacing w:after="120" w:line="240" w:lineRule="auto"/>
        <w:jc w:val="center"/>
        <w:rPr>
          <w:rFonts w:ascii="Times New Roman" w:hAnsi="Times New Roman"/>
          <w:b/>
          <w:sz w:val="24"/>
          <w:szCs w:val="24"/>
        </w:rPr>
      </w:pPr>
      <w:r>
        <w:rPr>
          <w:rFonts w:ascii="Times New Roman" w:hAnsi="Times New Roman"/>
          <w:b/>
          <w:sz w:val="24"/>
          <w:szCs w:val="24"/>
        </w:rPr>
        <w:t xml:space="preserve">TABLE </w:t>
      </w:r>
      <w:proofErr w:type="gramStart"/>
      <w:r>
        <w:rPr>
          <w:rFonts w:ascii="Times New Roman" w:hAnsi="Times New Roman"/>
          <w:b/>
          <w:sz w:val="24"/>
          <w:szCs w:val="24"/>
        </w:rPr>
        <w:t xml:space="preserve">1 </w:t>
      </w:r>
      <w:r w:rsidR="00885668" w:rsidRPr="00122069">
        <w:rPr>
          <w:rFonts w:ascii="Times New Roman" w:hAnsi="Times New Roman"/>
          <w:b/>
          <w:sz w:val="24"/>
          <w:szCs w:val="24"/>
        </w:rPr>
        <w:t xml:space="preserve"> Vehicle</w:t>
      </w:r>
      <w:proofErr w:type="gramEnd"/>
      <w:r w:rsidR="00885668" w:rsidRPr="00122069">
        <w:rPr>
          <w:rFonts w:ascii="Times New Roman" w:hAnsi="Times New Roman"/>
          <w:b/>
          <w:sz w:val="24"/>
          <w:szCs w:val="24"/>
        </w:rPr>
        <w:t xml:space="preserve"> Fleet Composition in 2020 and 2030</w:t>
      </w:r>
    </w:p>
    <w:tbl>
      <w:tblPr>
        <w:tblW w:w="4836" w:type="pct"/>
        <w:tblLayout w:type="fixed"/>
        <w:tblLook w:val="04A0"/>
      </w:tblPr>
      <w:tblGrid>
        <w:gridCol w:w="2538"/>
        <w:gridCol w:w="948"/>
        <w:gridCol w:w="887"/>
        <w:gridCol w:w="895"/>
        <w:gridCol w:w="887"/>
        <w:gridCol w:w="895"/>
        <w:gridCol w:w="902"/>
        <w:gridCol w:w="895"/>
        <w:gridCol w:w="902"/>
        <w:gridCol w:w="905"/>
        <w:gridCol w:w="1027"/>
        <w:gridCol w:w="1063"/>
      </w:tblGrid>
      <w:tr w:rsidR="003F0E08" w:rsidRPr="002C3C87" w:rsidTr="00F87F61">
        <w:trPr>
          <w:trHeight w:val="288"/>
        </w:trPr>
        <w:tc>
          <w:tcPr>
            <w:tcW w:w="996" w:type="pct"/>
            <w:tcBorders>
              <w:top w:val="nil"/>
              <w:left w:val="nil"/>
              <w:bottom w:val="nil"/>
              <w:right w:val="double" w:sz="6" w:space="0" w:color="auto"/>
            </w:tcBorders>
            <w:shd w:val="clear" w:color="auto" w:fill="auto"/>
            <w:vAlign w:val="center"/>
            <w:hideMark/>
          </w:tcPr>
          <w:p w:rsidR="00885668" w:rsidRPr="002C3C87" w:rsidRDefault="00885668" w:rsidP="00C141D8">
            <w:pPr>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72" w:type="pct"/>
            <w:tcBorders>
              <w:top w:val="double" w:sz="6" w:space="0" w:color="auto"/>
              <w:left w:val="nil"/>
              <w:bottom w:val="nil"/>
              <w:right w:val="double" w:sz="6" w:space="0" w:color="auto"/>
            </w:tcBorders>
            <w:shd w:val="clear" w:color="auto" w:fill="auto"/>
            <w:vAlign w:val="center"/>
            <w:hideMark/>
          </w:tcPr>
          <w:p w:rsidR="00885668" w:rsidRPr="002C3C87" w:rsidRDefault="00885668" w:rsidP="00C141D8">
            <w:pPr>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699" w:type="pct"/>
            <w:gridSpan w:val="2"/>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5668" w:rsidRPr="00255319" w:rsidRDefault="0088566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Baseline</w:t>
            </w:r>
            <w:r w:rsidR="003F0E08">
              <w:rPr>
                <w:rFonts w:ascii="Times New Roman" w:eastAsia="Times New Roman" w:hAnsi="Times New Roman"/>
                <w:b/>
                <w:color w:val="000000"/>
                <w:sz w:val="18"/>
                <w:szCs w:val="18"/>
              </w:rPr>
              <w:t xml:space="preserve"> Forecast</w:t>
            </w:r>
          </w:p>
        </w:tc>
        <w:tc>
          <w:tcPr>
            <w:tcW w:w="2933" w:type="pct"/>
            <w:gridSpan w:val="8"/>
            <w:tcBorders>
              <w:top w:val="double" w:sz="6" w:space="0" w:color="auto"/>
              <w:left w:val="nil"/>
              <w:bottom w:val="single" w:sz="4" w:space="0" w:color="auto"/>
              <w:right w:val="double" w:sz="6" w:space="0" w:color="auto"/>
            </w:tcBorders>
            <w:shd w:val="clear" w:color="auto" w:fill="auto"/>
            <w:vAlign w:val="center"/>
            <w:hideMark/>
          </w:tcPr>
          <w:p w:rsidR="00885668" w:rsidRPr="002C3C87" w:rsidRDefault="009666AB" w:rsidP="00C141D8">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Scenario</w:t>
            </w:r>
          </w:p>
        </w:tc>
      </w:tr>
      <w:tr w:rsidR="003F0E08" w:rsidRPr="002C3C87" w:rsidTr="00F87F61">
        <w:trPr>
          <w:trHeight w:val="737"/>
        </w:trPr>
        <w:tc>
          <w:tcPr>
            <w:tcW w:w="996" w:type="pct"/>
            <w:tcBorders>
              <w:top w:val="nil"/>
              <w:left w:val="nil"/>
              <w:bottom w:val="nil"/>
              <w:right w:val="double" w:sz="6" w:space="0" w:color="auto"/>
            </w:tcBorders>
            <w:shd w:val="clear" w:color="auto" w:fill="auto"/>
            <w:vAlign w:val="center"/>
            <w:hideMark/>
          </w:tcPr>
          <w:p w:rsidR="003F0E08" w:rsidRPr="002C3C87" w:rsidRDefault="003F0E08" w:rsidP="00C141D8">
            <w:pPr>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72" w:type="pct"/>
            <w:tcBorders>
              <w:top w:val="nil"/>
              <w:left w:val="nil"/>
              <w:bottom w:val="single" w:sz="4"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Base Year</w:t>
            </w:r>
            <w:r w:rsidRPr="00255319">
              <w:rPr>
                <w:rFonts w:ascii="Times New Roman" w:eastAsia="Times New Roman" w:hAnsi="Times New Roman"/>
                <w:b/>
                <w:color w:val="000000"/>
                <w:sz w:val="18"/>
                <w:szCs w:val="18"/>
              </w:rPr>
              <w:t> </w:t>
            </w:r>
          </w:p>
        </w:tc>
        <w:tc>
          <w:tcPr>
            <w:tcW w:w="699" w:type="pct"/>
            <w:gridSpan w:val="2"/>
            <w:vMerge/>
            <w:tcBorders>
              <w:top w:val="nil"/>
              <w:left w:val="nil"/>
              <w:bottom w:val="single" w:sz="4" w:space="0" w:color="auto"/>
              <w:right w:val="double" w:sz="6" w:space="0" w:color="auto"/>
            </w:tcBorders>
            <w:vAlign w:val="center"/>
            <w:hideMark/>
          </w:tcPr>
          <w:p w:rsidR="003F0E08" w:rsidRPr="00255319" w:rsidRDefault="003F0E08" w:rsidP="00C141D8">
            <w:pPr>
              <w:spacing w:after="0" w:line="240" w:lineRule="auto"/>
              <w:rPr>
                <w:rFonts w:ascii="Times New Roman" w:eastAsia="Times New Roman" w:hAnsi="Times New Roman"/>
                <w:b/>
                <w:color w:val="000000"/>
                <w:sz w:val="18"/>
                <w:szCs w:val="18"/>
              </w:rPr>
            </w:pPr>
          </w:p>
        </w:tc>
        <w:tc>
          <w:tcPr>
            <w:tcW w:w="699" w:type="pct"/>
            <w:gridSpan w:val="2"/>
            <w:tcBorders>
              <w:top w:val="single" w:sz="4" w:space="0" w:color="auto"/>
              <w:left w:val="nil"/>
              <w:bottom w:val="single" w:sz="4"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HOV Lane Access</w:t>
            </w:r>
          </w:p>
        </w:tc>
        <w:tc>
          <w:tcPr>
            <w:tcW w:w="705" w:type="pct"/>
            <w:gridSpan w:val="2"/>
            <w:tcBorders>
              <w:top w:val="single" w:sz="4" w:space="0" w:color="auto"/>
              <w:left w:val="nil"/>
              <w:bottom w:val="single" w:sz="4"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Gas Cost Doubles</w:t>
            </w:r>
          </w:p>
        </w:tc>
        <w:tc>
          <w:tcPr>
            <w:tcW w:w="709" w:type="pct"/>
            <w:gridSpan w:val="2"/>
            <w:tcBorders>
              <w:top w:val="single" w:sz="4" w:space="0" w:color="auto"/>
              <w:left w:val="nil"/>
              <w:bottom w:val="single" w:sz="4"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Increased Driving Range</w:t>
            </w:r>
          </w:p>
        </w:tc>
        <w:tc>
          <w:tcPr>
            <w:tcW w:w="821" w:type="pct"/>
            <w:gridSpan w:val="2"/>
            <w:tcBorders>
              <w:top w:val="single" w:sz="4" w:space="0" w:color="auto"/>
              <w:left w:val="nil"/>
              <w:bottom w:val="single" w:sz="4"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Combination: Gas Cost Doubles + Increased Driving Range</w:t>
            </w:r>
          </w:p>
        </w:tc>
      </w:tr>
      <w:tr w:rsidR="003F0E08" w:rsidRPr="002C3C87" w:rsidTr="00F87F61">
        <w:trPr>
          <w:trHeight w:val="288"/>
        </w:trPr>
        <w:tc>
          <w:tcPr>
            <w:tcW w:w="996" w:type="pct"/>
            <w:tcBorders>
              <w:top w:val="nil"/>
              <w:left w:val="nil"/>
              <w:bottom w:val="double" w:sz="6" w:space="0" w:color="auto"/>
              <w:right w:val="double" w:sz="6" w:space="0" w:color="auto"/>
            </w:tcBorders>
            <w:shd w:val="clear" w:color="auto" w:fill="auto"/>
            <w:vAlign w:val="center"/>
            <w:hideMark/>
          </w:tcPr>
          <w:p w:rsidR="003F0E08" w:rsidRPr="002C3C87" w:rsidRDefault="003F0E08" w:rsidP="00C141D8">
            <w:pPr>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72" w:type="pct"/>
            <w:tcBorders>
              <w:top w:val="single" w:sz="4" w:space="0" w:color="auto"/>
              <w:left w:val="nil"/>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2008</w:t>
            </w:r>
          </w:p>
        </w:tc>
        <w:tc>
          <w:tcPr>
            <w:tcW w:w="348" w:type="pct"/>
            <w:tcBorders>
              <w:top w:val="single" w:sz="4" w:space="0" w:color="auto"/>
              <w:left w:val="nil"/>
              <w:bottom w:val="double" w:sz="6" w:space="0" w:color="auto"/>
              <w:right w:val="nil"/>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2020</w:t>
            </w:r>
          </w:p>
        </w:tc>
        <w:tc>
          <w:tcPr>
            <w:tcW w:w="350" w:type="pct"/>
            <w:tcBorders>
              <w:top w:val="single" w:sz="4" w:space="0" w:color="auto"/>
              <w:left w:val="single" w:sz="4" w:space="0" w:color="auto"/>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2030</w:t>
            </w:r>
          </w:p>
        </w:tc>
        <w:tc>
          <w:tcPr>
            <w:tcW w:w="348" w:type="pct"/>
            <w:tcBorders>
              <w:top w:val="nil"/>
              <w:left w:val="nil"/>
              <w:bottom w:val="double" w:sz="6" w:space="0" w:color="auto"/>
              <w:right w:val="single" w:sz="4"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2020</w:t>
            </w:r>
          </w:p>
        </w:tc>
        <w:tc>
          <w:tcPr>
            <w:tcW w:w="350" w:type="pct"/>
            <w:tcBorders>
              <w:top w:val="nil"/>
              <w:left w:val="nil"/>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2030</w:t>
            </w:r>
          </w:p>
        </w:tc>
        <w:tc>
          <w:tcPr>
            <w:tcW w:w="354" w:type="pct"/>
            <w:tcBorders>
              <w:top w:val="nil"/>
              <w:left w:val="nil"/>
              <w:bottom w:val="double" w:sz="6" w:space="0" w:color="auto"/>
              <w:right w:val="nil"/>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2020</w:t>
            </w:r>
          </w:p>
        </w:tc>
        <w:tc>
          <w:tcPr>
            <w:tcW w:w="350" w:type="pct"/>
            <w:tcBorders>
              <w:top w:val="nil"/>
              <w:left w:val="single" w:sz="4" w:space="0" w:color="auto"/>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c>
          <w:tcPr>
            <w:tcW w:w="354" w:type="pct"/>
            <w:tcBorders>
              <w:top w:val="nil"/>
              <w:left w:val="nil"/>
              <w:bottom w:val="double" w:sz="6" w:space="0" w:color="auto"/>
              <w:right w:val="single" w:sz="4"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2020</w:t>
            </w:r>
          </w:p>
        </w:tc>
        <w:tc>
          <w:tcPr>
            <w:tcW w:w="354" w:type="pct"/>
            <w:tcBorders>
              <w:top w:val="nil"/>
              <w:left w:val="nil"/>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c>
          <w:tcPr>
            <w:tcW w:w="403" w:type="pct"/>
            <w:tcBorders>
              <w:top w:val="nil"/>
              <w:left w:val="nil"/>
              <w:bottom w:val="double" w:sz="6" w:space="0" w:color="auto"/>
              <w:right w:val="nil"/>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2020</w:t>
            </w:r>
          </w:p>
        </w:tc>
        <w:tc>
          <w:tcPr>
            <w:tcW w:w="418" w:type="pct"/>
            <w:tcBorders>
              <w:top w:val="nil"/>
              <w:left w:val="single" w:sz="4" w:space="0" w:color="auto"/>
              <w:bottom w:val="double" w:sz="6" w:space="0" w:color="auto"/>
              <w:right w:val="double" w:sz="6" w:space="0" w:color="auto"/>
            </w:tcBorders>
            <w:shd w:val="clear" w:color="auto" w:fill="auto"/>
            <w:vAlign w:val="center"/>
            <w:hideMark/>
          </w:tcPr>
          <w:p w:rsidR="003F0E08" w:rsidRPr="00255319" w:rsidRDefault="003F0E08"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F87F61" w:rsidP="00C141D8">
            <w:pPr>
              <w:spacing w:after="0" w:line="240" w:lineRule="auto"/>
              <w:rPr>
                <w:rFonts w:ascii="Times New Roman" w:eastAsia="Times New Roman" w:hAnsi="Times New Roman"/>
                <w:color w:val="000000"/>
                <w:sz w:val="18"/>
                <w:szCs w:val="18"/>
              </w:rPr>
            </w:pPr>
            <w:r>
              <w:rPr>
                <w:rFonts w:ascii="Times New Roman" w:eastAsia="Times New Roman" w:hAnsi="Times New Roman"/>
                <w:color w:val="000000"/>
                <w:sz w:val="18"/>
                <w:szCs w:val="18"/>
              </w:rPr>
              <w:t>Total Number of V</w:t>
            </w:r>
            <w:r w:rsidR="003F0E08" w:rsidRPr="002C3C87">
              <w:rPr>
                <w:rFonts w:ascii="Times New Roman" w:eastAsia="Times New Roman" w:hAnsi="Times New Roman"/>
                <w:color w:val="000000"/>
                <w:sz w:val="18"/>
                <w:szCs w:val="18"/>
              </w:rPr>
              <w:t>ehicles</w:t>
            </w:r>
          </w:p>
        </w:tc>
        <w:tc>
          <w:tcPr>
            <w:tcW w:w="372" w:type="pct"/>
            <w:tcBorders>
              <w:top w:val="nil"/>
              <w:left w:val="nil"/>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13016</w:t>
            </w:r>
          </w:p>
        </w:tc>
        <w:tc>
          <w:tcPr>
            <w:tcW w:w="348" w:type="pct"/>
            <w:tcBorders>
              <w:top w:val="nil"/>
              <w:left w:val="nil"/>
              <w:bottom w:val="nil"/>
              <w:right w:val="nil"/>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15548</w:t>
            </w:r>
          </w:p>
        </w:tc>
        <w:tc>
          <w:tcPr>
            <w:tcW w:w="350" w:type="pct"/>
            <w:tcBorders>
              <w:top w:val="nil"/>
              <w:left w:val="single" w:sz="4" w:space="0" w:color="auto"/>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16697</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15609</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16908</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14832</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15823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16091</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17422</w:t>
            </w:r>
          </w:p>
        </w:tc>
        <w:tc>
          <w:tcPr>
            <w:tcW w:w="403" w:type="pct"/>
            <w:tcBorders>
              <w:top w:val="nil"/>
              <w:left w:val="nil"/>
              <w:bottom w:val="nil"/>
              <w:right w:val="nil"/>
            </w:tcBorders>
            <w:shd w:val="clear" w:color="auto" w:fill="auto"/>
            <w:noWrap/>
            <w:vAlign w:val="center"/>
            <w:hideMark/>
          </w:tcPr>
          <w:p w:rsidR="003F0E08" w:rsidRPr="00122069" w:rsidRDefault="003F0E08" w:rsidP="00811163">
            <w:pPr>
              <w:tabs>
                <w:tab w:val="decimal" w:pos="582"/>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15536</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582"/>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16843</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Average Number o</w:t>
            </w:r>
            <w:r>
              <w:rPr>
                <w:rFonts w:ascii="Times New Roman" w:eastAsia="Times New Roman" w:hAnsi="Times New Roman"/>
                <w:color w:val="000000"/>
                <w:sz w:val="18"/>
                <w:szCs w:val="18"/>
              </w:rPr>
              <w:t xml:space="preserve">f Vehicles per Household </w:t>
            </w:r>
          </w:p>
        </w:tc>
        <w:tc>
          <w:tcPr>
            <w:tcW w:w="372" w:type="pct"/>
            <w:tcBorders>
              <w:top w:val="nil"/>
              <w:left w:val="nil"/>
              <w:bottom w:val="double" w:sz="6" w:space="0" w:color="auto"/>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1.98</w:t>
            </w:r>
          </w:p>
        </w:tc>
        <w:tc>
          <w:tcPr>
            <w:tcW w:w="348" w:type="pct"/>
            <w:tcBorders>
              <w:top w:val="nil"/>
              <w:left w:val="nil"/>
              <w:bottom w:val="nil"/>
              <w:right w:val="nil"/>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1.84</w:t>
            </w:r>
          </w:p>
        </w:tc>
        <w:tc>
          <w:tcPr>
            <w:tcW w:w="350" w:type="pct"/>
            <w:tcBorders>
              <w:top w:val="nil"/>
              <w:left w:val="single" w:sz="4" w:space="0" w:color="auto"/>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1.71</w:t>
            </w:r>
          </w:p>
        </w:tc>
        <w:tc>
          <w:tcPr>
            <w:tcW w:w="348" w:type="pct"/>
            <w:tcBorders>
              <w:top w:val="nil"/>
              <w:left w:val="nil"/>
              <w:bottom w:val="nil"/>
              <w:right w:val="single" w:sz="4"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1.84</w:t>
            </w:r>
          </w:p>
        </w:tc>
        <w:tc>
          <w:tcPr>
            <w:tcW w:w="350" w:type="pct"/>
            <w:tcBorders>
              <w:top w:val="nil"/>
              <w:left w:val="nil"/>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1.73</w:t>
            </w:r>
          </w:p>
        </w:tc>
        <w:tc>
          <w:tcPr>
            <w:tcW w:w="354" w:type="pct"/>
            <w:tcBorders>
              <w:top w:val="nil"/>
              <w:left w:val="nil"/>
              <w:bottom w:val="nil"/>
              <w:right w:val="nil"/>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1.75</w:t>
            </w:r>
          </w:p>
        </w:tc>
        <w:tc>
          <w:tcPr>
            <w:tcW w:w="350" w:type="pct"/>
            <w:tcBorders>
              <w:top w:val="nil"/>
              <w:left w:val="single" w:sz="4" w:space="0" w:color="auto"/>
              <w:bottom w:val="nil"/>
              <w:right w:val="double" w:sz="6"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1.62</w:t>
            </w:r>
          </w:p>
        </w:tc>
        <w:tc>
          <w:tcPr>
            <w:tcW w:w="354" w:type="pct"/>
            <w:tcBorders>
              <w:top w:val="nil"/>
              <w:left w:val="nil"/>
              <w:bottom w:val="nil"/>
              <w:right w:val="single" w:sz="4"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1.90</w:t>
            </w:r>
          </w:p>
        </w:tc>
        <w:tc>
          <w:tcPr>
            <w:tcW w:w="354" w:type="pct"/>
            <w:tcBorders>
              <w:top w:val="nil"/>
              <w:left w:val="nil"/>
              <w:bottom w:val="nil"/>
              <w:right w:val="double" w:sz="6"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1.78</w:t>
            </w:r>
          </w:p>
        </w:tc>
        <w:tc>
          <w:tcPr>
            <w:tcW w:w="403" w:type="pct"/>
            <w:tcBorders>
              <w:top w:val="nil"/>
              <w:left w:val="nil"/>
              <w:bottom w:val="nil"/>
              <w:right w:val="nil"/>
            </w:tcBorders>
            <w:shd w:val="clear" w:color="auto" w:fill="auto"/>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1.83</w:t>
            </w:r>
          </w:p>
        </w:tc>
        <w:tc>
          <w:tcPr>
            <w:tcW w:w="418" w:type="pct"/>
            <w:tcBorders>
              <w:top w:val="nil"/>
              <w:left w:val="single" w:sz="4" w:space="0" w:color="auto"/>
              <w:bottom w:val="nil"/>
              <w:right w:val="double" w:sz="6" w:space="0" w:color="auto"/>
            </w:tcBorders>
            <w:shd w:val="clear" w:color="auto" w:fill="auto"/>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1.72</w:t>
            </w:r>
          </w:p>
        </w:tc>
      </w:tr>
      <w:tr w:rsidR="003F0E08" w:rsidRPr="002C3C87" w:rsidTr="003F0E08">
        <w:trPr>
          <w:trHeight w:val="20"/>
        </w:trPr>
        <w:tc>
          <w:tcPr>
            <w:tcW w:w="996" w:type="pct"/>
            <w:tcBorders>
              <w:top w:val="double" w:sz="6" w:space="0" w:color="auto"/>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rPr>
                <w:rFonts w:ascii="Times New Roman" w:eastAsia="Times New Roman" w:hAnsi="Times New Roman"/>
                <w:i/>
                <w:iCs/>
                <w:color w:val="000000"/>
                <w:sz w:val="18"/>
                <w:szCs w:val="18"/>
                <w:u w:val="single"/>
              </w:rPr>
            </w:pPr>
            <w:r w:rsidRPr="002C3C87">
              <w:rPr>
                <w:rFonts w:ascii="Times New Roman" w:eastAsia="Times New Roman" w:hAnsi="Times New Roman"/>
                <w:i/>
                <w:iCs/>
                <w:color w:val="000000"/>
                <w:sz w:val="18"/>
                <w:szCs w:val="18"/>
                <w:u w:val="single"/>
              </w:rPr>
              <w:t>Body Type</w:t>
            </w:r>
          </w:p>
        </w:tc>
        <w:tc>
          <w:tcPr>
            <w:tcW w:w="372" w:type="pct"/>
            <w:tcBorders>
              <w:top w:val="nil"/>
              <w:left w:val="nil"/>
              <w:bottom w:val="nil"/>
              <w:right w:val="double" w:sz="6" w:space="0" w:color="auto"/>
            </w:tcBorders>
            <w:shd w:val="clear" w:color="auto" w:fill="auto"/>
            <w:vAlign w:val="center"/>
            <w:hideMark/>
          </w:tcPr>
          <w:p w:rsidR="003F0E08" w:rsidRPr="002C3C87" w:rsidRDefault="003F0E08" w:rsidP="003F0E08">
            <w:pPr>
              <w:tabs>
                <w:tab w:val="decimal" w:pos="316"/>
              </w:tabs>
              <w:spacing w:after="0" w:line="240" w:lineRule="auto"/>
              <w:rPr>
                <w:rFonts w:ascii="Times New Roman" w:eastAsia="Times New Roman" w:hAnsi="Times New Roman"/>
                <w:i/>
                <w:iCs/>
                <w:color w:val="000000"/>
                <w:sz w:val="18"/>
                <w:szCs w:val="18"/>
                <w:u w:val="single"/>
              </w:rPr>
            </w:pPr>
          </w:p>
        </w:tc>
        <w:tc>
          <w:tcPr>
            <w:tcW w:w="348" w:type="pct"/>
            <w:tcBorders>
              <w:top w:val="double" w:sz="6" w:space="0" w:color="auto"/>
              <w:left w:val="nil"/>
              <w:bottom w:val="nil"/>
              <w:right w:val="nil"/>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double" w:sz="6" w:space="0" w:color="auto"/>
              <w:left w:val="single" w:sz="4" w:space="0" w:color="auto"/>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48" w:type="pct"/>
            <w:tcBorders>
              <w:top w:val="double" w:sz="6" w:space="0" w:color="auto"/>
              <w:left w:val="nil"/>
              <w:bottom w:val="nil"/>
              <w:right w:val="single" w:sz="4"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double" w:sz="6" w:space="0" w:color="auto"/>
              <w:left w:val="nil"/>
              <w:bottom w:val="nil"/>
              <w:right w:val="double" w:sz="6" w:space="0" w:color="auto"/>
            </w:tcBorders>
            <w:shd w:val="clear" w:color="auto" w:fill="auto"/>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4" w:type="pct"/>
            <w:tcBorders>
              <w:top w:val="double" w:sz="6" w:space="0" w:color="auto"/>
              <w:left w:val="nil"/>
              <w:bottom w:val="nil"/>
              <w:right w:val="nil"/>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0" w:type="pct"/>
            <w:tcBorders>
              <w:top w:val="double" w:sz="6" w:space="0" w:color="auto"/>
              <w:left w:val="single" w:sz="4" w:space="0" w:color="auto"/>
              <w:bottom w:val="nil"/>
              <w:right w:val="double" w:sz="6"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double" w:sz="6" w:space="0" w:color="auto"/>
              <w:left w:val="nil"/>
              <w:bottom w:val="nil"/>
              <w:right w:val="single" w:sz="4"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double" w:sz="6" w:space="0" w:color="auto"/>
              <w:left w:val="nil"/>
              <w:bottom w:val="nil"/>
              <w:right w:val="double" w:sz="6" w:space="0" w:color="auto"/>
            </w:tcBorders>
            <w:shd w:val="clear" w:color="auto" w:fill="auto"/>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03" w:type="pct"/>
            <w:tcBorders>
              <w:top w:val="double" w:sz="6" w:space="0" w:color="auto"/>
              <w:left w:val="nil"/>
              <w:bottom w:val="nil"/>
              <w:right w:val="nil"/>
            </w:tcBorders>
            <w:shd w:val="clear" w:color="auto" w:fill="auto"/>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18" w:type="pct"/>
            <w:tcBorders>
              <w:top w:val="double" w:sz="6" w:space="0" w:color="auto"/>
              <w:left w:val="single" w:sz="4" w:space="0" w:color="auto"/>
              <w:bottom w:val="nil"/>
              <w:right w:val="double" w:sz="6" w:space="0" w:color="auto"/>
            </w:tcBorders>
            <w:shd w:val="clear" w:color="auto" w:fill="auto"/>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Compact Car</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22.24</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23.65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21.56</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23.72</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20.59</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24.74</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22.29</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20.23</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17.55</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21.92</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17.87</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Car</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28.15</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26.38</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24.53</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27.60</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26.10</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26.15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25.47</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23.11</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21.91</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24.85</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23.84</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xml:space="preserve">Small cross utility </w:t>
            </w:r>
            <w:r w:rsidR="00F87F61" w:rsidRPr="002C3C87">
              <w:rPr>
                <w:rFonts w:ascii="Times New Roman" w:eastAsia="Times New Roman" w:hAnsi="Times New Roman"/>
                <w:color w:val="000000"/>
                <w:sz w:val="18"/>
                <w:szCs w:val="18"/>
              </w:rPr>
              <w:t>vehicle</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5.57</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8.67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6.97</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7.34</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5.50</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9.20</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7.63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8.69</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7.15</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10.65</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7.80</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Sports utility vehicle</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20.02</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19.93</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19.88</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20.43</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19.62</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19.34</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18.42</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19.95</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17.98</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15.95</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14.90</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Van</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6.84</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7.18</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8.06</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6.51</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8.11</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7.25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8.30</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17.76</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22.12</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17.68</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23.94</w:t>
            </w:r>
          </w:p>
        </w:tc>
      </w:tr>
      <w:tr w:rsidR="003F0E08" w:rsidRPr="002C3C87" w:rsidTr="003F0E08">
        <w:trPr>
          <w:trHeight w:val="20"/>
        </w:trPr>
        <w:tc>
          <w:tcPr>
            <w:tcW w:w="996" w:type="pct"/>
            <w:tcBorders>
              <w:top w:val="nil"/>
              <w:left w:val="double" w:sz="6" w:space="0" w:color="auto"/>
              <w:bottom w:val="double" w:sz="6" w:space="0" w:color="auto"/>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Pick-up truck</w:t>
            </w:r>
          </w:p>
        </w:tc>
        <w:tc>
          <w:tcPr>
            <w:tcW w:w="372" w:type="pct"/>
            <w:tcBorders>
              <w:top w:val="nil"/>
              <w:left w:val="nil"/>
              <w:bottom w:val="double" w:sz="6" w:space="0" w:color="auto"/>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17.18</w:t>
            </w:r>
          </w:p>
        </w:tc>
        <w:tc>
          <w:tcPr>
            <w:tcW w:w="348" w:type="pct"/>
            <w:tcBorders>
              <w:top w:val="nil"/>
              <w:left w:val="nil"/>
              <w:bottom w:val="double" w:sz="6" w:space="0" w:color="auto"/>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14.20</w:t>
            </w:r>
          </w:p>
        </w:tc>
        <w:tc>
          <w:tcPr>
            <w:tcW w:w="350" w:type="pct"/>
            <w:tcBorders>
              <w:top w:val="nil"/>
              <w:left w:val="single" w:sz="4" w:space="0" w:color="auto"/>
              <w:bottom w:val="double" w:sz="6" w:space="0" w:color="auto"/>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19.00</w:t>
            </w:r>
          </w:p>
        </w:tc>
        <w:tc>
          <w:tcPr>
            <w:tcW w:w="348" w:type="pct"/>
            <w:tcBorders>
              <w:top w:val="nil"/>
              <w:left w:val="nil"/>
              <w:bottom w:val="double" w:sz="6" w:space="0" w:color="auto"/>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14.40</w:t>
            </w:r>
          </w:p>
        </w:tc>
        <w:tc>
          <w:tcPr>
            <w:tcW w:w="350" w:type="pct"/>
            <w:tcBorders>
              <w:top w:val="nil"/>
              <w:left w:val="nil"/>
              <w:bottom w:val="double" w:sz="6" w:space="0" w:color="auto"/>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20.07</w:t>
            </w:r>
          </w:p>
        </w:tc>
        <w:tc>
          <w:tcPr>
            <w:tcW w:w="354" w:type="pct"/>
            <w:tcBorders>
              <w:top w:val="nil"/>
              <w:left w:val="nil"/>
              <w:bottom w:val="double" w:sz="6" w:space="0" w:color="auto"/>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13.32</w:t>
            </w:r>
          </w:p>
        </w:tc>
        <w:tc>
          <w:tcPr>
            <w:tcW w:w="350" w:type="pct"/>
            <w:tcBorders>
              <w:top w:val="nil"/>
              <w:left w:val="single" w:sz="4" w:space="0" w:color="auto"/>
              <w:bottom w:val="double" w:sz="6" w:space="0" w:color="auto"/>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17.90</w:t>
            </w:r>
          </w:p>
        </w:tc>
        <w:tc>
          <w:tcPr>
            <w:tcW w:w="354" w:type="pct"/>
            <w:tcBorders>
              <w:top w:val="nil"/>
              <w:left w:val="nil"/>
              <w:bottom w:val="double" w:sz="6" w:space="0" w:color="auto"/>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10.25</w:t>
            </w:r>
          </w:p>
        </w:tc>
        <w:tc>
          <w:tcPr>
            <w:tcW w:w="354" w:type="pct"/>
            <w:tcBorders>
              <w:top w:val="nil"/>
              <w:left w:val="nil"/>
              <w:bottom w:val="double" w:sz="6" w:space="0" w:color="auto"/>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13.29</w:t>
            </w:r>
          </w:p>
        </w:tc>
        <w:tc>
          <w:tcPr>
            <w:tcW w:w="403" w:type="pct"/>
            <w:tcBorders>
              <w:top w:val="nil"/>
              <w:left w:val="nil"/>
              <w:bottom w:val="double" w:sz="6" w:space="0" w:color="auto"/>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8.95</w:t>
            </w:r>
          </w:p>
        </w:tc>
        <w:tc>
          <w:tcPr>
            <w:tcW w:w="418" w:type="pct"/>
            <w:tcBorders>
              <w:top w:val="nil"/>
              <w:left w:val="single" w:sz="4" w:space="0" w:color="auto"/>
              <w:bottom w:val="double" w:sz="6" w:space="0" w:color="auto"/>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11.65</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rPr>
                <w:rFonts w:ascii="Times New Roman" w:eastAsia="Times New Roman" w:hAnsi="Times New Roman"/>
                <w:i/>
                <w:iCs/>
                <w:color w:val="000000"/>
                <w:sz w:val="18"/>
                <w:szCs w:val="18"/>
                <w:u w:val="single"/>
              </w:rPr>
            </w:pPr>
            <w:r w:rsidRPr="002C3C87">
              <w:rPr>
                <w:rFonts w:ascii="Times New Roman" w:eastAsia="Times New Roman" w:hAnsi="Times New Roman"/>
                <w:i/>
                <w:iCs/>
                <w:color w:val="000000"/>
                <w:sz w:val="18"/>
                <w:szCs w:val="18"/>
                <w:u w:val="single"/>
              </w:rPr>
              <w:t>Fuel Type</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Gasoline</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96.45</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45.07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40.65</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36.45</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32.87</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42.17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39.13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36.65</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33.33</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29.06</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27.22</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Flex Fuel</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0.26</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14.45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12.85</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10.99</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9.34</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14.93</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12.99</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8.35</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6.84</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6.67</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5.25</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Plug-in Hybrid</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0.02</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9.48</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12.01</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14.01</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17.88</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9.57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12.07</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5.23</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6.98</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4.06</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5.19</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CNG</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0.07</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0.49</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0.43</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0.67</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0.75</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0.80</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0.86</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3.36</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3.74</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5.41</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5.25</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Diesel</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2.23</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12.72</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15.18</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10.54</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11.46</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12.20</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13.49</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15.18</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15.04</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11.88</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11.98</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Hybrid Electric</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0.93</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15.08</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15.22</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22.79</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22.16</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14.49</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14.78</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8.17</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7.00</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6.23</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5.98</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Fully Electric</w:t>
            </w:r>
          </w:p>
        </w:tc>
        <w:tc>
          <w:tcPr>
            <w:tcW w:w="372" w:type="pct"/>
            <w:tcBorders>
              <w:top w:val="nil"/>
              <w:left w:val="nil"/>
              <w:bottom w:val="double" w:sz="6" w:space="0" w:color="auto"/>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0.04</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2.71</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3.66</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4.56</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5.54</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5.85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6.68</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23.06</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27.07</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36.69</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39.13</w:t>
            </w:r>
          </w:p>
        </w:tc>
      </w:tr>
      <w:tr w:rsidR="003F0E08" w:rsidRPr="002C3C87" w:rsidTr="003F0E08">
        <w:trPr>
          <w:trHeight w:val="20"/>
        </w:trPr>
        <w:tc>
          <w:tcPr>
            <w:tcW w:w="996" w:type="pct"/>
            <w:tcBorders>
              <w:top w:val="double" w:sz="6" w:space="0" w:color="auto"/>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rPr>
                <w:rFonts w:ascii="Times New Roman" w:eastAsia="Times New Roman" w:hAnsi="Times New Roman"/>
                <w:i/>
                <w:iCs/>
                <w:color w:val="000000"/>
                <w:sz w:val="18"/>
                <w:szCs w:val="18"/>
                <w:u w:val="single"/>
              </w:rPr>
            </w:pPr>
            <w:r w:rsidRPr="002C3C87">
              <w:rPr>
                <w:rFonts w:ascii="Times New Roman" w:eastAsia="Times New Roman" w:hAnsi="Times New Roman"/>
                <w:i/>
                <w:iCs/>
                <w:color w:val="000000"/>
                <w:sz w:val="18"/>
                <w:szCs w:val="18"/>
                <w:u w:val="single"/>
              </w:rPr>
              <w:t>Vintage</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48" w:type="pct"/>
            <w:tcBorders>
              <w:top w:val="double" w:sz="6" w:space="0" w:color="auto"/>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double" w:sz="6" w:space="0" w:color="auto"/>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48" w:type="pct"/>
            <w:tcBorders>
              <w:top w:val="double" w:sz="6" w:space="0" w:color="auto"/>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0" w:type="pct"/>
            <w:tcBorders>
              <w:top w:val="double" w:sz="6" w:space="0" w:color="auto"/>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 </w:t>
            </w:r>
          </w:p>
        </w:tc>
        <w:tc>
          <w:tcPr>
            <w:tcW w:w="354" w:type="pct"/>
            <w:tcBorders>
              <w:top w:val="double" w:sz="6" w:space="0" w:color="auto"/>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0" w:type="pct"/>
            <w:tcBorders>
              <w:top w:val="double" w:sz="6" w:space="0" w:color="auto"/>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double" w:sz="6" w:space="0" w:color="auto"/>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354" w:type="pct"/>
            <w:tcBorders>
              <w:top w:val="double" w:sz="6" w:space="0" w:color="auto"/>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03" w:type="pct"/>
            <w:tcBorders>
              <w:top w:val="double" w:sz="6" w:space="0" w:color="auto"/>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c>
          <w:tcPr>
            <w:tcW w:w="418" w:type="pct"/>
            <w:tcBorders>
              <w:top w:val="double" w:sz="6" w:space="0" w:color="auto"/>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New</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5.82</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30.34</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29.73</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29.62</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28.85</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32.65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33.91</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40.09</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38.15</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39.04</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36.13</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 years</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14.98</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19.55</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15.55</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20.26</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15.61</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19.07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14.73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16.71</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12.40</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17.26</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12.68</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3-7 years</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35.69</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21.57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18.48</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21.33</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18.38</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20.40</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16.73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19.05</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15.62</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19.50</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15.12</w:t>
            </w:r>
          </w:p>
        </w:tc>
      </w:tr>
      <w:tr w:rsidR="003F0E08" w:rsidRPr="002C3C87" w:rsidTr="003F0E08">
        <w:trPr>
          <w:trHeight w:val="20"/>
        </w:trPr>
        <w:tc>
          <w:tcPr>
            <w:tcW w:w="996" w:type="pct"/>
            <w:tcBorders>
              <w:top w:val="nil"/>
              <w:left w:val="double" w:sz="6" w:space="0" w:color="auto"/>
              <w:bottom w:val="nil"/>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8-12 years</w:t>
            </w:r>
          </w:p>
        </w:tc>
        <w:tc>
          <w:tcPr>
            <w:tcW w:w="372" w:type="pct"/>
            <w:tcBorders>
              <w:top w:val="nil"/>
              <w:left w:val="nil"/>
              <w:bottom w:val="nil"/>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23.89</w:t>
            </w:r>
          </w:p>
        </w:tc>
        <w:tc>
          <w:tcPr>
            <w:tcW w:w="348" w:type="pct"/>
            <w:tcBorders>
              <w:top w:val="nil"/>
              <w:left w:val="nil"/>
              <w:bottom w:val="nil"/>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16.07</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20.08</w:t>
            </w:r>
          </w:p>
        </w:tc>
        <w:tc>
          <w:tcPr>
            <w:tcW w:w="348" w:type="pct"/>
            <w:tcBorders>
              <w:top w:val="nil"/>
              <w:left w:val="nil"/>
              <w:bottom w:val="nil"/>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15.81</w:t>
            </w:r>
          </w:p>
        </w:tc>
        <w:tc>
          <w:tcPr>
            <w:tcW w:w="350" w:type="pct"/>
            <w:tcBorders>
              <w:top w:val="nil"/>
              <w:left w:val="nil"/>
              <w:bottom w:val="nil"/>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19.49</w:t>
            </w:r>
          </w:p>
        </w:tc>
        <w:tc>
          <w:tcPr>
            <w:tcW w:w="354" w:type="pct"/>
            <w:tcBorders>
              <w:top w:val="nil"/>
              <w:left w:val="nil"/>
              <w:bottom w:val="nil"/>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15.66</w:t>
            </w:r>
          </w:p>
        </w:tc>
        <w:tc>
          <w:tcPr>
            <w:tcW w:w="350"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18.43</w:t>
            </w:r>
          </w:p>
        </w:tc>
        <w:tc>
          <w:tcPr>
            <w:tcW w:w="354" w:type="pct"/>
            <w:tcBorders>
              <w:top w:val="nil"/>
              <w:left w:val="nil"/>
              <w:bottom w:val="nil"/>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13.54</w:t>
            </w:r>
          </w:p>
        </w:tc>
        <w:tc>
          <w:tcPr>
            <w:tcW w:w="354" w:type="pct"/>
            <w:tcBorders>
              <w:top w:val="nil"/>
              <w:left w:val="nil"/>
              <w:bottom w:val="nil"/>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18.04</w:t>
            </w:r>
          </w:p>
        </w:tc>
        <w:tc>
          <w:tcPr>
            <w:tcW w:w="403" w:type="pct"/>
            <w:tcBorders>
              <w:top w:val="nil"/>
              <w:left w:val="nil"/>
              <w:bottom w:val="nil"/>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13.99</w:t>
            </w:r>
          </w:p>
        </w:tc>
        <w:tc>
          <w:tcPr>
            <w:tcW w:w="418" w:type="pct"/>
            <w:tcBorders>
              <w:top w:val="nil"/>
              <w:left w:val="single" w:sz="4" w:space="0" w:color="auto"/>
              <w:bottom w:val="nil"/>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18.51</w:t>
            </w:r>
          </w:p>
        </w:tc>
      </w:tr>
      <w:tr w:rsidR="003F0E08" w:rsidRPr="002C3C87" w:rsidTr="003F0E08">
        <w:trPr>
          <w:trHeight w:val="20"/>
        </w:trPr>
        <w:tc>
          <w:tcPr>
            <w:tcW w:w="996" w:type="pct"/>
            <w:tcBorders>
              <w:top w:val="nil"/>
              <w:left w:val="double" w:sz="6" w:space="0" w:color="auto"/>
              <w:bottom w:val="double" w:sz="6" w:space="0" w:color="auto"/>
              <w:right w:val="double" w:sz="6" w:space="0" w:color="auto"/>
            </w:tcBorders>
            <w:shd w:val="clear" w:color="auto" w:fill="auto"/>
            <w:vAlign w:val="center"/>
            <w:hideMark/>
          </w:tcPr>
          <w:p w:rsidR="003F0E08" w:rsidRPr="002C3C87" w:rsidRDefault="003F0E08" w:rsidP="00C141D8">
            <w:pPr>
              <w:spacing w:after="0" w:line="240" w:lineRule="auto"/>
              <w:ind w:firstLineChars="100" w:firstLine="180"/>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More than 12 years old</w:t>
            </w:r>
          </w:p>
        </w:tc>
        <w:tc>
          <w:tcPr>
            <w:tcW w:w="372" w:type="pct"/>
            <w:tcBorders>
              <w:top w:val="nil"/>
              <w:left w:val="nil"/>
              <w:bottom w:val="double" w:sz="6" w:space="0" w:color="auto"/>
              <w:right w:val="double" w:sz="6" w:space="0" w:color="auto"/>
            </w:tcBorders>
            <w:shd w:val="clear" w:color="auto" w:fill="auto"/>
            <w:noWrap/>
            <w:vAlign w:val="bottom"/>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19.63</w:t>
            </w:r>
          </w:p>
        </w:tc>
        <w:tc>
          <w:tcPr>
            <w:tcW w:w="348" w:type="pct"/>
            <w:tcBorders>
              <w:top w:val="nil"/>
              <w:left w:val="nil"/>
              <w:bottom w:val="double" w:sz="6" w:space="0" w:color="auto"/>
              <w:right w:val="nil"/>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12.47</w:t>
            </w:r>
          </w:p>
        </w:tc>
        <w:tc>
          <w:tcPr>
            <w:tcW w:w="350" w:type="pct"/>
            <w:tcBorders>
              <w:top w:val="nil"/>
              <w:left w:val="single" w:sz="4" w:space="0" w:color="auto"/>
              <w:bottom w:val="double" w:sz="6" w:space="0" w:color="auto"/>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16.16</w:t>
            </w:r>
          </w:p>
        </w:tc>
        <w:tc>
          <w:tcPr>
            <w:tcW w:w="348" w:type="pct"/>
            <w:tcBorders>
              <w:top w:val="nil"/>
              <w:left w:val="nil"/>
              <w:bottom w:val="double" w:sz="6" w:space="0" w:color="auto"/>
              <w:right w:val="single" w:sz="4"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12.98</w:t>
            </w:r>
          </w:p>
        </w:tc>
        <w:tc>
          <w:tcPr>
            <w:tcW w:w="350" w:type="pct"/>
            <w:tcBorders>
              <w:top w:val="nil"/>
              <w:left w:val="nil"/>
              <w:bottom w:val="double" w:sz="6" w:space="0" w:color="auto"/>
              <w:right w:val="double" w:sz="6" w:space="0" w:color="auto"/>
            </w:tcBorders>
            <w:shd w:val="clear" w:color="auto" w:fill="auto"/>
            <w:noWrap/>
            <w:vAlign w:val="center"/>
            <w:hideMark/>
          </w:tcPr>
          <w:p w:rsidR="003F0E08" w:rsidRPr="002C3C87" w:rsidRDefault="003F0E08" w:rsidP="00C141D8">
            <w:pPr>
              <w:tabs>
                <w:tab w:val="decimal" w:pos="316"/>
              </w:tabs>
              <w:spacing w:after="0" w:line="240" w:lineRule="auto"/>
              <w:jc w:val="center"/>
              <w:rPr>
                <w:rFonts w:ascii="Times New Roman" w:eastAsia="Times New Roman" w:hAnsi="Times New Roman"/>
                <w:color w:val="000000"/>
                <w:sz w:val="18"/>
                <w:szCs w:val="18"/>
              </w:rPr>
            </w:pPr>
            <w:r w:rsidRPr="002C3C87">
              <w:rPr>
                <w:rFonts w:ascii="Times New Roman" w:eastAsia="Times New Roman" w:hAnsi="Times New Roman"/>
                <w:color w:val="000000"/>
                <w:sz w:val="18"/>
                <w:szCs w:val="18"/>
              </w:rPr>
              <w:t>17.68</w:t>
            </w:r>
          </w:p>
        </w:tc>
        <w:tc>
          <w:tcPr>
            <w:tcW w:w="354" w:type="pct"/>
            <w:tcBorders>
              <w:top w:val="nil"/>
              <w:left w:val="nil"/>
              <w:bottom w:val="double" w:sz="6" w:space="0" w:color="auto"/>
              <w:right w:val="nil"/>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12.23</w:t>
            </w:r>
          </w:p>
        </w:tc>
        <w:tc>
          <w:tcPr>
            <w:tcW w:w="350" w:type="pct"/>
            <w:tcBorders>
              <w:top w:val="nil"/>
              <w:left w:val="single" w:sz="4" w:space="0" w:color="auto"/>
              <w:bottom w:val="double" w:sz="6" w:space="0" w:color="auto"/>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16.20</w:t>
            </w:r>
          </w:p>
        </w:tc>
        <w:tc>
          <w:tcPr>
            <w:tcW w:w="354" w:type="pct"/>
            <w:tcBorders>
              <w:top w:val="nil"/>
              <w:left w:val="nil"/>
              <w:bottom w:val="double" w:sz="6" w:space="0" w:color="auto"/>
              <w:right w:val="single" w:sz="4"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10.60</w:t>
            </w:r>
          </w:p>
        </w:tc>
        <w:tc>
          <w:tcPr>
            <w:tcW w:w="354" w:type="pct"/>
            <w:tcBorders>
              <w:top w:val="nil"/>
              <w:left w:val="nil"/>
              <w:bottom w:val="double" w:sz="6" w:space="0" w:color="auto"/>
              <w:right w:val="double" w:sz="6" w:space="0" w:color="auto"/>
            </w:tcBorders>
            <w:shd w:val="clear" w:color="auto" w:fill="auto"/>
            <w:noWrap/>
            <w:vAlign w:val="center"/>
            <w:hideMark/>
          </w:tcPr>
          <w:p w:rsidR="003F0E08" w:rsidRPr="00122069" w:rsidRDefault="003F0E08" w:rsidP="00811163">
            <w:pPr>
              <w:tabs>
                <w:tab w:val="decimal" w:pos="291"/>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15.78</w:t>
            </w:r>
          </w:p>
        </w:tc>
        <w:tc>
          <w:tcPr>
            <w:tcW w:w="403" w:type="pct"/>
            <w:tcBorders>
              <w:top w:val="nil"/>
              <w:left w:val="nil"/>
              <w:bottom w:val="double" w:sz="6" w:space="0" w:color="auto"/>
              <w:right w:val="nil"/>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10.21</w:t>
            </w:r>
          </w:p>
        </w:tc>
        <w:tc>
          <w:tcPr>
            <w:tcW w:w="418" w:type="pct"/>
            <w:tcBorders>
              <w:top w:val="nil"/>
              <w:left w:val="single" w:sz="4" w:space="0" w:color="auto"/>
              <w:bottom w:val="double" w:sz="6" w:space="0" w:color="auto"/>
              <w:right w:val="double" w:sz="6" w:space="0" w:color="auto"/>
            </w:tcBorders>
            <w:shd w:val="clear" w:color="auto" w:fill="auto"/>
            <w:noWrap/>
            <w:vAlign w:val="center"/>
            <w:hideMark/>
          </w:tcPr>
          <w:p w:rsidR="003F0E08" w:rsidRPr="00122069" w:rsidRDefault="003F0E08" w:rsidP="00E40B68">
            <w:pPr>
              <w:tabs>
                <w:tab w:val="decimal" w:pos="416"/>
              </w:tabs>
              <w:spacing w:after="0" w:line="240" w:lineRule="auto"/>
              <w:jc w:val="center"/>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17.56</w:t>
            </w:r>
          </w:p>
        </w:tc>
      </w:tr>
    </w:tbl>
    <w:p w:rsidR="00885668" w:rsidRDefault="00885668" w:rsidP="00885668">
      <w:pPr>
        <w:spacing w:after="120" w:line="240" w:lineRule="auto"/>
        <w:jc w:val="both"/>
        <w:rPr>
          <w:rFonts w:ascii="Times New Roman" w:hAnsi="Times New Roman"/>
          <w:sz w:val="24"/>
          <w:szCs w:val="24"/>
        </w:rPr>
        <w:sectPr w:rsidR="00885668" w:rsidSect="00F87F61">
          <w:headerReference w:type="default" r:id="rId40"/>
          <w:pgSz w:w="15840" w:h="12240" w:orient="landscape"/>
          <w:pgMar w:top="1440" w:right="1440" w:bottom="1440" w:left="1440" w:header="720" w:footer="720" w:gutter="0"/>
          <w:cols w:space="720"/>
          <w:docGrid w:linePitch="360"/>
        </w:sectPr>
      </w:pPr>
    </w:p>
    <w:p w:rsidR="00885668" w:rsidRPr="00BC11DA" w:rsidRDefault="00711E8E" w:rsidP="00885668">
      <w:pPr>
        <w:spacing w:after="120" w:line="240" w:lineRule="auto"/>
        <w:jc w:val="center"/>
        <w:rPr>
          <w:rFonts w:ascii="Times New Roman" w:hAnsi="Times New Roman"/>
          <w:b/>
          <w:sz w:val="24"/>
          <w:szCs w:val="24"/>
        </w:rPr>
      </w:pPr>
      <w:r>
        <w:rPr>
          <w:rFonts w:ascii="Times New Roman" w:hAnsi="Times New Roman"/>
          <w:b/>
          <w:sz w:val="24"/>
          <w:szCs w:val="24"/>
        </w:rPr>
        <w:lastRenderedPageBreak/>
        <w:t xml:space="preserve">TABLE </w:t>
      </w:r>
      <w:proofErr w:type="gramStart"/>
      <w:r>
        <w:rPr>
          <w:rFonts w:ascii="Times New Roman" w:hAnsi="Times New Roman"/>
          <w:b/>
          <w:sz w:val="24"/>
          <w:szCs w:val="24"/>
        </w:rPr>
        <w:t xml:space="preserve">2 </w:t>
      </w:r>
      <w:r w:rsidR="00885668" w:rsidRPr="00BC11DA">
        <w:rPr>
          <w:rFonts w:ascii="Times New Roman" w:hAnsi="Times New Roman"/>
          <w:b/>
          <w:sz w:val="24"/>
          <w:szCs w:val="24"/>
        </w:rPr>
        <w:t xml:space="preserve"> Vehicle</w:t>
      </w:r>
      <w:proofErr w:type="gramEnd"/>
      <w:r w:rsidR="00885668" w:rsidRPr="00BC11DA">
        <w:rPr>
          <w:rFonts w:ascii="Times New Roman" w:hAnsi="Times New Roman"/>
          <w:b/>
          <w:sz w:val="24"/>
          <w:szCs w:val="24"/>
        </w:rPr>
        <w:t xml:space="preserve"> Mileage, Fuel Consumption, and Emissions in 2020 and 2030</w:t>
      </w:r>
    </w:p>
    <w:tbl>
      <w:tblPr>
        <w:tblW w:w="4918" w:type="pct"/>
        <w:tblInd w:w="-72" w:type="dxa"/>
        <w:tblLayout w:type="fixed"/>
        <w:tblLook w:val="04A0"/>
      </w:tblPr>
      <w:tblGrid>
        <w:gridCol w:w="2340"/>
        <w:gridCol w:w="971"/>
        <w:gridCol w:w="927"/>
        <w:gridCol w:w="933"/>
        <w:gridCol w:w="931"/>
        <w:gridCol w:w="936"/>
        <w:gridCol w:w="931"/>
        <w:gridCol w:w="936"/>
        <w:gridCol w:w="931"/>
        <w:gridCol w:w="931"/>
        <w:gridCol w:w="8"/>
        <w:gridCol w:w="1107"/>
        <w:gridCol w:w="1078"/>
      </w:tblGrid>
      <w:tr w:rsidR="00885668" w:rsidRPr="00122069" w:rsidTr="009666AB">
        <w:trPr>
          <w:trHeight w:val="244"/>
        </w:trPr>
        <w:tc>
          <w:tcPr>
            <w:tcW w:w="903" w:type="pct"/>
            <w:tcBorders>
              <w:top w:val="nil"/>
              <w:left w:val="nil"/>
              <w:bottom w:val="nil"/>
              <w:right w:val="nil"/>
            </w:tcBorders>
            <w:shd w:val="clear" w:color="auto" w:fill="auto"/>
            <w:vAlign w:val="center"/>
            <w:hideMark/>
          </w:tcPr>
          <w:p w:rsidR="00885668" w:rsidRPr="00122069" w:rsidRDefault="00885668" w:rsidP="00C141D8">
            <w:pPr>
              <w:spacing w:after="0" w:line="240" w:lineRule="auto"/>
              <w:rPr>
                <w:rFonts w:ascii="Times New Roman" w:eastAsia="Times New Roman" w:hAnsi="Times New Roman"/>
                <w:color w:val="000000"/>
                <w:sz w:val="18"/>
                <w:szCs w:val="18"/>
              </w:rPr>
            </w:pPr>
          </w:p>
        </w:tc>
        <w:tc>
          <w:tcPr>
            <w:tcW w:w="375" w:type="pct"/>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885668" w:rsidRPr="00122069" w:rsidRDefault="00885668"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2008</w:t>
            </w:r>
          </w:p>
        </w:tc>
        <w:tc>
          <w:tcPr>
            <w:tcW w:w="718" w:type="pct"/>
            <w:gridSpan w:val="2"/>
            <w:vMerge w:val="restart"/>
            <w:tcBorders>
              <w:top w:val="double" w:sz="6" w:space="0" w:color="auto"/>
              <w:left w:val="double" w:sz="6" w:space="0" w:color="auto"/>
              <w:bottom w:val="single" w:sz="4" w:space="0" w:color="000000"/>
              <w:right w:val="double" w:sz="6" w:space="0" w:color="000000"/>
            </w:tcBorders>
            <w:shd w:val="clear" w:color="auto" w:fill="auto"/>
            <w:vAlign w:val="center"/>
            <w:hideMark/>
          </w:tcPr>
          <w:p w:rsidR="00885668" w:rsidRPr="00122069" w:rsidRDefault="00885668"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Baseline</w:t>
            </w:r>
          </w:p>
        </w:tc>
        <w:tc>
          <w:tcPr>
            <w:tcW w:w="3005" w:type="pct"/>
            <w:gridSpan w:val="9"/>
            <w:tcBorders>
              <w:top w:val="double" w:sz="6" w:space="0" w:color="auto"/>
              <w:left w:val="nil"/>
              <w:bottom w:val="single" w:sz="4" w:space="0" w:color="auto"/>
              <w:right w:val="double" w:sz="6" w:space="0" w:color="000000"/>
            </w:tcBorders>
            <w:shd w:val="clear" w:color="auto" w:fill="auto"/>
            <w:vAlign w:val="center"/>
            <w:hideMark/>
          </w:tcPr>
          <w:p w:rsidR="00885668" w:rsidRPr="00122069" w:rsidRDefault="009666AB" w:rsidP="00C141D8">
            <w:pPr>
              <w:spacing w:after="0" w:line="240" w:lineRule="auto"/>
              <w:jc w:val="center"/>
              <w:rPr>
                <w:rFonts w:ascii="Times New Roman" w:eastAsia="Times New Roman" w:hAnsi="Times New Roman"/>
                <w:b/>
                <w:bCs/>
                <w:color w:val="000000"/>
                <w:sz w:val="18"/>
                <w:szCs w:val="18"/>
              </w:rPr>
            </w:pPr>
            <w:r>
              <w:rPr>
                <w:rFonts w:ascii="Times New Roman" w:eastAsia="Times New Roman" w:hAnsi="Times New Roman"/>
                <w:b/>
                <w:bCs/>
                <w:color w:val="000000"/>
                <w:sz w:val="18"/>
                <w:szCs w:val="18"/>
              </w:rPr>
              <w:t>Scenario</w:t>
            </w:r>
          </w:p>
        </w:tc>
      </w:tr>
      <w:tr w:rsidR="009666AB" w:rsidRPr="00122069" w:rsidTr="009666AB">
        <w:trPr>
          <w:trHeight w:val="244"/>
        </w:trPr>
        <w:tc>
          <w:tcPr>
            <w:tcW w:w="903" w:type="pct"/>
            <w:tcBorders>
              <w:top w:val="nil"/>
              <w:left w:val="nil"/>
              <w:bottom w:val="nil"/>
              <w:right w:val="nil"/>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color w:val="000000"/>
                <w:sz w:val="18"/>
                <w:szCs w:val="18"/>
              </w:rPr>
            </w:pPr>
          </w:p>
        </w:tc>
        <w:tc>
          <w:tcPr>
            <w:tcW w:w="375" w:type="pct"/>
            <w:vMerge/>
            <w:tcBorders>
              <w:top w:val="double" w:sz="6" w:space="0" w:color="auto"/>
              <w:left w:val="double" w:sz="6" w:space="0" w:color="auto"/>
              <w:bottom w:val="double" w:sz="6" w:space="0" w:color="000000"/>
              <w:right w:val="double" w:sz="6" w:space="0" w:color="auto"/>
            </w:tcBorders>
            <w:vAlign w:val="center"/>
            <w:hideMark/>
          </w:tcPr>
          <w:p w:rsidR="009666AB" w:rsidRPr="00122069" w:rsidRDefault="009666AB" w:rsidP="00C141D8">
            <w:pPr>
              <w:spacing w:after="0" w:line="240" w:lineRule="auto"/>
              <w:rPr>
                <w:rFonts w:ascii="Times New Roman" w:eastAsia="Times New Roman" w:hAnsi="Times New Roman"/>
                <w:b/>
                <w:color w:val="000000"/>
                <w:sz w:val="18"/>
                <w:szCs w:val="18"/>
              </w:rPr>
            </w:pPr>
          </w:p>
        </w:tc>
        <w:tc>
          <w:tcPr>
            <w:tcW w:w="718" w:type="pct"/>
            <w:gridSpan w:val="2"/>
            <w:vMerge/>
            <w:tcBorders>
              <w:top w:val="double" w:sz="6" w:space="0" w:color="auto"/>
              <w:left w:val="double" w:sz="6" w:space="0" w:color="auto"/>
              <w:bottom w:val="single" w:sz="4" w:space="0" w:color="000000"/>
              <w:right w:val="double" w:sz="6" w:space="0" w:color="000000"/>
            </w:tcBorders>
            <w:vAlign w:val="center"/>
            <w:hideMark/>
          </w:tcPr>
          <w:p w:rsidR="009666AB" w:rsidRPr="00122069" w:rsidRDefault="009666AB" w:rsidP="00C141D8">
            <w:pPr>
              <w:spacing w:after="0" w:line="240" w:lineRule="auto"/>
              <w:rPr>
                <w:rFonts w:ascii="Times New Roman" w:eastAsia="Times New Roman" w:hAnsi="Times New Roman"/>
                <w:b/>
                <w:color w:val="000000"/>
                <w:sz w:val="18"/>
                <w:szCs w:val="18"/>
              </w:rPr>
            </w:pPr>
          </w:p>
        </w:tc>
        <w:tc>
          <w:tcPr>
            <w:tcW w:w="720" w:type="pct"/>
            <w:gridSpan w:val="2"/>
            <w:tcBorders>
              <w:top w:val="single" w:sz="4" w:space="0" w:color="auto"/>
              <w:left w:val="nil"/>
              <w:bottom w:val="single" w:sz="4" w:space="0" w:color="auto"/>
              <w:right w:val="double" w:sz="6" w:space="0" w:color="000000"/>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HOV Lane Access</w:t>
            </w:r>
          </w:p>
        </w:tc>
        <w:tc>
          <w:tcPr>
            <w:tcW w:w="720" w:type="pct"/>
            <w:gridSpan w:val="2"/>
            <w:tcBorders>
              <w:top w:val="single" w:sz="4" w:space="0" w:color="auto"/>
              <w:left w:val="nil"/>
              <w:bottom w:val="single" w:sz="4" w:space="0" w:color="auto"/>
              <w:right w:val="double" w:sz="6" w:space="0" w:color="000000"/>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Gas Cost Doubles</w:t>
            </w:r>
          </w:p>
        </w:tc>
        <w:tc>
          <w:tcPr>
            <w:tcW w:w="721" w:type="pct"/>
            <w:gridSpan w:val="3"/>
            <w:tcBorders>
              <w:top w:val="single" w:sz="4" w:space="0" w:color="auto"/>
              <w:left w:val="nil"/>
              <w:bottom w:val="single" w:sz="4" w:space="0" w:color="auto"/>
              <w:right w:val="double" w:sz="6" w:space="0" w:color="000000"/>
            </w:tcBorders>
            <w:shd w:val="clear" w:color="auto" w:fill="auto"/>
            <w:vAlign w:val="center"/>
            <w:hideMark/>
          </w:tcPr>
          <w:p w:rsidR="009666AB" w:rsidRPr="00255319" w:rsidRDefault="009666AB" w:rsidP="00811163">
            <w:pPr>
              <w:spacing w:after="0" w:line="240" w:lineRule="auto"/>
              <w:jc w:val="center"/>
              <w:rPr>
                <w:rFonts w:ascii="Times New Roman" w:eastAsia="Times New Roman" w:hAnsi="Times New Roman"/>
                <w:b/>
                <w:color w:val="000000"/>
                <w:sz w:val="18"/>
                <w:szCs w:val="18"/>
              </w:rPr>
            </w:pPr>
            <w:r w:rsidRPr="00255319">
              <w:rPr>
                <w:rFonts w:ascii="Times New Roman" w:eastAsia="Times New Roman" w:hAnsi="Times New Roman"/>
                <w:b/>
                <w:color w:val="000000"/>
                <w:sz w:val="18"/>
                <w:szCs w:val="18"/>
              </w:rPr>
              <w:t>Increased Driving Range</w:t>
            </w:r>
          </w:p>
        </w:tc>
        <w:tc>
          <w:tcPr>
            <w:tcW w:w="843" w:type="pct"/>
            <w:gridSpan w:val="2"/>
            <w:tcBorders>
              <w:top w:val="single" w:sz="4" w:space="0" w:color="auto"/>
              <w:left w:val="nil"/>
              <w:bottom w:val="single" w:sz="4" w:space="0" w:color="auto"/>
              <w:right w:val="double" w:sz="6" w:space="0" w:color="000000"/>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Combination: Gas Cost Doubles + Increased Driving Range</w:t>
            </w:r>
          </w:p>
        </w:tc>
      </w:tr>
      <w:tr w:rsidR="009666AB" w:rsidRPr="00122069" w:rsidTr="009666AB">
        <w:trPr>
          <w:trHeight w:val="244"/>
        </w:trPr>
        <w:tc>
          <w:tcPr>
            <w:tcW w:w="903" w:type="pct"/>
            <w:tcBorders>
              <w:top w:val="nil"/>
              <w:left w:val="nil"/>
              <w:bottom w:val="nil"/>
              <w:right w:val="nil"/>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color w:val="000000"/>
                <w:sz w:val="18"/>
                <w:szCs w:val="18"/>
              </w:rPr>
            </w:pPr>
          </w:p>
        </w:tc>
        <w:tc>
          <w:tcPr>
            <w:tcW w:w="375" w:type="pct"/>
            <w:vMerge/>
            <w:tcBorders>
              <w:top w:val="double" w:sz="6" w:space="0" w:color="auto"/>
              <w:left w:val="double" w:sz="6" w:space="0" w:color="auto"/>
              <w:bottom w:val="double" w:sz="6" w:space="0" w:color="000000"/>
              <w:right w:val="double" w:sz="6" w:space="0" w:color="auto"/>
            </w:tcBorders>
            <w:vAlign w:val="center"/>
            <w:hideMark/>
          </w:tcPr>
          <w:p w:rsidR="009666AB" w:rsidRPr="00122069" w:rsidRDefault="009666AB" w:rsidP="00C141D8">
            <w:pPr>
              <w:spacing w:after="0" w:line="240" w:lineRule="auto"/>
              <w:rPr>
                <w:rFonts w:ascii="Times New Roman" w:eastAsia="Times New Roman" w:hAnsi="Times New Roman"/>
                <w:b/>
                <w:color w:val="000000"/>
                <w:sz w:val="18"/>
                <w:szCs w:val="18"/>
              </w:rPr>
            </w:pPr>
          </w:p>
        </w:tc>
        <w:tc>
          <w:tcPr>
            <w:tcW w:w="358" w:type="pct"/>
            <w:tcBorders>
              <w:top w:val="nil"/>
              <w:left w:val="nil"/>
              <w:bottom w:val="nil"/>
              <w:right w:val="nil"/>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2020</w:t>
            </w:r>
          </w:p>
        </w:tc>
        <w:tc>
          <w:tcPr>
            <w:tcW w:w="360" w:type="pct"/>
            <w:tcBorders>
              <w:top w:val="nil"/>
              <w:left w:val="single" w:sz="4" w:space="0" w:color="auto"/>
              <w:bottom w:val="nil"/>
              <w:right w:val="double" w:sz="6"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2030</w:t>
            </w:r>
          </w:p>
        </w:tc>
        <w:tc>
          <w:tcPr>
            <w:tcW w:w="359" w:type="pct"/>
            <w:tcBorders>
              <w:top w:val="nil"/>
              <w:left w:val="nil"/>
              <w:bottom w:val="nil"/>
              <w:right w:val="single" w:sz="4"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sidRPr="00122069">
              <w:rPr>
                <w:rFonts w:ascii="Times New Roman" w:eastAsia="Times New Roman" w:hAnsi="Times New Roman"/>
                <w:b/>
                <w:color w:val="000000"/>
                <w:sz w:val="18"/>
                <w:szCs w:val="18"/>
              </w:rPr>
              <w:t>2020</w:t>
            </w:r>
          </w:p>
        </w:tc>
        <w:tc>
          <w:tcPr>
            <w:tcW w:w="361" w:type="pct"/>
            <w:tcBorders>
              <w:top w:val="nil"/>
              <w:left w:val="nil"/>
              <w:bottom w:val="nil"/>
              <w:right w:val="double" w:sz="6" w:space="0" w:color="auto"/>
            </w:tcBorders>
            <w:shd w:val="clear" w:color="auto" w:fill="auto"/>
            <w:vAlign w:val="center"/>
            <w:hideMark/>
          </w:tcPr>
          <w:p w:rsidR="009666AB" w:rsidRPr="00224B51" w:rsidRDefault="009666AB" w:rsidP="00811163">
            <w:pPr>
              <w:spacing w:after="0" w:line="240" w:lineRule="auto"/>
              <w:jc w:val="center"/>
              <w:rPr>
                <w:rFonts w:ascii="Times New Roman" w:eastAsia="Times New Roman" w:hAnsi="Times New Roman"/>
                <w:b/>
                <w:color w:val="000000"/>
                <w:sz w:val="18"/>
                <w:szCs w:val="18"/>
              </w:rPr>
            </w:pPr>
            <w:r w:rsidRPr="00224B51">
              <w:rPr>
                <w:rFonts w:ascii="Times New Roman" w:eastAsia="Times New Roman" w:hAnsi="Times New Roman"/>
                <w:b/>
                <w:color w:val="000000"/>
                <w:sz w:val="18"/>
                <w:szCs w:val="18"/>
              </w:rPr>
              <w:t>2020</w:t>
            </w:r>
          </w:p>
        </w:tc>
        <w:tc>
          <w:tcPr>
            <w:tcW w:w="359" w:type="pct"/>
            <w:tcBorders>
              <w:top w:val="nil"/>
              <w:left w:val="nil"/>
              <w:bottom w:val="nil"/>
              <w:right w:val="nil"/>
            </w:tcBorders>
            <w:shd w:val="clear" w:color="auto" w:fill="auto"/>
            <w:vAlign w:val="center"/>
            <w:hideMark/>
          </w:tcPr>
          <w:p w:rsidR="009666AB" w:rsidRPr="00224B51" w:rsidRDefault="009666AB" w:rsidP="00811163">
            <w:pPr>
              <w:spacing w:after="0" w:line="240" w:lineRule="auto"/>
              <w:jc w:val="center"/>
              <w:rPr>
                <w:rFonts w:ascii="Times New Roman" w:eastAsia="Times New Roman" w:hAnsi="Times New Roman"/>
                <w:b/>
                <w:color w:val="000000"/>
                <w:sz w:val="18"/>
                <w:szCs w:val="18"/>
              </w:rPr>
            </w:pPr>
            <w:r w:rsidRPr="00224B51">
              <w:rPr>
                <w:rFonts w:ascii="Times New Roman" w:eastAsia="Times New Roman" w:hAnsi="Times New Roman"/>
                <w:b/>
                <w:color w:val="000000"/>
                <w:sz w:val="18"/>
                <w:szCs w:val="18"/>
              </w:rPr>
              <w:t>2030</w:t>
            </w:r>
          </w:p>
        </w:tc>
        <w:tc>
          <w:tcPr>
            <w:tcW w:w="361" w:type="pct"/>
            <w:tcBorders>
              <w:top w:val="nil"/>
              <w:left w:val="single" w:sz="4" w:space="0" w:color="auto"/>
              <w:bottom w:val="nil"/>
              <w:right w:val="double" w:sz="6"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c>
          <w:tcPr>
            <w:tcW w:w="359" w:type="pct"/>
            <w:tcBorders>
              <w:top w:val="nil"/>
              <w:left w:val="nil"/>
              <w:bottom w:val="nil"/>
              <w:right w:val="single" w:sz="4"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2020</w:t>
            </w:r>
          </w:p>
        </w:tc>
        <w:tc>
          <w:tcPr>
            <w:tcW w:w="359" w:type="pct"/>
            <w:tcBorders>
              <w:top w:val="nil"/>
              <w:left w:val="nil"/>
              <w:bottom w:val="nil"/>
              <w:right w:val="double" w:sz="6"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c>
          <w:tcPr>
            <w:tcW w:w="430" w:type="pct"/>
            <w:gridSpan w:val="2"/>
            <w:tcBorders>
              <w:top w:val="nil"/>
              <w:left w:val="nil"/>
              <w:bottom w:val="nil"/>
              <w:right w:val="nil"/>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2020</w:t>
            </w:r>
          </w:p>
        </w:tc>
        <w:tc>
          <w:tcPr>
            <w:tcW w:w="416" w:type="pct"/>
            <w:tcBorders>
              <w:top w:val="nil"/>
              <w:left w:val="single" w:sz="4" w:space="0" w:color="auto"/>
              <w:bottom w:val="nil"/>
              <w:right w:val="double" w:sz="6" w:space="0" w:color="auto"/>
            </w:tcBorders>
            <w:shd w:val="clear" w:color="auto" w:fill="auto"/>
            <w:vAlign w:val="center"/>
            <w:hideMark/>
          </w:tcPr>
          <w:p w:rsidR="009666AB" w:rsidRPr="00122069" w:rsidRDefault="009666AB" w:rsidP="00C141D8">
            <w:pPr>
              <w:spacing w:after="0" w:line="240" w:lineRule="auto"/>
              <w:jc w:val="center"/>
              <w:rPr>
                <w:rFonts w:ascii="Times New Roman" w:eastAsia="Times New Roman" w:hAnsi="Times New Roman"/>
                <w:b/>
                <w:color w:val="000000"/>
                <w:sz w:val="18"/>
                <w:szCs w:val="18"/>
              </w:rPr>
            </w:pPr>
            <w:r>
              <w:rPr>
                <w:rFonts w:ascii="Times New Roman" w:eastAsia="Times New Roman" w:hAnsi="Times New Roman"/>
                <w:b/>
                <w:color w:val="000000"/>
                <w:sz w:val="18"/>
                <w:szCs w:val="18"/>
              </w:rPr>
              <w:t>2030</w:t>
            </w:r>
          </w:p>
        </w:tc>
      </w:tr>
      <w:tr w:rsidR="009666AB" w:rsidRPr="00122069" w:rsidTr="009666AB">
        <w:trPr>
          <w:trHeight w:val="244"/>
        </w:trPr>
        <w:tc>
          <w:tcPr>
            <w:tcW w:w="903" w:type="pct"/>
            <w:tcBorders>
              <w:top w:val="double" w:sz="6" w:space="0" w:color="auto"/>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Average Annual Household Mileage (miles)</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25368.10</w:t>
            </w:r>
          </w:p>
        </w:tc>
        <w:tc>
          <w:tcPr>
            <w:tcW w:w="358" w:type="pct"/>
            <w:tcBorders>
              <w:top w:val="double" w:sz="6" w:space="0" w:color="auto"/>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26666.83</w:t>
            </w:r>
          </w:p>
        </w:tc>
        <w:tc>
          <w:tcPr>
            <w:tcW w:w="360" w:type="pct"/>
            <w:tcBorders>
              <w:top w:val="double" w:sz="6" w:space="0" w:color="auto"/>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24244.68</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26664.96</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24283.39</w:t>
            </w:r>
          </w:p>
        </w:tc>
        <w:tc>
          <w:tcPr>
            <w:tcW w:w="359" w:type="pct"/>
            <w:tcBorders>
              <w:top w:val="double" w:sz="6" w:space="0" w:color="auto"/>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25219.69</w:t>
            </w:r>
          </w:p>
        </w:tc>
        <w:tc>
          <w:tcPr>
            <w:tcW w:w="361" w:type="pct"/>
            <w:tcBorders>
              <w:top w:val="double" w:sz="6" w:space="0" w:color="auto"/>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22844.96</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27925.92</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25292.33</w:t>
            </w:r>
          </w:p>
        </w:tc>
        <w:tc>
          <w:tcPr>
            <w:tcW w:w="430" w:type="pct"/>
            <w:gridSpan w:val="2"/>
            <w:tcBorders>
              <w:top w:val="double" w:sz="6" w:space="0" w:color="auto"/>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26775.42</w:t>
            </w:r>
          </w:p>
        </w:tc>
        <w:tc>
          <w:tcPr>
            <w:tcW w:w="416" w:type="pct"/>
            <w:tcBorders>
              <w:top w:val="double" w:sz="6" w:space="0" w:color="auto"/>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24392.05</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5.12</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-4.43</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5.11</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-4.28</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-0.59</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-9.95</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10.08</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-0.30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5.55</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-3.85</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-0.01</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0.16</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-5.43</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-5.77</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4.72</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4.32</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0.41</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0.61</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Average Annual Vehicle Mileage (miles)</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12818.53</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14530.57</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14205.29</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14472.78</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14050.42</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14405.42</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14124.52</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14703.15</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14202.44</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14601.02</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14167.75</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13.36</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10.82</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12.91</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9.61</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12.38</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10.19</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14.70</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10.80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13.91</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10.53</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-0.40</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-1.09</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-0.86</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-0.57</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1.19</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-0.02</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0.48</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-0.26</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Total Mileage (miles)/10^6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166.85</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225.92</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237.19</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225.91</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237.56</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213.66</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223.49</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236.59</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247.43</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226.84</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238.63</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35.41</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42.16</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35.40</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42.39</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28.06</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33.95</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41.80</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48.30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35.96</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43.02</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-0.01</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0.16</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-5.43</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-5.77</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4.72</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4.32</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0.41</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0.61</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Total Fuel Consumption: Gasoline (in gallons)/10^6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7.78</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5.31</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4.78</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5.47</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5.02</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4.69</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4.14</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3.72</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3.10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2.70</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2.40</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-31.66</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-38.59</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-29.60</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-35.41</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-39.65</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-46.81</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-52.14</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-60.14</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-65.30</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-69.10</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3.01</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5.17</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-11.70</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-13.39</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-29.97</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-35.10</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-49.23</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-49.68</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Total Fuel Consumption: Flex Fuel (in gallons)/10^6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0.02</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1.16</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0.95</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0.87</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0.68</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1.08</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0.90</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0.68</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0.53</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0.53</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0.36</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5436.45</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4433.10</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4086.68</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3167.29</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5070.05</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4196.27</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3143.73</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2425.32</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2430.45</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1623.77</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-24.38</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-27.92</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-6.62</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-5.22</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-41.41</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-44.29</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-54.29</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-61.97</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 xml:space="preserve">Total Fuel Consumption: CNG (in </w:t>
            </w:r>
            <w:proofErr w:type="spellStart"/>
            <w:r w:rsidRPr="00122069">
              <w:rPr>
                <w:rFonts w:ascii="Times New Roman" w:eastAsia="Times New Roman" w:hAnsi="Times New Roman"/>
                <w:i/>
                <w:iCs/>
                <w:color w:val="000000"/>
                <w:sz w:val="18"/>
                <w:szCs w:val="18"/>
              </w:rPr>
              <w:t>gge</w:t>
            </w:r>
            <w:proofErr w:type="spellEnd"/>
            <w:r w:rsidRPr="00122069">
              <w:rPr>
                <w:rFonts w:ascii="Times New Roman" w:eastAsia="Times New Roman" w:hAnsi="Times New Roman"/>
                <w:i/>
                <w:iCs/>
                <w:color w:val="000000"/>
                <w:sz w:val="18"/>
                <w:szCs w:val="18"/>
              </w:rPr>
              <w:t>)/10^6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0.01</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0.04</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0.03</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0.06</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0.06</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0.06</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0.06</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0.30</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0.32</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0.45</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0.42</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578.31</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455.62</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909.49</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974.46</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884.40</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909.22</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5113.54</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5442.60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7692.70</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7124.25</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48.82</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93.38</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45.12</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81.64</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668.60</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897.55</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1048.83</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1200.21</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Total Fuel Consumption: Diesel (in gallons)/10^6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0.19</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1.02</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1.10</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0.85</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0.86</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0.89</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0.93</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1.07</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0.93</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0.77</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0.69</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434.52</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475.68</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344.82</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350.67</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368.29</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386.90</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459.25</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386.77</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305.77</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259.34</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nil"/>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-16.78</w:t>
            </w:r>
          </w:p>
        </w:tc>
        <w:tc>
          <w:tcPr>
            <w:tcW w:w="361" w:type="pct"/>
            <w:tcBorders>
              <w:top w:val="nil"/>
              <w:left w:val="nil"/>
              <w:bottom w:val="nil"/>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-21.72</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-12.39</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-15.42</w:t>
            </w:r>
          </w:p>
        </w:tc>
        <w:tc>
          <w:tcPr>
            <w:tcW w:w="359" w:type="pct"/>
            <w:tcBorders>
              <w:top w:val="nil"/>
              <w:left w:val="nil"/>
              <w:bottom w:val="nil"/>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4.63</w:t>
            </w:r>
          </w:p>
        </w:tc>
        <w:tc>
          <w:tcPr>
            <w:tcW w:w="359" w:type="pct"/>
            <w:tcBorders>
              <w:top w:val="nil"/>
              <w:left w:val="nil"/>
              <w:bottom w:val="nil"/>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-15.45</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-24.09</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-37.58</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rPr>
                <w:rFonts w:ascii="Times New Roman" w:eastAsia="Times New Roman" w:hAnsi="Times New Roman"/>
                <w:i/>
                <w:iCs/>
                <w:color w:val="000000"/>
                <w:sz w:val="18"/>
                <w:szCs w:val="18"/>
              </w:rPr>
            </w:pPr>
            <w:r w:rsidRPr="00122069">
              <w:rPr>
                <w:rFonts w:ascii="Times New Roman" w:eastAsia="Times New Roman" w:hAnsi="Times New Roman"/>
                <w:i/>
                <w:iCs/>
                <w:color w:val="000000"/>
                <w:sz w:val="18"/>
                <w:szCs w:val="18"/>
              </w:rPr>
              <w:t>Total Emissions (grams)/10^6</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73994.89</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60444.94</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55763.35</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59156.22</w:t>
            </w:r>
          </w:p>
        </w:tc>
        <w:tc>
          <w:tcPr>
            <w:tcW w:w="361" w:type="pct"/>
            <w:tcBorders>
              <w:top w:val="double" w:sz="6" w:space="0" w:color="auto"/>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54513.76</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53329.03</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48129.17</w:t>
            </w:r>
          </w:p>
        </w:tc>
        <w:tc>
          <w:tcPr>
            <w:tcW w:w="359" w:type="pct"/>
            <w:tcBorders>
              <w:top w:val="double" w:sz="6" w:space="0" w:color="auto"/>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46047.04</w:t>
            </w:r>
          </w:p>
        </w:tc>
        <w:tc>
          <w:tcPr>
            <w:tcW w:w="359" w:type="pct"/>
            <w:tcBorders>
              <w:top w:val="double" w:sz="6" w:space="0" w:color="auto"/>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38478.69</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33481.03</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29448.73</w:t>
            </w:r>
          </w:p>
        </w:tc>
      </w:tr>
      <w:tr w:rsidR="009666AB" w:rsidRPr="00122069" w:rsidTr="009666AB">
        <w:trPr>
          <w:trHeight w:val="244"/>
        </w:trPr>
        <w:tc>
          <w:tcPr>
            <w:tcW w:w="903" w:type="pct"/>
            <w:tcBorders>
              <w:top w:val="nil"/>
              <w:left w:val="double" w:sz="6" w:space="0" w:color="auto"/>
              <w:bottom w:val="single" w:sz="4"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sidRPr="00122069">
              <w:rPr>
                <w:rFonts w:ascii="Times New Roman" w:eastAsia="Times New Roman" w:hAnsi="Times New Roman"/>
                <w:color w:val="000000"/>
                <w:sz w:val="18"/>
                <w:szCs w:val="18"/>
              </w:rPr>
              <w:t xml:space="preserve">% change from </w:t>
            </w:r>
            <w:r>
              <w:rPr>
                <w:rFonts w:ascii="Times New Roman" w:eastAsia="Times New Roman" w:hAnsi="Times New Roman"/>
                <w:color w:val="000000"/>
                <w:sz w:val="18"/>
                <w:szCs w:val="18"/>
              </w:rPr>
              <w:t>2008</w:t>
            </w:r>
          </w:p>
        </w:tc>
        <w:tc>
          <w:tcPr>
            <w:tcW w:w="375" w:type="pct"/>
            <w:tcBorders>
              <w:top w:val="nil"/>
              <w:left w:val="nil"/>
              <w:bottom w:val="single" w:sz="4"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single" w:sz="4"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-18.31</w:t>
            </w:r>
          </w:p>
        </w:tc>
        <w:tc>
          <w:tcPr>
            <w:tcW w:w="360" w:type="pct"/>
            <w:tcBorders>
              <w:top w:val="nil"/>
              <w:left w:val="single" w:sz="4" w:space="0" w:color="auto"/>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-24.64</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-20.05</w:t>
            </w:r>
          </w:p>
        </w:tc>
        <w:tc>
          <w:tcPr>
            <w:tcW w:w="361" w:type="pct"/>
            <w:tcBorders>
              <w:top w:val="nil"/>
              <w:left w:val="nil"/>
              <w:bottom w:val="single" w:sz="4"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-26.33</w:t>
            </w:r>
          </w:p>
        </w:tc>
        <w:tc>
          <w:tcPr>
            <w:tcW w:w="359" w:type="pct"/>
            <w:tcBorders>
              <w:top w:val="nil"/>
              <w:left w:val="nil"/>
              <w:bottom w:val="single" w:sz="4"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-27.93</w:t>
            </w:r>
          </w:p>
        </w:tc>
        <w:tc>
          <w:tcPr>
            <w:tcW w:w="361" w:type="pct"/>
            <w:tcBorders>
              <w:top w:val="nil"/>
              <w:left w:val="single" w:sz="4" w:space="0" w:color="auto"/>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-34.96</w:t>
            </w:r>
          </w:p>
        </w:tc>
        <w:tc>
          <w:tcPr>
            <w:tcW w:w="359" w:type="pct"/>
            <w:tcBorders>
              <w:top w:val="nil"/>
              <w:left w:val="nil"/>
              <w:bottom w:val="single" w:sz="4"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-37.77</w:t>
            </w:r>
          </w:p>
        </w:tc>
        <w:tc>
          <w:tcPr>
            <w:tcW w:w="359" w:type="pct"/>
            <w:tcBorders>
              <w:top w:val="nil"/>
              <w:left w:val="nil"/>
              <w:bottom w:val="single" w:sz="4"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-48.00</w:t>
            </w:r>
          </w:p>
        </w:tc>
        <w:tc>
          <w:tcPr>
            <w:tcW w:w="430" w:type="pct"/>
            <w:gridSpan w:val="2"/>
            <w:tcBorders>
              <w:top w:val="nil"/>
              <w:left w:val="nil"/>
              <w:bottom w:val="single" w:sz="4"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-54.75</w:t>
            </w:r>
          </w:p>
        </w:tc>
        <w:tc>
          <w:tcPr>
            <w:tcW w:w="416" w:type="pct"/>
            <w:tcBorders>
              <w:top w:val="nil"/>
              <w:left w:val="single" w:sz="4" w:space="0" w:color="auto"/>
              <w:bottom w:val="single" w:sz="4"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-60.20</w:t>
            </w:r>
          </w:p>
        </w:tc>
      </w:tr>
      <w:tr w:rsidR="009666AB" w:rsidRPr="00122069" w:rsidTr="009666AB">
        <w:trPr>
          <w:trHeight w:val="244"/>
        </w:trPr>
        <w:tc>
          <w:tcPr>
            <w:tcW w:w="903" w:type="pct"/>
            <w:tcBorders>
              <w:top w:val="nil"/>
              <w:left w:val="double" w:sz="6" w:space="0" w:color="auto"/>
              <w:bottom w:val="double" w:sz="6" w:space="0" w:color="auto"/>
              <w:right w:val="double" w:sz="6" w:space="0" w:color="auto"/>
            </w:tcBorders>
            <w:shd w:val="clear" w:color="auto" w:fill="auto"/>
            <w:vAlign w:val="center"/>
            <w:hideMark/>
          </w:tcPr>
          <w:p w:rsidR="009666AB" w:rsidRPr="00122069" w:rsidRDefault="009666AB" w:rsidP="00C141D8">
            <w:pPr>
              <w:spacing w:after="0" w:line="240" w:lineRule="auto"/>
              <w:ind w:firstLineChars="100" w:firstLine="180"/>
              <w:rPr>
                <w:rFonts w:ascii="Times New Roman" w:eastAsia="Times New Roman" w:hAnsi="Times New Roman"/>
                <w:color w:val="000000"/>
                <w:sz w:val="18"/>
                <w:szCs w:val="18"/>
              </w:rPr>
            </w:pPr>
            <w:r>
              <w:rPr>
                <w:rFonts w:ascii="Times New Roman" w:eastAsia="Times New Roman" w:hAnsi="Times New Roman"/>
                <w:color w:val="000000"/>
                <w:sz w:val="18"/>
                <w:szCs w:val="18"/>
              </w:rPr>
              <w:t>% diff.</w:t>
            </w:r>
            <w:r w:rsidRPr="00122069">
              <w:rPr>
                <w:rFonts w:ascii="Times New Roman" w:eastAsia="Times New Roman" w:hAnsi="Times New Roman"/>
                <w:color w:val="000000"/>
                <w:sz w:val="18"/>
                <w:szCs w:val="18"/>
              </w:rPr>
              <w:t xml:space="preserve"> from Baseline</w:t>
            </w:r>
          </w:p>
        </w:tc>
        <w:tc>
          <w:tcPr>
            <w:tcW w:w="375" w:type="pct"/>
            <w:tcBorders>
              <w:top w:val="nil"/>
              <w:left w:val="nil"/>
              <w:bottom w:val="double" w:sz="6" w:space="0" w:color="auto"/>
              <w:right w:val="double" w:sz="6" w:space="0" w:color="auto"/>
            </w:tcBorders>
            <w:shd w:val="clear" w:color="auto" w:fill="auto"/>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8" w:type="pct"/>
            <w:tcBorders>
              <w:top w:val="nil"/>
              <w:left w:val="nil"/>
              <w:bottom w:val="double" w:sz="6" w:space="0" w:color="auto"/>
              <w:right w:val="nil"/>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60" w:type="pct"/>
            <w:tcBorders>
              <w:top w:val="nil"/>
              <w:left w:val="single" w:sz="4" w:space="0" w:color="auto"/>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 xml:space="preserve"> --</w:t>
            </w:r>
          </w:p>
        </w:tc>
        <w:tc>
          <w:tcPr>
            <w:tcW w:w="359" w:type="pct"/>
            <w:tcBorders>
              <w:top w:val="nil"/>
              <w:left w:val="nil"/>
              <w:bottom w:val="double" w:sz="6" w:space="0" w:color="auto"/>
              <w:right w:val="single" w:sz="4"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-2.13</w:t>
            </w:r>
          </w:p>
        </w:tc>
        <w:tc>
          <w:tcPr>
            <w:tcW w:w="361" w:type="pct"/>
            <w:tcBorders>
              <w:top w:val="nil"/>
              <w:left w:val="nil"/>
              <w:bottom w:val="double" w:sz="6" w:space="0" w:color="auto"/>
              <w:right w:val="double" w:sz="6" w:space="0" w:color="auto"/>
            </w:tcBorders>
            <w:shd w:val="clear" w:color="auto" w:fill="auto"/>
            <w:noWrap/>
            <w:vAlign w:val="center"/>
            <w:hideMark/>
          </w:tcPr>
          <w:p w:rsidR="009666AB" w:rsidRPr="00C82E76" w:rsidRDefault="009666AB" w:rsidP="00C141D8">
            <w:pPr>
              <w:tabs>
                <w:tab w:val="decimal" w:pos="405"/>
              </w:tabs>
              <w:spacing w:after="0" w:line="240" w:lineRule="auto"/>
              <w:jc w:val="center"/>
              <w:rPr>
                <w:rFonts w:ascii="Times New Roman" w:hAnsi="Times New Roman"/>
                <w:color w:val="000000"/>
                <w:sz w:val="18"/>
                <w:szCs w:val="18"/>
              </w:rPr>
            </w:pPr>
            <w:r w:rsidRPr="00C82E76">
              <w:rPr>
                <w:rFonts w:ascii="Times New Roman" w:hAnsi="Times New Roman"/>
                <w:color w:val="000000"/>
                <w:sz w:val="18"/>
                <w:szCs w:val="18"/>
              </w:rPr>
              <w:t>-2.24</w:t>
            </w:r>
          </w:p>
        </w:tc>
        <w:tc>
          <w:tcPr>
            <w:tcW w:w="359" w:type="pct"/>
            <w:tcBorders>
              <w:top w:val="nil"/>
              <w:left w:val="nil"/>
              <w:bottom w:val="double" w:sz="6" w:space="0" w:color="auto"/>
              <w:right w:val="nil"/>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-11.77</w:t>
            </w:r>
          </w:p>
        </w:tc>
        <w:tc>
          <w:tcPr>
            <w:tcW w:w="361" w:type="pct"/>
            <w:tcBorders>
              <w:top w:val="nil"/>
              <w:left w:val="single" w:sz="4" w:space="0" w:color="auto"/>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-13.69</w:t>
            </w:r>
          </w:p>
        </w:tc>
        <w:tc>
          <w:tcPr>
            <w:tcW w:w="359" w:type="pct"/>
            <w:tcBorders>
              <w:top w:val="nil"/>
              <w:left w:val="nil"/>
              <w:bottom w:val="double" w:sz="6" w:space="0" w:color="auto"/>
              <w:right w:val="single" w:sz="4"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-23.82</w:t>
            </w:r>
          </w:p>
        </w:tc>
        <w:tc>
          <w:tcPr>
            <w:tcW w:w="359" w:type="pct"/>
            <w:tcBorders>
              <w:top w:val="nil"/>
              <w:left w:val="nil"/>
              <w:bottom w:val="double" w:sz="6" w:space="0" w:color="auto"/>
              <w:right w:val="double" w:sz="6" w:space="0" w:color="auto"/>
            </w:tcBorders>
            <w:shd w:val="clear" w:color="auto" w:fill="auto"/>
            <w:noWrap/>
            <w:vAlign w:val="center"/>
            <w:hideMark/>
          </w:tcPr>
          <w:p w:rsidR="009666AB" w:rsidRPr="00B8167D" w:rsidRDefault="009666AB" w:rsidP="00811163">
            <w:pPr>
              <w:tabs>
                <w:tab w:val="decimal" w:pos="440"/>
              </w:tabs>
              <w:spacing w:after="0" w:line="240" w:lineRule="auto"/>
              <w:jc w:val="center"/>
              <w:rPr>
                <w:rFonts w:ascii="Times New Roman" w:hAnsi="Times New Roman"/>
                <w:color w:val="000000"/>
                <w:sz w:val="18"/>
                <w:szCs w:val="18"/>
              </w:rPr>
            </w:pPr>
            <w:r w:rsidRPr="00B8167D">
              <w:rPr>
                <w:rFonts w:ascii="Times New Roman" w:hAnsi="Times New Roman"/>
                <w:color w:val="000000"/>
                <w:sz w:val="18"/>
                <w:szCs w:val="18"/>
              </w:rPr>
              <w:t>-31.00</w:t>
            </w:r>
          </w:p>
        </w:tc>
        <w:tc>
          <w:tcPr>
            <w:tcW w:w="430" w:type="pct"/>
            <w:gridSpan w:val="2"/>
            <w:tcBorders>
              <w:top w:val="nil"/>
              <w:left w:val="nil"/>
              <w:bottom w:val="double" w:sz="6" w:space="0" w:color="auto"/>
              <w:right w:val="nil"/>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-44.61</w:t>
            </w:r>
          </w:p>
        </w:tc>
        <w:tc>
          <w:tcPr>
            <w:tcW w:w="416" w:type="pct"/>
            <w:tcBorders>
              <w:top w:val="nil"/>
              <w:left w:val="single" w:sz="4" w:space="0" w:color="auto"/>
              <w:bottom w:val="double" w:sz="6" w:space="0" w:color="auto"/>
              <w:right w:val="double" w:sz="6" w:space="0" w:color="auto"/>
            </w:tcBorders>
            <w:shd w:val="clear" w:color="auto" w:fill="auto"/>
            <w:noWrap/>
            <w:vAlign w:val="center"/>
            <w:hideMark/>
          </w:tcPr>
          <w:p w:rsidR="009666AB" w:rsidRPr="00814146" w:rsidRDefault="009666AB" w:rsidP="00811163">
            <w:pPr>
              <w:tabs>
                <w:tab w:val="decimal" w:pos="527"/>
              </w:tabs>
              <w:spacing w:after="0" w:line="240" w:lineRule="auto"/>
              <w:jc w:val="center"/>
              <w:rPr>
                <w:rFonts w:ascii="Times New Roman" w:hAnsi="Times New Roman"/>
                <w:color w:val="000000"/>
                <w:sz w:val="18"/>
                <w:szCs w:val="18"/>
              </w:rPr>
            </w:pPr>
            <w:r w:rsidRPr="00814146">
              <w:rPr>
                <w:rFonts w:ascii="Times New Roman" w:hAnsi="Times New Roman"/>
                <w:color w:val="000000"/>
                <w:sz w:val="18"/>
                <w:szCs w:val="18"/>
              </w:rPr>
              <w:t>-47.19</w:t>
            </w:r>
          </w:p>
        </w:tc>
      </w:tr>
    </w:tbl>
    <w:p w:rsidR="00255319" w:rsidRPr="00F87F61" w:rsidRDefault="00255319" w:rsidP="00F87F61">
      <w:pPr>
        <w:spacing w:after="0" w:line="240" w:lineRule="auto"/>
        <w:rPr>
          <w:rFonts w:ascii="Times New Roman" w:hAnsi="Times New Roman"/>
          <w:sz w:val="16"/>
          <w:szCs w:val="16"/>
        </w:rPr>
      </w:pPr>
    </w:p>
    <w:sectPr w:rsidR="00255319" w:rsidRPr="00F87F61" w:rsidSect="00F87F61">
      <w:pgSz w:w="15840" w:h="12240" w:orient="landscape"/>
      <w:pgMar w:top="1440" w:right="1440" w:bottom="129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5C03" w:rsidRDefault="00645C03" w:rsidP="00835368">
      <w:pPr>
        <w:spacing w:after="0" w:line="240" w:lineRule="auto"/>
      </w:pPr>
      <w:r>
        <w:separator/>
      </w:r>
    </w:p>
  </w:endnote>
  <w:endnote w:type="continuationSeparator" w:id="0">
    <w:p w:rsidR="00645C03" w:rsidRDefault="00645C03" w:rsidP="008353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5C03" w:rsidRDefault="00645C03" w:rsidP="00835368">
      <w:pPr>
        <w:spacing w:after="0" w:line="240" w:lineRule="auto"/>
      </w:pPr>
      <w:r>
        <w:separator/>
      </w:r>
    </w:p>
  </w:footnote>
  <w:footnote w:type="continuationSeparator" w:id="0">
    <w:p w:rsidR="00645C03" w:rsidRDefault="00645C03" w:rsidP="00835368">
      <w:pPr>
        <w:spacing w:after="0" w:line="240" w:lineRule="auto"/>
      </w:pPr>
      <w:r>
        <w:continuationSeparator/>
      </w:r>
    </w:p>
  </w:footnote>
  <w:footnote w:id="1">
    <w:p w:rsidR="005E09DE" w:rsidRDefault="005E09DE" w:rsidP="001D2CF8">
      <w:pPr>
        <w:pStyle w:val="FootnoteText"/>
        <w:spacing w:after="0" w:line="240" w:lineRule="auto"/>
        <w:jc w:val="both"/>
      </w:pPr>
      <w:r w:rsidRPr="00937257">
        <w:rPr>
          <w:rStyle w:val="FootnoteReference"/>
          <w:rFonts w:ascii="Times New Roman" w:hAnsi="Times New Roman"/>
        </w:rPr>
        <w:footnoteRef/>
      </w:r>
      <w:r w:rsidRPr="00937257">
        <w:rPr>
          <w:rFonts w:ascii="Times New Roman" w:hAnsi="Times New Roman"/>
        </w:rPr>
        <w:t xml:space="preserve"> In the current study, we consider only the tailpipe emissions that occur due to vehicle usage</w:t>
      </w:r>
      <w:r>
        <w:rPr>
          <w:rFonts w:ascii="Times New Roman" w:hAnsi="Times New Roman"/>
        </w:rPr>
        <w:t xml:space="preserve"> but not</w:t>
      </w:r>
      <w:r w:rsidRPr="00937257">
        <w:rPr>
          <w:rFonts w:ascii="Times New Roman" w:hAnsi="Times New Roman"/>
        </w:rPr>
        <w:t xml:space="preserve"> </w:t>
      </w:r>
      <w:r>
        <w:rPr>
          <w:rFonts w:ascii="Times New Roman" w:hAnsi="Times New Roman"/>
        </w:rPr>
        <w:t>life-cycle emissions which include production and distribution emissions associated with the fuel.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DE" w:rsidRDefault="005E09DE">
    <w:pPr>
      <w:pStyle w:val="Header"/>
    </w:pPr>
    <w:r w:rsidRPr="00780457">
      <w:rPr>
        <w:rFonts w:ascii="Times New Roman" w:hAnsi="Times New Roman"/>
      </w:rPr>
      <w:t xml:space="preserve">Paleti, Bhat, Pendyala, Goulias, Adler, </w:t>
    </w:r>
    <w:r>
      <w:rPr>
        <w:rFonts w:ascii="Times New Roman" w:hAnsi="Times New Roman"/>
      </w:rPr>
      <w:t xml:space="preserve">and </w:t>
    </w:r>
    <w:r w:rsidRPr="00780457">
      <w:rPr>
        <w:rFonts w:ascii="Times New Roman" w:hAnsi="Times New Roman"/>
      </w:rPr>
      <w:t>Bahreinian</w:t>
    </w:r>
    <w:r>
      <w:rPr>
        <w:rFonts w:ascii="Times New Roman" w:hAnsi="Times New Roman"/>
      </w:rPr>
      <w:tab/>
    </w:r>
    <w:r w:rsidR="00C37586" w:rsidRPr="001D2CF8">
      <w:rPr>
        <w:rFonts w:ascii="Times New Roman" w:hAnsi="Times New Roman"/>
      </w:rPr>
      <w:fldChar w:fldCharType="begin"/>
    </w:r>
    <w:r w:rsidRPr="001D2CF8">
      <w:rPr>
        <w:rFonts w:ascii="Times New Roman" w:hAnsi="Times New Roman"/>
      </w:rPr>
      <w:instrText xml:space="preserve"> PAGE   \* MERGEFORMAT </w:instrText>
    </w:r>
    <w:r w:rsidR="00C37586" w:rsidRPr="001D2CF8">
      <w:rPr>
        <w:rFonts w:ascii="Times New Roman" w:hAnsi="Times New Roman"/>
      </w:rPr>
      <w:fldChar w:fldCharType="separate"/>
    </w:r>
    <w:r w:rsidR="00813818">
      <w:rPr>
        <w:rFonts w:ascii="Times New Roman" w:hAnsi="Times New Roman"/>
        <w:noProof/>
      </w:rPr>
      <w:t>2</w:t>
    </w:r>
    <w:r w:rsidR="00C37586" w:rsidRPr="001D2CF8">
      <w:rPr>
        <w:rFonts w:ascii="Times New Roman" w:hAnsi="Times New Roman"/>
        <w:noProof/>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DE" w:rsidRDefault="005E09DE">
    <w:pPr>
      <w:pStyle w:val="Header"/>
    </w:pPr>
    <w:r w:rsidRPr="00780457">
      <w:rPr>
        <w:rFonts w:ascii="Times New Roman" w:hAnsi="Times New Roman"/>
      </w:rPr>
      <w:t xml:space="preserve">Paleti, Bhat, Pendyala, Goulias, Adler, </w:t>
    </w:r>
    <w:r>
      <w:rPr>
        <w:rFonts w:ascii="Times New Roman" w:hAnsi="Times New Roman"/>
      </w:rPr>
      <w:t xml:space="preserve">and </w:t>
    </w:r>
    <w:r w:rsidRPr="00780457">
      <w:rPr>
        <w:rFonts w:ascii="Times New Roman" w:hAnsi="Times New Roman"/>
      </w:rPr>
      <w:t>Bahreinian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DE" w:rsidRDefault="005E09DE">
    <w:pPr>
      <w:pStyle w:val="Header"/>
    </w:pPr>
    <w:r w:rsidRPr="00780457">
      <w:rPr>
        <w:rFonts w:ascii="Times New Roman" w:hAnsi="Times New Roman"/>
      </w:rPr>
      <w:t xml:space="preserve">Paleti, Bhat, Pendyala, Goulias, Adler, </w:t>
    </w:r>
    <w:r>
      <w:rPr>
        <w:rFonts w:ascii="Times New Roman" w:hAnsi="Times New Roman"/>
      </w:rPr>
      <w:t xml:space="preserve">and </w:t>
    </w:r>
    <w:r w:rsidRPr="00780457">
      <w:rPr>
        <w:rFonts w:ascii="Times New Roman" w:hAnsi="Times New Roman"/>
      </w:rPr>
      <w:t>Bahreinian</w:t>
    </w:r>
    <w:r>
      <w:rPr>
        <w:rFonts w:ascii="Times New Roman" w:hAnsi="Times New Roman"/>
      </w:rPr>
      <w:tab/>
    </w:r>
    <w:r w:rsidR="00C37586" w:rsidRPr="001D2CF8">
      <w:rPr>
        <w:rFonts w:ascii="Times New Roman" w:hAnsi="Times New Roman"/>
      </w:rPr>
      <w:fldChar w:fldCharType="begin"/>
    </w:r>
    <w:r w:rsidRPr="001D2CF8">
      <w:rPr>
        <w:rFonts w:ascii="Times New Roman" w:hAnsi="Times New Roman"/>
      </w:rPr>
      <w:instrText xml:space="preserve"> PAGE   \* MERGEFORMAT </w:instrText>
    </w:r>
    <w:r w:rsidR="00C37586" w:rsidRPr="001D2CF8">
      <w:rPr>
        <w:rFonts w:ascii="Times New Roman" w:hAnsi="Times New Roman"/>
      </w:rPr>
      <w:fldChar w:fldCharType="separate"/>
    </w:r>
    <w:r w:rsidR="00813818">
      <w:rPr>
        <w:rFonts w:ascii="Times New Roman" w:hAnsi="Times New Roman"/>
        <w:noProof/>
      </w:rPr>
      <w:t>1</w:t>
    </w:r>
    <w:r w:rsidR="00C37586" w:rsidRPr="001D2CF8">
      <w:rPr>
        <w:rFonts w:ascii="Times New Roman" w:hAnsi="Times New Roman"/>
        <w:noProof/>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09DE" w:rsidRDefault="005E09DE" w:rsidP="00F87F61">
    <w:pPr>
      <w:pStyle w:val="Header"/>
      <w:tabs>
        <w:tab w:val="clear" w:pos="9360"/>
        <w:tab w:val="right" w:pos="12960"/>
      </w:tabs>
    </w:pPr>
    <w:r w:rsidRPr="00780457">
      <w:rPr>
        <w:rFonts w:ascii="Times New Roman" w:hAnsi="Times New Roman"/>
      </w:rPr>
      <w:t xml:space="preserve">Paleti, Bhat, Pendyala, Goulias, Adler, </w:t>
    </w:r>
    <w:r>
      <w:rPr>
        <w:rFonts w:ascii="Times New Roman" w:hAnsi="Times New Roman"/>
      </w:rPr>
      <w:t xml:space="preserve">and </w:t>
    </w:r>
    <w:r w:rsidRPr="00780457">
      <w:rPr>
        <w:rFonts w:ascii="Times New Roman" w:hAnsi="Times New Roman"/>
      </w:rPr>
      <w:t>Bahreinian</w:t>
    </w:r>
    <w:r>
      <w:rPr>
        <w:rFonts w:ascii="Times New Roman" w:hAnsi="Times New Roman"/>
      </w:rPr>
      <w:tab/>
    </w:r>
    <w:r w:rsidR="00C37586" w:rsidRPr="001D2CF8">
      <w:rPr>
        <w:rFonts w:ascii="Times New Roman" w:hAnsi="Times New Roman"/>
      </w:rPr>
      <w:fldChar w:fldCharType="begin"/>
    </w:r>
    <w:r w:rsidRPr="001D2CF8">
      <w:rPr>
        <w:rFonts w:ascii="Times New Roman" w:hAnsi="Times New Roman"/>
      </w:rPr>
      <w:instrText xml:space="preserve"> PAGE   \* MERGEFORMAT </w:instrText>
    </w:r>
    <w:r w:rsidR="00C37586" w:rsidRPr="001D2CF8">
      <w:rPr>
        <w:rFonts w:ascii="Times New Roman" w:hAnsi="Times New Roman"/>
      </w:rPr>
      <w:fldChar w:fldCharType="separate"/>
    </w:r>
    <w:r w:rsidR="00813818">
      <w:rPr>
        <w:rFonts w:ascii="Times New Roman" w:hAnsi="Times New Roman"/>
        <w:noProof/>
      </w:rPr>
      <w:t>15</w:t>
    </w:r>
    <w:r w:rsidR="00C37586" w:rsidRPr="001D2CF8">
      <w:rPr>
        <w:rFonts w:ascii="Times New Roman" w:hAnsi="Times New Roman"/>
        <w:noProof/>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966A0"/>
    <w:multiLevelType w:val="hybridMultilevel"/>
    <w:tmpl w:val="B128F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543349"/>
    <w:multiLevelType w:val="hybridMultilevel"/>
    <w:tmpl w:val="529C8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864780"/>
    <w:multiLevelType w:val="hybridMultilevel"/>
    <w:tmpl w:val="AF22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A2127"/>
    <w:multiLevelType w:val="hybridMultilevel"/>
    <w:tmpl w:val="2618DF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2280C1B"/>
    <w:multiLevelType w:val="hybridMultilevel"/>
    <w:tmpl w:val="19423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D0130E"/>
    <w:multiLevelType w:val="hybridMultilevel"/>
    <w:tmpl w:val="81BEDFE8"/>
    <w:lvl w:ilvl="0" w:tplc="0409000F">
      <w:start w:val="1"/>
      <w:numFmt w:val="decimal"/>
      <w:lvlText w:val="%1."/>
      <w:lvlJc w:val="left"/>
      <w:pPr>
        <w:ind w:left="34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EF4E86"/>
    <w:multiLevelType w:val="hybridMultilevel"/>
    <w:tmpl w:val="600C40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D36CA8"/>
    <w:multiLevelType w:val="hybridMultilevel"/>
    <w:tmpl w:val="9286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6B3138"/>
    <w:multiLevelType w:val="hybridMultilevel"/>
    <w:tmpl w:val="B7E0A18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nsid w:val="47263B1D"/>
    <w:multiLevelType w:val="hybridMultilevel"/>
    <w:tmpl w:val="32A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F92D3B"/>
    <w:multiLevelType w:val="hybridMultilevel"/>
    <w:tmpl w:val="C13CC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5AB41F4"/>
    <w:multiLevelType w:val="hybridMultilevel"/>
    <w:tmpl w:val="E91EA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D31BF1"/>
    <w:multiLevelType w:val="hybridMultilevel"/>
    <w:tmpl w:val="3174B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E5835"/>
    <w:multiLevelType w:val="hybridMultilevel"/>
    <w:tmpl w:val="7EB8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EC25440"/>
    <w:multiLevelType w:val="hybridMultilevel"/>
    <w:tmpl w:val="D0E68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3751687"/>
    <w:multiLevelType w:val="hybridMultilevel"/>
    <w:tmpl w:val="0256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8C4C5D"/>
    <w:multiLevelType w:val="hybridMultilevel"/>
    <w:tmpl w:val="89CA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B442258"/>
    <w:multiLevelType w:val="hybridMultilevel"/>
    <w:tmpl w:val="9E12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6"/>
  </w:num>
  <w:num w:numId="4">
    <w:abstractNumId w:val="2"/>
  </w:num>
  <w:num w:numId="5">
    <w:abstractNumId w:val="15"/>
  </w:num>
  <w:num w:numId="6">
    <w:abstractNumId w:val="7"/>
  </w:num>
  <w:num w:numId="7">
    <w:abstractNumId w:val="17"/>
  </w:num>
  <w:num w:numId="8">
    <w:abstractNumId w:val="12"/>
  </w:num>
  <w:num w:numId="9">
    <w:abstractNumId w:val="13"/>
  </w:num>
  <w:num w:numId="10">
    <w:abstractNumId w:val="0"/>
  </w:num>
  <w:num w:numId="11">
    <w:abstractNumId w:val="14"/>
  </w:num>
  <w:num w:numId="12">
    <w:abstractNumId w:val="9"/>
  </w:num>
  <w:num w:numId="13">
    <w:abstractNumId w:val="8"/>
  </w:num>
  <w:num w:numId="14">
    <w:abstractNumId w:val="10"/>
  </w:num>
  <w:num w:numId="15">
    <w:abstractNumId w:val="6"/>
  </w:num>
  <w:num w:numId="16">
    <w:abstractNumId w:val="4"/>
  </w:num>
  <w:num w:numId="17">
    <w:abstractNumId w:val="1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rawingGridVerticalSpacing w:val="187"/>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CC482D"/>
    <w:rsid w:val="00006600"/>
    <w:rsid w:val="000148C7"/>
    <w:rsid w:val="000219C4"/>
    <w:rsid w:val="00023D1E"/>
    <w:rsid w:val="0002405E"/>
    <w:rsid w:val="000320B9"/>
    <w:rsid w:val="0003628C"/>
    <w:rsid w:val="000379F6"/>
    <w:rsid w:val="00055056"/>
    <w:rsid w:val="00056758"/>
    <w:rsid w:val="0006014B"/>
    <w:rsid w:val="00064865"/>
    <w:rsid w:val="000651FC"/>
    <w:rsid w:val="00073C0E"/>
    <w:rsid w:val="000747CB"/>
    <w:rsid w:val="00075D54"/>
    <w:rsid w:val="0008450F"/>
    <w:rsid w:val="00090C5C"/>
    <w:rsid w:val="00094EE6"/>
    <w:rsid w:val="000A0735"/>
    <w:rsid w:val="000A3DD1"/>
    <w:rsid w:val="000A432C"/>
    <w:rsid w:val="000B13E7"/>
    <w:rsid w:val="000B2652"/>
    <w:rsid w:val="000C5170"/>
    <w:rsid w:val="000D3F29"/>
    <w:rsid w:val="000E323F"/>
    <w:rsid w:val="000E4A2D"/>
    <w:rsid w:val="000F6DD5"/>
    <w:rsid w:val="001001AB"/>
    <w:rsid w:val="00102CA0"/>
    <w:rsid w:val="00105FF9"/>
    <w:rsid w:val="001068B8"/>
    <w:rsid w:val="00110C0F"/>
    <w:rsid w:val="00113183"/>
    <w:rsid w:val="00115BC5"/>
    <w:rsid w:val="00122069"/>
    <w:rsid w:val="001270E4"/>
    <w:rsid w:val="00136915"/>
    <w:rsid w:val="00140CF6"/>
    <w:rsid w:val="001445EA"/>
    <w:rsid w:val="001463C6"/>
    <w:rsid w:val="00151F96"/>
    <w:rsid w:val="00156125"/>
    <w:rsid w:val="00164BD8"/>
    <w:rsid w:val="00170C52"/>
    <w:rsid w:val="00173901"/>
    <w:rsid w:val="00175E1D"/>
    <w:rsid w:val="001816E2"/>
    <w:rsid w:val="00182328"/>
    <w:rsid w:val="00183364"/>
    <w:rsid w:val="00187F86"/>
    <w:rsid w:val="00192DC5"/>
    <w:rsid w:val="001A4481"/>
    <w:rsid w:val="001A474C"/>
    <w:rsid w:val="001A6C8B"/>
    <w:rsid w:val="001B00EA"/>
    <w:rsid w:val="001B1DD3"/>
    <w:rsid w:val="001C4E79"/>
    <w:rsid w:val="001C701C"/>
    <w:rsid w:val="001C7903"/>
    <w:rsid w:val="001D1BA6"/>
    <w:rsid w:val="001D2CF8"/>
    <w:rsid w:val="001D49C8"/>
    <w:rsid w:val="001D5508"/>
    <w:rsid w:val="001E7EA8"/>
    <w:rsid w:val="001F1FC6"/>
    <w:rsid w:val="001F4E8A"/>
    <w:rsid w:val="00200978"/>
    <w:rsid w:val="002110CC"/>
    <w:rsid w:val="0021215C"/>
    <w:rsid w:val="002135C3"/>
    <w:rsid w:val="002165E6"/>
    <w:rsid w:val="00227718"/>
    <w:rsid w:val="00231A74"/>
    <w:rsid w:val="002401A9"/>
    <w:rsid w:val="002417AF"/>
    <w:rsid w:val="00251DD5"/>
    <w:rsid w:val="00252D7D"/>
    <w:rsid w:val="002552B9"/>
    <w:rsid w:val="00255319"/>
    <w:rsid w:val="00256D17"/>
    <w:rsid w:val="00271D73"/>
    <w:rsid w:val="002732D2"/>
    <w:rsid w:val="002843C8"/>
    <w:rsid w:val="00285128"/>
    <w:rsid w:val="002868B7"/>
    <w:rsid w:val="00290AE3"/>
    <w:rsid w:val="00291DBA"/>
    <w:rsid w:val="00294DCE"/>
    <w:rsid w:val="002A2535"/>
    <w:rsid w:val="002A3FD3"/>
    <w:rsid w:val="002A6663"/>
    <w:rsid w:val="002A7AEF"/>
    <w:rsid w:val="002A7DD4"/>
    <w:rsid w:val="002C3C87"/>
    <w:rsid w:val="002C5B60"/>
    <w:rsid w:val="002D214D"/>
    <w:rsid w:val="002D3407"/>
    <w:rsid w:val="002D61F8"/>
    <w:rsid w:val="002E2720"/>
    <w:rsid w:val="002E6F93"/>
    <w:rsid w:val="002F0EF9"/>
    <w:rsid w:val="002F3F6F"/>
    <w:rsid w:val="0030294D"/>
    <w:rsid w:val="003037A3"/>
    <w:rsid w:val="00304D61"/>
    <w:rsid w:val="00306B59"/>
    <w:rsid w:val="003072FA"/>
    <w:rsid w:val="003115D6"/>
    <w:rsid w:val="00321C61"/>
    <w:rsid w:val="0032466E"/>
    <w:rsid w:val="0032478A"/>
    <w:rsid w:val="00326A09"/>
    <w:rsid w:val="00332E56"/>
    <w:rsid w:val="00337E31"/>
    <w:rsid w:val="003438D7"/>
    <w:rsid w:val="003468FC"/>
    <w:rsid w:val="00353777"/>
    <w:rsid w:val="00355992"/>
    <w:rsid w:val="0036268A"/>
    <w:rsid w:val="00363D93"/>
    <w:rsid w:val="00364A22"/>
    <w:rsid w:val="00365A4B"/>
    <w:rsid w:val="00365DE6"/>
    <w:rsid w:val="00366EF8"/>
    <w:rsid w:val="003702CA"/>
    <w:rsid w:val="003709C5"/>
    <w:rsid w:val="00371EAF"/>
    <w:rsid w:val="00375037"/>
    <w:rsid w:val="00387162"/>
    <w:rsid w:val="00387711"/>
    <w:rsid w:val="00390D98"/>
    <w:rsid w:val="0039132B"/>
    <w:rsid w:val="0039735D"/>
    <w:rsid w:val="003A233D"/>
    <w:rsid w:val="003A3E98"/>
    <w:rsid w:val="003A5FEA"/>
    <w:rsid w:val="003A64D9"/>
    <w:rsid w:val="003C4222"/>
    <w:rsid w:val="003D3017"/>
    <w:rsid w:val="003D4837"/>
    <w:rsid w:val="003D49DD"/>
    <w:rsid w:val="003D5244"/>
    <w:rsid w:val="003E3253"/>
    <w:rsid w:val="003F0E08"/>
    <w:rsid w:val="00400F3E"/>
    <w:rsid w:val="00404E2A"/>
    <w:rsid w:val="00411662"/>
    <w:rsid w:val="00412B7B"/>
    <w:rsid w:val="004144DF"/>
    <w:rsid w:val="00422FDE"/>
    <w:rsid w:val="00423C9C"/>
    <w:rsid w:val="00426C75"/>
    <w:rsid w:val="00427D0D"/>
    <w:rsid w:val="00431752"/>
    <w:rsid w:val="00431824"/>
    <w:rsid w:val="00440AA6"/>
    <w:rsid w:val="00444168"/>
    <w:rsid w:val="0044464A"/>
    <w:rsid w:val="00444B3D"/>
    <w:rsid w:val="004504EC"/>
    <w:rsid w:val="00453264"/>
    <w:rsid w:val="00453858"/>
    <w:rsid w:val="00454AD4"/>
    <w:rsid w:val="00454FC7"/>
    <w:rsid w:val="0045635E"/>
    <w:rsid w:val="00461077"/>
    <w:rsid w:val="004647AB"/>
    <w:rsid w:val="004720E9"/>
    <w:rsid w:val="00476AA9"/>
    <w:rsid w:val="00480730"/>
    <w:rsid w:val="00483C38"/>
    <w:rsid w:val="0048549C"/>
    <w:rsid w:val="004B4449"/>
    <w:rsid w:val="004B7377"/>
    <w:rsid w:val="004C6733"/>
    <w:rsid w:val="004C6AB7"/>
    <w:rsid w:val="004E3A9F"/>
    <w:rsid w:val="004E7534"/>
    <w:rsid w:val="004F3986"/>
    <w:rsid w:val="004F4AE7"/>
    <w:rsid w:val="00506C33"/>
    <w:rsid w:val="005076C5"/>
    <w:rsid w:val="0052212C"/>
    <w:rsid w:val="00522AF3"/>
    <w:rsid w:val="00524DE5"/>
    <w:rsid w:val="00525882"/>
    <w:rsid w:val="00526F3F"/>
    <w:rsid w:val="00527B69"/>
    <w:rsid w:val="00532783"/>
    <w:rsid w:val="0053562D"/>
    <w:rsid w:val="0054101F"/>
    <w:rsid w:val="00546532"/>
    <w:rsid w:val="00553C75"/>
    <w:rsid w:val="00556668"/>
    <w:rsid w:val="005618CF"/>
    <w:rsid w:val="00566361"/>
    <w:rsid w:val="00567198"/>
    <w:rsid w:val="005721E1"/>
    <w:rsid w:val="00575A2D"/>
    <w:rsid w:val="005817A5"/>
    <w:rsid w:val="00587FF4"/>
    <w:rsid w:val="00591422"/>
    <w:rsid w:val="00591FFB"/>
    <w:rsid w:val="0059286C"/>
    <w:rsid w:val="00595BB6"/>
    <w:rsid w:val="005A2E66"/>
    <w:rsid w:val="005B22CF"/>
    <w:rsid w:val="005B69DE"/>
    <w:rsid w:val="005C0EB6"/>
    <w:rsid w:val="005D01E3"/>
    <w:rsid w:val="005E09DE"/>
    <w:rsid w:val="005E0BD9"/>
    <w:rsid w:val="005E1EA7"/>
    <w:rsid w:val="005F69EB"/>
    <w:rsid w:val="0060239E"/>
    <w:rsid w:val="00606E77"/>
    <w:rsid w:val="006112C9"/>
    <w:rsid w:val="0061199A"/>
    <w:rsid w:val="00611F3A"/>
    <w:rsid w:val="006249F4"/>
    <w:rsid w:val="00627D84"/>
    <w:rsid w:val="0063059E"/>
    <w:rsid w:val="00631068"/>
    <w:rsid w:val="00632D36"/>
    <w:rsid w:val="00637AA7"/>
    <w:rsid w:val="0064117A"/>
    <w:rsid w:val="0064240E"/>
    <w:rsid w:val="006429C6"/>
    <w:rsid w:val="006433DD"/>
    <w:rsid w:val="0064402E"/>
    <w:rsid w:val="006440B1"/>
    <w:rsid w:val="0064590A"/>
    <w:rsid w:val="00645C03"/>
    <w:rsid w:val="006503C8"/>
    <w:rsid w:val="0065399C"/>
    <w:rsid w:val="0065737B"/>
    <w:rsid w:val="00660505"/>
    <w:rsid w:val="0066073A"/>
    <w:rsid w:val="00667E8D"/>
    <w:rsid w:val="00670202"/>
    <w:rsid w:val="00671B48"/>
    <w:rsid w:val="00673C86"/>
    <w:rsid w:val="00674474"/>
    <w:rsid w:val="00676104"/>
    <w:rsid w:val="006768A4"/>
    <w:rsid w:val="00684CF5"/>
    <w:rsid w:val="006855B1"/>
    <w:rsid w:val="00686A78"/>
    <w:rsid w:val="00686D99"/>
    <w:rsid w:val="006879E5"/>
    <w:rsid w:val="0069009D"/>
    <w:rsid w:val="0069317D"/>
    <w:rsid w:val="006978C0"/>
    <w:rsid w:val="006A1ADE"/>
    <w:rsid w:val="006A6911"/>
    <w:rsid w:val="006B107C"/>
    <w:rsid w:val="006B4738"/>
    <w:rsid w:val="006B4F82"/>
    <w:rsid w:val="006D2D39"/>
    <w:rsid w:val="006E0038"/>
    <w:rsid w:val="006F421B"/>
    <w:rsid w:val="006F5AFC"/>
    <w:rsid w:val="006F5C29"/>
    <w:rsid w:val="00710AC2"/>
    <w:rsid w:val="00711E0F"/>
    <w:rsid w:val="00711E8E"/>
    <w:rsid w:val="00715FC5"/>
    <w:rsid w:val="00721101"/>
    <w:rsid w:val="0072169D"/>
    <w:rsid w:val="00721D42"/>
    <w:rsid w:val="00721EE7"/>
    <w:rsid w:val="0072682E"/>
    <w:rsid w:val="00726DB6"/>
    <w:rsid w:val="00727A23"/>
    <w:rsid w:val="00731179"/>
    <w:rsid w:val="007322DC"/>
    <w:rsid w:val="007351A0"/>
    <w:rsid w:val="00736106"/>
    <w:rsid w:val="00740833"/>
    <w:rsid w:val="00751E12"/>
    <w:rsid w:val="0075447C"/>
    <w:rsid w:val="007546D1"/>
    <w:rsid w:val="00757D54"/>
    <w:rsid w:val="00762F0D"/>
    <w:rsid w:val="00766430"/>
    <w:rsid w:val="00770599"/>
    <w:rsid w:val="00771DBC"/>
    <w:rsid w:val="00775899"/>
    <w:rsid w:val="00776657"/>
    <w:rsid w:val="0078208A"/>
    <w:rsid w:val="007839E0"/>
    <w:rsid w:val="00784D6F"/>
    <w:rsid w:val="007944D5"/>
    <w:rsid w:val="00797D02"/>
    <w:rsid w:val="007A202A"/>
    <w:rsid w:val="007A4E3B"/>
    <w:rsid w:val="007A6A04"/>
    <w:rsid w:val="007C264F"/>
    <w:rsid w:val="007C4664"/>
    <w:rsid w:val="007D3E43"/>
    <w:rsid w:val="007E3161"/>
    <w:rsid w:val="007E3BF1"/>
    <w:rsid w:val="007F0A3E"/>
    <w:rsid w:val="007F4C04"/>
    <w:rsid w:val="007F6439"/>
    <w:rsid w:val="007F71AB"/>
    <w:rsid w:val="008037D8"/>
    <w:rsid w:val="00811163"/>
    <w:rsid w:val="00813818"/>
    <w:rsid w:val="008139A1"/>
    <w:rsid w:val="00815363"/>
    <w:rsid w:val="008162D5"/>
    <w:rsid w:val="00827A7D"/>
    <w:rsid w:val="00833147"/>
    <w:rsid w:val="00833BEA"/>
    <w:rsid w:val="00835368"/>
    <w:rsid w:val="008468C9"/>
    <w:rsid w:val="0085056E"/>
    <w:rsid w:val="008539BD"/>
    <w:rsid w:val="00854168"/>
    <w:rsid w:val="00860A92"/>
    <w:rsid w:val="00865DF6"/>
    <w:rsid w:val="00871659"/>
    <w:rsid w:val="00876F3C"/>
    <w:rsid w:val="0088221D"/>
    <w:rsid w:val="00883ED9"/>
    <w:rsid w:val="00885668"/>
    <w:rsid w:val="00887EC4"/>
    <w:rsid w:val="0089506F"/>
    <w:rsid w:val="008A2584"/>
    <w:rsid w:val="008A7667"/>
    <w:rsid w:val="008B45E6"/>
    <w:rsid w:val="008C6153"/>
    <w:rsid w:val="008C7FCC"/>
    <w:rsid w:val="008D07B7"/>
    <w:rsid w:val="008D197A"/>
    <w:rsid w:val="008D363D"/>
    <w:rsid w:val="008D4725"/>
    <w:rsid w:val="008E25E9"/>
    <w:rsid w:val="008F1B03"/>
    <w:rsid w:val="008F7F9F"/>
    <w:rsid w:val="00900E09"/>
    <w:rsid w:val="00904EFF"/>
    <w:rsid w:val="00905A74"/>
    <w:rsid w:val="009075D3"/>
    <w:rsid w:val="00911030"/>
    <w:rsid w:val="00912332"/>
    <w:rsid w:val="00913055"/>
    <w:rsid w:val="0091335E"/>
    <w:rsid w:val="009307A2"/>
    <w:rsid w:val="00937257"/>
    <w:rsid w:val="00942AC6"/>
    <w:rsid w:val="00961D0C"/>
    <w:rsid w:val="00965174"/>
    <w:rsid w:val="009666AB"/>
    <w:rsid w:val="0097114E"/>
    <w:rsid w:val="009741DE"/>
    <w:rsid w:val="009771CA"/>
    <w:rsid w:val="0098227E"/>
    <w:rsid w:val="0098634E"/>
    <w:rsid w:val="009920E5"/>
    <w:rsid w:val="009966F1"/>
    <w:rsid w:val="0099775E"/>
    <w:rsid w:val="009A0370"/>
    <w:rsid w:val="009A0D22"/>
    <w:rsid w:val="009A200A"/>
    <w:rsid w:val="009B6C53"/>
    <w:rsid w:val="009B7BEB"/>
    <w:rsid w:val="009D1C98"/>
    <w:rsid w:val="009E2EC8"/>
    <w:rsid w:val="009E455D"/>
    <w:rsid w:val="009E4A55"/>
    <w:rsid w:val="009E7B83"/>
    <w:rsid w:val="00A0114A"/>
    <w:rsid w:val="00A01BA3"/>
    <w:rsid w:val="00A050A4"/>
    <w:rsid w:val="00A06629"/>
    <w:rsid w:val="00A13718"/>
    <w:rsid w:val="00A13A45"/>
    <w:rsid w:val="00A1465F"/>
    <w:rsid w:val="00A16594"/>
    <w:rsid w:val="00A21C79"/>
    <w:rsid w:val="00A23E5D"/>
    <w:rsid w:val="00A25186"/>
    <w:rsid w:val="00A25783"/>
    <w:rsid w:val="00A271F1"/>
    <w:rsid w:val="00A360EC"/>
    <w:rsid w:val="00A37F66"/>
    <w:rsid w:val="00A525C5"/>
    <w:rsid w:val="00A65443"/>
    <w:rsid w:val="00A7300D"/>
    <w:rsid w:val="00A7541A"/>
    <w:rsid w:val="00A7569B"/>
    <w:rsid w:val="00A76E0B"/>
    <w:rsid w:val="00A770EF"/>
    <w:rsid w:val="00A8583D"/>
    <w:rsid w:val="00A87F5F"/>
    <w:rsid w:val="00A96074"/>
    <w:rsid w:val="00A97F76"/>
    <w:rsid w:val="00AA3E3E"/>
    <w:rsid w:val="00AA4C6D"/>
    <w:rsid w:val="00AA4E7C"/>
    <w:rsid w:val="00AA5C39"/>
    <w:rsid w:val="00AC0138"/>
    <w:rsid w:val="00AC10D4"/>
    <w:rsid w:val="00AC3954"/>
    <w:rsid w:val="00AC4FE3"/>
    <w:rsid w:val="00AC5CD0"/>
    <w:rsid w:val="00AC61A3"/>
    <w:rsid w:val="00AC7798"/>
    <w:rsid w:val="00AD271B"/>
    <w:rsid w:val="00AD7B09"/>
    <w:rsid w:val="00AE4AEF"/>
    <w:rsid w:val="00AE578F"/>
    <w:rsid w:val="00AE74AE"/>
    <w:rsid w:val="00AF1276"/>
    <w:rsid w:val="00AF21E2"/>
    <w:rsid w:val="00AF43BC"/>
    <w:rsid w:val="00B011C5"/>
    <w:rsid w:val="00B03032"/>
    <w:rsid w:val="00B0526D"/>
    <w:rsid w:val="00B142F7"/>
    <w:rsid w:val="00B14836"/>
    <w:rsid w:val="00B14D58"/>
    <w:rsid w:val="00B20A2C"/>
    <w:rsid w:val="00B20A9F"/>
    <w:rsid w:val="00B21267"/>
    <w:rsid w:val="00B2263E"/>
    <w:rsid w:val="00B33B30"/>
    <w:rsid w:val="00B365E7"/>
    <w:rsid w:val="00B37565"/>
    <w:rsid w:val="00B40A12"/>
    <w:rsid w:val="00B429D8"/>
    <w:rsid w:val="00B436F0"/>
    <w:rsid w:val="00B5448C"/>
    <w:rsid w:val="00B73A51"/>
    <w:rsid w:val="00B742AB"/>
    <w:rsid w:val="00B746AB"/>
    <w:rsid w:val="00B755C9"/>
    <w:rsid w:val="00B81C60"/>
    <w:rsid w:val="00B8518C"/>
    <w:rsid w:val="00B900FC"/>
    <w:rsid w:val="00B909D6"/>
    <w:rsid w:val="00B90FAA"/>
    <w:rsid w:val="00B95967"/>
    <w:rsid w:val="00BA27CE"/>
    <w:rsid w:val="00BB60D8"/>
    <w:rsid w:val="00BC11DA"/>
    <w:rsid w:val="00BE0569"/>
    <w:rsid w:val="00BF1E85"/>
    <w:rsid w:val="00BF3AFC"/>
    <w:rsid w:val="00C10500"/>
    <w:rsid w:val="00C10F8B"/>
    <w:rsid w:val="00C13B9F"/>
    <w:rsid w:val="00C141D8"/>
    <w:rsid w:val="00C17B9A"/>
    <w:rsid w:val="00C23D2C"/>
    <w:rsid w:val="00C3361F"/>
    <w:rsid w:val="00C33C75"/>
    <w:rsid w:val="00C34B44"/>
    <w:rsid w:val="00C3561B"/>
    <w:rsid w:val="00C357C4"/>
    <w:rsid w:val="00C369F0"/>
    <w:rsid w:val="00C37586"/>
    <w:rsid w:val="00C42D63"/>
    <w:rsid w:val="00C53961"/>
    <w:rsid w:val="00C7099C"/>
    <w:rsid w:val="00C73C7F"/>
    <w:rsid w:val="00C84813"/>
    <w:rsid w:val="00C919DC"/>
    <w:rsid w:val="00C9743F"/>
    <w:rsid w:val="00CA2BDC"/>
    <w:rsid w:val="00CA4BAB"/>
    <w:rsid w:val="00CA5B8C"/>
    <w:rsid w:val="00CA6CAB"/>
    <w:rsid w:val="00CB529E"/>
    <w:rsid w:val="00CB5C45"/>
    <w:rsid w:val="00CB668F"/>
    <w:rsid w:val="00CC0511"/>
    <w:rsid w:val="00CC179C"/>
    <w:rsid w:val="00CC3E3E"/>
    <w:rsid w:val="00CC482D"/>
    <w:rsid w:val="00CC5122"/>
    <w:rsid w:val="00CC5A28"/>
    <w:rsid w:val="00CC77A9"/>
    <w:rsid w:val="00CD319C"/>
    <w:rsid w:val="00CD4464"/>
    <w:rsid w:val="00CE08C7"/>
    <w:rsid w:val="00CE2AF5"/>
    <w:rsid w:val="00CE55E3"/>
    <w:rsid w:val="00CF320C"/>
    <w:rsid w:val="00CF7116"/>
    <w:rsid w:val="00D20981"/>
    <w:rsid w:val="00D218BC"/>
    <w:rsid w:val="00D24AC0"/>
    <w:rsid w:val="00D31C66"/>
    <w:rsid w:val="00D53F20"/>
    <w:rsid w:val="00D54316"/>
    <w:rsid w:val="00D55C19"/>
    <w:rsid w:val="00D6062A"/>
    <w:rsid w:val="00D6153D"/>
    <w:rsid w:val="00D64DB3"/>
    <w:rsid w:val="00D7110E"/>
    <w:rsid w:val="00D77689"/>
    <w:rsid w:val="00D85AEA"/>
    <w:rsid w:val="00D94D91"/>
    <w:rsid w:val="00D9626E"/>
    <w:rsid w:val="00DA0577"/>
    <w:rsid w:val="00DA2A7A"/>
    <w:rsid w:val="00DA33EA"/>
    <w:rsid w:val="00DA402D"/>
    <w:rsid w:val="00DB08FA"/>
    <w:rsid w:val="00DB1FF0"/>
    <w:rsid w:val="00DB5567"/>
    <w:rsid w:val="00DB5732"/>
    <w:rsid w:val="00DB7CD5"/>
    <w:rsid w:val="00DD20AF"/>
    <w:rsid w:val="00DD2125"/>
    <w:rsid w:val="00DD2ECA"/>
    <w:rsid w:val="00DD346F"/>
    <w:rsid w:val="00DD56D3"/>
    <w:rsid w:val="00DE385F"/>
    <w:rsid w:val="00DE4069"/>
    <w:rsid w:val="00DF7180"/>
    <w:rsid w:val="00E00598"/>
    <w:rsid w:val="00E1090B"/>
    <w:rsid w:val="00E21702"/>
    <w:rsid w:val="00E22F20"/>
    <w:rsid w:val="00E27F3C"/>
    <w:rsid w:val="00E40A56"/>
    <w:rsid w:val="00E40A6F"/>
    <w:rsid w:val="00E40B68"/>
    <w:rsid w:val="00E42F7D"/>
    <w:rsid w:val="00E46117"/>
    <w:rsid w:val="00E465F1"/>
    <w:rsid w:val="00E46BD9"/>
    <w:rsid w:val="00E47E7C"/>
    <w:rsid w:val="00E47EB4"/>
    <w:rsid w:val="00E61281"/>
    <w:rsid w:val="00E63050"/>
    <w:rsid w:val="00E767B3"/>
    <w:rsid w:val="00E76EA0"/>
    <w:rsid w:val="00E77C4E"/>
    <w:rsid w:val="00E8545A"/>
    <w:rsid w:val="00E8623B"/>
    <w:rsid w:val="00E964C4"/>
    <w:rsid w:val="00EB6243"/>
    <w:rsid w:val="00EC2C3C"/>
    <w:rsid w:val="00EC4250"/>
    <w:rsid w:val="00ED0B10"/>
    <w:rsid w:val="00ED5212"/>
    <w:rsid w:val="00ED6531"/>
    <w:rsid w:val="00EE1CE3"/>
    <w:rsid w:val="00EE2C95"/>
    <w:rsid w:val="00EE3158"/>
    <w:rsid w:val="00EE38A1"/>
    <w:rsid w:val="00EF0FD0"/>
    <w:rsid w:val="00EF1C4C"/>
    <w:rsid w:val="00EF3D38"/>
    <w:rsid w:val="00EF6A17"/>
    <w:rsid w:val="00F034F9"/>
    <w:rsid w:val="00F12D12"/>
    <w:rsid w:val="00F22034"/>
    <w:rsid w:val="00F24B20"/>
    <w:rsid w:val="00F30466"/>
    <w:rsid w:val="00F326D6"/>
    <w:rsid w:val="00F33C60"/>
    <w:rsid w:val="00F352AD"/>
    <w:rsid w:val="00F35531"/>
    <w:rsid w:val="00F35614"/>
    <w:rsid w:val="00F4284A"/>
    <w:rsid w:val="00F42B4D"/>
    <w:rsid w:val="00F55603"/>
    <w:rsid w:val="00F700A8"/>
    <w:rsid w:val="00F739EB"/>
    <w:rsid w:val="00F82CB6"/>
    <w:rsid w:val="00F85775"/>
    <w:rsid w:val="00F863EB"/>
    <w:rsid w:val="00F87F61"/>
    <w:rsid w:val="00F92CA4"/>
    <w:rsid w:val="00F93178"/>
    <w:rsid w:val="00F933FF"/>
    <w:rsid w:val="00F97518"/>
    <w:rsid w:val="00FA41B7"/>
    <w:rsid w:val="00FB12D8"/>
    <w:rsid w:val="00FC4E9C"/>
    <w:rsid w:val="00FE7773"/>
    <w:rsid w:val="00FF2F59"/>
    <w:rsid w:val="00FF3844"/>
    <w:rsid w:val="00FF3E3D"/>
    <w:rsid w:val="00FF5B11"/>
    <w:rsid w:val="00FF74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AFC"/>
    <w:pPr>
      <w:spacing w:after="200" w:line="276" w:lineRule="auto"/>
    </w:pPr>
  </w:style>
  <w:style w:type="paragraph" w:styleId="Heading1">
    <w:name w:val="heading 1"/>
    <w:basedOn w:val="Normal"/>
    <w:next w:val="Normal"/>
    <w:link w:val="Heading1Char"/>
    <w:uiPriority w:val="99"/>
    <w:qFormat/>
    <w:locked/>
    <w:rsid w:val="0039132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semiHidden/>
    <w:unhideWhenUsed/>
    <w:qFormat/>
    <w:locked/>
    <w:rsid w:val="00454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9132B"/>
    <w:rPr>
      <w:rFonts w:ascii="Cambria" w:hAnsi="Cambria" w:cs="Times New Roman"/>
      <w:b/>
      <w:bCs/>
      <w:color w:val="365F91"/>
      <w:sz w:val="28"/>
      <w:szCs w:val="28"/>
    </w:rPr>
  </w:style>
  <w:style w:type="paragraph" w:styleId="BalloonText">
    <w:name w:val="Balloon Text"/>
    <w:basedOn w:val="Normal"/>
    <w:link w:val="BalloonTextChar"/>
    <w:uiPriority w:val="99"/>
    <w:semiHidden/>
    <w:rsid w:val="00094EE6"/>
    <w:pPr>
      <w:spacing w:after="0" w:line="240" w:lineRule="auto"/>
    </w:pPr>
    <w:rPr>
      <w:rFonts w:ascii="Tahoma" w:eastAsia="MS Mincho" w:hAnsi="Tahoma" w:cs="Tahoma"/>
      <w:sz w:val="16"/>
      <w:szCs w:val="16"/>
      <w:lang w:eastAsia="ja-JP"/>
    </w:rPr>
  </w:style>
  <w:style w:type="character" w:customStyle="1" w:styleId="BalloonTextChar">
    <w:name w:val="Balloon Text Char"/>
    <w:basedOn w:val="DefaultParagraphFont"/>
    <w:link w:val="BalloonText"/>
    <w:uiPriority w:val="99"/>
    <w:semiHidden/>
    <w:locked/>
    <w:rsid w:val="0054101F"/>
    <w:rPr>
      <w:rFonts w:ascii="Times New Roman" w:hAnsi="Times New Roman" w:cs="Times New Roman"/>
      <w:sz w:val="2"/>
    </w:rPr>
  </w:style>
  <w:style w:type="paragraph" w:customStyle="1" w:styleId="1Roman">
    <w:name w:val="1Roman"/>
    <w:uiPriority w:val="99"/>
    <w:rsid w:val="00CC482D"/>
    <w:pPr>
      <w:tabs>
        <w:tab w:val="left" w:pos="720"/>
      </w:tabs>
      <w:autoSpaceDE w:val="0"/>
      <w:autoSpaceDN w:val="0"/>
      <w:adjustRightInd w:val="0"/>
      <w:ind w:left="720" w:hanging="720"/>
    </w:pPr>
    <w:rPr>
      <w:rFonts w:ascii="Times New Roman" w:eastAsia="Times New Roman" w:hAnsi="Times New Roman"/>
      <w:sz w:val="20"/>
      <w:szCs w:val="24"/>
    </w:rPr>
  </w:style>
  <w:style w:type="character" w:styleId="Hyperlink">
    <w:name w:val="Hyperlink"/>
    <w:basedOn w:val="DefaultParagraphFont"/>
    <w:uiPriority w:val="99"/>
    <w:semiHidden/>
    <w:rsid w:val="001A474C"/>
    <w:rPr>
      <w:rFonts w:cs="Times New Roman"/>
      <w:color w:val="002BB8"/>
      <w:u w:val="none"/>
      <w:effect w:val="none"/>
    </w:rPr>
  </w:style>
  <w:style w:type="paragraph" w:styleId="FootnoteText">
    <w:name w:val="footnote text"/>
    <w:basedOn w:val="Normal"/>
    <w:link w:val="FootnoteTextChar"/>
    <w:uiPriority w:val="99"/>
    <w:semiHidden/>
    <w:rsid w:val="00835368"/>
    <w:rPr>
      <w:sz w:val="20"/>
      <w:szCs w:val="20"/>
    </w:rPr>
  </w:style>
  <w:style w:type="character" w:customStyle="1" w:styleId="FootnoteTextChar">
    <w:name w:val="Footnote Text Char"/>
    <w:basedOn w:val="DefaultParagraphFont"/>
    <w:link w:val="FootnoteText"/>
    <w:uiPriority w:val="99"/>
    <w:semiHidden/>
    <w:locked/>
    <w:rsid w:val="00835368"/>
    <w:rPr>
      <w:rFonts w:cs="Times New Roman"/>
      <w:sz w:val="20"/>
      <w:szCs w:val="20"/>
    </w:rPr>
  </w:style>
  <w:style w:type="character" w:styleId="FootnoteReference">
    <w:name w:val="footnote reference"/>
    <w:basedOn w:val="DefaultParagraphFont"/>
    <w:uiPriority w:val="99"/>
    <w:semiHidden/>
    <w:rsid w:val="00835368"/>
    <w:rPr>
      <w:rFonts w:cs="Times New Roman"/>
      <w:vertAlign w:val="superscript"/>
    </w:rPr>
  </w:style>
  <w:style w:type="paragraph" w:styleId="ListParagraph">
    <w:name w:val="List Paragraph"/>
    <w:basedOn w:val="Normal"/>
    <w:uiPriority w:val="34"/>
    <w:qFormat/>
    <w:rsid w:val="00FF3844"/>
    <w:pPr>
      <w:ind w:left="720"/>
      <w:contextualSpacing/>
    </w:pPr>
  </w:style>
  <w:style w:type="paragraph" w:styleId="Header">
    <w:name w:val="header"/>
    <w:basedOn w:val="Normal"/>
    <w:link w:val="HeaderChar"/>
    <w:uiPriority w:val="99"/>
    <w:semiHidden/>
    <w:rsid w:val="001A6C8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1A6C8B"/>
    <w:rPr>
      <w:rFonts w:cs="Times New Roman"/>
    </w:rPr>
  </w:style>
  <w:style w:type="paragraph" w:styleId="Footer">
    <w:name w:val="footer"/>
    <w:basedOn w:val="Normal"/>
    <w:link w:val="FooterChar"/>
    <w:uiPriority w:val="99"/>
    <w:rsid w:val="001A6C8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A6C8B"/>
    <w:rPr>
      <w:rFonts w:cs="Times New Roman"/>
    </w:rPr>
  </w:style>
  <w:style w:type="character" w:customStyle="1" w:styleId="Heading2Char">
    <w:name w:val="Heading 2 Char"/>
    <w:basedOn w:val="DefaultParagraphFont"/>
    <w:link w:val="Heading2"/>
    <w:semiHidden/>
    <w:rsid w:val="00454FC7"/>
    <w:rPr>
      <w:rFonts w:asciiTheme="majorHAnsi" w:eastAsiaTheme="majorEastAsia" w:hAnsiTheme="majorHAnsi" w:cstheme="majorBidi"/>
      <w:b/>
      <w:bCs/>
      <w:color w:val="4F81BD" w:themeColor="accent1"/>
      <w:sz w:val="26"/>
      <w:szCs w:val="26"/>
    </w:rPr>
  </w:style>
  <w:style w:type="paragraph" w:customStyle="1" w:styleId="Pa3">
    <w:name w:val="Pa3"/>
    <w:basedOn w:val="Normal"/>
    <w:next w:val="Normal"/>
    <w:uiPriority w:val="99"/>
    <w:rsid w:val="00522AF3"/>
    <w:pPr>
      <w:autoSpaceDE w:val="0"/>
      <w:autoSpaceDN w:val="0"/>
      <w:adjustRightInd w:val="0"/>
      <w:spacing w:after="0" w:line="221" w:lineRule="atLeast"/>
    </w:pPr>
    <w:rPr>
      <w:rFonts w:ascii="Adobe Caslon Pro" w:hAnsi="Adobe Caslon Pro"/>
      <w:sz w:val="24"/>
      <w:szCs w:val="24"/>
    </w:rPr>
  </w:style>
  <w:style w:type="character" w:customStyle="1" w:styleId="A6">
    <w:name w:val="A6"/>
    <w:uiPriority w:val="99"/>
    <w:rsid w:val="00522AF3"/>
    <w:rPr>
      <w:rFonts w:ascii="Times New Roman" w:hAnsi="Times New Roman"/>
      <w:color w:val="000000"/>
      <w:sz w:val="22"/>
      <w:szCs w:val="22"/>
      <w:u w:val="single"/>
    </w:rPr>
  </w:style>
  <w:style w:type="paragraph" w:styleId="NormalWeb">
    <w:name w:val="Normal (Web)"/>
    <w:basedOn w:val="Normal"/>
    <w:uiPriority w:val="99"/>
    <w:semiHidden/>
    <w:rsid w:val="00631068"/>
    <w:pPr>
      <w:spacing w:before="100" w:beforeAutospacing="1" w:after="100" w:afterAutospacing="1" w:line="240" w:lineRule="auto"/>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C17B9A"/>
    <w:rPr>
      <w:color w:val="800080" w:themeColor="followedHyperlink"/>
      <w:u w:val="single"/>
    </w:rPr>
  </w:style>
  <w:style w:type="character" w:styleId="LineNumber">
    <w:name w:val="line number"/>
    <w:basedOn w:val="DefaultParagraphFont"/>
    <w:uiPriority w:val="99"/>
    <w:semiHidden/>
    <w:unhideWhenUsed/>
    <w:rsid w:val="00DD346F"/>
  </w:style>
</w:styles>
</file>

<file path=word/webSettings.xml><?xml version="1.0" encoding="utf-8"?>
<w:webSettings xmlns:r="http://schemas.openxmlformats.org/officeDocument/2006/relationships" xmlns:w="http://schemas.openxmlformats.org/wordprocessingml/2006/main">
  <w:divs>
    <w:div w:id="2830287">
      <w:bodyDiv w:val="1"/>
      <w:marLeft w:val="0"/>
      <w:marRight w:val="0"/>
      <w:marTop w:val="0"/>
      <w:marBottom w:val="0"/>
      <w:divBdr>
        <w:top w:val="none" w:sz="0" w:space="0" w:color="auto"/>
        <w:left w:val="none" w:sz="0" w:space="0" w:color="auto"/>
        <w:bottom w:val="none" w:sz="0" w:space="0" w:color="auto"/>
        <w:right w:val="none" w:sz="0" w:space="0" w:color="auto"/>
      </w:divBdr>
    </w:div>
    <w:div w:id="121076712">
      <w:bodyDiv w:val="1"/>
      <w:marLeft w:val="0"/>
      <w:marRight w:val="0"/>
      <w:marTop w:val="0"/>
      <w:marBottom w:val="0"/>
      <w:divBdr>
        <w:top w:val="none" w:sz="0" w:space="0" w:color="auto"/>
        <w:left w:val="none" w:sz="0" w:space="0" w:color="auto"/>
        <w:bottom w:val="none" w:sz="0" w:space="0" w:color="auto"/>
        <w:right w:val="none" w:sz="0" w:space="0" w:color="auto"/>
      </w:divBdr>
    </w:div>
    <w:div w:id="271396803">
      <w:bodyDiv w:val="1"/>
      <w:marLeft w:val="0"/>
      <w:marRight w:val="0"/>
      <w:marTop w:val="0"/>
      <w:marBottom w:val="0"/>
      <w:divBdr>
        <w:top w:val="none" w:sz="0" w:space="0" w:color="auto"/>
        <w:left w:val="none" w:sz="0" w:space="0" w:color="auto"/>
        <w:bottom w:val="none" w:sz="0" w:space="0" w:color="auto"/>
        <w:right w:val="none" w:sz="0" w:space="0" w:color="auto"/>
      </w:divBdr>
    </w:div>
    <w:div w:id="351802762">
      <w:marLeft w:val="0"/>
      <w:marRight w:val="0"/>
      <w:marTop w:val="0"/>
      <w:marBottom w:val="0"/>
      <w:divBdr>
        <w:top w:val="none" w:sz="0" w:space="0" w:color="auto"/>
        <w:left w:val="none" w:sz="0" w:space="0" w:color="auto"/>
        <w:bottom w:val="none" w:sz="0" w:space="0" w:color="auto"/>
        <w:right w:val="none" w:sz="0" w:space="0" w:color="auto"/>
      </w:divBdr>
    </w:div>
    <w:div w:id="351802763">
      <w:marLeft w:val="0"/>
      <w:marRight w:val="0"/>
      <w:marTop w:val="0"/>
      <w:marBottom w:val="0"/>
      <w:divBdr>
        <w:top w:val="none" w:sz="0" w:space="0" w:color="auto"/>
        <w:left w:val="none" w:sz="0" w:space="0" w:color="auto"/>
        <w:bottom w:val="none" w:sz="0" w:space="0" w:color="auto"/>
        <w:right w:val="none" w:sz="0" w:space="0" w:color="auto"/>
      </w:divBdr>
    </w:div>
    <w:div w:id="731079728">
      <w:bodyDiv w:val="1"/>
      <w:marLeft w:val="0"/>
      <w:marRight w:val="0"/>
      <w:marTop w:val="0"/>
      <w:marBottom w:val="0"/>
      <w:divBdr>
        <w:top w:val="none" w:sz="0" w:space="0" w:color="auto"/>
        <w:left w:val="none" w:sz="0" w:space="0" w:color="auto"/>
        <w:bottom w:val="none" w:sz="0" w:space="0" w:color="auto"/>
        <w:right w:val="none" w:sz="0" w:space="0" w:color="auto"/>
      </w:divBdr>
    </w:div>
    <w:div w:id="893850288">
      <w:bodyDiv w:val="1"/>
      <w:marLeft w:val="0"/>
      <w:marRight w:val="0"/>
      <w:marTop w:val="0"/>
      <w:marBottom w:val="0"/>
      <w:divBdr>
        <w:top w:val="none" w:sz="0" w:space="0" w:color="auto"/>
        <w:left w:val="none" w:sz="0" w:space="0" w:color="auto"/>
        <w:bottom w:val="none" w:sz="0" w:space="0" w:color="auto"/>
        <w:right w:val="none" w:sz="0" w:space="0" w:color="auto"/>
      </w:divBdr>
    </w:div>
    <w:div w:id="1076440990">
      <w:bodyDiv w:val="1"/>
      <w:marLeft w:val="0"/>
      <w:marRight w:val="0"/>
      <w:marTop w:val="0"/>
      <w:marBottom w:val="0"/>
      <w:divBdr>
        <w:top w:val="none" w:sz="0" w:space="0" w:color="auto"/>
        <w:left w:val="none" w:sz="0" w:space="0" w:color="auto"/>
        <w:bottom w:val="none" w:sz="0" w:space="0" w:color="auto"/>
        <w:right w:val="none" w:sz="0" w:space="0" w:color="auto"/>
      </w:divBdr>
    </w:div>
    <w:div w:id="1108358255">
      <w:bodyDiv w:val="1"/>
      <w:marLeft w:val="0"/>
      <w:marRight w:val="0"/>
      <w:marTop w:val="0"/>
      <w:marBottom w:val="0"/>
      <w:divBdr>
        <w:top w:val="none" w:sz="0" w:space="0" w:color="auto"/>
        <w:left w:val="none" w:sz="0" w:space="0" w:color="auto"/>
        <w:bottom w:val="none" w:sz="0" w:space="0" w:color="auto"/>
        <w:right w:val="none" w:sz="0" w:space="0" w:color="auto"/>
      </w:divBdr>
    </w:div>
    <w:div w:id="1420523297">
      <w:bodyDiv w:val="1"/>
      <w:marLeft w:val="0"/>
      <w:marRight w:val="0"/>
      <w:marTop w:val="0"/>
      <w:marBottom w:val="0"/>
      <w:divBdr>
        <w:top w:val="none" w:sz="0" w:space="0" w:color="auto"/>
        <w:left w:val="none" w:sz="0" w:space="0" w:color="auto"/>
        <w:bottom w:val="none" w:sz="0" w:space="0" w:color="auto"/>
        <w:right w:val="none" w:sz="0" w:space="0" w:color="auto"/>
      </w:divBdr>
    </w:div>
    <w:div w:id="1474181357">
      <w:bodyDiv w:val="1"/>
      <w:marLeft w:val="0"/>
      <w:marRight w:val="0"/>
      <w:marTop w:val="0"/>
      <w:marBottom w:val="0"/>
      <w:divBdr>
        <w:top w:val="none" w:sz="0" w:space="0" w:color="auto"/>
        <w:left w:val="none" w:sz="0" w:space="0" w:color="auto"/>
        <w:bottom w:val="none" w:sz="0" w:space="0" w:color="auto"/>
        <w:right w:val="none" w:sz="0" w:space="0" w:color="auto"/>
      </w:divBdr>
    </w:div>
    <w:div w:id="1547835099">
      <w:bodyDiv w:val="1"/>
      <w:marLeft w:val="0"/>
      <w:marRight w:val="0"/>
      <w:marTop w:val="0"/>
      <w:marBottom w:val="0"/>
      <w:divBdr>
        <w:top w:val="none" w:sz="0" w:space="0" w:color="auto"/>
        <w:left w:val="none" w:sz="0" w:space="0" w:color="auto"/>
        <w:bottom w:val="none" w:sz="0" w:space="0" w:color="auto"/>
        <w:right w:val="none" w:sz="0" w:space="0" w:color="auto"/>
      </w:divBdr>
    </w:div>
    <w:div w:id="1584027710">
      <w:bodyDiv w:val="1"/>
      <w:marLeft w:val="0"/>
      <w:marRight w:val="0"/>
      <w:marTop w:val="0"/>
      <w:marBottom w:val="0"/>
      <w:divBdr>
        <w:top w:val="none" w:sz="0" w:space="0" w:color="auto"/>
        <w:left w:val="none" w:sz="0" w:space="0" w:color="auto"/>
        <w:bottom w:val="none" w:sz="0" w:space="0" w:color="auto"/>
        <w:right w:val="none" w:sz="0" w:space="0" w:color="auto"/>
      </w:divBdr>
    </w:div>
    <w:div w:id="1694188429">
      <w:bodyDiv w:val="1"/>
      <w:marLeft w:val="0"/>
      <w:marRight w:val="0"/>
      <w:marTop w:val="0"/>
      <w:marBottom w:val="0"/>
      <w:divBdr>
        <w:top w:val="none" w:sz="0" w:space="0" w:color="auto"/>
        <w:left w:val="none" w:sz="0" w:space="0" w:color="auto"/>
        <w:bottom w:val="none" w:sz="0" w:space="0" w:color="auto"/>
        <w:right w:val="none" w:sz="0" w:space="0" w:color="auto"/>
      </w:divBdr>
    </w:div>
    <w:div w:id="1740248288">
      <w:bodyDiv w:val="1"/>
      <w:marLeft w:val="0"/>
      <w:marRight w:val="0"/>
      <w:marTop w:val="0"/>
      <w:marBottom w:val="0"/>
      <w:divBdr>
        <w:top w:val="none" w:sz="0" w:space="0" w:color="auto"/>
        <w:left w:val="none" w:sz="0" w:space="0" w:color="auto"/>
        <w:bottom w:val="none" w:sz="0" w:space="0" w:color="auto"/>
        <w:right w:val="none" w:sz="0" w:space="0" w:color="auto"/>
      </w:divBdr>
    </w:div>
    <w:div w:id="1792243100">
      <w:bodyDiv w:val="1"/>
      <w:marLeft w:val="0"/>
      <w:marRight w:val="0"/>
      <w:marTop w:val="0"/>
      <w:marBottom w:val="0"/>
      <w:divBdr>
        <w:top w:val="none" w:sz="0" w:space="0" w:color="auto"/>
        <w:left w:val="none" w:sz="0" w:space="0" w:color="auto"/>
        <w:bottom w:val="none" w:sz="0" w:space="0" w:color="auto"/>
        <w:right w:val="none" w:sz="0" w:space="0" w:color="auto"/>
      </w:divBdr>
    </w:div>
    <w:div w:id="2082092108">
      <w:bodyDiv w:val="1"/>
      <w:marLeft w:val="0"/>
      <w:marRight w:val="0"/>
      <w:marTop w:val="0"/>
      <w:marBottom w:val="0"/>
      <w:divBdr>
        <w:top w:val="none" w:sz="0" w:space="0" w:color="auto"/>
        <w:left w:val="none" w:sz="0" w:space="0" w:color="auto"/>
        <w:bottom w:val="none" w:sz="0" w:space="0" w:color="auto"/>
        <w:right w:val="none" w:sz="0" w:space="0" w:color="auto"/>
      </w:divBdr>
    </w:div>
    <w:div w:id="2110806671">
      <w:bodyDiv w:val="1"/>
      <w:marLeft w:val="0"/>
      <w:marRight w:val="0"/>
      <w:marTop w:val="0"/>
      <w:marBottom w:val="0"/>
      <w:divBdr>
        <w:top w:val="none" w:sz="0" w:space="0" w:color="auto"/>
        <w:left w:val="none" w:sz="0" w:space="0" w:color="auto"/>
        <w:bottom w:val="none" w:sz="0" w:space="0" w:color="auto"/>
        <w:right w:val="none" w:sz="0" w:space="0" w:color="auto"/>
      </w:divBdr>
    </w:div>
    <w:div w:id="21243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leti@pbworld.com" TargetMode="External"/><Relationship Id="rId13" Type="http://schemas.openxmlformats.org/officeDocument/2006/relationships/hyperlink" Target="mailto:abahrein@energy.state.ca.us" TargetMode="External"/><Relationship Id="rId18" Type="http://schemas.openxmlformats.org/officeDocument/2006/relationships/oleObject" Target="embeddings/oleObject1.bin"/><Relationship Id="rId26" Type="http://schemas.openxmlformats.org/officeDocument/2006/relationships/image" Target="media/image5.wmf"/><Relationship Id="rId39" Type="http://schemas.openxmlformats.org/officeDocument/2006/relationships/header" Target="header3.xm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www.nhtsa.gov/staticfiles/rulemaking/pdf/cafe/2017-25_CAFE_NPRM_Factsheet.pdf"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dler@rsginc.com" TargetMode="Externa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hyperlink" Target="http://leonard.csusb.edu/outreach/documents/FINAL_GHGReductionOverview-AB32_SB375_ARC.pdf" TargetMode="External"/><Relationship Id="rId38" Type="http://schemas.openxmlformats.org/officeDocument/2006/relationships/hyperlink" Target="http://www.usc.edu/schools/price/research/popdynamics" TargetMode="External"/><Relationship Id="rId2" Type="http://schemas.openxmlformats.org/officeDocument/2006/relationships/numbering" Target="numbering.xml"/><Relationship Id="rId16" Type="http://schemas.openxmlformats.org/officeDocument/2006/relationships/hyperlink" Target="http://www.fueleconomy.gov/feg/download.shtml" TargetMode="External"/><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ulias@geog.ucsb.edu" TargetMode="External"/><Relationship Id="rId24" Type="http://schemas.openxmlformats.org/officeDocument/2006/relationships/image" Target="media/image4.wmf"/><Relationship Id="rId32" Type="http://schemas.openxmlformats.org/officeDocument/2006/relationships/oleObject" Target="embeddings/oleObject9.bin"/><Relationship Id="rId37" Type="http://schemas.openxmlformats.org/officeDocument/2006/relationships/hyperlink" Target="http://www.dof.ca.gov/research/demographic/reports/projections/interim/view.php" TargetMode="External"/><Relationship Id="rId40"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oleObject" Target="embeddings/oleObject4.bin"/><Relationship Id="rId28" Type="http://schemas.openxmlformats.org/officeDocument/2006/relationships/image" Target="media/image6.wmf"/><Relationship Id="rId36" Type="http://schemas.openxmlformats.org/officeDocument/2006/relationships/hyperlink" Target="http://bioenergy.ornl.gov/papers/misc/energy_conv.html" TargetMode="External"/><Relationship Id="rId10" Type="http://schemas.openxmlformats.org/officeDocument/2006/relationships/hyperlink" Target="mailto:ram.pendyala@asu.edu" TargetMode="External"/><Relationship Id="rId19" Type="http://schemas.openxmlformats.org/officeDocument/2006/relationships/image" Target="media/image2.wmf"/><Relationship Id="rId31"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mailto:bhat@mail.utexas.edu" TargetMode="Externa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oleObject" Target="embeddings/oleObject6.bin"/><Relationship Id="rId30" Type="http://schemas.openxmlformats.org/officeDocument/2006/relationships/oleObject" Target="embeddings/oleObject8.bin"/><Relationship Id="rId35" Type="http://schemas.openxmlformats.org/officeDocument/2006/relationships/hyperlink" Target="http://www.epa.gov/otaq/climate/420f0500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0E7FB-7D15-497D-A713-43743D7F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7882</Words>
  <Characters>44933</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The Design and Estimation of a Household Vehicle Evolution and Composition Model for Assessing the Impact of Transportation Policies on Global Climate Change and Air Quality</vt:lpstr>
    </vt:vector>
  </TitlesOfParts>
  <Company>Microsoft</Company>
  <LinksUpToDate>false</LinksUpToDate>
  <CharactersWithSpaces>52710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Design and Estimation of a Household Vehicle Evolution and Composition Model for Assessing the Impact of Transportation Policies on Global Climate Change and Air Quality</dc:title>
  <dc:creator>Arkantos</dc:creator>
  <cp:lastModifiedBy>weyantlj</cp:lastModifiedBy>
  <cp:revision>2</cp:revision>
  <cp:lastPrinted>2013-07-31T19:55:00Z</cp:lastPrinted>
  <dcterms:created xsi:type="dcterms:W3CDTF">2014-03-21T16:32:00Z</dcterms:created>
  <dcterms:modified xsi:type="dcterms:W3CDTF">2014-03-21T16:32:00Z</dcterms:modified>
</cp:coreProperties>
</file>